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D7662" w14:textId="77777777" w:rsidR="00497F75" w:rsidRPr="00E076F1" w:rsidRDefault="00497F75" w:rsidP="00E076F1">
      <w:pPr>
        <w:widowControl w:val="0"/>
        <w:spacing w:line="240" w:lineRule="auto"/>
        <w:rPr>
          <w:lang w:val="hu-HU"/>
        </w:rPr>
      </w:pPr>
      <w:bookmarkStart w:id="0" w:name="_GoBack"/>
      <w:bookmarkEnd w:id="0"/>
    </w:p>
    <w:p w14:paraId="7FD357ED" w14:textId="77777777" w:rsidR="00F45C51" w:rsidRPr="00E076F1" w:rsidRDefault="00D05999" w:rsidP="00E076F1">
      <w:pPr>
        <w:widowControl w:val="0"/>
        <w:spacing w:line="240" w:lineRule="auto"/>
        <w:rPr>
          <w:lang w:val="hu-HU"/>
        </w:rPr>
      </w:pPr>
      <w:r w:rsidRPr="00E076F1">
        <w:rPr>
          <w:rFonts w:eastAsia="Times New Roman"/>
          <w:b/>
          <w:noProof/>
          <w:snapToGrid/>
          <w:szCs w:val="22"/>
          <w:lang w:val="hu-HU" w:eastAsia="en-US"/>
        </w:rPr>
        <w:t>1.</w:t>
      </w:r>
      <w:r w:rsidRPr="00E076F1">
        <w:rPr>
          <w:rFonts w:eastAsia="Times New Roman"/>
          <w:b/>
          <w:noProof/>
          <w:snapToGrid/>
          <w:szCs w:val="22"/>
          <w:lang w:val="hu-HU" w:eastAsia="en-US"/>
        </w:rPr>
        <w:tab/>
        <w:t>A GYÓGYSZER NEVE</w:t>
      </w:r>
    </w:p>
    <w:p w14:paraId="69E1267E" w14:textId="77777777" w:rsidR="00F45C51" w:rsidRPr="00E076F1" w:rsidRDefault="00F45C51" w:rsidP="00E076F1">
      <w:pPr>
        <w:widowControl w:val="0"/>
        <w:spacing w:line="240" w:lineRule="auto"/>
        <w:rPr>
          <w:rFonts w:eastAsia="Times New Roman"/>
          <w:noProof/>
          <w:snapToGrid/>
          <w:szCs w:val="22"/>
          <w:lang w:val="hu-HU" w:eastAsia="en-US"/>
        </w:rPr>
      </w:pPr>
    </w:p>
    <w:p w14:paraId="0591860A" w14:textId="1F9FCBDF" w:rsidR="00200453" w:rsidRPr="00E076F1" w:rsidRDefault="00AE4F87" w:rsidP="00E076F1">
      <w:pPr>
        <w:tabs>
          <w:tab w:val="clear" w:pos="567"/>
        </w:tabs>
        <w:autoSpaceDE w:val="0"/>
        <w:autoSpaceDN w:val="0"/>
        <w:adjustRightInd w:val="0"/>
        <w:spacing w:line="240" w:lineRule="auto"/>
        <w:rPr>
          <w:rFonts w:eastAsia="TimesNewRoman"/>
          <w:snapToGrid/>
          <w:szCs w:val="22"/>
          <w:lang w:val="hu-HU" w:eastAsia="en-GB"/>
        </w:rPr>
      </w:pPr>
      <w:bookmarkStart w:id="1" w:name="_Hlk177713991"/>
      <w:r w:rsidRPr="00E076F1">
        <w:rPr>
          <w:rFonts w:eastAsia="TimesNewRoman"/>
          <w:snapToGrid/>
          <w:szCs w:val="22"/>
          <w:lang w:val="hu-HU" w:eastAsia="en-GB"/>
        </w:rPr>
        <w:t>Dapagliflozin/Metformin Polpharma</w:t>
      </w:r>
      <w:r w:rsidR="00200453" w:rsidRPr="00E076F1">
        <w:rPr>
          <w:rFonts w:eastAsia="TimesNewRoman"/>
          <w:snapToGrid/>
          <w:szCs w:val="22"/>
          <w:lang w:val="hu-HU" w:eastAsia="en-GB"/>
        </w:rPr>
        <w:t xml:space="preserve"> </w:t>
      </w:r>
      <w:bookmarkEnd w:id="1"/>
      <w:r w:rsidR="00200453" w:rsidRPr="00E076F1">
        <w:rPr>
          <w:rFonts w:eastAsia="TimesNewRoman"/>
          <w:snapToGrid/>
          <w:szCs w:val="22"/>
          <w:lang w:val="hu-HU" w:eastAsia="en-GB"/>
        </w:rPr>
        <w:t>5</w:t>
      </w:r>
      <w:r w:rsidR="00122450" w:rsidRPr="00E076F1">
        <w:rPr>
          <w:rFonts w:eastAsia="TimesNewRoman"/>
          <w:snapToGrid/>
          <w:szCs w:val="22"/>
          <w:lang w:val="hu-HU" w:eastAsia="en-GB"/>
        </w:rPr>
        <w:t> mg</w:t>
      </w:r>
      <w:r w:rsidR="00200453" w:rsidRPr="00E076F1">
        <w:rPr>
          <w:rFonts w:eastAsia="TimesNewRoman"/>
          <w:snapToGrid/>
          <w:szCs w:val="22"/>
          <w:lang w:val="hu-HU" w:eastAsia="en-GB"/>
        </w:rPr>
        <w:t>/850</w:t>
      </w:r>
      <w:r w:rsidR="00122450" w:rsidRPr="00E076F1">
        <w:rPr>
          <w:rFonts w:eastAsia="TimesNewRoman"/>
          <w:snapToGrid/>
          <w:szCs w:val="22"/>
          <w:lang w:val="hu-HU" w:eastAsia="en-GB"/>
        </w:rPr>
        <w:t> mg</w:t>
      </w:r>
      <w:r w:rsidR="00200453" w:rsidRPr="00E076F1">
        <w:rPr>
          <w:rFonts w:eastAsia="TimesNewRoman"/>
          <w:snapToGrid/>
          <w:szCs w:val="22"/>
          <w:lang w:val="hu-HU" w:eastAsia="en-GB"/>
        </w:rPr>
        <w:t xml:space="preserve"> filmtabletta</w:t>
      </w:r>
    </w:p>
    <w:p w14:paraId="129F3D76" w14:textId="18673687" w:rsidR="008A53A7" w:rsidRPr="00E076F1" w:rsidRDefault="00AE4F87" w:rsidP="00E076F1">
      <w:pPr>
        <w:spacing w:line="240" w:lineRule="auto"/>
        <w:rPr>
          <w:rFonts w:eastAsia="TimesNewRoman"/>
          <w:snapToGrid/>
          <w:szCs w:val="22"/>
          <w:lang w:val="hu-HU" w:eastAsia="en-GB"/>
        </w:rPr>
      </w:pPr>
      <w:r w:rsidRPr="00E076F1">
        <w:rPr>
          <w:rFonts w:eastAsia="TimesNewRoman"/>
          <w:snapToGrid/>
          <w:szCs w:val="22"/>
          <w:lang w:val="hu-HU" w:eastAsia="en-GB"/>
        </w:rPr>
        <w:t>Dapagliflozin/Metformin Polpharma</w:t>
      </w:r>
      <w:r w:rsidR="00200453" w:rsidRPr="00E076F1">
        <w:rPr>
          <w:rFonts w:eastAsia="TimesNewRoman"/>
          <w:snapToGrid/>
          <w:szCs w:val="22"/>
          <w:lang w:val="hu-HU" w:eastAsia="en-GB"/>
        </w:rPr>
        <w:t xml:space="preserve"> 5</w:t>
      </w:r>
      <w:r w:rsidR="00122450" w:rsidRPr="00E076F1">
        <w:rPr>
          <w:rFonts w:eastAsia="TimesNewRoman"/>
          <w:snapToGrid/>
          <w:szCs w:val="22"/>
          <w:lang w:val="hu-HU" w:eastAsia="en-GB"/>
        </w:rPr>
        <w:t> mg</w:t>
      </w:r>
      <w:r w:rsidR="00200453" w:rsidRPr="00E076F1">
        <w:rPr>
          <w:rFonts w:eastAsia="TimesNewRoman"/>
          <w:snapToGrid/>
          <w:szCs w:val="22"/>
          <w:lang w:val="hu-HU" w:eastAsia="en-GB"/>
        </w:rPr>
        <w:t>/1000</w:t>
      </w:r>
      <w:r w:rsidR="00122450" w:rsidRPr="00E076F1">
        <w:rPr>
          <w:rFonts w:eastAsia="TimesNewRoman"/>
          <w:snapToGrid/>
          <w:szCs w:val="22"/>
          <w:lang w:val="hu-HU" w:eastAsia="en-GB"/>
        </w:rPr>
        <w:t> mg</w:t>
      </w:r>
      <w:r w:rsidR="00200453" w:rsidRPr="00E076F1">
        <w:rPr>
          <w:rFonts w:eastAsia="TimesNewRoman"/>
          <w:snapToGrid/>
          <w:szCs w:val="22"/>
          <w:lang w:val="hu-HU" w:eastAsia="en-GB"/>
        </w:rPr>
        <w:t xml:space="preserve"> filmtabletta</w:t>
      </w:r>
    </w:p>
    <w:p w14:paraId="241E46D6" w14:textId="77777777" w:rsidR="00200453" w:rsidRPr="00E076F1" w:rsidRDefault="00200453" w:rsidP="00E076F1">
      <w:pPr>
        <w:spacing w:line="240" w:lineRule="auto"/>
        <w:rPr>
          <w:lang w:val="hu-HU"/>
        </w:rPr>
      </w:pPr>
    </w:p>
    <w:p w14:paraId="020598FC" w14:textId="77777777" w:rsidR="00F45C51" w:rsidRPr="00E076F1" w:rsidRDefault="00F45C51" w:rsidP="00E076F1">
      <w:pPr>
        <w:widowControl w:val="0"/>
        <w:spacing w:line="240" w:lineRule="auto"/>
        <w:rPr>
          <w:rFonts w:eastAsia="Times New Roman"/>
          <w:noProof/>
          <w:snapToGrid/>
          <w:szCs w:val="22"/>
          <w:lang w:val="hu-HU" w:eastAsia="en-US"/>
        </w:rPr>
      </w:pPr>
    </w:p>
    <w:p w14:paraId="2BCAA91B" w14:textId="77777777" w:rsidR="00F45C51" w:rsidRPr="00E076F1" w:rsidRDefault="00D05999" w:rsidP="00E076F1">
      <w:pPr>
        <w:widowControl w:val="0"/>
        <w:spacing w:line="240" w:lineRule="auto"/>
        <w:rPr>
          <w:b/>
          <w:lang w:val="hu-HU"/>
        </w:rPr>
      </w:pPr>
      <w:r w:rsidRPr="00E076F1">
        <w:rPr>
          <w:b/>
          <w:lang w:val="hu-HU"/>
        </w:rPr>
        <w:t>2.</w:t>
      </w:r>
      <w:r w:rsidRPr="00E076F1">
        <w:rPr>
          <w:b/>
          <w:lang w:val="hu-HU"/>
        </w:rPr>
        <w:tab/>
        <w:t>MINŐSÉGI ÉS MENNYISÉGI ÖSSZETÉTEL</w:t>
      </w:r>
    </w:p>
    <w:p w14:paraId="18C63513" w14:textId="77777777" w:rsidR="007471D2" w:rsidRPr="00E076F1" w:rsidRDefault="007471D2" w:rsidP="00E076F1">
      <w:pPr>
        <w:widowControl w:val="0"/>
        <w:spacing w:line="240" w:lineRule="auto"/>
        <w:rPr>
          <w:rFonts w:eastAsia="Times New Roman"/>
          <w:bCs/>
          <w:noProof/>
          <w:snapToGrid/>
          <w:szCs w:val="22"/>
          <w:lang w:val="hu-HU" w:eastAsia="en-US"/>
        </w:rPr>
      </w:pPr>
    </w:p>
    <w:p w14:paraId="35D103FC" w14:textId="03CAA885" w:rsidR="00200453" w:rsidRPr="00E076F1" w:rsidRDefault="00AE4F87" w:rsidP="00E076F1">
      <w:pPr>
        <w:tabs>
          <w:tab w:val="clear" w:pos="567"/>
        </w:tabs>
        <w:autoSpaceDE w:val="0"/>
        <w:autoSpaceDN w:val="0"/>
        <w:adjustRightInd w:val="0"/>
        <w:spacing w:line="240" w:lineRule="auto"/>
        <w:rPr>
          <w:rFonts w:eastAsia="TimesNewRoman"/>
          <w:snapToGrid/>
          <w:szCs w:val="22"/>
          <w:u w:val="single"/>
          <w:lang w:val="hu-HU" w:eastAsia="en-GB"/>
        </w:rPr>
      </w:pPr>
      <w:r w:rsidRPr="00E076F1">
        <w:rPr>
          <w:rFonts w:eastAsia="TimesNewRoman"/>
          <w:snapToGrid/>
          <w:szCs w:val="22"/>
          <w:u w:val="single"/>
          <w:lang w:val="hu-HU" w:eastAsia="en-GB"/>
        </w:rPr>
        <w:t>Dapagliflozin/Metformin Polpharma</w:t>
      </w:r>
      <w:r w:rsidR="00200453" w:rsidRPr="00E076F1">
        <w:rPr>
          <w:rFonts w:eastAsia="TimesNewRoman"/>
          <w:snapToGrid/>
          <w:szCs w:val="22"/>
          <w:u w:val="single"/>
          <w:lang w:val="hu-HU" w:eastAsia="en-GB"/>
        </w:rPr>
        <w:t xml:space="preserve"> 5</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/850</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 xml:space="preserve"> filmtabletta</w:t>
      </w:r>
    </w:p>
    <w:p w14:paraId="4C10D7CB" w14:textId="1A509750"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5</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dapagliflozin</w:t>
      </w:r>
      <w:r w:rsidR="00122450" w:rsidRPr="00E076F1">
        <w:rPr>
          <w:rFonts w:eastAsia="TimesNewRoman"/>
          <w:snapToGrid/>
          <w:szCs w:val="22"/>
          <w:lang w:val="hu-HU" w:eastAsia="en-GB"/>
        </w:rPr>
        <w:t>t</w:t>
      </w:r>
      <w:r w:rsidRPr="00E076F1">
        <w:rPr>
          <w:rFonts w:eastAsia="TimesNewRoman"/>
          <w:snapToGrid/>
          <w:szCs w:val="22"/>
          <w:lang w:val="hu-HU" w:eastAsia="en-GB"/>
        </w:rPr>
        <w:t xml:space="preserve"> és 850</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metformin-hidroklorid</w:t>
      </w:r>
      <w:r w:rsidR="00615DAC">
        <w:rPr>
          <w:rFonts w:eastAsia="TimesNewRoman"/>
          <w:snapToGrid/>
          <w:szCs w:val="22"/>
          <w:lang w:val="hu-HU" w:eastAsia="en-GB"/>
        </w:rPr>
        <w:t>ot tartalmaz</w:t>
      </w:r>
      <w:r w:rsidRPr="00E076F1">
        <w:rPr>
          <w:rFonts w:eastAsia="TimesNewRoman"/>
          <w:snapToGrid/>
          <w:szCs w:val="22"/>
          <w:lang w:val="hu-HU" w:eastAsia="en-GB"/>
        </w:rPr>
        <w:t xml:space="preserve"> tablettánként.</w:t>
      </w:r>
    </w:p>
    <w:p w14:paraId="73FA3839" w14:textId="77777777"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p>
    <w:p w14:paraId="3D3363E2" w14:textId="2F538EB6" w:rsidR="00200453" w:rsidRPr="00E076F1" w:rsidRDefault="00AE4F87" w:rsidP="00E076F1">
      <w:pPr>
        <w:tabs>
          <w:tab w:val="clear" w:pos="567"/>
        </w:tabs>
        <w:autoSpaceDE w:val="0"/>
        <w:autoSpaceDN w:val="0"/>
        <w:adjustRightInd w:val="0"/>
        <w:spacing w:line="240" w:lineRule="auto"/>
        <w:rPr>
          <w:rFonts w:eastAsia="TimesNewRoman"/>
          <w:snapToGrid/>
          <w:szCs w:val="22"/>
          <w:u w:val="single"/>
          <w:lang w:val="hu-HU" w:eastAsia="en-GB"/>
        </w:rPr>
      </w:pPr>
      <w:r w:rsidRPr="00E076F1">
        <w:rPr>
          <w:rFonts w:eastAsia="TimesNewRoman"/>
          <w:snapToGrid/>
          <w:szCs w:val="22"/>
          <w:u w:val="single"/>
          <w:lang w:val="hu-HU" w:eastAsia="en-GB"/>
        </w:rPr>
        <w:t>Dapagliflozin/Metformin Polpharma</w:t>
      </w:r>
      <w:r w:rsidR="00200453" w:rsidRPr="00E076F1">
        <w:rPr>
          <w:rFonts w:eastAsia="TimesNewRoman"/>
          <w:snapToGrid/>
          <w:szCs w:val="22"/>
          <w:u w:val="single"/>
          <w:lang w:val="hu-HU" w:eastAsia="en-GB"/>
        </w:rPr>
        <w:t xml:space="preserve"> 5</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/1000</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 xml:space="preserve"> filmtabletta</w:t>
      </w:r>
    </w:p>
    <w:p w14:paraId="437E53D6" w14:textId="3885051D"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5</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dapagliflozin</w:t>
      </w:r>
      <w:r w:rsidR="00122450" w:rsidRPr="00E076F1">
        <w:rPr>
          <w:rFonts w:eastAsia="TimesNewRoman"/>
          <w:snapToGrid/>
          <w:szCs w:val="22"/>
          <w:lang w:val="hu-HU" w:eastAsia="en-GB"/>
        </w:rPr>
        <w:t>t</w:t>
      </w:r>
      <w:r w:rsidRPr="00E076F1">
        <w:rPr>
          <w:rFonts w:eastAsia="TimesNewRoman"/>
          <w:snapToGrid/>
          <w:szCs w:val="22"/>
          <w:lang w:val="hu-HU" w:eastAsia="en-GB"/>
        </w:rPr>
        <w:t xml:space="preserve"> és 1000</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metformin-hidroklorid</w:t>
      </w:r>
      <w:r w:rsidR="00615DAC">
        <w:rPr>
          <w:rFonts w:eastAsia="TimesNewRoman"/>
          <w:snapToGrid/>
          <w:szCs w:val="22"/>
          <w:lang w:val="hu-HU" w:eastAsia="en-GB"/>
        </w:rPr>
        <w:t>ot tartalmaz</w:t>
      </w:r>
      <w:r w:rsidRPr="00E076F1">
        <w:rPr>
          <w:rFonts w:eastAsia="TimesNewRoman"/>
          <w:snapToGrid/>
          <w:szCs w:val="22"/>
          <w:lang w:val="hu-HU" w:eastAsia="en-GB"/>
        </w:rPr>
        <w:t xml:space="preserve"> tablettánként.</w:t>
      </w:r>
    </w:p>
    <w:p w14:paraId="4F8C8DC9" w14:textId="77777777" w:rsidR="00200453" w:rsidRPr="00E076F1" w:rsidRDefault="00200453" w:rsidP="00E076F1">
      <w:pPr>
        <w:pStyle w:val="EMEAEnBodyText"/>
        <w:autoSpaceDE w:val="0"/>
        <w:autoSpaceDN w:val="0"/>
        <w:adjustRightInd w:val="0"/>
        <w:spacing w:before="0" w:after="0"/>
        <w:jc w:val="left"/>
        <w:rPr>
          <w:rFonts w:eastAsia="TimesNewRoman"/>
          <w:szCs w:val="22"/>
          <w:lang w:val="hu-HU" w:eastAsia="en-GB"/>
        </w:rPr>
      </w:pPr>
    </w:p>
    <w:p w14:paraId="4E6BF9E9" w14:textId="2C54E2C6" w:rsidR="008A53A7" w:rsidRPr="00E076F1" w:rsidRDefault="00200453" w:rsidP="00E076F1">
      <w:pPr>
        <w:pStyle w:val="EMEAEnBodyText"/>
        <w:autoSpaceDE w:val="0"/>
        <w:autoSpaceDN w:val="0"/>
        <w:adjustRightInd w:val="0"/>
        <w:spacing w:before="0" w:after="0"/>
        <w:jc w:val="left"/>
        <w:rPr>
          <w:lang w:val="hu-HU"/>
        </w:rPr>
      </w:pPr>
      <w:r w:rsidRPr="00E076F1">
        <w:rPr>
          <w:rFonts w:eastAsia="TimesNewRoman"/>
          <w:szCs w:val="22"/>
          <w:lang w:val="hu-HU" w:eastAsia="en-GB"/>
        </w:rPr>
        <w:t>A segédanyagok teljes listáját lásd a 6.1 pontban.</w:t>
      </w:r>
    </w:p>
    <w:p w14:paraId="1F5F4241" w14:textId="77777777" w:rsidR="00F45C51" w:rsidRPr="00E076F1" w:rsidRDefault="00F45C51" w:rsidP="00E076F1">
      <w:pPr>
        <w:widowControl w:val="0"/>
        <w:spacing w:line="240" w:lineRule="auto"/>
        <w:rPr>
          <w:bCs/>
          <w:lang w:val="hu-HU"/>
        </w:rPr>
      </w:pPr>
    </w:p>
    <w:p w14:paraId="482A29CA" w14:textId="77777777" w:rsidR="00200453" w:rsidRPr="00E076F1" w:rsidRDefault="00200453" w:rsidP="00E076F1">
      <w:pPr>
        <w:widowControl w:val="0"/>
        <w:spacing w:line="240" w:lineRule="auto"/>
        <w:rPr>
          <w:bCs/>
          <w:lang w:val="hu-HU"/>
        </w:rPr>
      </w:pPr>
    </w:p>
    <w:p w14:paraId="247D6C97" w14:textId="77777777" w:rsidR="00F45C51" w:rsidRPr="00E076F1" w:rsidRDefault="00D05999" w:rsidP="00E076F1">
      <w:pPr>
        <w:spacing w:line="240" w:lineRule="auto"/>
        <w:ind w:left="567" w:hanging="567"/>
        <w:rPr>
          <w:rFonts w:eastAsia="Times New Roman"/>
          <w:b/>
          <w:noProof/>
          <w:snapToGrid/>
          <w:szCs w:val="22"/>
          <w:lang w:val="hu-HU" w:eastAsia="en-US"/>
        </w:rPr>
      </w:pPr>
      <w:r w:rsidRPr="00E076F1">
        <w:rPr>
          <w:rFonts w:eastAsia="Times New Roman"/>
          <w:b/>
          <w:noProof/>
          <w:snapToGrid/>
          <w:szCs w:val="22"/>
          <w:lang w:val="hu-HU" w:eastAsia="en-US"/>
        </w:rPr>
        <w:t>3.</w:t>
      </w:r>
      <w:r w:rsidRPr="00E076F1">
        <w:rPr>
          <w:rFonts w:eastAsia="Times New Roman"/>
          <w:b/>
          <w:noProof/>
          <w:snapToGrid/>
          <w:szCs w:val="22"/>
          <w:lang w:val="hu-HU" w:eastAsia="en-US"/>
        </w:rPr>
        <w:tab/>
        <w:t>GYÓGYSZERFORMA</w:t>
      </w:r>
    </w:p>
    <w:p w14:paraId="7ABBA070" w14:textId="77777777" w:rsidR="00F45C51" w:rsidRPr="00E076F1" w:rsidRDefault="00F45C51" w:rsidP="00E076F1">
      <w:pPr>
        <w:spacing w:line="240" w:lineRule="auto"/>
        <w:ind w:left="567" w:hanging="567"/>
        <w:rPr>
          <w:bCs/>
          <w:lang w:val="hu-HU"/>
        </w:rPr>
      </w:pPr>
    </w:p>
    <w:p w14:paraId="68CD6029" w14:textId="7772D327"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Filmtabletta</w:t>
      </w:r>
    </w:p>
    <w:p w14:paraId="281C8F12" w14:textId="77777777"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p>
    <w:p w14:paraId="29EEFDC1" w14:textId="46B59DD9" w:rsidR="00200453" w:rsidRPr="00E076F1" w:rsidRDefault="00AE4F87" w:rsidP="00E076F1">
      <w:pPr>
        <w:tabs>
          <w:tab w:val="clear" w:pos="567"/>
        </w:tabs>
        <w:autoSpaceDE w:val="0"/>
        <w:autoSpaceDN w:val="0"/>
        <w:adjustRightInd w:val="0"/>
        <w:spacing w:line="240" w:lineRule="auto"/>
        <w:rPr>
          <w:rFonts w:eastAsia="TimesNewRoman"/>
          <w:snapToGrid/>
          <w:szCs w:val="22"/>
          <w:u w:val="single"/>
          <w:lang w:val="hu-HU" w:eastAsia="en-GB"/>
        </w:rPr>
      </w:pPr>
      <w:r w:rsidRPr="00E076F1">
        <w:rPr>
          <w:rFonts w:eastAsia="TimesNewRoman"/>
          <w:snapToGrid/>
          <w:szCs w:val="22"/>
          <w:u w:val="single"/>
          <w:lang w:val="hu-HU" w:eastAsia="en-GB"/>
        </w:rPr>
        <w:t>Dapagliflozin/Metformin Polpharma</w:t>
      </w:r>
      <w:r w:rsidR="00200453" w:rsidRPr="00E076F1">
        <w:rPr>
          <w:rFonts w:eastAsia="TimesNewRoman"/>
          <w:snapToGrid/>
          <w:szCs w:val="22"/>
          <w:u w:val="single"/>
          <w:lang w:val="hu-HU" w:eastAsia="en-GB"/>
        </w:rPr>
        <w:t xml:space="preserve"> 5</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/850</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 xml:space="preserve"> filmtabletta</w:t>
      </w:r>
    </w:p>
    <w:p w14:paraId="05A3B083" w14:textId="473499E3" w:rsidR="00C72085" w:rsidRPr="00E076F1" w:rsidRDefault="00122450"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Világos narancssárga, o</w:t>
      </w:r>
      <w:r w:rsidR="00C72085" w:rsidRPr="00E076F1">
        <w:rPr>
          <w:rFonts w:eastAsia="TimesNewRoman"/>
          <w:snapToGrid/>
          <w:szCs w:val="22"/>
          <w:lang w:val="hu-HU" w:eastAsia="en-GB"/>
        </w:rPr>
        <w:t>vális, mindkét oldalán domború filmtabletta, egyik oldalán „850” mélynyomás</w:t>
      </w:r>
      <w:r w:rsidRPr="00E076F1">
        <w:rPr>
          <w:rFonts w:eastAsia="TimesNewRoman"/>
          <w:snapToGrid/>
          <w:szCs w:val="22"/>
          <w:lang w:val="hu-HU" w:eastAsia="en-GB"/>
        </w:rPr>
        <w:t>ú jelöléssel.</w:t>
      </w:r>
    </w:p>
    <w:p w14:paraId="6A31DEBE" w14:textId="5445E9A7" w:rsidR="00122450" w:rsidRPr="00E076F1" w:rsidRDefault="00122450"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Méretek: hossz 20,2 mm ± 0,2 mm; szélesség 10,0 mm ± 0,2 mm.</w:t>
      </w:r>
    </w:p>
    <w:p w14:paraId="6FDD02C8" w14:textId="77777777" w:rsidR="00122450" w:rsidRPr="00E076F1" w:rsidRDefault="00122450" w:rsidP="00E076F1">
      <w:pPr>
        <w:tabs>
          <w:tab w:val="clear" w:pos="567"/>
        </w:tabs>
        <w:autoSpaceDE w:val="0"/>
        <w:autoSpaceDN w:val="0"/>
        <w:adjustRightInd w:val="0"/>
        <w:spacing w:line="240" w:lineRule="auto"/>
        <w:rPr>
          <w:rFonts w:eastAsia="TimesNewRoman"/>
          <w:snapToGrid/>
          <w:szCs w:val="22"/>
          <w:lang w:val="hu-HU" w:eastAsia="en-GB"/>
        </w:rPr>
      </w:pPr>
    </w:p>
    <w:p w14:paraId="00382939" w14:textId="3910DB1C" w:rsidR="00200453" w:rsidRPr="00E076F1" w:rsidRDefault="00AE4F87" w:rsidP="00E076F1">
      <w:pPr>
        <w:tabs>
          <w:tab w:val="clear" w:pos="567"/>
        </w:tabs>
        <w:autoSpaceDE w:val="0"/>
        <w:autoSpaceDN w:val="0"/>
        <w:adjustRightInd w:val="0"/>
        <w:spacing w:line="240" w:lineRule="auto"/>
        <w:rPr>
          <w:rFonts w:eastAsia="TimesNewRoman"/>
          <w:snapToGrid/>
          <w:szCs w:val="22"/>
          <w:u w:val="single"/>
          <w:lang w:val="hu-HU" w:eastAsia="en-GB"/>
        </w:rPr>
      </w:pPr>
      <w:r w:rsidRPr="00E076F1">
        <w:rPr>
          <w:rFonts w:eastAsia="TimesNewRoman"/>
          <w:snapToGrid/>
          <w:szCs w:val="22"/>
          <w:u w:val="single"/>
          <w:lang w:val="hu-HU" w:eastAsia="en-GB"/>
        </w:rPr>
        <w:t>Dapagliflozin/Metformin Polpharma</w:t>
      </w:r>
      <w:r w:rsidR="00200453" w:rsidRPr="00E076F1">
        <w:rPr>
          <w:rFonts w:eastAsia="TimesNewRoman"/>
          <w:snapToGrid/>
          <w:szCs w:val="22"/>
          <w:u w:val="single"/>
          <w:lang w:val="hu-HU" w:eastAsia="en-GB"/>
        </w:rPr>
        <w:t xml:space="preserve"> 5</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/1000</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 xml:space="preserve"> filmtabletta</w:t>
      </w:r>
    </w:p>
    <w:p w14:paraId="6C88D9F3" w14:textId="13405431" w:rsidR="00C72085" w:rsidRPr="00E076F1" w:rsidRDefault="003D6A92" w:rsidP="00E076F1">
      <w:pPr>
        <w:spacing w:line="240" w:lineRule="auto"/>
        <w:rPr>
          <w:lang w:val="hu-HU"/>
        </w:rPr>
      </w:pPr>
      <w:r w:rsidRPr="00E076F1">
        <w:rPr>
          <w:lang w:val="hu-HU"/>
        </w:rPr>
        <w:t>Sárga, o</w:t>
      </w:r>
      <w:r w:rsidR="00C72085" w:rsidRPr="00E076F1">
        <w:rPr>
          <w:lang w:val="hu-HU"/>
        </w:rPr>
        <w:t>vális, mindkét oldalán domború filmtabletta, egyik oldalán „1000” mélynyomás</w:t>
      </w:r>
      <w:r w:rsidR="00A20F0F" w:rsidRPr="00E076F1">
        <w:rPr>
          <w:lang w:val="hu-HU"/>
        </w:rPr>
        <w:t>ú jelöléssel</w:t>
      </w:r>
      <w:r w:rsidR="00C72085" w:rsidRPr="00E076F1">
        <w:rPr>
          <w:lang w:val="hu-HU"/>
        </w:rPr>
        <w:t>.</w:t>
      </w:r>
    </w:p>
    <w:p w14:paraId="55370683" w14:textId="345BF363" w:rsidR="00F45C51" w:rsidRPr="00E076F1" w:rsidRDefault="00C72085" w:rsidP="00E076F1">
      <w:pPr>
        <w:spacing w:line="240" w:lineRule="auto"/>
        <w:rPr>
          <w:lang w:val="hu-HU"/>
        </w:rPr>
      </w:pPr>
      <w:r w:rsidRPr="00E076F1">
        <w:rPr>
          <w:lang w:val="hu-HU"/>
        </w:rPr>
        <w:t xml:space="preserve">Méretek: </w:t>
      </w:r>
      <w:r w:rsidR="00A20F0F" w:rsidRPr="00E076F1">
        <w:rPr>
          <w:lang w:val="hu-HU"/>
        </w:rPr>
        <w:t>hossz 21,5 mm ± 0,2 mm; szélesség 10,6 mm ± 0,2 mm.</w:t>
      </w:r>
    </w:p>
    <w:p w14:paraId="3E5C2215" w14:textId="77777777" w:rsidR="00200453" w:rsidRPr="00E076F1" w:rsidRDefault="00200453" w:rsidP="00E076F1">
      <w:pPr>
        <w:spacing w:line="240" w:lineRule="auto"/>
        <w:rPr>
          <w:lang w:val="hu-HU"/>
        </w:rPr>
      </w:pPr>
    </w:p>
    <w:p w14:paraId="44052150" w14:textId="77777777" w:rsidR="00C72085" w:rsidRPr="00E076F1" w:rsidRDefault="00C72085" w:rsidP="00E076F1">
      <w:pPr>
        <w:spacing w:line="240" w:lineRule="auto"/>
        <w:rPr>
          <w:lang w:val="hu-HU"/>
        </w:rPr>
      </w:pPr>
    </w:p>
    <w:p w14:paraId="3B01BAAA" w14:textId="77777777" w:rsidR="00F45C51" w:rsidRPr="00E076F1" w:rsidRDefault="00D05999" w:rsidP="00E076F1">
      <w:pPr>
        <w:spacing w:line="240" w:lineRule="auto"/>
        <w:ind w:left="567" w:hanging="567"/>
        <w:outlineLvl w:val="0"/>
        <w:rPr>
          <w:b/>
          <w:lang w:val="hu-HU"/>
        </w:rPr>
      </w:pPr>
      <w:r w:rsidRPr="00E076F1">
        <w:rPr>
          <w:b/>
          <w:lang w:val="hu-HU"/>
        </w:rPr>
        <w:t>4.</w:t>
      </w:r>
      <w:r w:rsidRPr="00E076F1">
        <w:rPr>
          <w:b/>
          <w:lang w:val="hu-HU"/>
        </w:rPr>
        <w:tab/>
        <w:t>KLINIKAI JELLEMZŐK</w:t>
      </w:r>
    </w:p>
    <w:p w14:paraId="4C62D4E3" w14:textId="77777777" w:rsidR="00F45C51" w:rsidRPr="00E076F1" w:rsidRDefault="00F45C51" w:rsidP="00E076F1">
      <w:pPr>
        <w:spacing w:line="240" w:lineRule="auto"/>
        <w:ind w:left="567" w:hanging="567"/>
        <w:outlineLvl w:val="0"/>
        <w:rPr>
          <w:bCs/>
          <w:lang w:val="hu-HU"/>
        </w:rPr>
      </w:pPr>
    </w:p>
    <w:p w14:paraId="068DED19"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4.1</w:t>
      </w:r>
      <w:r w:rsidRPr="00E076F1">
        <w:rPr>
          <w:rFonts w:eastAsia="Times New Roman"/>
          <w:b/>
          <w:noProof/>
          <w:snapToGrid/>
          <w:szCs w:val="22"/>
          <w:lang w:val="hu-HU" w:eastAsia="en-US"/>
        </w:rPr>
        <w:tab/>
        <w:t>Terápiás javallatok</w:t>
      </w:r>
    </w:p>
    <w:p w14:paraId="0DCD8963" w14:textId="77777777" w:rsidR="00F45C51" w:rsidRPr="00E076F1" w:rsidRDefault="00F45C51" w:rsidP="00E076F1">
      <w:pPr>
        <w:spacing w:line="240" w:lineRule="auto"/>
        <w:ind w:left="567" w:hanging="567"/>
        <w:outlineLvl w:val="0"/>
        <w:rPr>
          <w:bCs/>
          <w:lang w:val="hu-HU"/>
        </w:rPr>
      </w:pPr>
    </w:p>
    <w:p w14:paraId="032A1D64" w14:textId="5E49B1FA"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 xml:space="preserve">A </w:t>
      </w:r>
      <w:r w:rsidR="00AE4F87" w:rsidRPr="00E076F1">
        <w:rPr>
          <w:rFonts w:eastAsia="TimesNewRoman"/>
          <w:snapToGrid/>
          <w:szCs w:val="22"/>
          <w:lang w:val="hu-HU" w:eastAsia="en-GB"/>
        </w:rPr>
        <w:t>Dapagliflozin/Metformin Polpharma</w:t>
      </w:r>
      <w:r w:rsidRPr="00E076F1">
        <w:rPr>
          <w:rFonts w:eastAsia="TimesNewRoman"/>
          <w:snapToGrid/>
          <w:szCs w:val="22"/>
          <w:lang w:val="hu-HU" w:eastAsia="en-GB"/>
        </w:rPr>
        <w:t xml:space="preserve"> felnőtteknél a 2-es típusú diabetes mellitus kezelésére javallott, a diéta és a testmozgás kiegészítéseként:</w:t>
      </w:r>
    </w:p>
    <w:p w14:paraId="1E30031D" w14:textId="58CD9109" w:rsidR="00C01923" w:rsidRPr="00E076F1" w:rsidRDefault="00200453" w:rsidP="00E076F1">
      <w:pPr>
        <w:pStyle w:val="Listaszerbekezds"/>
        <w:numPr>
          <w:ilvl w:val="0"/>
          <w:numId w:val="47"/>
        </w:numPr>
        <w:tabs>
          <w:tab w:val="clear" w:pos="567"/>
        </w:tabs>
        <w:autoSpaceDE w:val="0"/>
        <w:autoSpaceDN w:val="0"/>
        <w:adjustRightInd w:val="0"/>
        <w:spacing w:line="240" w:lineRule="auto"/>
        <w:ind w:left="567" w:hanging="567"/>
        <w:rPr>
          <w:rFonts w:eastAsia="TimesNewRoman"/>
          <w:snapToGrid/>
          <w:szCs w:val="22"/>
          <w:lang w:val="hu-HU" w:eastAsia="en-GB"/>
        </w:rPr>
      </w:pPr>
      <w:r w:rsidRPr="00E076F1">
        <w:rPr>
          <w:rFonts w:eastAsia="TimesNewRoman"/>
          <w:snapToGrid/>
          <w:szCs w:val="22"/>
          <w:lang w:val="hu-HU" w:eastAsia="en-GB"/>
        </w:rPr>
        <w:t xml:space="preserve">metformin monoterápia maximális tolerált dózisa mellett nem </w:t>
      </w:r>
      <w:r w:rsidR="00E37AD1" w:rsidRPr="00E076F1">
        <w:rPr>
          <w:rFonts w:eastAsia="TimesNewRoman"/>
          <w:snapToGrid/>
          <w:szCs w:val="22"/>
          <w:lang w:val="hu-HU" w:eastAsia="en-GB"/>
        </w:rPr>
        <w:t>megfelel</w:t>
      </w:r>
      <w:r w:rsidRPr="00E076F1">
        <w:rPr>
          <w:rFonts w:eastAsia="TimesNewRoman"/>
          <w:snapToGrid/>
          <w:szCs w:val="22"/>
          <w:lang w:val="hu-HU" w:eastAsia="en-GB"/>
        </w:rPr>
        <w:t>ően kontrollált szénhidrátanyagcsere-egyensúlyú betegeknél.</w:t>
      </w:r>
    </w:p>
    <w:p w14:paraId="2A3B7A2C" w14:textId="563E0F5B" w:rsidR="00C01923" w:rsidRPr="00E076F1" w:rsidRDefault="00200453" w:rsidP="00E076F1">
      <w:pPr>
        <w:pStyle w:val="Listaszerbekezds"/>
        <w:numPr>
          <w:ilvl w:val="0"/>
          <w:numId w:val="47"/>
        </w:numPr>
        <w:tabs>
          <w:tab w:val="clear" w:pos="567"/>
        </w:tabs>
        <w:autoSpaceDE w:val="0"/>
        <w:autoSpaceDN w:val="0"/>
        <w:adjustRightInd w:val="0"/>
        <w:spacing w:line="240" w:lineRule="auto"/>
        <w:ind w:left="567" w:hanging="567"/>
        <w:rPr>
          <w:rFonts w:eastAsia="TimesNewRoman"/>
          <w:snapToGrid/>
          <w:szCs w:val="22"/>
          <w:lang w:val="hu-HU" w:eastAsia="en-GB"/>
        </w:rPr>
      </w:pPr>
      <w:r w:rsidRPr="00E076F1">
        <w:rPr>
          <w:rFonts w:eastAsia="TimesNewRoman"/>
          <w:snapToGrid/>
          <w:szCs w:val="22"/>
          <w:lang w:val="hu-HU" w:eastAsia="en-GB"/>
        </w:rPr>
        <w:t xml:space="preserve">diabetes kezelésére </w:t>
      </w:r>
      <w:r w:rsidR="00A97F16" w:rsidRPr="00E076F1">
        <w:rPr>
          <w:rFonts w:eastAsia="TimesNewRoman"/>
          <w:snapToGrid/>
          <w:szCs w:val="22"/>
          <w:lang w:val="hu-HU" w:eastAsia="en-GB"/>
        </w:rPr>
        <w:t xml:space="preserve">szánt </w:t>
      </w:r>
      <w:r w:rsidRPr="00E076F1">
        <w:rPr>
          <w:rFonts w:eastAsia="TimesNewRoman"/>
          <w:snapToGrid/>
          <w:szCs w:val="22"/>
          <w:lang w:val="hu-HU" w:eastAsia="en-GB"/>
        </w:rPr>
        <w:t xml:space="preserve">más gyógyszerekkel kombinálva olyan betegeknél, akik szénhidrátanyagcsere-egyensúlya nem </w:t>
      </w:r>
      <w:r w:rsidR="00E37AD1" w:rsidRPr="00E076F1">
        <w:rPr>
          <w:rFonts w:eastAsia="TimesNewRoman"/>
          <w:snapToGrid/>
          <w:szCs w:val="22"/>
          <w:lang w:val="hu-HU" w:eastAsia="en-GB"/>
        </w:rPr>
        <w:t>megfelel</w:t>
      </w:r>
      <w:r w:rsidRPr="00E076F1">
        <w:rPr>
          <w:rFonts w:eastAsia="TimesNewRoman"/>
          <w:snapToGrid/>
          <w:szCs w:val="22"/>
          <w:lang w:val="hu-HU" w:eastAsia="en-GB"/>
        </w:rPr>
        <w:t>ően kontrollált metforminnal és ezekkel a gyógyszerekkel.</w:t>
      </w:r>
    </w:p>
    <w:p w14:paraId="713251B3" w14:textId="65452F7B" w:rsidR="00200453" w:rsidRPr="00E076F1" w:rsidRDefault="00200453" w:rsidP="00E076F1">
      <w:pPr>
        <w:pStyle w:val="Listaszerbekezds"/>
        <w:numPr>
          <w:ilvl w:val="0"/>
          <w:numId w:val="47"/>
        </w:numPr>
        <w:tabs>
          <w:tab w:val="clear" w:pos="567"/>
        </w:tabs>
        <w:autoSpaceDE w:val="0"/>
        <w:autoSpaceDN w:val="0"/>
        <w:adjustRightInd w:val="0"/>
        <w:spacing w:line="240" w:lineRule="auto"/>
        <w:ind w:left="567" w:hanging="567"/>
        <w:rPr>
          <w:rFonts w:eastAsia="TimesNewRoman"/>
          <w:snapToGrid/>
          <w:szCs w:val="22"/>
          <w:lang w:val="hu-HU" w:eastAsia="en-GB"/>
        </w:rPr>
      </w:pPr>
      <w:r w:rsidRPr="00E076F1">
        <w:rPr>
          <w:rFonts w:eastAsia="TimesNewRoman"/>
          <w:snapToGrid/>
          <w:szCs w:val="22"/>
          <w:lang w:val="hu-HU" w:eastAsia="en-GB"/>
        </w:rPr>
        <w:t>külön-külön tablettában adott dapagliflozin és metformin kombinációval már kezelt betegeknél.</w:t>
      </w:r>
    </w:p>
    <w:p w14:paraId="021D9171" w14:textId="77777777"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p>
    <w:p w14:paraId="797161BD" w14:textId="41C534AB" w:rsidR="00F45C51"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A kezelések kombinációira, a szénhidrátanyagcsere-egyensúlyra és a cardiovascularis eseményekre gyakorolt hatásokra, valamint a vizsgált populációkra vonatkozó vizsgálati eredményeket lásd a 4.4, 4.5 és 5.1 pontban.</w:t>
      </w:r>
    </w:p>
    <w:p w14:paraId="3489A17B" w14:textId="77777777" w:rsidR="00200453" w:rsidRPr="00E076F1" w:rsidRDefault="00200453" w:rsidP="00E076F1">
      <w:pPr>
        <w:spacing w:line="240" w:lineRule="auto"/>
        <w:rPr>
          <w:rFonts w:eastAsia="Times New Roman"/>
          <w:snapToGrid/>
          <w:szCs w:val="22"/>
          <w:lang w:val="hu-HU" w:eastAsia="en-US"/>
        </w:rPr>
      </w:pPr>
    </w:p>
    <w:p w14:paraId="0DBF981C"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4.2</w:t>
      </w:r>
      <w:r w:rsidRPr="00E076F1">
        <w:rPr>
          <w:rFonts w:eastAsia="Times New Roman"/>
          <w:b/>
          <w:noProof/>
          <w:snapToGrid/>
          <w:szCs w:val="22"/>
          <w:lang w:val="hu-HU" w:eastAsia="en-US"/>
        </w:rPr>
        <w:tab/>
        <w:t>Adagolás és alkalmazás</w:t>
      </w:r>
    </w:p>
    <w:p w14:paraId="0A3B14CF" w14:textId="77777777" w:rsidR="00F45C51" w:rsidRPr="00E076F1" w:rsidRDefault="00F45C51" w:rsidP="00E076F1">
      <w:pPr>
        <w:spacing w:line="240" w:lineRule="auto"/>
        <w:ind w:left="567" w:hanging="567"/>
        <w:outlineLvl w:val="0"/>
        <w:rPr>
          <w:bCs/>
          <w:lang w:val="hu-HU"/>
        </w:rPr>
      </w:pPr>
    </w:p>
    <w:p w14:paraId="48D94802" w14:textId="77777777" w:rsidR="00200453" w:rsidRPr="00E076F1" w:rsidRDefault="00200453" w:rsidP="00E076F1">
      <w:pPr>
        <w:tabs>
          <w:tab w:val="clear" w:pos="567"/>
        </w:tabs>
        <w:autoSpaceDE w:val="0"/>
        <w:autoSpaceDN w:val="0"/>
        <w:adjustRightInd w:val="0"/>
        <w:spacing w:line="240" w:lineRule="auto"/>
        <w:rPr>
          <w:rFonts w:eastAsia="TimesNewRoman"/>
          <w:snapToGrid/>
          <w:szCs w:val="22"/>
          <w:u w:val="single"/>
          <w:lang w:val="hu-HU" w:eastAsia="en-GB"/>
        </w:rPr>
      </w:pPr>
      <w:r w:rsidRPr="00E076F1">
        <w:rPr>
          <w:rFonts w:eastAsia="TimesNewRoman"/>
          <w:snapToGrid/>
          <w:szCs w:val="22"/>
          <w:u w:val="single"/>
          <w:lang w:val="hu-HU" w:eastAsia="en-GB"/>
        </w:rPr>
        <w:t>Adagolás</w:t>
      </w:r>
    </w:p>
    <w:p w14:paraId="1EFBB83B" w14:textId="77777777" w:rsidR="00340E9F" w:rsidRPr="00E076F1" w:rsidRDefault="00340E9F" w:rsidP="00E076F1">
      <w:pPr>
        <w:tabs>
          <w:tab w:val="clear" w:pos="567"/>
        </w:tabs>
        <w:autoSpaceDE w:val="0"/>
        <w:autoSpaceDN w:val="0"/>
        <w:adjustRightInd w:val="0"/>
        <w:spacing w:line="240" w:lineRule="auto"/>
        <w:rPr>
          <w:rFonts w:eastAsia="TimesNewRoman"/>
          <w:snapToGrid/>
          <w:szCs w:val="22"/>
          <w:u w:val="single"/>
          <w:lang w:val="hu-HU" w:eastAsia="en-GB"/>
        </w:rPr>
      </w:pPr>
    </w:p>
    <w:p w14:paraId="52AC4499" w14:textId="6770190E" w:rsidR="00200453" w:rsidRPr="00E076F1" w:rsidRDefault="00200453"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Normál veseműködésű felnőttek (glomerulusfiltrációs ráta [GFR] ≥ 90 ml/perc)</w:t>
      </w:r>
    </w:p>
    <w:p w14:paraId="1DB94644" w14:textId="003CA74F"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Az ajánlott adag naponta kétszer egy tabletta. Tablettánként fix dózisban dapagliflozint és metformint tartalmaz (lásd 2. pont).</w:t>
      </w:r>
    </w:p>
    <w:p w14:paraId="28412711" w14:textId="77777777" w:rsidR="00200453" w:rsidRPr="00E076F1" w:rsidRDefault="00200453" w:rsidP="00E076F1">
      <w:pPr>
        <w:tabs>
          <w:tab w:val="clear" w:pos="567"/>
        </w:tabs>
        <w:autoSpaceDE w:val="0"/>
        <w:autoSpaceDN w:val="0"/>
        <w:adjustRightInd w:val="0"/>
        <w:spacing w:line="240" w:lineRule="auto"/>
        <w:rPr>
          <w:rFonts w:eastAsia="TimesNewRoman,Italic"/>
          <w:i/>
          <w:iCs/>
          <w:snapToGrid/>
          <w:szCs w:val="22"/>
          <w:lang w:val="hu-HU" w:eastAsia="en-GB"/>
        </w:rPr>
      </w:pPr>
    </w:p>
    <w:p w14:paraId="33ACE600" w14:textId="37F8A3D6" w:rsidR="00200453" w:rsidRPr="00E076F1" w:rsidRDefault="008552B6"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D</w:t>
      </w:r>
      <w:r w:rsidR="00200453" w:rsidRPr="00E076F1">
        <w:rPr>
          <w:rFonts w:eastAsia="TimesNewRoman,Italic"/>
          <w:i/>
          <w:iCs/>
          <w:snapToGrid/>
          <w:szCs w:val="22"/>
          <w:lang w:val="hu-HU" w:eastAsia="en-GB"/>
        </w:rPr>
        <w:t xml:space="preserve">iabetes kezelésére olyan betegeknél, akik szénhidrátanyagcsere-egyensúlya a metformin monoterápiával vagy a metformin más gyógyszerekkel történő kombinációjával nem </w:t>
      </w:r>
      <w:r w:rsidR="00266E5A" w:rsidRPr="00E076F1">
        <w:rPr>
          <w:rFonts w:eastAsia="TimesNewRoman,Italic"/>
          <w:i/>
          <w:iCs/>
          <w:snapToGrid/>
          <w:szCs w:val="22"/>
          <w:lang w:val="hu-HU" w:eastAsia="en-GB"/>
        </w:rPr>
        <w:t>megfelelően</w:t>
      </w:r>
      <w:r w:rsidR="00200453" w:rsidRPr="00E076F1">
        <w:rPr>
          <w:rFonts w:eastAsia="TimesNewRoman,Italic"/>
          <w:i/>
          <w:iCs/>
          <w:snapToGrid/>
          <w:szCs w:val="22"/>
          <w:lang w:val="hu-HU" w:eastAsia="en-GB"/>
        </w:rPr>
        <w:t xml:space="preserve"> kontrollált</w:t>
      </w:r>
    </w:p>
    <w:p w14:paraId="1F03621D" w14:textId="4480E454"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 xml:space="preserve">Azoknak a betegeknek, akik a metformin monoterápiával vagy a metformin más gyógyszerekkel történő kombinációjával, nincsenek megfelelő szénhidrátanyagcsere-egyensúlyban, a diabetes kezelésére olyan teljes napi dózisban kell kapják a </w:t>
      </w:r>
      <w:r w:rsidR="00AE4F87" w:rsidRPr="00E076F1">
        <w:rPr>
          <w:rFonts w:eastAsia="TimesNewRoman"/>
          <w:snapToGrid/>
          <w:szCs w:val="22"/>
          <w:lang w:val="hu-HU" w:eastAsia="en-GB"/>
        </w:rPr>
        <w:t>Dapagliflozin/Metformin Polpharma</w:t>
      </w:r>
      <w:r w:rsidRPr="00E076F1">
        <w:rPr>
          <w:rFonts w:eastAsia="TimesNewRoman"/>
          <w:snapToGrid/>
          <w:szCs w:val="22"/>
          <w:lang w:val="hu-HU" w:eastAsia="en-GB"/>
        </w:rPr>
        <w:t>-t, hogy megfeleljen 10</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dapagliflozinnak, plusz a már önmagában szedett metformin teljes napi </w:t>
      </w:r>
      <w:r w:rsidR="00134E72" w:rsidRPr="00E076F1">
        <w:rPr>
          <w:rFonts w:eastAsia="TimesNewRoman"/>
          <w:snapToGrid/>
          <w:szCs w:val="22"/>
          <w:lang w:val="hu-HU" w:eastAsia="en-GB"/>
        </w:rPr>
        <w:t>dózis</w:t>
      </w:r>
      <w:r w:rsidRPr="00E076F1">
        <w:rPr>
          <w:rFonts w:eastAsia="TimesNewRoman"/>
          <w:snapToGrid/>
          <w:szCs w:val="22"/>
          <w:lang w:val="hu-HU" w:eastAsia="en-GB"/>
        </w:rPr>
        <w:t xml:space="preserve">a vagy legközelebbi, terápiásan megfelelő dózisa. Amikor a </w:t>
      </w:r>
      <w:r w:rsidR="00AE4F87" w:rsidRPr="00E076F1">
        <w:rPr>
          <w:rFonts w:eastAsia="TimesNewRoman"/>
          <w:snapToGrid/>
          <w:szCs w:val="22"/>
          <w:lang w:val="hu-HU" w:eastAsia="en-GB"/>
        </w:rPr>
        <w:t>Dapagliflozin/Metformin Polpharma</w:t>
      </w:r>
      <w:r w:rsidRPr="00E076F1">
        <w:rPr>
          <w:rFonts w:eastAsia="TimesNewRoman"/>
          <w:snapToGrid/>
          <w:szCs w:val="22"/>
          <w:lang w:val="hu-HU" w:eastAsia="en-GB"/>
        </w:rPr>
        <w:t>-t inzulinnal vagy egy, az inzulin szekréciót fokozó hatóanyaggal, például egy szulfonilureával</w:t>
      </w:r>
      <w:r w:rsidR="00996898" w:rsidRPr="00E076F1">
        <w:rPr>
          <w:rFonts w:eastAsia="TimesNewRoman"/>
          <w:snapToGrid/>
          <w:szCs w:val="22"/>
          <w:lang w:val="hu-HU" w:eastAsia="en-GB"/>
        </w:rPr>
        <w:t xml:space="preserve"> </w:t>
      </w:r>
      <w:r w:rsidRPr="00E076F1">
        <w:rPr>
          <w:rFonts w:eastAsia="TimesNewRoman"/>
          <w:snapToGrid/>
          <w:szCs w:val="22"/>
          <w:lang w:val="hu-HU" w:eastAsia="en-GB"/>
        </w:rPr>
        <w:t>kombinálva alkalmazzák, akkor a hypoglykaemia kockázatának csökkentése érdekében alacsonyabb</w:t>
      </w:r>
      <w:r w:rsidR="00996898" w:rsidRPr="00E076F1">
        <w:rPr>
          <w:rFonts w:eastAsia="TimesNewRoman"/>
          <w:snapToGrid/>
          <w:szCs w:val="22"/>
          <w:lang w:val="hu-HU" w:eastAsia="en-GB"/>
        </w:rPr>
        <w:t xml:space="preserve"> </w:t>
      </w:r>
      <w:r w:rsidRPr="00E076F1">
        <w:rPr>
          <w:rFonts w:eastAsia="TimesNewRoman"/>
          <w:snapToGrid/>
          <w:szCs w:val="22"/>
          <w:lang w:val="hu-HU" w:eastAsia="en-GB"/>
        </w:rPr>
        <w:t>dózisú inzulinra vagy szulfonilureára lehet szükség (lásd 4.5 és 4.8 pont).</w:t>
      </w:r>
    </w:p>
    <w:p w14:paraId="2E9E1E2E" w14:textId="77777777" w:rsidR="00996898" w:rsidRPr="00E076F1" w:rsidRDefault="00996898" w:rsidP="00E076F1">
      <w:pPr>
        <w:tabs>
          <w:tab w:val="clear" w:pos="567"/>
        </w:tabs>
        <w:autoSpaceDE w:val="0"/>
        <w:autoSpaceDN w:val="0"/>
        <w:adjustRightInd w:val="0"/>
        <w:spacing w:line="240" w:lineRule="auto"/>
        <w:rPr>
          <w:rFonts w:eastAsia="TimesNewRoman,Italic"/>
          <w:i/>
          <w:iCs/>
          <w:snapToGrid/>
          <w:szCs w:val="22"/>
          <w:lang w:val="hu-HU" w:eastAsia="en-GB"/>
        </w:rPr>
      </w:pPr>
    </w:p>
    <w:p w14:paraId="5FD7B61E" w14:textId="584D7569" w:rsidR="00200453" w:rsidRPr="00E076F1" w:rsidRDefault="00200453"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A különálló dapagliflozin és metformin tablettákról átállításra kerülő betegek</w:t>
      </w:r>
    </w:p>
    <w:p w14:paraId="37C086C8" w14:textId="460C596A" w:rsidR="00F45C51"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Azoknak a betegeknek, akiket külön-külön adott dapagliflozinról (10</w:t>
      </w:r>
      <w:r w:rsidR="00122450" w:rsidRPr="00E076F1">
        <w:rPr>
          <w:rFonts w:eastAsia="TimesNewRoman"/>
          <w:snapToGrid/>
          <w:szCs w:val="22"/>
          <w:lang w:val="hu-HU" w:eastAsia="en-GB"/>
        </w:rPr>
        <w:t> mg</w:t>
      </w:r>
      <w:r w:rsidRPr="00E076F1">
        <w:rPr>
          <w:rFonts w:eastAsia="TimesNewRoman"/>
          <w:snapToGrid/>
          <w:szCs w:val="22"/>
          <w:lang w:val="hu-HU" w:eastAsia="en-GB"/>
        </w:rPr>
        <w:t>-os teljes napi dózis) és</w:t>
      </w:r>
      <w:r w:rsidR="00996898" w:rsidRPr="00E076F1">
        <w:rPr>
          <w:rFonts w:eastAsia="TimesNewRoman"/>
          <w:snapToGrid/>
          <w:szCs w:val="22"/>
          <w:lang w:val="hu-HU" w:eastAsia="en-GB"/>
        </w:rPr>
        <w:t xml:space="preserve"> </w:t>
      </w:r>
      <w:r w:rsidRPr="00E076F1">
        <w:rPr>
          <w:rFonts w:eastAsia="TimesNewRoman"/>
          <w:snapToGrid/>
          <w:szCs w:val="22"/>
          <w:lang w:val="hu-HU" w:eastAsia="en-GB"/>
        </w:rPr>
        <w:t xml:space="preserve">metforminról állítanak át </w:t>
      </w:r>
      <w:r w:rsidR="00AE4F87" w:rsidRPr="00E076F1">
        <w:rPr>
          <w:rFonts w:eastAsia="TimesNewRoman"/>
          <w:snapToGrid/>
          <w:szCs w:val="22"/>
          <w:lang w:val="hu-HU" w:eastAsia="en-GB"/>
        </w:rPr>
        <w:t>Dapagliflozin/Metformin Polpharma</w:t>
      </w:r>
      <w:r w:rsidRPr="00E076F1">
        <w:rPr>
          <w:rFonts w:eastAsia="TimesNewRoman"/>
          <w:snapToGrid/>
          <w:szCs w:val="22"/>
          <w:lang w:val="hu-HU" w:eastAsia="en-GB"/>
        </w:rPr>
        <w:t xml:space="preserve">-ra, ugyanabban a napi </w:t>
      </w:r>
      <w:r w:rsidR="00E076F1">
        <w:rPr>
          <w:rFonts w:eastAsia="TimesNewRoman"/>
          <w:snapToGrid/>
          <w:szCs w:val="22"/>
          <w:lang w:val="hu-HU" w:eastAsia="en-GB"/>
        </w:rPr>
        <w:t>dózis</w:t>
      </w:r>
      <w:r w:rsidRPr="00E076F1">
        <w:rPr>
          <w:rFonts w:eastAsia="TimesNewRoman"/>
          <w:snapToGrid/>
          <w:szCs w:val="22"/>
          <w:lang w:val="hu-HU" w:eastAsia="en-GB"/>
        </w:rPr>
        <w:t>ban kell a dapagliflozint és a</w:t>
      </w:r>
      <w:r w:rsidR="000D3856" w:rsidRPr="00E076F1">
        <w:rPr>
          <w:rFonts w:eastAsia="TimesNewRoman"/>
          <w:snapToGrid/>
          <w:szCs w:val="22"/>
          <w:lang w:val="hu-HU" w:eastAsia="en-GB"/>
        </w:rPr>
        <w:t> </w:t>
      </w:r>
      <w:r w:rsidRPr="00E076F1">
        <w:rPr>
          <w:rFonts w:eastAsia="TimesNewRoman"/>
          <w:snapToGrid/>
          <w:szCs w:val="22"/>
          <w:lang w:val="hu-HU" w:eastAsia="en-GB"/>
        </w:rPr>
        <w:t>metformint</w:t>
      </w:r>
      <w:r w:rsidR="00996898" w:rsidRPr="00E076F1">
        <w:rPr>
          <w:rFonts w:eastAsia="TimesNewRoman"/>
          <w:snapToGrid/>
          <w:szCs w:val="22"/>
          <w:lang w:val="hu-HU" w:eastAsia="en-GB"/>
        </w:rPr>
        <w:t xml:space="preserve"> </w:t>
      </w:r>
      <w:r w:rsidRPr="00E076F1">
        <w:rPr>
          <w:rFonts w:eastAsia="TimesNewRoman"/>
          <w:snapToGrid/>
          <w:szCs w:val="22"/>
          <w:lang w:val="hu-HU" w:eastAsia="en-GB"/>
        </w:rPr>
        <w:t>kapniuk, mint amit már szedtek, vagy a legközelebbi, terápiásan megfelelő metformin dózist.</w:t>
      </w:r>
    </w:p>
    <w:p w14:paraId="3A304BC8" w14:textId="77777777" w:rsidR="00996898" w:rsidRPr="00E076F1" w:rsidRDefault="00996898" w:rsidP="00E076F1">
      <w:pPr>
        <w:spacing w:line="240" w:lineRule="auto"/>
        <w:rPr>
          <w:rFonts w:eastAsia="Times New Roman"/>
          <w:snapToGrid/>
          <w:szCs w:val="22"/>
          <w:u w:val="single"/>
          <w:lang w:val="hu-HU" w:eastAsia="en-US"/>
        </w:rPr>
      </w:pPr>
    </w:p>
    <w:p w14:paraId="7425AFC0" w14:textId="77777777" w:rsidR="00C72085" w:rsidRPr="00E076F1" w:rsidRDefault="0099689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Különleges betegcsoportok</w:t>
      </w:r>
    </w:p>
    <w:p w14:paraId="688C32D8" w14:textId="77777777" w:rsidR="00C72085" w:rsidRPr="00E076F1" w:rsidRDefault="00C72085" w:rsidP="00E076F1">
      <w:pPr>
        <w:tabs>
          <w:tab w:val="clear" w:pos="567"/>
        </w:tabs>
        <w:autoSpaceDE w:val="0"/>
        <w:autoSpaceDN w:val="0"/>
        <w:adjustRightInd w:val="0"/>
        <w:spacing w:line="240" w:lineRule="auto"/>
        <w:rPr>
          <w:rFonts w:eastAsia="TimesNewRoman,Italic"/>
          <w:i/>
          <w:iCs/>
          <w:snapToGrid/>
          <w:szCs w:val="22"/>
          <w:lang w:val="hu-HU" w:eastAsia="en-GB"/>
        </w:rPr>
      </w:pPr>
    </w:p>
    <w:p w14:paraId="0543C5E3" w14:textId="2B61F8A2" w:rsidR="00996898" w:rsidRPr="00E076F1" w:rsidRDefault="00996898"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Vesekárosodás</w:t>
      </w:r>
    </w:p>
    <w:p w14:paraId="59218F0D" w14:textId="3C27F7AB"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A GFR értékét a metformin</w:t>
      </w:r>
      <w:r w:rsidR="00E076F1">
        <w:rPr>
          <w:rFonts w:eastAsia="TimesNewRoman"/>
          <w:snapToGrid/>
          <w:szCs w:val="22"/>
          <w:lang w:val="hu-HU" w:eastAsia="en-GB"/>
        </w:rPr>
        <w:t>-</w:t>
      </w:r>
      <w:r w:rsidRPr="00E076F1">
        <w:rPr>
          <w:rFonts w:eastAsia="TimesNewRoman"/>
          <w:snapToGrid/>
          <w:szCs w:val="22"/>
          <w:lang w:val="hu-HU" w:eastAsia="en-GB"/>
        </w:rPr>
        <w:t>tartalmú gyógyszerekkel folytatott kezelés megkezdése előtt és a kezelés során legalább évente ellenőrizni kell. A vesekárosodás további romlása szempontjából fokozott kockázatnak kitett betegeknél és időseknél a veseműködés gyakoribb, például 3-6 havonta történő ellenőrzése szükséges.</w:t>
      </w:r>
    </w:p>
    <w:p w14:paraId="1C88D9ED" w14:textId="77777777"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p>
    <w:p w14:paraId="641ADE99" w14:textId="3BF63F39"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 xml:space="preserve">A metformin teljes napi </w:t>
      </w:r>
      <w:r w:rsidR="006320A6">
        <w:rPr>
          <w:rFonts w:eastAsia="TimesNewRoman"/>
          <w:snapToGrid/>
          <w:szCs w:val="22"/>
          <w:lang w:val="hu-HU" w:eastAsia="en-GB"/>
        </w:rPr>
        <w:t>dózis</w:t>
      </w:r>
      <w:r w:rsidRPr="00E076F1">
        <w:rPr>
          <w:rFonts w:eastAsia="TimesNewRoman"/>
          <w:snapToGrid/>
          <w:szCs w:val="22"/>
          <w:lang w:val="hu-HU" w:eastAsia="en-GB"/>
        </w:rPr>
        <w:t>át lehetőleg naponta 2-3 adagra kell elosztani. Azoknál a betegeknél, akiknél a GFR &lt; 60 ml/perc, a laktátacidózis kockázatát esetlegesen növelő faktorokat (lásd 4.4 pont) számba kell venni, mielőtt a metformin</w:t>
      </w:r>
      <w:r w:rsidR="006320A6">
        <w:rPr>
          <w:rFonts w:eastAsia="TimesNewRoman"/>
          <w:snapToGrid/>
          <w:szCs w:val="22"/>
          <w:lang w:val="hu-HU" w:eastAsia="en-GB"/>
        </w:rPr>
        <w:t>-</w:t>
      </w:r>
      <w:r w:rsidRPr="00E076F1">
        <w:rPr>
          <w:rFonts w:eastAsia="TimesNewRoman"/>
          <w:snapToGrid/>
          <w:szCs w:val="22"/>
          <w:lang w:val="hu-HU" w:eastAsia="en-GB"/>
        </w:rPr>
        <w:t>kezelés megkezdése felmerül.</w:t>
      </w:r>
    </w:p>
    <w:p w14:paraId="7E8BA620" w14:textId="77777777"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p>
    <w:p w14:paraId="766E8519" w14:textId="2F053343"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 xml:space="preserve">Amennyiben nem áll rendelkezésre a </w:t>
      </w:r>
      <w:r w:rsidR="00AE4F87" w:rsidRPr="00E076F1">
        <w:rPr>
          <w:rFonts w:eastAsia="TimesNewRoman"/>
          <w:snapToGrid/>
          <w:szCs w:val="22"/>
          <w:lang w:val="hu-HU" w:eastAsia="en-GB"/>
        </w:rPr>
        <w:t>Dapagliflozin/Metformin Polpharma</w:t>
      </w:r>
      <w:r w:rsidRPr="00E076F1">
        <w:rPr>
          <w:rFonts w:eastAsia="TimesNewRoman"/>
          <w:snapToGrid/>
          <w:szCs w:val="22"/>
          <w:lang w:val="hu-HU" w:eastAsia="en-GB"/>
        </w:rPr>
        <w:t xml:space="preserve"> megfelelő hatáserősségű formája, a fix dózisú kombináció helyett az egyedi monokomponenseket kell alkalmazni.</w:t>
      </w:r>
    </w:p>
    <w:p w14:paraId="60D95AB5" w14:textId="77777777" w:rsidR="00996898" w:rsidRPr="00E076F1" w:rsidRDefault="00996898" w:rsidP="00E076F1">
      <w:pPr>
        <w:spacing w:line="240" w:lineRule="auto"/>
        <w:rPr>
          <w:rFonts w:eastAsia="Times New Roman"/>
          <w:snapToGrid/>
          <w:szCs w:val="22"/>
          <w:u w:val="single"/>
          <w:lang w:val="hu-HU" w:eastAsia="en-US"/>
        </w:rPr>
      </w:pPr>
    </w:p>
    <w:p w14:paraId="1631D1FC" w14:textId="78D57B53" w:rsidR="00996898" w:rsidRPr="00E076F1" w:rsidRDefault="00996898" w:rsidP="00E076F1">
      <w:pPr>
        <w:pStyle w:val="Listaszerbekezds"/>
        <w:numPr>
          <w:ilvl w:val="0"/>
          <w:numId w:val="45"/>
        </w:numPr>
        <w:spacing w:line="240" w:lineRule="auto"/>
        <w:ind w:left="0" w:firstLine="0"/>
        <w:rPr>
          <w:rFonts w:eastAsia="TimesNewRoman,Bold"/>
          <w:b/>
          <w:bCs/>
          <w:snapToGrid/>
          <w:szCs w:val="22"/>
          <w:lang w:val="hu-HU" w:eastAsia="en-GB"/>
        </w:rPr>
      </w:pPr>
      <w:r w:rsidRPr="00E076F1">
        <w:rPr>
          <w:rFonts w:eastAsia="TimesNewRoman,Bold"/>
          <w:b/>
          <w:bCs/>
          <w:snapToGrid/>
          <w:szCs w:val="22"/>
          <w:lang w:val="hu-HU" w:eastAsia="en-GB"/>
        </w:rPr>
        <w:t>táblázat Adagolás vesekárosodásban szenvedő betegeknél</w:t>
      </w:r>
    </w:p>
    <w:tbl>
      <w:tblPr>
        <w:tblW w:w="0" w:type="auto"/>
        <w:tblLayout w:type="fixed"/>
        <w:tblCellMar>
          <w:left w:w="10" w:type="dxa"/>
          <w:right w:w="10" w:type="dxa"/>
        </w:tblCellMar>
        <w:tblLook w:val="04A0" w:firstRow="1" w:lastRow="0" w:firstColumn="1" w:lastColumn="0" w:noHBand="0" w:noVBand="1"/>
      </w:tblPr>
      <w:tblGrid>
        <w:gridCol w:w="1637"/>
        <w:gridCol w:w="3691"/>
        <w:gridCol w:w="3638"/>
      </w:tblGrid>
      <w:tr w:rsidR="00996898" w:rsidRPr="00E076F1" w14:paraId="7C689058" w14:textId="77777777" w:rsidTr="00BB10D9">
        <w:trPr>
          <w:trHeight w:hRule="exact" w:val="312"/>
          <w:tblHeader/>
        </w:trPr>
        <w:tc>
          <w:tcPr>
            <w:tcW w:w="1637" w:type="dxa"/>
            <w:tcBorders>
              <w:top w:val="single" w:sz="4" w:space="0" w:color="auto"/>
              <w:left w:val="single" w:sz="4" w:space="0" w:color="auto"/>
            </w:tcBorders>
            <w:shd w:val="clear" w:color="auto" w:fill="FFFFFF"/>
          </w:tcPr>
          <w:p w14:paraId="236AE3A3" w14:textId="49F95E86"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2"/>
                <w:rFonts w:eastAsia="SimSun"/>
                <w:color w:val="auto"/>
                <w:sz w:val="22"/>
                <w:szCs w:val="22"/>
                <w:lang w:val="hu-HU"/>
              </w:rPr>
              <w:t>GFR ml/perc</w:t>
            </w:r>
          </w:p>
        </w:tc>
        <w:tc>
          <w:tcPr>
            <w:tcW w:w="3691" w:type="dxa"/>
            <w:tcBorders>
              <w:top w:val="single" w:sz="4" w:space="0" w:color="auto"/>
              <w:left w:val="single" w:sz="4" w:space="0" w:color="auto"/>
            </w:tcBorders>
            <w:shd w:val="clear" w:color="auto" w:fill="FFFFFF"/>
          </w:tcPr>
          <w:p w14:paraId="56AB9A16"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2"/>
                <w:rFonts w:eastAsia="SimSun"/>
                <w:color w:val="auto"/>
                <w:sz w:val="22"/>
                <w:szCs w:val="22"/>
                <w:lang w:val="hu-HU"/>
              </w:rPr>
              <w:t>Metformin</w:t>
            </w:r>
          </w:p>
        </w:tc>
        <w:tc>
          <w:tcPr>
            <w:tcW w:w="3638" w:type="dxa"/>
            <w:tcBorders>
              <w:top w:val="single" w:sz="4" w:space="0" w:color="auto"/>
              <w:left w:val="single" w:sz="4" w:space="0" w:color="auto"/>
              <w:right w:val="single" w:sz="4" w:space="0" w:color="auto"/>
            </w:tcBorders>
            <w:shd w:val="clear" w:color="auto" w:fill="FFFFFF"/>
          </w:tcPr>
          <w:p w14:paraId="10432ED6"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2"/>
                <w:rFonts w:eastAsia="SimSun"/>
                <w:color w:val="auto"/>
                <w:sz w:val="22"/>
                <w:szCs w:val="22"/>
                <w:lang w:val="hu-HU"/>
              </w:rPr>
              <w:t>Dapagliflozin</w:t>
            </w:r>
          </w:p>
        </w:tc>
      </w:tr>
      <w:tr w:rsidR="00996898" w:rsidRPr="0030763D" w14:paraId="4B61AD79" w14:textId="77777777" w:rsidTr="00340E9F">
        <w:trPr>
          <w:trHeight w:hRule="exact" w:val="1078"/>
        </w:trPr>
        <w:tc>
          <w:tcPr>
            <w:tcW w:w="1637" w:type="dxa"/>
            <w:tcBorders>
              <w:top w:val="single" w:sz="4" w:space="0" w:color="auto"/>
              <w:left w:val="single" w:sz="4" w:space="0" w:color="auto"/>
            </w:tcBorders>
            <w:shd w:val="clear" w:color="auto" w:fill="FFFFFF"/>
          </w:tcPr>
          <w:p w14:paraId="5276808B"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3"/>
                <w:rFonts w:eastAsia="SimSun"/>
                <w:color w:val="auto"/>
                <w:sz w:val="22"/>
                <w:szCs w:val="22"/>
                <w:lang w:val="hu-HU"/>
              </w:rPr>
              <w:t>60-89</w:t>
            </w:r>
          </w:p>
        </w:tc>
        <w:tc>
          <w:tcPr>
            <w:tcW w:w="3691" w:type="dxa"/>
            <w:tcBorders>
              <w:top w:val="single" w:sz="4" w:space="0" w:color="auto"/>
              <w:left w:val="single" w:sz="4" w:space="0" w:color="auto"/>
            </w:tcBorders>
            <w:shd w:val="clear" w:color="auto" w:fill="FFFFFF"/>
          </w:tcPr>
          <w:p w14:paraId="1E7C6D1D" w14:textId="70E43363"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maximális napi adag 3000</w:t>
            </w:r>
            <w:r w:rsidR="00122450" w:rsidRPr="00E076F1">
              <w:rPr>
                <w:snapToGrid/>
                <w:szCs w:val="22"/>
                <w:lang w:val="hu-HU" w:eastAsia="en-GB"/>
              </w:rPr>
              <w:t> mg</w:t>
            </w:r>
            <w:r w:rsidRPr="00E076F1">
              <w:rPr>
                <w:snapToGrid/>
                <w:szCs w:val="22"/>
                <w:lang w:val="hu-HU" w:eastAsia="en-GB"/>
              </w:rPr>
              <w:t>.</w:t>
            </w:r>
          </w:p>
          <w:p w14:paraId="272E4903" w14:textId="29E02A15" w:rsidR="00996898"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csökkenő veseműködéshez mérten megfontolandó az adagolás csökkentése.</w:t>
            </w:r>
          </w:p>
        </w:tc>
        <w:tc>
          <w:tcPr>
            <w:tcW w:w="3638" w:type="dxa"/>
            <w:tcBorders>
              <w:top w:val="single" w:sz="4" w:space="0" w:color="auto"/>
              <w:left w:val="single" w:sz="4" w:space="0" w:color="auto"/>
              <w:right w:val="single" w:sz="4" w:space="0" w:color="auto"/>
            </w:tcBorders>
            <w:shd w:val="clear" w:color="auto" w:fill="FFFFFF"/>
          </w:tcPr>
          <w:p w14:paraId="35B3BCE0" w14:textId="7D945A51" w:rsidR="00996898" w:rsidRPr="00E076F1" w:rsidRDefault="00340E9F" w:rsidP="00E076F1">
            <w:pPr>
              <w:pStyle w:val="Tekstpodstawowy6"/>
              <w:shd w:val="clear" w:color="auto" w:fill="auto"/>
              <w:tabs>
                <w:tab w:val="left" w:pos="184"/>
              </w:tabs>
              <w:spacing w:after="0" w:line="240" w:lineRule="auto"/>
              <w:ind w:firstLine="0"/>
              <w:jc w:val="left"/>
              <w:rPr>
                <w:sz w:val="22"/>
                <w:szCs w:val="22"/>
                <w:lang w:val="hu-HU"/>
              </w:rPr>
            </w:pPr>
            <w:r w:rsidRPr="00E076F1">
              <w:rPr>
                <w:sz w:val="22"/>
                <w:szCs w:val="22"/>
                <w:lang w:val="hu-HU"/>
              </w:rPr>
              <w:t>A maximális napi dózis 10</w:t>
            </w:r>
            <w:r w:rsidR="00122450" w:rsidRPr="00E076F1">
              <w:rPr>
                <w:sz w:val="22"/>
                <w:szCs w:val="22"/>
                <w:lang w:val="hu-HU"/>
              </w:rPr>
              <w:t> mg</w:t>
            </w:r>
            <w:r w:rsidRPr="00E076F1">
              <w:rPr>
                <w:sz w:val="22"/>
                <w:szCs w:val="22"/>
                <w:lang w:val="hu-HU"/>
              </w:rPr>
              <w:t>.</w:t>
            </w:r>
          </w:p>
        </w:tc>
      </w:tr>
      <w:tr w:rsidR="00996898" w:rsidRPr="0030763D" w14:paraId="121C46DA" w14:textId="77777777" w:rsidTr="00340E9F">
        <w:trPr>
          <w:trHeight w:hRule="exact" w:val="994"/>
        </w:trPr>
        <w:tc>
          <w:tcPr>
            <w:tcW w:w="1637" w:type="dxa"/>
            <w:tcBorders>
              <w:top w:val="single" w:sz="4" w:space="0" w:color="auto"/>
              <w:left w:val="single" w:sz="4" w:space="0" w:color="auto"/>
            </w:tcBorders>
            <w:shd w:val="clear" w:color="auto" w:fill="FFFFFF"/>
          </w:tcPr>
          <w:p w14:paraId="7D48DB76"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3"/>
                <w:rFonts w:eastAsia="SimSun"/>
                <w:color w:val="auto"/>
                <w:sz w:val="22"/>
                <w:szCs w:val="22"/>
                <w:lang w:val="hu-HU"/>
              </w:rPr>
              <w:t>45-59</w:t>
            </w:r>
          </w:p>
        </w:tc>
        <w:tc>
          <w:tcPr>
            <w:tcW w:w="3691" w:type="dxa"/>
            <w:tcBorders>
              <w:top w:val="single" w:sz="4" w:space="0" w:color="auto"/>
              <w:left w:val="single" w:sz="4" w:space="0" w:color="auto"/>
            </w:tcBorders>
            <w:shd w:val="clear" w:color="auto" w:fill="FFFFFF"/>
          </w:tcPr>
          <w:p w14:paraId="60CBB9D5" w14:textId="3F59D148"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maximális napi adag 2000</w:t>
            </w:r>
            <w:r w:rsidR="00122450" w:rsidRPr="00E076F1">
              <w:rPr>
                <w:snapToGrid/>
                <w:szCs w:val="22"/>
                <w:lang w:val="hu-HU" w:eastAsia="en-GB"/>
              </w:rPr>
              <w:t> mg</w:t>
            </w:r>
            <w:r w:rsidRPr="00E076F1">
              <w:rPr>
                <w:snapToGrid/>
                <w:szCs w:val="22"/>
                <w:lang w:val="hu-HU" w:eastAsia="en-GB"/>
              </w:rPr>
              <w:t>.</w:t>
            </w:r>
          </w:p>
          <w:p w14:paraId="0FCD0D65" w14:textId="6B98D39A" w:rsidR="00996898"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kezdő adag legfeljebb a maximális dózis fele.</w:t>
            </w:r>
          </w:p>
        </w:tc>
        <w:tc>
          <w:tcPr>
            <w:tcW w:w="3638" w:type="dxa"/>
            <w:tcBorders>
              <w:top w:val="single" w:sz="4" w:space="0" w:color="auto"/>
              <w:left w:val="single" w:sz="4" w:space="0" w:color="auto"/>
              <w:right w:val="single" w:sz="4" w:space="0" w:color="auto"/>
            </w:tcBorders>
            <w:shd w:val="clear" w:color="auto" w:fill="FFFFFF"/>
          </w:tcPr>
          <w:p w14:paraId="48878593" w14:textId="73BE9ABC" w:rsidR="00996898" w:rsidRPr="00E076F1" w:rsidRDefault="00340E9F" w:rsidP="00E076F1">
            <w:pPr>
              <w:pStyle w:val="Tekstpodstawowy6"/>
              <w:shd w:val="clear" w:color="auto" w:fill="auto"/>
              <w:spacing w:after="0" w:line="240" w:lineRule="auto"/>
              <w:ind w:firstLine="0"/>
              <w:jc w:val="left"/>
              <w:rPr>
                <w:sz w:val="22"/>
                <w:szCs w:val="22"/>
                <w:lang w:val="hu-HU"/>
              </w:rPr>
            </w:pPr>
            <w:r w:rsidRPr="00E076F1">
              <w:rPr>
                <w:sz w:val="22"/>
                <w:szCs w:val="22"/>
                <w:lang w:val="hu-HU"/>
              </w:rPr>
              <w:t>A maximális napi dózis 10</w:t>
            </w:r>
            <w:r w:rsidR="00122450" w:rsidRPr="00E076F1">
              <w:rPr>
                <w:sz w:val="22"/>
                <w:szCs w:val="22"/>
                <w:lang w:val="hu-HU"/>
              </w:rPr>
              <w:t> mg</w:t>
            </w:r>
            <w:r w:rsidRPr="00E076F1">
              <w:rPr>
                <w:sz w:val="22"/>
                <w:szCs w:val="22"/>
                <w:lang w:val="hu-HU"/>
              </w:rPr>
              <w:t>.</w:t>
            </w:r>
          </w:p>
        </w:tc>
      </w:tr>
      <w:tr w:rsidR="00996898" w:rsidRPr="0030763D" w14:paraId="12E6BAC7" w14:textId="77777777" w:rsidTr="00E37AD1">
        <w:trPr>
          <w:trHeight w:hRule="exact" w:val="1293"/>
        </w:trPr>
        <w:tc>
          <w:tcPr>
            <w:tcW w:w="1637" w:type="dxa"/>
            <w:tcBorders>
              <w:top w:val="single" w:sz="4" w:space="0" w:color="auto"/>
              <w:left w:val="single" w:sz="4" w:space="0" w:color="auto"/>
            </w:tcBorders>
            <w:shd w:val="clear" w:color="auto" w:fill="FFFFFF"/>
          </w:tcPr>
          <w:p w14:paraId="61D6C2A1"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3"/>
                <w:rFonts w:eastAsia="SimSun"/>
                <w:color w:val="auto"/>
                <w:sz w:val="22"/>
                <w:szCs w:val="22"/>
                <w:lang w:val="hu-HU"/>
              </w:rPr>
              <w:t>30-44</w:t>
            </w:r>
          </w:p>
        </w:tc>
        <w:tc>
          <w:tcPr>
            <w:tcW w:w="3691" w:type="dxa"/>
            <w:tcBorders>
              <w:top w:val="single" w:sz="4" w:space="0" w:color="auto"/>
              <w:left w:val="single" w:sz="4" w:space="0" w:color="auto"/>
            </w:tcBorders>
            <w:shd w:val="clear" w:color="auto" w:fill="FFFFFF"/>
          </w:tcPr>
          <w:p w14:paraId="79293E34" w14:textId="7243077E"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maximális napi adag 1000</w:t>
            </w:r>
            <w:r w:rsidR="00122450" w:rsidRPr="00E076F1">
              <w:rPr>
                <w:snapToGrid/>
                <w:szCs w:val="22"/>
                <w:lang w:val="hu-HU" w:eastAsia="en-GB"/>
              </w:rPr>
              <w:t> mg</w:t>
            </w:r>
            <w:r w:rsidRPr="00E076F1">
              <w:rPr>
                <w:snapToGrid/>
                <w:szCs w:val="22"/>
                <w:lang w:val="hu-HU" w:eastAsia="en-GB"/>
              </w:rPr>
              <w:t>.</w:t>
            </w:r>
          </w:p>
          <w:p w14:paraId="3E4443E8" w14:textId="77777777"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kezdő adag legfeljebb a maximális</w:t>
            </w:r>
          </w:p>
          <w:p w14:paraId="140ECE93" w14:textId="5BEDEE3A" w:rsidR="00996898" w:rsidRPr="00E076F1" w:rsidRDefault="00340E9F" w:rsidP="00E076F1">
            <w:pPr>
              <w:pStyle w:val="Tekstpodstawowy6"/>
              <w:shd w:val="clear" w:color="auto" w:fill="auto"/>
              <w:spacing w:after="0" w:line="240" w:lineRule="auto"/>
              <w:ind w:left="120" w:firstLine="0"/>
              <w:jc w:val="left"/>
              <w:rPr>
                <w:sz w:val="22"/>
                <w:szCs w:val="22"/>
                <w:lang w:val="hu-HU"/>
              </w:rPr>
            </w:pPr>
            <w:r w:rsidRPr="00E076F1">
              <w:rPr>
                <w:sz w:val="22"/>
                <w:szCs w:val="22"/>
                <w:lang w:val="hu-HU"/>
              </w:rPr>
              <w:t>dózis fele.</w:t>
            </w:r>
          </w:p>
        </w:tc>
        <w:tc>
          <w:tcPr>
            <w:tcW w:w="3638" w:type="dxa"/>
            <w:tcBorders>
              <w:top w:val="single" w:sz="4" w:space="0" w:color="auto"/>
              <w:left w:val="single" w:sz="4" w:space="0" w:color="auto"/>
              <w:right w:val="single" w:sz="4" w:space="0" w:color="auto"/>
            </w:tcBorders>
            <w:shd w:val="clear" w:color="auto" w:fill="FFFFFF"/>
          </w:tcPr>
          <w:p w14:paraId="61F4CEDF" w14:textId="10836DE1" w:rsidR="00340E9F" w:rsidRPr="00E076F1" w:rsidRDefault="00340E9F" w:rsidP="00E076F1">
            <w:pPr>
              <w:pStyle w:val="Tekstpodstawowy6"/>
              <w:shd w:val="clear" w:color="auto" w:fill="auto"/>
              <w:spacing w:after="0" w:line="240" w:lineRule="auto"/>
              <w:ind w:firstLine="0"/>
              <w:jc w:val="left"/>
              <w:rPr>
                <w:sz w:val="22"/>
                <w:szCs w:val="22"/>
                <w:lang w:val="hu-HU"/>
              </w:rPr>
            </w:pPr>
            <w:r w:rsidRPr="00E076F1">
              <w:rPr>
                <w:sz w:val="22"/>
                <w:szCs w:val="22"/>
                <w:lang w:val="hu-HU"/>
              </w:rPr>
              <w:t>A maximális napi dózis 10</w:t>
            </w:r>
            <w:r w:rsidR="00122450" w:rsidRPr="00E076F1">
              <w:rPr>
                <w:sz w:val="22"/>
                <w:szCs w:val="22"/>
                <w:lang w:val="hu-HU"/>
              </w:rPr>
              <w:t> mg</w:t>
            </w:r>
            <w:r w:rsidRPr="00E076F1">
              <w:rPr>
                <w:sz w:val="22"/>
                <w:szCs w:val="22"/>
                <w:lang w:val="hu-HU"/>
              </w:rPr>
              <w:t>.</w:t>
            </w:r>
          </w:p>
          <w:p w14:paraId="4A4B8953" w14:textId="77777777" w:rsidR="00996898"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glükózszintcsökkentő hatásossága csökken.</w:t>
            </w:r>
          </w:p>
          <w:p w14:paraId="0059DFAE" w14:textId="5F48248A" w:rsidR="000D3856" w:rsidRPr="00E076F1" w:rsidRDefault="000D3856" w:rsidP="00E076F1">
            <w:pPr>
              <w:tabs>
                <w:tab w:val="clear" w:pos="567"/>
              </w:tabs>
              <w:autoSpaceDE w:val="0"/>
              <w:autoSpaceDN w:val="0"/>
              <w:adjustRightInd w:val="0"/>
              <w:spacing w:line="240" w:lineRule="auto"/>
              <w:rPr>
                <w:snapToGrid/>
                <w:szCs w:val="22"/>
                <w:lang w:val="hu-HU" w:eastAsia="en-GB"/>
              </w:rPr>
            </w:pPr>
          </w:p>
        </w:tc>
      </w:tr>
      <w:tr w:rsidR="00996898" w:rsidRPr="00E076F1" w14:paraId="3B59A09F" w14:textId="77777777" w:rsidTr="00E37AD1">
        <w:trPr>
          <w:trHeight w:hRule="exact" w:val="2262"/>
        </w:trPr>
        <w:tc>
          <w:tcPr>
            <w:tcW w:w="1637" w:type="dxa"/>
            <w:tcBorders>
              <w:top w:val="single" w:sz="4" w:space="0" w:color="auto"/>
              <w:left w:val="single" w:sz="4" w:space="0" w:color="auto"/>
              <w:bottom w:val="single" w:sz="4" w:space="0" w:color="auto"/>
            </w:tcBorders>
            <w:shd w:val="clear" w:color="auto" w:fill="FFFFFF"/>
          </w:tcPr>
          <w:p w14:paraId="38983059"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3"/>
                <w:rFonts w:eastAsia="SimSun"/>
                <w:color w:val="auto"/>
                <w:sz w:val="22"/>
                <w:szCs w:val="22"/>
                <w:lang w:val="hu-HU"/>
              </w:rPr>
              <w:t>&lt;30</w:t>
            </w:r>
          </w:p>
        </w:tc>
        <w:tc>
          <w:tcPr>
            <w:tcW w:w="3691" w:type="dxa"/>
            <w:tcBorders>
              <w:top w:val="single" w:sz="4" w:space="0" w:color="auto"/>
              <w:left w:val="single" w:sz="4" w:space="0" w:color="auto"/>
              <w:bottom w:val="single" w:sz="4" w:space="0" w:color="auto"/>
            </w:tcBorders>
            <w:shd w:val="clear" w:color="auto" w:fill="FFFFFF"/>
          </w:tcPr>
          <w:p w14:paraId="41839630" w14:textId="13D0BC84" w:rsidR="00996898" w:rsidRPr="00E076F1" w:rsidRDefault="00340E9F" w:rsidP="00E076F1">
            <w:pPr>
              <w:pStyle w:val="Tekstpodstawowy6"/>
              <w:shd w:val="clear" w:color="auto" w:fill="auto"/>
              <w:spacing w:after="0" w:line="240" w:lineRule="auto"/>
              <w:ind w:left="120" w:firstLine="0"/>
              <w:jc w:val="left"/>
              <w:rPr>
                <w:sz w:val="22"/>
                <w:szCs w:val="22"/>
                <w:lang w:val="hu-HU"/>
              </w:rPr>
            </w:pPr>
            <w:r w:rsidRPr="00E076F1">
              <w:rPr>
                <w:sz w:val="22"/>
                <w:szCs w:val="22"/>
                <w:lang w:val="hu-HU"/>
              </w:rPr>
              <w:t>A metformin ellenjavallt.</w:t>
            </w:r>
          </w:p>
        </w:tc>
        <w:tc>
          <w:tcPr>
            <w:tcW w:w="3638" w:type="dxa"/>
            <w:tcBorders>
              <w:top w:val="single" w:sz="4" w:space="0" w:color="auto"/>
              <w:left w:val="single" w:sz="4" w:space="0" w:color="auto"/>
              <w:bottom w:val="single" w:sz="4" w:space="0" w:color="auto"/>
              <w:right w:val="single" w:sz="4" w:space="0" w:color="auto"/>
            </w:tcBorders>
            <w:shd w:val="clear" w:color="auto" w:fill="FFFFFF"/>
          </w:tcPr>
          <w:p w14:paraId="1045A8FC" w14:textId="1D1B0305"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maximális napi dózis 10</w:t>
            </w:r>
            <w:r w:rsidR="00122450" w:rsidRPr="00E076F1">
              <w:rPr>
                <w:snapToGrid/>
                <w:szCs w:val="22"/>
                <w:lang w:val="hu-HU" w:eastAsia="en-GB"/>
              </w:rPr>
              <w:t> mg</w:t>
            </w:r>
            <w:r w:rsidRPr="00E076F1">
              <w:rPr>
                <w:snapToGrid/>
                <w:szCs w:val="22"/>
                <w:lang w:val="hu-HU" w:eastAsia="en-GB"/>
              </w:rPr>
              <w:t>.</w:t>
            </w:r>
          </w:p>
          <w:p w14:paraId="0CF7973A" w14:textId="304F85B9"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korlátozott mennyiségű tapasztalat</w:t>
            </w:r>
            <w:r w:rsidRPr="00E076F1">
              <w:rPr>
                <w:szCs w:val="22"/>
                <w:lang w:val="hu-HU"/>
              </w:rPr>
              <w:t xml:space="preserve"> </w:t>
            </w:r>
            <w:r w:rsidRPr="00E076F1">
              <w:rPr>
                <w:snapToGrid/>
                <w:szCs w:val="22"/>
                <w:lang w:val="hu-HU" w:eastAsia="en-GB"/>
              </w:rPr>
              <w:t>miatt nem ajánlott a dapagliflozin-kezelés elkezdése olyan betegeknél, akiknél a GFR &lt; 25 ml/perc.</w:t>
            </w:r>
          </w:p>
          <w:p w14:paraId="508ABE92" w14:textId="75C9D8CE"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dapagliflozinn</w:t>
            </w:r>
            <w:r w:rsidR="0011746C">
              <w:rPr>
                <w:snapToGrid/>
                <w:szCs w:val="22"/>
                <w:lang w:val="hu-HU" w:eastAsia="en-GB"/>
              </w:rPr>
              <w:t>a</w:t>
            </w:r>
            <w:r w:rsidRPr="00E076F1">
              <w:rPr>
                <w:snapToGrid/>
                <w:szCs w:val="22"/>
                <w:lang w:val="hu-HU" w:eastAsia="en-GB"/>
              </w:rPr>
              <w:t>k ilyenkor valószínűleg nincs glükózszintcsökkentő</w:t>
            </w:r>
          </w:p>
          <w:p w14:paraId="4B3E97FD" w14:textId="64815445" w:rsidR="00996898"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hatása.</w:t>
            </w:r>
          </w:p>
        </w:tc>
      </w:tr>
    </w:tbl>
    <w:p w14:paraId="63F00C13" w14:textId="77777777" w:rsidR="00996898" w:rsidRPr="00E076F1" w:rsidRDefault="00996898" w:rsidP="00E076F1">
      <w:pPr>
        <w:spacing w:line="240" w:lineRule="auto"/>
        <w:rPr>
          <w:rFonts w:eastAsia="Times New Roman"/>
          <w:snapToGrid/>
          <w:szCs w:val="22"/>
          <w:u w:val="single"/>
          <w:lang w:val="hu-HU" w:eastAsia="en-US"/>
        </w:rPr>
      </w:pPr>
    </w:p>
    <w:p w14:paraId="3666D1E8" w14:textId="77777777" w:rsidR="00665502" w:rsidRPr="00E076F1" w:rsidRDefault="00665502"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Károsodott májműködés</w:t>
      </w:r>
    </w:p>
    <w:p w14:paraId="218F86DA" w14:textId="5B8F456E" w:rsidR="00665502" w:rsidRPr="00E076F1" w:rsidRDefault="0066550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Ezt a gyógyszert tilos </w:t>
      </w:r>
      <w:r w:rsidR="00330918">
        <w:rPr>
          <w:rFonts w:eastAsia="TimesNewRoman,Italic"/>
          <w:snapToGrid/>
          <w:szCs w:val="22"/>
          <w:lang w:val="hu-HU" w:eastAsia="en-GB"/>
        </w:rPr>
        <w:t>májkárosodásban szenvedő</w:t>
      </w:r>
      <w:r w:rsidRPr="00E076F1">
        <w:rPr>
          <w:rFonts w:eastAsia="TimesNewRoman,Italic"/>
          <w:snapToGrid/>
          <w:szCs w:val="22"/>
          <w:lang w:val="hu-HU" w:eastAsia="en-GB"/>
        </w:rPr>
        <w:t xml:space="preserve"> betegeknél alkalmazni (lásd 4.3, 4.4 és 5.2 pont).</w:t>
      </w:r>
    </w:p>
    <w:p w14:paraId="01B5C842" w14:textId="77777777" w:rsidR="00665502" w:rsidRPr="00E076F1" w:rsidRDefault="00665502" w:rsidP="00E076F1">
      <w:pPr>
        <w:tabs>
          <w:tab w:val="clear" w:pos="567"/>
        </w:tabs>
        <w:autoSpaceDE w:val="0"/>
        <w:autoSpaceDN w:val="0"/>
        <w:adjustRightInd w:val="0"/>
        <w:spacing w:line="240" w:lineRule="auto"/>
        <w:rPr>
          <w:rFonts w:eastAsia="TimesNewRoman,Italic"/>
          <w:i/>
          <w:iCs/>
          <w:snapToGrid/>
          <w:szCs w:val="22"/>
          <w:lang w:val="hu-HU" w:eastAsia="en-GB"/>
        </w:rPr>
      </w:pPr>
    </w:p>
    <w:p w14:paraId="1A351D4F" w14:textId="6C1F2405" w:rsidR="00665502" w:rsidRPr="00E076F1" w:rsidRDefault="0066550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i/>
          <w:iCs/>
          <w:snapToGrid/>
          <w:szCs w:val="22"/>
          <w:lang w:val="hu-HU" w:eastAsia="en-GB"/>
        </w:rPr>
        <w:t xml:space="preserve">Idősek </w:t>
      </w:r>
      <w:r w:rsidRPr="00E076F1">
        <w:rPr>
          <w:rFonts w:eastAsia="TimesNewRoman,Italic"/>
          <w:snapToGrid/>
          <w:szCs w:val="22"/>
          <w:lang w:val="hu-HU" w:eastAsia="en-GB"/>
        </w:rPr>
        <w:t>(≥ 65 év)</w:t>
      </w:r>
    </w:p>
    <w:p w14:paraId="28B7B608" w14:textId="7475116B" w:rsidR="00665502" w:rsidRPr="00E076F1" w:rsidRDefault="0066550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Mivel a metformin részben a veséken keresztül eliminálódik, és mivel az idősebb betegeknél nagyobb </w:t>
      </w:r>
      <w:r w:rsidR="006B5C28">
        <w:rPr>
          <w:rFonts w:eastAsia="TimesNewRoman,Italic"/>
          <w:snapToGrid/>
          <w:szCs w:val="22"/>
          <w:lang w:val="hu-HU" w:eastAsia="en-GB"/>
        </w:rPr>
        <w:t xml:space="preserve">a </w:t>
      </w:r>
      <w:r w:rsidRPr="00E076F1">
        <w:rPr>
          <w:rFonts w:eastAsia="TimesNewRoman,Italic"/>
          <w:snapToGrid/>
          <w:szCs w:val="22"/>
          <w:lang w:val="hu-HU" w:eastAsia="en-GB"/>
        </w:rPr>
        <w:t>valószínűség</w:t>
      </w:r>
      <w:r w:rsidR="006B5C28">
        <w:rPr>
          <w:rFonts w:eastAsia="TimesNewRoman,Italic"/>
          <w:snapToGrid/>
          <w:szCs w:val="22"/>
          <w:lang w:val="hu-HU" w:eastAsia="en-GB"/>
        </w:rPr>
        <w:t>e a vesekárosodásnak</w:t>
      </w:r>
      <w:r w:rsidRPr="00E076F1">
        <w:rPr>
          <w:rFonts w:eastAsia="TimesNewRoman,Italic"/>
          <w:snapToGrid/>
          <w:szCs w:val="22"/>
          <w:lang w:val="hu-HU" w:eastAsia="en-GB"/>
        </w:rPr>
        <w:t xml:space="preserve">, ezt a gyógyszert az életkor </w:t>
      </w:r>
      <w:r w:rsidR="006B5C28">
        <w:rPr>
          <w:rFonts w:eastAsia="TimesNewRoman,Italic"/>
          <w:snapToGrid/>
          <w:szCs w:val="22"/>
          <w:lang w:val="hu-HU" w:eastAsia="en-GB"/>
        </w:rPr>
        <w:t>előrehaladtával elővigyázatosan</w:t>
      </w:r>
      <w:r w:rsidRPr="00E076F1">
        <w:rPr>
          <w:rFonts w:eastAsia="TimesNewRoman,Italic"/>
          <w:snapToGrid/>
          <w:szCs w:val="22"/>
          <w:lang w:val="hu-HU" w:eastAsia="en-GB"/>
        </w:rPr>
        <w:t xml:space="preserve"> kell alkalmazni. A metforminnal összefüggő laktátacidózis megelőzésének elősegítése érdekében a veseműködés ellenőrzése szükséges, különösen idősebb betegeknél (lásd 4.3 és 4.4 pont).</w:t>
      </w:r>
    </w:p>
    <w:p w14:paraId="12B184B6" w14:textId="77777777" w:rsidR="00665502" w:rsidRPr="00E076F1" w:rsidRDefault="00665502" w:rsidP="00E076F1">
      <w:pPr>
        <w:tabs>
          <w:tab w:val="clear" w:pos="567"/>
        </w:tabs>
        <w:autoSpaceDE w:val="0"/>
        <w:autoSpaceDN w:val="0"/>
        <w:adjustRightInd w:val="0"/>
        <w:spacing w:line="240" w:lineRule="auto"/>
        <w:rPr>
          <w:rFonts w:eastAsia="TimesNewRoman,Italic"/>
          <w:i/>
          <w:iCs/>
          <w:snapToGrid/>
          <w:szCs w:val="22"/>
          <w:lang w:val="hu-HU" w:eastAsia="en-GB"/>
        </w:rPr>
      </w:pPr>
    </w:p>
    <w:p w14:paraId="2ACF21CB" w14:textId="35D049F1" w:rsidR="00665502" w:rsidRPr="00E076F1" w:rsidRDefault="00665502"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Gyermekek és serdülők</w:t>
      </w:r>
    </w:p>
    <w:p w14:paraId="097902F6" w14:textId="22A3074E" w:rsidR="00665502" w:rsidRPr="00E076F1" w:rsidRDefault="0066550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w:t>
      </w:r>
      <w:r w:rsidR="00AE4F87" w:rsidRPr="00E076F1">
        <w:rPr>
          <w:rFonts w:eastAsia="TimesNewRoman"/>
          <w:snapToGrid/>
          <w:szCs w:val="22"/>
          <w:lang w:val="hu-HU" w:eastAsia="en-GB"/>
        </w:rPr>
        <w:t>Dapagliflozin/Metformin Polpharma</w:t>
      </w:r>
      <w:r w:rsidRPr="00E076F1">
        <w:rPr>
          <w:rFonts w:eastAsia="TimesNewRoman,Italic"/>
          <w:snapToGrid/>
          <w:szCs w:val="22"/>
          <w:lang w:val="hu-HU" w:eastAsia="en-GB"/>
        </w:rPr>
        <w:t xml:space="preserve"> biztonságosságát és hatásosságát 0 - &lt;18 éves gyermekek és serdülők esetén még nem igazolták. Nincsenek rendelkezésre álló adatok.</w:t>
      </w:r>
    </w:p>
    <w:p w14:paraId="14DB4340" w14:textId="77777777" w:rsidR="00665502" w:rsidRPr="00E076F1" w:rsidRDefault="00665502" w:rsidP="00E076F1">
      <w:pPr>
        <w:spacing w:line="240" w:lineRule="auto"/>
        <w:rPr>
          <w:rFonts w:eastAsia="Times New Roman"/>
          <w:snapToGrid/>
          <w:szCs w:val="22"/>
          <w:u w:val="single"/>
          <w:lang w:val="hu-HU" w:eastAsia="en-US"/>
        </w:rPr>
      </w:pPr>
    </w:p>
    <w:p w14:paraId="6FFF7F25" w14:textId="18B5E33C" w:rsidR="00F45C51" w:rsidRPr="00E076F1" w:rsidRDefault="00D05999" w:rsidP="00E076F1">
      <w:pPr>
        <w:spacing w:line="240" w:lineRule="auto"/>
        <w:rPr>
          <w:rFonts w:eastAsia="Times New Roman"/>
          <w:snapToGrid/>
          <w:szCs w:val="22"/>
          <w:u w:val="single"/>
          <w:lang w:val="hu-HU" w:eastAsia="en-US"/>
        </w:rPr>
      </w:pPr>
      <w:r w:rsidRPr="00E076F1">
        <w:rPr>
          <w:rFonts w:eastAsia="Times New Roman"/>
          <w:snapToGrid/>
          <w:szCs w:val="22"/>
          <w:u w:val="single"/>
          <w:lang w:val="hu-HU" w:eastAsia="en-US"/>
        </w:rPr>
        <w:t>Az alkalmazás módja</w:t>
      </w:r>
    </w:p>
    <w:p w14:paraId="5315121E" w14:textId="77777777" w:rsidR="00996898" w:rsidRPr="00E076F1" w:rsidRDefault="00996898" w:rsidP="00E076F1">
      <w:pPr>
        <w:spacing w:line="240" w:lineRule="auto"/>
        <w:rPr>
          <w:u w:val="single"/>
          <w:lang w:val="hu-HU"/>
        </w:rPr>
      </w:pPr>
    </w:p>
    <w:p w14:paraId="2D6488A7" w14:textId="4CF9B039" w:rsidR="00F45C51"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AE4F87" w:rsidRPr="00E076F1">
        <w:rPr>
          <w:rFonts w:eastAsia="TimesNewRoman"/>
          <w:snapToGrid/>
          <w:szCs w:val="22"/>
          <w:lang w:val="hu-HU" w:eastAsia="en-GB"/>
        </w:rPr>
        <w:t>Dapagliflozin/Metformin Polpharma</w:t>
      </w:r>
      <w:r w:rsidRPr="00E076F1">
        <w:rPr>
          <w:snapToGrid/>
          <w:szCs w:val="22"/>
          <w:lang w:val="hu-HU" w:eastAsia="en-GB"/>
        </w:rPr>
        <w:t>-t naponta kétszer, és a metforminnal járó gastrointestinalis mellékhatások csökkentése érdekében étkezés</w:t>
      </w:r>
      <w:r w:rsidR="00A32045">
        <w:rPr>
          <w:snapToGrid/>
          <w:szCs w:val="22"/>
          <w:lang w:val="hu-HU" w:eastAsia="en-GB"/>
        </w:rPr>
        <w:t xml:space="preserve"> közben</w:t>
      </w:r>
      <w:r w:rsidRPr="00E076F1">
        <w:rPr>
          <w:snapToGrid/>
          <w:szCs w:val="22"/>
          <w:lang w:val="hu-HU" w:eastAsia="en-GB"/>
        </w:rPr>
        <w:t xml:space="preserve"> kell </w:t>
      </w:r>
      <w:r w:rsidR="00A32045">
        <w:rPr>
          <w:snapToGrid/>
          <w:szCs w:val="22"/>
          <w:lang w:val="hu-HU" w:eastAsia="en-GB"/>
        </w:rPr>
        <w:t>alkalmazni</w:t>
      </w:r>
      <w:r w:rsidRPr="00E076F1">
        <w:rPr>
          <w:snapToGrid/>
          <w:szCs w:val="22"/>
          <w:lang w:val="hu-HU" w:eastAsia="en-GB"/>
        </w:rPr>
        <w:t>.</w:t>
      </w:r>
    </w:p>
    <w:p w14:paraId="5C4C21D4" w14:textId="77777777" w:rsidR="00665502" w:rsidRPr="00E076F1" w:rsidRDefault="00665502" w:rsidP="00E076F1">
      <w:pPr>
        <w:spacing w:line="240" w:lineRule="auto"/>
        <w:rPr>
          <w:lang w:val="hu-HU"/>
        </w:rPr>
      </w:pPr>
    </w:p>
    <w:p w14:paraId="04DB290B" w14:textId="7781A02C" w:rsidR="00F45C51" w:rsidRPr="00E076F1" w:rsidRDefault="00D05999" w:rsidP="00E076F1">
      <w:pPr>
        <w:pStyle w:val="Listaszerbekezds"/>
        <w:numPr>
          <w:ilvl w:val="1"/>
          <w:numId w:val="46"/>
        </w:num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Ellenjavallatok</w:t>
      </w:r>
    </w:p>
    <w:p w14:paraId="557A41B0"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61149579" w14:textId="2C2414B5"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AE4F87" w:rsidRPr="00E076F1">
        <w:rPr>
          <w:rFonts w:eastAsia="TimesNewRoman"/>
          <w:snapToGrid/>
          <w:szCs w:val="22"/>
          <w:lang w:val="hu-HU" w:eastAsia="en-GB"/>
        </w:rPr>
        <w:t>Dapagliflozin/Metformin Polpharma</w:t>
      </w:r>
      <w:r w:rsidRPr="00E076F1">
        <w:rPr>
          <w:snapToGrid/>
          <w:szCs w:val="22"/>
          <w:lang w:val="hu-HU" w:eastAsia="en-GB"/>
        </w:rPr>
        <w:t xml:space="preserve"> ellenjavallt az alábbi betegeknél:</w:t>
      </w:r>
    </w:p>
    <w:p w14:paraId="24FB0E3B" w14:textId="5F7CCAC6" w:rsidR="00665502" w:rsidRPr="00E076F1" w:rsidRDefault="00665502" w:rsidP="00E076F1">
      <w:pPr>
        <w:pStyle w:val="Listaszerbekezds"/>
        <w:numPr>
          <w:ilvl w:val="0"/>
          <w:numId w:val="44"/>
        </w:numPr>
        <w:tabs>
          <w:tab w:val="clear" w:pos="567"/>
        </w:tabs>
        <w:autoSpaceDE w:val="0"/>
        <w:autoSpaceDN w:val="0"/>
        <w:adjustRightInd w:val="0"/>
        <w:spacing w:line="240" w:lineRule="auto"/>
        <w:ind w:left="567" w:hanging="567"/>
        <w:rPr>
          <w:snapToGrid/>
          <w:szCs w:val="22"/>
          <w:lang w:val="hu-HU" w:eastAsia="en-GB"/>
        </w:rPr>
      </w:pPr>
      <w:r w:rsidRPr="00E076F1">
        <w:rPr>
          <w:snapToGrid/>
          <w:szCs w:val="22"/>
          <w:lang w:val="hu-HU" w:eastAsia="en-GB"/>
        </w:rPr>
        <w:t>a készítmény hatóanyagaival vagy a 6.1 pontban felsorolt bármely segédanyagával szembeni túlérzékenység;</w:t>
      </w:r>
    </w:p>
    <w:p w14:paraId="4E5DBBE2" w14:textId="1BE4264E"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akut metabolikus acidózis bármely formája (például laktátacidózis, diabeteses ketoacidózis);</w:t>
      </w:r>
    </w:p>
    <w:p w14:paraId="7CFDADC1" w14:textId="466D563F"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diabeteses pre-coma;</w:t>
      </w:r>
    </w:p>
    <w:p w14:paraId="2AFFD175" w14:textId="21EA561F"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súlyos vese</w:t>
      </w:r>
      <w:r w:rsidR="00A32045">
        <w:rPr>
          <w:snapToGrid/>
          <w:szCs w:val="22"/>
          <w:lang w:val="hu-HU" w:eastAsia="en-GB"/>
        </w:rPr>
        <w:t>károsodás</w:t>
      </w:r>
      <w:r w:rsidRPr="00E076F1">
        <w:rPr>
          <w:snapToGrid/>
          <w:szCs w:val="22"/>
          <w:lang w:val="hu-HU" w:eastAsia="en-GB"/>
        </w:rPr>
        <w:t xml:space="preserve"> (GFR &lt; 30 ml/perc) (lásd 4.2, 4.4 és 5.2 pont);</w:t>
      </w:r>
    </w:p>
    <w:p w14:paraId="310DA0FB" w14:textId="3B3158DB" w:rsidR="00F45C51" w:rsidRPr="00E076F1" w:rsidRDefault="00665502" w:rsidP="00E076F1">
      <w:pPr>
        <w:spacing w:line="240" w:lineRule="auto"/>
        <w:ind w:left="567" w:hanging="567"/>
        <w:rPr>
          <w:snapToGrid/>
          <w:szCs w:val="22"/>
          <w:lang w:val="hu-HU" w:eastAsia="en-GB"/>
        </w:rPr>
      </w:pPr>
      <w:r w:rsidRPr="00E076F1">
        <w:rPr>
          <w:snapToGrid/>
          <w:szCs w:val="22"/>
          <w:lang w:val="hu-HU" w:eastAsia="en-GB"/>
        </w:rPr>
        <w:t>-</w:t>
      </w:r>
      <w:r w:rsidRPr="00E076F1">
        <w:rPr>
          <w:snapToGrid/>
          <w:szCs w:val="22"/>
          <w:lang w:val="hu-HU" w:eastAsia="en-GB"/>
        </w:rPr>
        <w:tab/>
        <w:t>olyan akut állapotok, amelyekben fennáll a vesefunkció megváltozásának lehetősége, mint például:</w:t>
      </w:r>
    </w:p>
    <w:p w14:paraId="1625033D" w14:textId="77777777"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dehydratio,</w:t>
      </w:r>
    </w:p>
    <w:p w14:paraId="618E7922" w14:textId="77777777"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súlyos fertőzés,</w:t>
      </w:r>
    </w:p>
    <w:p w14:paraId="2049BF48" w14:textId="2BFE9A39"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sokk;</w:t>
      </w:r>
    </w:p>
    <w:p w14:paraId="43987B76" w14:textId="65C608DA"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olyan akut vagy krónikus betegségek, amelyek szöveti hypoxiát okozhatnak, mint például:</w:t>
      </w:r>
    </w:p>
    <w:p w14:paraId="4BC54831" w14:textId="206927C3"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szív vagy légzési elégtelenség,</w:t>
      </w:r>
    </w:p>
    <w:p w14:paraId="6A6F4FF9" w14:textId="6368DF71"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nemrégiben lezajlott myocardialis infarctus,</w:t>
      </w:r>
    </w:p>
    <w:p w14:paraId="38740761" w14:textId="77A17AD0"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sokk;</w:t>
      </w:r>
    </w:p>
    <w:p w14:paraId="09FD538E" w14:textId="35F6ADD1"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r>
      <w:r w:rsidR="000F5F40">
        <w:rPr>
          <w:snapToGrid/>
          <w:szCs w:val="22"/>
          <w:lang w:val="hu-HU" w:eastAsia="en-GB"/>
        </w:rPr>
        <w:t>májkárosodás</w:t>
      </w:r>
      <w:r w:rsidRPr="00E076F1">
        <w:rPr>
          <w:snapToGrid/>
          <w:szCs w:val="22"/>
          <w:lang w:val="hu-HU" w:eastAsia="en-GB"/>
        </w:rPr>
        <w:t xml:space="preserve"> (lásd 4.2, 4.4 és 5.2 pont);</w:t>
      </w:r>
    </w:p>
    <w:p w14:paraId="3064BD21" w14:textId="1AB2A1D4"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heveny alkoholmérgezés, alkoholizmus (lásd 4.5 pont).</w:t>
      </w:r>
    </w:p>
    <w:p w14:paraId="76BA16C1"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72E577DA"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4.4</w:t>
      </w:r>
      <w:r w:rsidRPr="00E076F1">
        <w:rPr>
          <w:rFonts w:eastAsia="Times New Roman"/>
          <w:b/>
          <w:noProof/>
          <w:snapToGrid/>
          <w:szCs w:val="22"/>
          <w:lang w:val="hu-HU" w:eastAsia="en-US"/>
        </w:rPr>
        <w:tab/>
        <w:t>Különleges figyelmeztetések és az alkalmazással kapcsolatos óvintézkedések</w:t>
      </w:r>
    </w:p>
    <w:p w14:paraId="6833C8A6" w14:textId="77777777" w:rsidR="00F45C51" w:rsidRPr="00E076F1" w:rsidRDefault="00F45C51" w:rsidP="00E076F1">
      <w:pPr>
        <w:spacing w:line="240" w:lineRule="auto"/>
        <w:rPr>
          <w:lang w:val="hu-HU"/>
        </w:rPr>
      </w:pPr>
    </w:p>
    <w:p w14:paraId="0EF37CF0" w14:textId="77777777" w:rsidR="00665502" w:rsidRPr="00E076F1" w:rsidRDefault="0066550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Laktátacidózis</w:t>
      </w:r>
    </w:p>
    <w:p w14:paraId="389B1651" w14:textId="68AF3B4E" w:rsidR="00F45C51"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laktátacidózis, amely egy nagyon ritka, de súlyos metabolikus szövődmény, leggyakrabban a veseműködés akut rosszabbodásakor, szív- és légzőszervi megbetegedésben vagy szepszisben lép fel. A veseműködés akut rosszabbodásakor a metformin felhalmozódása következik be, ami növeli a laktátacidózis kockázatát.</w:t>
      </w:r>
    </w:p>
    <w:p w14:paraId="2F332747"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27868811" w14:textId="1AE56DDD"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Dehydratio (súlyos hasmenés vagy hányás, láz vagy csökkent folyadékbevitel) esetén a </w:t>
      </w:r>
      <w:r w:rsidR="00AE4F87" w:rsidRPr="00E076F1">
        <w:rPr>
          <w:rFonts w:eastAsia="TimesNewRoman"/>
          <w:snapToGrid/>
          <w:szCs w:val="22"/>
          <w:lang w:val="hu-HU" w:eastAsia="en-GB"/>
        </w:rPr>
        <w:t>Dapagliflozin/Metformin Polpharma</w:t>
      </w:r>
      <w:r w:rsidRPr="00E076F1">
        <w:rPr>
          <w:rFonts w:eastAsia="TimesNewRoman"/>
          <w:snapToGrid/>
          <w:szCs w:val="22"/>
          <w:lang w:val="hu-HU" w:eastAsia="en-GB"/>
        </w:rPr>
        <w:t xml:space="preserve"> </w:t>
      </w:r>
      <w:r w:rsidRPr="00E076F1">
        <w:rPr>
          <w:snapToGrid/>
          <w:szCs w:val="22"/>
          <w:lang w:val="hu-HU" w:eastAsia="en-GB"/>
        </w:rPr>
        <w:t>alkalmazását átmenetileg fel kell függeszteni, és ajánlott felvenni a kapcsolatot egészségügyi szakemberrel.</w:t>
      </w:r>
    </w:p>
    <w:p w14:paraId="5C5C5720"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25B67A69" w14:textId="1674D698"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Metforminnal kezelt betegeknél a veseműködést esetlegesen akutan károsító gyógyszerek (például vérnyomáscsökkentők, vízhajtók és nem-szteroid gyulladáscsökkentők [non steroidal anti-inflammatory drugs, NSAIDs]) adásának megkezdésekor elővigyázatosság szükséges. A laktátacidózis egyéb kockázati tényezői a túlzott alkoholfogyasztás, a májelégtelenség, a </w:t>
      </w:r>
      <w:r w:rsidR="000F5F40">
        <w:rPr>
          <w:snapToGrid/>
          <w:szCs w:val="22"/>
          <w:lang w:val="hu-HU" w:eastAsia="en-GB"/>
        </w:rPr>
        <w:t>nem megfelelően</w:t>
      </w:r>
      <w:r w:rsidRPr="00E076F1">
        <w:rPr>
          <w:snapToGrid/>
          <w:szCs w:val="22"/>
          <w:lang w:val="hu-HU" w:eastAsia="en-GB"/>
        </w:rPr>
        <w:t xml:space="preserve"> beállított diabetes, a ketosis, a </w:t>
      </w:r>
      <w:r w:rsidR="000F5F40">
        <w:rPr>
          <w:snapToGrid/>
          <w:szCs w:val="22"/>
          <w:lang w:val="hu-HU" w:eastAsia="en-GB"/>
        </w:rPr>
        <w:t>hosszú távú</w:t>
      </w:r>
      <w:r w:rsidRPr="00E076F1">
        <w:rPr>
          <w:snapToGrid/>
          <w:szCs w:val="22"/>
          <w:lang w:val="hu-HU" w:eastAsia="en-GB"/>
        </w:rPr>
        <w:t xml:space="preserve"> éhezés és bármilyen, hipoxiával társuló állapot, valamint laktátacidózist kiváltani képes gyógyszerek együttadása (lásd 4.3 és 4.5 pont).</w:t>
      </w:r>
    </w:p>
    <w:p w14:paraId="2D896FD0"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3CAF5B7E" w14:textId="0740EC4E"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betegeket és/vagy gondozóikat tájékoztatni kell a laktátacidózis kockázatáról. A laktátacidózisra jellemző az acidotikus diszpnoe, a hasi fájdalom, az izomgörcsök, az aszténia és a hipotermia, amit kóma</w:t>
      </w:r>
      <w:r w:rsidR="009F6910" w:rsidRPr="00E076F1">
        <w:rPr>
          <w:snapToGrid/>
          <w:szCs w:val="22"/>
          <w:lang w:val="hu-HU" w:eastAsia="en-GB"/>
        </w:rPr>
        <w:t xml:space="preserve"> </w:t>
      </w:r>
      <w:r w:rsidRPr="00E076F1">
        <w:rPr>
          <w:snapToGrid/>
          <w:szCs w:val="22"/>
          <w:lang w:val="hu-HU" w:eastAsia="en-GB"/>
        </w:rPr>
        <w:t>követ. Feltételezett tünetek esetén a betegnek abba kell hagynia a metformin szedését, és azonnal orvoshoz kell fordulnia. Diagnosztikai laboratóriumi eredmény a csökkent vér pH (&lt; 7,35), az emelkedett plazmalaktátszint (&gt; 5 mmol/l), valamint az emelkedett anionrés és laktát-piruvát arány.</w:t>
      </w:r>
    </w:p>
    <w:p w14:paraId="4D340B0A" w14:textId="77777777" w:rsidR="00665502" w:rsidRDefault="00665502" w:rsidP="00E076F1">
      <w:pPr>
        <w:tabs>
          <w:tab w:val="clear" w:pos="567"/>
        </w:tabs>
        <w:autoSpaceDE w:val="0"/>
        <w:autoSpaceDN w:val="0"/>
        <w:adjustRightInd w:val="0"/>
        <w:spacing w:line="240" w:lineRule="auto"/>
        <w:rPr>
          <w:snapToGrid/>
          <w:szCs w:val="22"/>
          <w:lang w:val="hu-HU" w:eastAsia="en-GB"/>
        </w:rPr>
      </w:pPr>
    </w:p>
    <w:p w14:paraId="209216AD" w14:textId="77777777" w:rsidR="004E5F14" w:rsidRPr="004E5F14" w:rsidRDefault="004E5F14" w:rsidP="00E076F1">
      <w:pPr>
        <w:tabs>
          <w:tab w:val="clear" w:pos="567"/>
        </w:tabs>
        <w:autoSpaceDE w:val="0"/>
        <w:autoSpaceDN w:val="0"/>
        <w:adjustRightInd w:val="0"/>
        <w:spacing w:line="240" w:lineRule="auto"/>
        <w:rPr>
          <w:i/>
          <w:iCs/>
          <w:snapToGrid/>
          <w:szCs w:val="22"/>
          <w:lang w:val="hu-HU" w:eastAsia="en-GB"/>
        </w:rPr>
      </w:pPr>
      <w:r w:rsidRPr="004E5F14">
        <w:rPr>
          <w:i/>
          <w:iCs/>
          <w:snapToGrid/>
          <w:szCs w:val="22"/>
          <w:lang w:val="hu-HU" w:eastAsia="en-GB"/>
        </w:rPr>
        <w:t>Mitokondriális betegségben ismerten vagy feltételezetten szenvedő betegek</w:t>
      </w:r>
      <w:r w:rsidRPr="004E5F14">
        <w:rPr>
          <w:snapToGrid/>
          <w:szCs w:val="22"/>
          <w:lang w:val="hu-HU" w:eastAsia="en-GB"/>
        </w:rPr>
        <w:t>:</w:t>
      </w:r>
    </w:p>
    <w:p w14:paraId="14FA9014" w14:textId="77777777" w:rsidR="004E5F14" w:rsidRDefault="004E5F14" w:rsidP="00E076F1">
      <w:pPr>
        <w:tabs>
          <w:tab w:val="clear" w:pos="567"/>
        </w:tabs>
        <w:autoSpaceDE w:val="0"/>
        <w:autoSpaceDN w:val="0"/>
        <w:adjustRightInd w:val="0"/>
        <w:spacing w:line="240" w:lineRule="auto"/>
        <w:rPr>
          <w:snapToGrid/>
          <w:szCs w:val="22"/>
          <w:lang w:val="hu-HU" w:eastAsia="en-GB"/>
        </w:rPr>
      </w:pPr>
      <w:r w:rsidRPr="004E5F14">
        <w:rPr>
          <w:snapToGrid/>
          <w:szCs w:val="22"/>
          <w:lang w:val="hu-HU" w:eastAsia="en-GB"/>
        </w:rPr>
        <w:t>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 inherited diabetes and deafness, MIDD) – ismerten szenvedő betegeknél, mivel a laktátacidózis exacerbatiója és a neurológiai szövődmények kockázatot jelentenek – mindkettő a betegség súlyosbodásához vezethet.</w:t>
      </w:r>
    </w:p>
    <w:p w14:paraId="0789ADCE" w14:textId="18FBF534" w:rsidR="004E5F14" w:rsidRDefault="004E5F14" w:rsidP="00E076F1">
      <w:pPr>
        <w:tabs>
          <w:tab w:val="clear" w:pos="567"/>
        </w:tabs>
        <w:autoSpaceDE w:val="0"/>
        <w:autoSpaceDN w:val="0"/>
        <w:adjustRightInd w:val="0"/>
        <w:spacing w:line="240" w:lineRule="auto"/>
        <w:rPr>
          <w:snapToGrid/>
          <w:szCs w:val="22"/>
          <w:lang w:val="hu-HU" w:eastAsia="en-GB"/>
        </w:rPr>
      </w:pPr>
      <w:r w:rsidRPr="004E5F14">
        <w:rPr>
          <w:snapToGrid/>
          <w:szCs w:val="22"/>
          <w:lang w:val="hu-HU" w:eastAsia="en-GB"/>
        </w:rPr>
        <w:t>Ha a metformin bevételét követően MELAS szindrómára vagy MIDD-re utaló jelek és tünetek alakulnak ki, a metformin adagolását azonnal fel kell függeszteni, és mihamarabb diagnosztikus vizsgálatokat kell elvégezni.</w:t>
      </w:r>
    </w:p>
    <w:p w14:paraId="28BB9934" w14:textId="77777777" w:rsidR="004E5F14" w:rsidRPr="004E5F14" w:rsidRDefault="004E5F14" w:rsidP="00E076F1">
      <w:pPr>
        <w:tabs>
          <w:tab w:val="clear" w:pos="567"/>
        </w:tabs>
        <w:autoSpaceDE w:val="0"/>
        <w:autoSpaceDN w:val="0"/>
        <w:adjustRightInd w:val="0"/>
        <w:spacing w:line="240" w:lineRule="auto"/>
        <w:rPr>
          <w:snapToGrid/>
          <w:szCs w:val="22"/>
          <w:lang w:val="hu-HU" w:eastAsia="en-GB"/>
        </w:rPr>
      </w:pPr>
    </w:p>
    <w:p w14:paraId="2E55D5A1" w14:textId="510BCFE9" w:rsidR="00665502" w:rsidRPr="00E076F1" w:rsidRDefault="00665502" w:rsidP="00E076F1">
      <w:pPr>
        <w:tabs>
          <w:tab w:val="clear" w:pos="567"/>
        </w:tabs>
        <w:autoSpaceDE w:val="0"/>
        <w:autoSpaceDN w:val="0"/>
        <w:adjustRightInd w:val="0"/>
        <w:spacing w:line="240" w:lineRule="auto"/>
        <w:rPr>
          <w:snapToGrid/>
          <w:szCs w:val="22"/>
          <w:u w:val="single"/>
          <w:lang w:val="hu-HU" w:eastAsia="en-GB"/>
        </w:rPr>
      </w:pPr>
      <w:r w:rsidRPr="001C1953">
        <w:rPr>
          <w:snapToGrid/>
          <w:szCs w:val="22"/>
          <w:u w:val="single"/>
          <w:lang w:val="hu-HU" w:eastAsia="en-GB"/>
        </w:rPr>
        <w:t>Veseműködés</w:t>
      </w:r>
    </w:p>
    <w:p w14:paraId="045DE67A" w14:textId="48F75D51"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glükózszintcsökkentő hatásossága függ a veseműködéstől, és kisebb azoknál a betegeknél,</w:t>
      </w:r>
      <w:r w:rsidR="009F6910" w:rsidRPr="00E076F1">
        <w:rPr>
          <w:snapToGrid/>
          <w:szCs w:val="22"/>
          <w:lang w:val="hu-HU" w:eastAsia="en-GB"/>
        </w:rPr>
        <w:t xml:space="preserve"> </w:t>
      </w:r>
      <w:r w:rsidRPr="00E076F1">
        <w:rPr>
          <w:snapToGrid/>
          <w:szCs w:val="22"/>
          <w:lang w:val="hu-HU" w:eastAsia="en-GB"/>
        </w:rPr>
        <w:t>akiknél a GFR &lt; 45 ml/perc, illetve valószínűleg megszűnik súlyos vesekárosodás esetén (lásd 4.2, 5.1 és 5.2 pont).</w:t>
      </w:r>
    </w:p>
    <w:p w14:paraId="7582F168"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65E09D84" w14:textId="54C3C5AA"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metformin a vesén keresztül választódik ki, és a közepesen súlyos - súlyos vesekárosodás növeli a laktátacidózis kockázatát (lásd 4.4 pont). A vesefunkciót értékelni kell a kezelés elkezdése előtt és azt követően rendszeresen (lásd 4.2 pont). A metformin ellenjavallt azoknál a betegeknél, akiknél a GFR &lt; 30 ml/perc, és adását átmenetileg fel kell függeszteni olyan állapotokban, amelyek a veseműködést módosítják (lásd 4.3 pont).</w:t>
      </w:r>
    </w:p>
    <w:p w14:paraId="708EB961"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78F1B4F5" w14:textId="3B741D24"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károsodott veseműködés az idősebb betegeknél gyakori és tünetmentes. Fokozott elővigyázatosság szükséges azokban a helyzetekben, amikor a veseműködés károsodott lehet, például vérnyomáscsökkentő vagy vízhajtó kezelés elkezdésekor, vagy akkor, amikor NSAID-kezelést kezdenek el.</w:t>
      </w:r>
    </w:p>
    <w:p w14:paraId="4D80C499"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1BE5D387" w14:textId="2E6AAD22"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u w:val="single"/>
          <w:lang w:val="hu-HU" w:eastAsia="en-GB"/>
        </w:rPr>
        <w:t>Alkalmazása olyan betegeknél, akiknél fennáll a volumendepléció és/vagy a hypotonia kockázata</w:t>
      </w:r>
      <w:r w:rsidRPr="00E076F1">
        <w:rPr>
          <w:snapToGrid/>
          <w:szCs w:val="22"/>
          <w:lang w:val="hu-HU" w:eastAsia="en-GB"/>
        </w:rPr>
        <w:t xml:space="preserve"> Hatásmechanizmusa miatt a dapagliflozin fokozza a diuresist, ami a vérnyomás klinikai vizsgálatokban megfigyelt, mérsékelt csökkenéséhez vezethet (lásd 5.1 pont). Ez még kifejezettebb lehet a magas vércukorszintű betegeknél.</w:t>
      </w:r>
    </w:p>
    <w:p w14:paraId="6C51DCF7"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7E4C20F4" w14:textId="6002F3DA"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Elővigyázatosság szükséges az olyan betegeknél, akiknél a vérnyomás dapagliflozin-indukálta csökkenése veszélyes lehet, mint például a vérnyomáscsökkentő kezelésben részesülő betegeknél, akiknek az anamnézisében hypotonia szerepel vagy az idősebb betegeknél.</w:t>
      </w:r>
    </w:p>
    <w:p w14:paraId="0790E03C"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25764A43" w14:textId="1B96E9B7"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Olyan interkurrens betegségek esetén, amelyek volumendepléciót okozhatnak (mint például gastrointestinalis kórkép), javasolt gondosan monitorozni a volumen státuszt (pl. fizikális vizsgálat, vérnyomásmérések, laboratóriumi vizsgálatok, beleértve a hematokritot is) és az elektrolitokat. Az olyan betegeknél, akiknél volumendepléció alakul ki, a hiány korrekciójáig a kezelés átmeneti abbahagyása javasolt (lásd 4.8 pont).</w:t>
      </w:r>
    </w:p>
    <w:p w14:paraId="13BD450F"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460BC415" w14:textId="4C8E8CD2" w:rsidR="00665502" w:rsidRPr="00E076F1" w:rsidRDefault="0066550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Diabeteses ketoacidózis</w:t>
      </w:r>
    </w:p>
    <w:p w14:paraId="636B3F9E" w14:textId="4CEE87A6"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Diabeteses ketoacidózis (DKA) ritka eseteit, köztük életet veszélyeztető és halálos kimenetelű eseteket is jelentettek a nátrium-glükóz ko-transzporter 2 (sodium glucose co-transporter 2 - SGLT2) gátlókkal kezelt betegeknél, beleértve a dapagliflozint is. Számos bejelentésben ez az állapot atípusos volt, és csak mérsékelt vércukorszint-emelkedéssel járt, 14 mmol/l (250</w:t>
      </w:r>
      <w:r w:rsidR="00122450" w:rsidRPr="00E076F1">
        <w:rPr>
          <w:snapToGrid/>
          <w:szCs w:val="22"/>
          <w:lang w:val="hu-HU" w:eastAsia="en-GB"/>
        </w:rPr>
        <w:t> mg</w:t>
      </w:r>
      <w:r w:rsidRPr="00E076F1">
        <w:rPr>
          <w:snapToGrid/>
          <w:szCs w:val="22"/>
          <w:lang w:val="hu-HU" w:eastAsia="en-GB"/>
        </w:rPr>
        <w:t xml:space="preserve">/dl) alatti értékekkel. Nem ismert, hogy a DKA nagyobb valószínűséggel fordul-e elő a dapagliflozin </w:t>
      </w:r>
      <w:r w:rsidR="001C1953">
        <w:rPr>
          <w:snapToGrid/>
          <w:szCs w:val="22"/>
          <w:lang w:val="hu-HU" w:eastAsia="en-GB"/>
        </w:rPr>
        <w:t>nagyobb</w:t>
      </w:r>
      <w:r w:rsidR="001C1953" w:rsidRPr="00E076F1">
        <w:rPr>
          <w:snapToGrid/>
          <w:szCs w:val="22"/>
          <w:lang w:val="hu-HU" w:eastAsia="en-GB"/>
        </w:rPr>
        <w:t xml:space="preserve"> </w:t>
      </w:r>
      <w:r w:rsidRPr="00E076F1">
        <w:rPr>
          <w:snapToGrid/>
          <w:szCs w:val="22"/>
          <w:lang w:val="hu-HU" w:eastAsia="en-GB"/>
        </w:rPr>
        <w:t>dózisai esetén</w:t>
      </w:r>
      <w:r w:rsidR="000D3856" w:rsidRPr="00E076F1">
        <w:rPr>
          <w:snapToGrid/>
          <w:szCs w:val="22"/>
          <w:lang w:val="hu-HU" w:eastAsia="en-GB"/>
        </w:rPr>
        <w:t>.</w:t>
      </w:r>
    </w:p>
    <w:p w14:paraId="5DFFCD1F"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51ABF4EF" w14:textId="66D5709E"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DKA kockázatát feltétlenül mérlegelni kell az olyan atípusos tünetekkel járó esetekben, mint például a hányinger, hányás, anorexia, hasi fájdalom, túlzott szomjúság, légzési nehézség, zavartság, szokatlan fáradtság vagy álmosság. A vércukorszinttől függetlenül, a ketoacidózis fennállását azonnal ki kell vizsgálni a betegeknél, ha ilyen tünetek jelentkeznek.</w:t>
      </w:r>
    </w:p>
    <w:p w14:paraId="37EA0EBC"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54E039CC" w14:textId="75D6CD28"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w:t>
      </w:r>
      <w:r w:rsidR="008B28F2">
        <w:rPr>
          <w:snapToGrid/>
          <w:szCs w:val="22"/>
          <w:lang w:val="hu-HU" w:eastAsia="en-GB"/>
        </w:rPr>
        <w:t xml:space="preserve"> dapagliflozin-</w:t>
      </w:r>
      <w:r w:rsidRPr="00E076F1">
        <w:rPr>
          <w:snapToGrid/>
          <w:szCs w:val="22"/>
          <w:lang w:val="hu-HU" w:eastAsia="en-GB"/>
        </w:rPr>
        <w:t>kezelést azonnal fel kell függeszteni azoknál a betegeknél, akiknél a ketoacidózis gyanúja felmerül vagy az bizonyított.</w:t>
      </w:r>
    </w:p>
    <w:p w14:paraId="32CD7559"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13E70BDF" w14:textId="56E3EB1E"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Nagyobb sebészeti beavatkozások vagy súlyos akut betegség miatt hospitalizált betegeknél a kezelést meg kell szakítani. Ezeknél a betegeknél a ketontestek monitorozása javasolt, ehhez a vérszint meghatározása előnyben részesítendő a vizeletszint meghatározáshoz képest. A dapagliflozin-kezelést újra lehet indítani, ha a ketontest-koncentráció normalizálódott és a beteg állapota stabilizálódott.</w:t>
      </w:r>
    </w:p>
    <w:p w14:paraId="5720B203"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3C39F1D1" w14:textId="41F2CAA4"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dapagliflozin-kezelés megkezdése előtt mérlegelni kell a beteg kórtörténetében a ketoacidózisra hajlamosító tényezőket.</w:t>
      </w:r>
    </w:p>
    <w:p w14:paraId="42780F9D"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6F8C675D" w14:textId="4C898046"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DKA kockázata nagyobb lehet azoknál a betegeknél, akiknél csökkent a béta-sejt működési rezerv (például 2-es típusú diabetesben szenvedő betegeknél alacsony C-peptid-szint mellett vagy felnőtteknél latens autoimmun diabetesben (LADA) vagy a beteg kórtörténetében szereplő pancreatitis esetében) vagy olyan állapotokban, amelyek korlátozott táplálékbevitelhez vagy súlyos dehydratióhoz vezetnek, olyan betegeknél, akiknél az </w:t>
      </w:r>
      <w:r w:rsidR="00B57DDA" w:rsidRPr="00E076F1">
        <w:rPr>
          <w:snapToGrid/>
          <w:szCs w:val="22"/>
          <w:lang w:val="hu-HU" w:eastAsia="en-GB"/>
        </w:rPr>
        <w:t>inzulin</w:t>
      </w:r>
      <w:r w:rsidR="00B57DDA">
        <w:rPr>
          <w:snapToGrid/>
          <w:szCs w:val="22"/>
          <w:lang w:val="hu-HU" w:eastAsia="en-GB"/>
        </w:rPr>
        <w:t xml:space="preserve">dózist </w:t>
      </w:r>
      <w:r w:rsidRPr="00E076F1">
        <w:rPr>
          <w:snapToGrid/>
          <w:szCs w:val="22"/>
          <w:lang w:val="hu-HU" w:eastAsia="en-GB"/>
        </w:rPr>
        <w:t>csökkentették, illetve akut betegség, műtéti beavatkozás vagy alkohol-abusus következtében megnövekedett inzulinigényű betegeknél. Ezeknél a betegnél az SGLT2-gátlókat elővigyázatosan kell alkalmazni.</w:t>
      </w:r>
    </w:p>
    <w:p w14:paraId="34686027"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64EF28D5" w14:textId="520AEA4D"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Előzőleg SGLT2-gátló kezelés mellett DKA-ban szenvedő betegeknél az SGLT2-gátló kezelés újraindítása nem javasolt, kivéve, ha egyéb egyértelmű kiváltó tényezőt nem azonosítottak és azt meg nem sz</w:t>
      </w:r>
      <w:r w:rsidR="00B57DDA">
        <w:rPr>
          <w:snapToGrid/>
          <w:szCs w:val="22"/>
          <w:lang w:val="hu-HU" w:eastAsia="en-GB"/>
        </w:rPr>
        <w:t>ü</w:t>
      </w:r>
      <w:r w:rsidRPr="00E076F1">
        <w:rPr>
          <w:snapToGrid/>
          <w:szCs w:val="22"/>
          <w:lang w:val="hu-HU" w:eastAsia="en-GB"/>
        </w:rPr>
        <w:t>ntették.</w:t>
      </w:r>
    </w:p>
    <w:p w14:paraId="7555276B"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3B2835F7" w14:textId="07CB62E5"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460FA1">
        <w:rPr>
          <w:snapToGrid/>
          <w:szCs w:val="22"/>
          <w:lang w:val="hu-HU" w:eastAsia="en-GB"/>
        </w:rPr>
        <w:t xml:space="preserve">A </w:t>
      </w:r>
      <w:r w:rsidR="00AE4F87" w:rsidRPr="00460FA1">
        <w:rPr>
          <w:rFonts w:eastAsia="TimesNewRoman"/>
          <w:snapToGrid/>
          <w:szCs w:val="22"/>
          <w:lang w:val="hu-HU" w:eastAsia="en-GB"/>
        </w:rPr>
        <w:t>Dapagliflozin/Metformin</w:t>
      </w:r>
      <w:r w:rsidR="00AE4F87" w:rsidRPr="00E076F1">
        <w:rPr>
          <w:rFonts w:eastAsia="TimesNewRoman"/>
          <w:snapToGrid/>
          <w:szCs w:val="22"/>
          <w:lang w:val="hu-HU" w:eastAsia="en-GB"/>
        </w:rPr>
        <w:t xml:space="preserve"> Polpharma</w:t>
      </w:r>
      <w:r w:rsidRPr="00E076F1">
        <w:rPr>
          <w:snapToGrid/>
          <w:szCs w:val="22"/>
          <w:lang w:val="hu-HU" w:eastAsia="en-GB"/>
        </w:rPr>
        <w:t xml:space="preserve"> biztonságosságát és hatásosságát 1-es típusú diabetes mellitusban szenvedő betegeknél nem igazolták, és a </w:t>
      </w:r>
      <w:r w:rsidR="00AE4F87" w:rsidRPr="00E076F1">
        <w:rPr>
          <w:rFonts w:eastAsia="TimesNewRoman"/>
          <w:snapToGrid/>
          <w:szCs w:val="22"/>
          <w:lang w:val="hu-HU" w:eastAsia="en-GB"/>
        </w:rPr>
        <w:t>Dapagliflozin/Metformin Polpharma</w:t>
      </w:r>
      <w:r w:rsidRPr="00E076F1">
        <w:rPr>
          <w:snapToGrid/>
          <w:szCs w:val="22"/>
          <w:lang w:val="hu-HU" w:eastAsia="en-GB"/>
        </w:rPr>
        <w:t xml:space="preserve"> nem javallott ezeknek a betegnek a kezelésére. Az 1-es típusú diabetes mellitusban szenvedő betegek vizsgálatai során </w:t>
      </w:r>
      <w:r w:rsidR="00460FA1">
        <w:rPr>
          <w:snapToGrid/>
          <w:szCs w:val="22"/>
          <w:lang w:val="hu-HU" w:eastAsia="en-GB"/>
        </w:rPr>
        <w:t>gyakran fordult elő DKA.</w:t>
      </w:r>
    </w:p>
    <w:p w14:paraId="35650A5F"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11255B07" w14:textId="77777777" w:rsidR="000D3856" w:rsidRPr="00E076F1" w:rsidRDefault="000D3856"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 gát necrotizáló fasciitise (Fournier-gangraena)</w:t>
      </w:r>
    </w:p>
    <w:p w14:paraId="49D8DE91" w14:textId="1BD19C3F"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SGLT2-gátlókat szedő nőknél és férfiaknál a forgalomba hozatalt követően a gát necrotizáló fasciitisét (más néven Fournier-gangraena) jelentették (lásd 4.8 pont). Ez egy ritka, de súlyos állapot, amely életveszélyes is lehet, és sürgős sebészeti beavatkozást, valamint antibiotikus kezelést igényel.</w:t>
      </w:r>
    </w:p>
    <w:p w14:paraId="07D3B164" w14:textId="77777777" w:rsidR="00B7215C" w:rsidRPr="00E076F1" w:rsidRDefault="00B7215C" w:rsidP="00E076F1">
      <w:pPr>
        <w:tabs>
          <w:tab w:val="clear" w:pos="567"/>
        </w:tabs>
        <w:autoSpaceDE w:val="0"/>
        <w:autoSpaceDN w:val="0"/>
        <w:adjustRightInd w:val="0"/>
        <w:spacing w:line="240" w:lineRule="auto"/>
        <w:rPr>
          <w:snapToGrid/>
          <w:szCs w:val="22"/>
          <w:lang w:val="hu-HU" w:eastAsia="en-GB"/>
        </w:rPr>
      </w:pPr>
    </w:p>
    <w:p w14:paraId="3302B5B4" w14:textId="5827EB73" w:rsidR="000D3856" w:rsidRPr="00E076F1" w:rsidRDefault="000D3856" w:rsidP="00B413AE">
      <w:pPr>
        <w:tabs>
          <w:tab w:val="clear" w:pos="567"/>
          <w:tab w:val="left" w:pos="9072"/>
        </w:tabs>
        <w:autoSpaceDE w:val="0"/>
        <w:autoSpaceDN w:val="0"/>
        <w:adjustRightInd w:val="0"/>
        <w:spacing w:line="240" w:lineRule="auto"/>
        <w:rPr>
          <w:snapToGrid/>
          <w:szCs w:val="22"/>
          <w:lang w:val="hu-HU" w:eastAsia="en-GB"/>
        </w:rPr>
      </w:pPr>
      <w:r w:rsidRPr="00E076F1">
        <w:rPr>
          <w:snapToGrid/>
          <w:szCs w:val="22"/>
          <w:lang w:val="hu-HU" w:eastAsia="en-GB"/>
        </w:rPr>
        <w:t xml:space="preserve">A betegeket tájékoztatni kell arról, hogy forduljanak orvoshoz, ha a következő tünetek együttesét tapasztalják: fájdalom, érzékenység, erythema vagy duzzanat a nemi szervek vagy a gát területén, láz vagy rossz közérzet mellett. Tudni kell, hogy a necrotizáló fasciitist megelőzheti húgy-ivarszervi fertőzés vagy gáttáji tályog. Fournier-gangraena gyanúja esetén abba kell hagyni a </w:t>
      </w:r>
      <w:r w:rsidR="00B413AE" w:rsidRPr="00B413AE">
        <w:rPr>
          <w:snapToGrid/>
          <w:szCs w:val="22"/>
          <w:lang w:val="hu-HU" w:eastAsia="en-GB"/>
        </w:rPr>
        <w:t>Dapagliflozin/Metformin Polpharma</w:t>
      </w:r>
      <w:r w:rsidRPr="00E076F1">
        <w:rPr>
          <w:snapToGrid/>
          <w:szCs w:val="22"/>
          <w:lang w:val="hu-HU" w:eastAsia="en-GB"/>
        </w:rPr>
        <w:t xml:space="preserve"> szedését, és azonnal meg kell kezdeni a kezelést (beleértve az antibiotikum-terápiát és a sebészi debridement</w:t>
      </w:r>
      <w:r w:rsidR="00610789">
        <w:rPr>
          <w:snapToGrid/>
          <w:szCs w:val="22"/>
          <w:lang w:val="hu-HU" w:eastAsia="en-GB"/>
        </w:rPr>
        <w:t>-</w:t>
      </w:r>
      <w:r w:rsidRPr="00E076F1">
        <w:rPr>
          <w:snapToGrid/>
          <w:szCs w:val="22"/>
          <w:lang w:val="hu-HU" w:eastAsia="en-GB"/>
        </w:rPr>
        <w:t>eljárást).</w:t>
      </w:r>
    </w:p>
    <w:p w14:paraId="74734049"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486A287C" w14:textId="77777777" w:rsidR="000D3856" w:rsidRPr="00E076F1" w:rsidRDefault="000D3856" w:rsidP="00CE5342">
      <w:pPr>
        <w:keepNext/>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Húgyúti fertőzések</w:t>
      </w:r>
    </w:p>
    <w:p w14:paraId="3472E142" w14:textId="0E8080C2" w:rsidR="000D3856" w:rsidRPr="00E076F1" w:rsidRDefault="000D3856" w:rsidP="00CE5342">
      <w:pPr>
        <w:keepNext/>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vizeletbe történő cukor kiválasztás összefüggésben lehet a húgyúti fertőzés fokozott kockázatával; ezért a pyelonephritis vagy urosepsis kezelésekor a gyógyszer adásának átmeneti </w:t>
      </w:r>
      <w:r w:rsidR="00D35F4A">
        <w:rPr>
          <w:snapToGrid/>
          <w:szCs w:val="22"/>
          <w:lang w:val="hu-HU" w:eastAsia="en-GB"/>
        </w:rPr>
        <w:t>felfüggesztését</w:t>
      </w:r>
      <w:r w:rsidRPr="00E076F1">
        <w:rPr>
          <w:snapToGrid/>
          <w:szCs w:val="22"/>
          <w:lang w:val="hu-HU" w:eastAsia="en-GB"/>
        </w:rPr>
        <w:t xml:space="preserve"> kell mérlegelni.</w:t>
      </w:r>
    </w:p>
    <w:p w14:paraId="08A0B358"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36386024" w14:textId="1DD4D29E" w:rsidR="000D3856" w:rsidRPr="00E076F1" w:rsidRDefault="000D3856"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Idősek (≥ 65 év)</w:t>
      </w:r>
    </w:p>
    <w:p w14:paraId="0AAB85F3" w14:textId="4456D465"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időskorú betegeknél nagyobb lehet a volumendepléció kockázata, mert őket nagyobb valószínűséggel kezelik diuretikumokkal.</w:t>
      </w:r>
    </w:p>
    <w:p w14:paraId="6F3FCDAE"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26D1A6E3" w14:textId="6F39C537"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idősebb betegeknek nagyobb valószínűséggel károsodott a veseműködésük, és/vagy kezelik őket olyan vérnyomáscsökkentő gyógyszerekkel, amelyek módosíthatják a vesefunkciót, mint például az</w:t>
      </w:r>
      <w:r w:rsidR="00AB4B65" w:rsidRPr="00E076F1">
        <w:rPr>
          <w:snapToGrid/>
          <w:szCs w:val="22"/>
          <w:lang w:val="hu-HU" w:eastAsia="en-GB"/>
        </w:rPr>
        <w:t xml:space="preserve"> </w:t>
      </w:r>
      <w:r w:rsidRPr="00E076F1">
        <w:rPr>
          <w:snapToGrid/>
          <w:szCs w:val="22"/>
          <w:lang w:val="hu-HU" w:eastAsia="en-GB"/>
        </w:rPr>
        <w:t>angiotenzinkonvertálóenzim</w:t>
      </w:r>
      <w:r w:rsidR="00890B78">
        <w:rPr>
          <w:snapToGrid/>
          <w:szCs w:val="22"/>
          <w:lang w:val="hu-HU" w:eastAsia="en-GB"/>
        </w:rPr>
        <w:t>-</w:t>
      </w:r>
      <w:r w:rsidRPr="00E076F1">
        <w:rPr>
          <w:snapToGrid/>
          <w:szCs w:val="22"/>
          <w:lang w:val="hu-HU" w:eastAsia="en-GB"/>
        </w:rPr>
        <w:t>inhibitorok (ACEI-k) és az angiotenzin-II 1-es típusú receptorblokkolók</w:t>
      </w:r>
      <w:r w:rsidR="00AB4B65" w:rsidRPr="00E076F1">
        <w:rPr>
          <w:snapToGrid/>
          <w:szCs w:val="22"/>
          <w:lang w:val="hu-HU" w:eastAsia="en-GB"/>
        </w:rPr>
        <w:t xml:space="preserve"> </w:t>
      </w:r>
      <w:r w:rsidRPr="00E076F1">
        <w:rPr>
          <w:snapToGrid/>
          <w:szCs w:val="22"/>
          <w:lang w:val="hu-HU" w:eastAsia="en-GB"/>
        </w:rPr>
        <w:t>(ARB-k). A veseműködés tekintetében ugyanazok az ajánlások vonatkoznak az idősebb betegekre, mint</w:t>
      </w:r>
      <w:r w:rsidR="00AB4B65" w:rsidRPr="00E076F1">
        <w:rPr>
          <w:snapToGrid/>
          <w:szCs w:val="22"/>
          <w:lang w:val="hu-HU" w:eastAsia="en-GB"/>
        </w:rPr>
        <w:t xml:space="preserve"> </w:t>
      </w:r>
      <w:r w:rsidRPr="00E076F1">
        <w:rPr>
          <w:snapToGrid/>
          <w:szCs w:val="22"/>
          <w:lang w:val="hu-HU" w:eastAsia="en-GB"/>
        </w:rPr>
        <w:t>minden más betegre (lásd 4.2, 4.4, 4.8 és 5.1 pont).</w:t>
      </w:r>
    </w:p>
    <w:p w14:paraId="1E0FFA93"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41B7D589" w14:textId="77777777"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Szívelégtelenség</w:t>
      </w:r>
    </w:p>
    <w:p w14:paraId="4487B1F9"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dapagliflozinnal a NYHA IV. stádiumú betegekkel szerzett tapasztalat korlátozott.</w:t>
      </w:r>
    </w:p>
    <w:p w14:paraId="2829EB52" w14:textId="77777777" w:rsidR="00AB4B65" w:rsidRDefault="00AB4B65" w:rsidP="00E076F1">
      <w:pPr>
        <w:tabs>
          <w:tab w:val="clear" w:pos="567"/>
        </w:tabs>
        <w:autoSpaceDE w:val="0"/>
        <w:autoSpaceDN w:val="0"/>
        <w:adjustRightInd w:val="0"/>
        <w:spacing w:line="240" w:lineRule="auto"/>
        <w:rPr>
          <w:snapToGrid/>
          <w:szCs w:val="22"/>
          <w:u w:val="single"/>
          <w:lang w:val="hu-HU" w:eastAsia="en-GB"/>
        </w:rPr>
      </w:pPr>
    </w:p>
    <w:p w14:paraId="7B24C43C" w14:textId="77777777" w:rsidR="00842121" w:rsidRDefault="00842121" w:rsidP="00E076F1">
      <w:pPr>
        <w:tabs>
          <w:tab w:val="clear" w:pos="567"/>
        </w:tabs>
        <w:autoSpaceDE w:val="0"/>
        <w:autoSpaceDN w:val="0"/>
        <w:adjustRightInd w:val="0"/>
        <w:spacing w:line="240" w:lineRule="auto"/>
        <w:rPr>
          <w:snapToGrid/>
          <w:szCs w:val="22"/>
          <w:u w:val="single"/>
          <w:lang w:val="hu-HU" w:eastAsia="en-GB"/>
        </w:rPr>
      </w:pPr>
      <w:r w:rsidRPr="00811FB2">
        <w:rPr>
          <w:snapToGrid/>
          <w:szCs w:val="22"/>
          <w:u w:val="single"/>
          <w:lang w:val="hu-HU" w:eastAsia="en-GB"/>
        </w:rPr>
        <w:t>Emelkedett hematokritérték</w:t>
      </w:r>
    </w:p>
    <w:p w14:paraId="7D87C7DE" w14:textId="4F2C8CDC" w:rsidR="00842121" w:rsidRPr="00811FB2" w:rsidRDefault="00842121" w:rsidP="00E076F1">
      <w:pPr>
        <w:tabs>
          <w:tab w:val="clear" w:pos="567"/>
        </w:tabs>
        <w:autoSpaceDE w:val="0"/>
        <w:autoSpaceDN w:val="0"/>
        <w:adjustRightInd w:val="0"/>
        <w:spacing w:line="240" w:lineRule="auto"/>
        <w:rPr>
          <w:snapToGrid/>
          <w:szCs w:val="22"/>
          <w:lang w:val="hu-HU" w:eastAsia="en-GB"/>
        </w:rPr>
      </w:pPr>
      <w:r w:rsidRPr="00811FB2">
        <w:rPr>
          <w:snapToGrid/>
          <w:szCs w:val="22"/>
          <w:lang w:val="hu-HU" w:eastAsia="en-GB"/>
        </w:rPr>
        <w:t>A dapagliflozin-kezelés során emelkedett hematokritértéket figyeltek meg (lásd 4.8 pont). Az olyan betegeket, akiknél a hematokritérték jelentősen megemelkedett, monitorozni kell, és a hematológiai alapbetegséget ki kell vizsgálni.</w:t>
      </w:r>
    </w:p>
    <w:p w14:paraId="4D00E905" w14:textId="77777777" w:rsidR="00842121" w:rsidRPr="00811FB2" w:rsidRDefault="00842121" w:rsidP="00E076F1">
      <w:pPr>
        <w:tabs>
          <w:tab w:val="clear" w:pos="567"/>
        </w:tabs>
        <w:autoSpaceDE w:val="0"/>
        <w:autoSpaceDN w:val="0"/>
        <w:adjustRightInd w:val="0"/>
        <w:spacing w:line="240" w:lineRule="auto"/>
        <w:rPr>
          <w:snapToGrid/>
          <w:szCs w:val="22"/>
          <w:lang w:val="hu-HU" w:eastAsia="en-GB"/>
        </w:rPr>
      </w:pPr>
    </w:p>
    <w:p w14:paraId="24C3890E" w14:textId="621DB15B"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Alsó végtagi amputációk</w:t>
      </w:r>
    </w:p>
    <w:p w14:paraId="1B5569F1" w14:textId="64DC4CDF"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Egyéb SGLT2-gátlóval végzett, folyamatban lévő, hosszú távú klinikai vizsgálatokban az alsó végtagi (elsődlegesen a lábujj) amputációval járó esetek számának növekedését figyelték meg. Nem ismert, hogy ez a gyógyszercsoportra jellemző hatás-e. Csakúgy, mint minden diabeteses beteg esetében, fontos a betegek figyelmét felhívni a megelőzési célú, rutinszerű lábápolásra.</w:t>
      </w:r>
    </w:p>
    <w:p w14:paraId="66D0C732" w14:textId="77777777"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p>
    <w:p w14:paraId="36CDFAF9" w14:textId="727DFFF1"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Laboratóriumi vizeletvizsgálatok</w:t>
      </w:r>
    </w:p>
    <w:p w14:paraId="1A59CB9A" w14:textId="0AAA3F6B"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Hatásmechanizmusa miatt a gyógyszert szedő betegek vizeletglükóz</w:t>
      </w:r>
      <w:r w:rsidR="00890B78">
        <w:rPr>
          <w:snapToGrid/>
          <w:szCs w:val="22"/>
          <w:lang w:val="hu-HU" w:eastAsia="en-GB"/>
        </w:rPr>
        <w:t>-</w:t>
      </w:r>
      <w:r w:rsidRPr="00E076F1">
        <w:rPr>
          <w:snapToGrid/>
          <w:szCs w:val="22"/>
          <w:lang w:val="hu-HU" w:eastAsia="en-GB"/>
        </w:rPr>
        <w:t>vizsgálata pozitív lesz.</w:t>
      </w:r>
    </w:p>
    <w:p w14:paraId="4EB3D3E0"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101A3183" w14:textId="77777777"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Jódtartalmú kontrasztanyagok alkalmazása</w:t>
      </w:r>
    </w:p>
    <w:p w14:paraId="00315BC6" w14:textId="1C619F51"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Jódtartalmú kontrasztanyagok intravaszkuláris alkalmazása kontrasztanyag-indukált nephropathiához vezethet, ami a metformin felhalmozódásával és a laktátacidózis kockázatának növekedésével jár. A </w:t>
      </w:r>
      <w:r w:rsidR="00AE4F87" w:rsidRPr="00E076F1">
        <w:rPr>
          <w:rFonts w:eastAsia="TimesNewRoman"/>
          <w:snapToGrid/>
          <w:szCs w:val="22"/>
          <w:lang w:val="hu-HU" w:eastAsia="en-GB"/>
        </w:rPr>
        <w:t>Dapagliflozin/Metformin Polpharma</w:t>
      </w:r>
      <w:r w:rsidRPr="00E076F1">
        <w:rPr>
          <w:snapToGrid/>
          <w:szCs w:val="22"/>
          <w:lang w:val="hu-HU" w:eastAsia="en-GB"/>
        </w:rPr>
        <w:t xml:space="preserve"> adását fel kell függeszteni a vizsgálatot megelőzően vagy a vizsgálat idejére, és csak legalább 48 óra elteltével állítható vissza, akkor is csak abban az esetben, ha a veseműködést újra ellenőrizték, és az stabilnak bizonyult (lásd 4.2 és 4.5 pont).</w:t>
      </w:r>
    </w:p>
    <w:p w14:paraId="742888A9" w14:textId="77777777"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p>
    <w:p w14:paraId="009A7D3F" w14:textId="3F672CA5"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Sebészeti beavatkozások</w:t>
      </w:r>
    </w:p>
    <w:p w14:paraId="5C43FD33" w14:textId="1F6C5FCF"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w:t>
      </w:r>
      <w:r w:rsidR="00AE4F87" w:rsidRPr="00E076F1">
        <w:rPr>
          <w:rFonts w:eastAsia="TimesNewRoman"/>
          <w:snapToGrid/>
          <w:szCs w:val="22"/>
          <w:lang w:val="hu-HU" w:eastAsia="en-GB"/>
        </w:rPr>
        <w:t>Dapagliflozin/Metformin Polpharma</w:t>
      </w:r>
      <w:r w:rsidRPr="00E076F1">
        <w:rPr>
          <w:snapToGrid/>
          <w:szCs w:val="22"/>
          <w:lang w:val="hu-HU" w:eastAsia="en-GB"/>
        </w:rPr>
        <w:t xml:space="preserve"> adását az általános, spinális vagy epidurális anesztéziával járó műtét idejére fel kell függeszteni. A készítmény leghamarabb 48 órával a műtét, illetve az orális táplálásra való visszatérés után adható újra, akkor is csak abban az esetben, ha a veseműködést újra ellenőrizték, és az stabilnak bizonyult.</w:t>
      </w:r>
    </w:p>
    <w:p w14:paraId="19EF9136"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34048A97" w14:textId="07BEE374"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 korábban megfelelő szénhidrátanyagcsere-egyensúlyban lévő 2-es típusú diabetes betegek klinikai státuszának megváltozása</w:t>
      </w:r>
    </w:p>
    <w:p w14:paraId="72C9182C" w14:textId="404F93E2"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Mivel a gyógyszer metformint tartalmaz, egy olyan, a gyógyszer mellett korábban megfelelő szénhidrátanyagcsere-egyensúlyban lévő 2-es típusú diabeteses betegnél, akinél laboratóriumi eltérések vagy egy betegség klinikai képe alakul ki (különösen akkor, ha az bizonytalan és rosszul meghatározott betegség), azonnal keresni kell a ketoacidózisra vagy a laktátacidózisra utaló bizonyítékokat. A vizsgálatok közé kell tartozzon a szérumelektrolitok és </w:t>
      </w:r>
      <w:r w:rsidR="00890B78">
        <w:rPr>
          <w:snapToGrid/>
          <w:szCs w:val="22"/>
          <w:lang w:val="hu-HU" w:eastAsia="en-GB"/>
        </w:rPr>
        <w:t>-</w:t>
      </w:r>
      <w:r w:rsidRPr="00E076F1">
        <w:rPr>
          <w:snapToGrid/>
          <w:szCs w:val="22"/>
          <w:lang w:val="hu-HU" w:eastAsia="en-GB"/>
        </w:rPr>
        <w:t>ketonok, a vércukorszint, és ha az indokolt, akkor a vér pH-értékének, a laktát-, piruvát- és metformin</w:t>
      </w:r>
      <w:r w:rsidR="00890B78">
        <w:rPr>
          <w:snapToGrid/>
          <w:szCs w:val="22"/>
          <w:lang w:val="hu-HU" w:eastAsia="en-GB"/>
        </w:rPr>
        <w:t>-</w:t>
      </w:r>
      <w:r w:rsidRPr="00E076F1">
        <w:rPr>
          <w:snapToGrid/>
          <w:szCs w:val="22"/>
          <w:lang w:val="hu-HU" w:eastAsia="en-GB"/>
        </w:rPr>
        <w:t>szinteknek a vizsgálata. Ha az acidózis bármelyik formája kialakul, akkor a kezelést azonnal abba kell hagyni, és egyéb megfelelő, a korrekciójára irányuló intézkedéseket kell tenni.</w:t>
      </w:r>
    </w:p>
    <w:p w14:paraId="65069C97"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30B3F0B4" w14:textId="77777777" w:rsidR="00F45C51" w:rsidRPr="00E076F1" w:rsidRDefault="00D05999" w:rsidP="00CE5342">
      <w:pPr>
        <w:keepNext/>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4.5</w:t>
      </w:r>
      <w:r w:rsidRPr="00E076F1">
        <w:rPr>
          <w:rFonts w:eastAsia="Times New Roman"/>
          <w:b/>
          <w:noProof/>
          <w:snapToGrid/>
          <w:szCs w:val="22"/>
          <w:lang w:val="hu-HU" w:eastAsia="en-US"/>
        </w:rPr>
        <w:tab/>
        <w:t>Gyógyszerkölcsönhatások és egyéb interakciók</w:t>
      </w:r>
    </w:p>
    <w:p w14:paraId="0225E39D" w14:textId="77777777" w:rsidR="00F45C51" w:rsidRPr="00E076F1" w:rsidRDefault="00F45C51" w:rsidP="00CE5342">
      <w:pPr>
        <w:keepNext/>
        <w:spacing w:line="240" w:lineRule="auto"/>
        <w:rPr>
          <w:rFonts w:eastAsia="Times New Roman"/>
          <w:noProof/>
          <w:snapToGrid/>
          <w:szCs w:val="22"/>
          <w:lang w:val="hu-HU" w:eastAsia="en-US"/>
        </w:rPr>
      </w:pPr>
    </w:p>
    <w:p w14:paraId="5B02BFA4" w14:textId="227A0361" w:rsidR="00AB4B65" w:rsidRPr="00E076F1" w:rsidRDefault="00AB4B65" w:rsidP="00CE5342">
      <w:pPr>
        <w:keepNext/>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és a metformin többszöri adagjainak egyidejű alkalmazása egészséges alanyoknál nem változtatja meg jelentősen sem a dapagliflozin, sem a metformin farmakokinetikáját.</w:t>
      </w:r>
    </w:p>
    <w:p w14:paraId="30830C14" w14:textId="77777777" w:rsidR="00046212" w:rsidRPr="00E076F1" w:rsidRDefault="00046212" w:rsidP="00E076F1">
      <w:pPr>
        <w:tabs>
          <w:tab w:val="clear" w:pos="567"/>
        </w:tabs>
        <w:autoSpaceDE w:val="0"/>
        <w:autoSpaceDN w:val="0"/>
        <w:adjustRightInd w:val="0"/>
        <w:spacing w:line="240" w:lineRule="auto"/>
        <w:rPr>
          <w:snapToGrid/>
          <w:szCs w:val="22"/>
          <w:lang w:val="hu-HU" w:eastAsia="en-GB"/>
        </w:rPr>
      </w:pPr>
    </w:p>
    <w:p w14:paraId="02E06C9E" w14:textId="47E91ECA"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Interakciós vizsgálatokat nem végeztek a </w:t>
      </w:r>
      <w:r w:rsidR="00890B78" w:rsidRPr="00890B78">
        <w:rPr>
          <w:snapToGrid/>
          <w:szCs w:val="22"/>
          <w:lang w:val="hu-HU" w:eastAsia="en-GB"/>
        </w:rPr>
        <w:t>Dapagliflozin/Metformin Polpharma</w:t>
      </w:r>
      <w:r w:rsidRPr="00E076F1">
        <w:rPr>
          <w:snapToGrid/>
          <w:szCs w:val="22"/>
          <w:lang w:val="hu-HU" w:eastAsia="en-GB"/>
        </w:rPr>
        <w:t>-val. Az alábbi megállapítások az egyes hatóanyagokkal kapcsolatban rendelkezésre álló információkat tükrözik.</w:t>
      </w:r>
    </w:p>
    <w:p w14:paraId="7AB33E45"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76B391A2" w14:textId="53DA59C8"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2F442824" w14:textId="77777777" w:rsidR="00F20A62" w:rsidRPr="00E076F1" w:rsidRDefault="00F20A62" w:rsidP="00E076F1">
      <w:pPr>
        <w:tabs>
          <w:tab w:val="clear" w:pos="567"/>
        </w:tabs>
        <w:autoSpaceDE w:val="0"/>
        <w:autoSpaceDN w:val="0"/>
        <w:adjustRightInd w:val="0"/>
        <w:spacing w:line="240" w:lineRule="auto"/>
        <w:rPr>
          <w:rFonts w:eastAsia="TimesNewRoman,Italic"/>
          <w:i/>
          <w:iCs/>
          <w:snapToGrid/>
          <w:szCs w:val="22"/>
          <w:lang w:val="hu-HU" w:eastAsia="en-GB"/>
        </w:rPr>
      </w:pPr>
    </w:p>
    <w:p w14:paraId="61E6E272" w14:textId="5DAC1F93" w:rsidR="00AB4B65" w:rsidRPr="00E076F1" w:rsidRDefault="00AB4B6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Farmakodinámiás kölcsönhatások</w:t>
      </w:r>
    </w:p>
    <w:p w14:paraId="093DBD36" w14:textId="718A2439" w:rsidR="00F45C51" w:rsidRPr="00E076F1" w:rsidRDefault="00AB4B65" w:rsidP="00E076F1">
      <w:pPr>
        <w:spacing w:line="240" w:lineRule="auto"/>
        <w:rPr>
          <w:rFonts w:eastAsia="TimesNewRoman,Italic"/>
          <w:i/>
          <w:iCs/>
          <w:snapToGrid/>
          <w:szCs w:val="22"/>
          <w:lang w:val="hu-HU" w:eastAsia="en-GB"/>
        </w:rPr>
      </w:pPr>
      <w:r w:rsidRPr="00E076F1">
        <w:rPr>
          <w:rFonts w:eastAsia="TimesNewRoman,Italic"/>
          <w:i/>
          <w:iCs/>
          <w:snapToGrid/>
          <w:szCs w:val="22"/>
          <w:lang w:val="hu-HU" w:eastAsia="en-GB"/>
        </w:rPr>
        <w:t>Diuretikumok</w:t>
      </w:r>
    </w:p>
    <w:p w14:paraId="623E98FF" w14:textId="059B4909"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kiegészítheti a tiazid- és kacsdiuretikumok diuretikus hatását, és növelheti a dehydratio és a hypotonia kockázatát (lásd 4.4 pont).</w:t>
      </w:r>
    </w:p>
    <w:p w14:paraId="05D4D578" w14:textId="77777777" w:rsidR="00AB4B65" w:rsidRPr="00E076F1" w:rsidRDefault="00AB4B65" w:rsidP="00E076F1">
      <w:pPr>
        <w:tabs>
          <w:tab w:val="clear" w:pos="567"/>
        </w:tabs>
        <w:autoSpaceDE w:val="0"/>
        <w:autoSpaceDN w:val="0"/>
        <w:adjustRightInd w:val="0"/>
        <w:spacing w:line="240" w:lineRule="auto"/>
        <w:rPr>
          <w:rFonts w:eastAsia="TimesNewRoman,Italic"/>
          <w:i/>
          <w:iCs/>
          <w:snapToGrid/>
          <w:szCs w:val="22"/>
          <w:lang w:val="hu-HU" w:eastAsia="en-GB"/>
        </w:rPr>
      </w:pPr>
    </w:p>
    <w:p w14:paraId="1680537E" w14:textId="554F157B" w:rsidR="00AB4B65" w:rsidRPr="00E076F1" w:rsidRDefault="00AB4B65"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Inzulin és inzulin</w:t>
      </w:r>
      <w:r w:rsidR="00B81DB6">
        <w:rPr>
          <w:rFonts w:eastAsia="TimesNewRoman,Italic"/>
          <w:i/>
          <w:iCs/>
          <w:snapToGrid/>
          <w:szCs w:val="22"/>
          <w:lang w:val="hu-HU" w:eastAsia="en-GB"/>
        </w:rPr>
        <w:t>-</w:t>
      </w:r>
      <w:r w:rsidRPr="00E076F1">
        <w:rPr>
          <w:rFonts w:eastAsia="TimesNewRoman,Italic"/>
          <w:i/>
          <w:iCs/>
          <w:snapToGrid/>
          <w:szCs w:val="22"/>
          <w:lang w:val="hu-HU" w:eastAsia="en-GB"/>
        </w:rPr>
        <w:t>szekréciót fokozó hatóanyagok</w:t>
      </w:r>
    </w:p>
    <w:p w14:paraId="57061180" w14:textId="0277D9B8"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inzulin és az inzulin</w:t>
      </w:r>
      <w:r w:rsidR="00B81DB6">
        <w:rPr>
          <w:snapToGrid/>
          <w:szCs w:val="22"/>
          <w:lang w:val="hu-HU" w:eastAsia="en-GB"/>
        </w:rPr>
        <w:t>-</w:t>
      </w:r>
      <w:r w:rsidRPr="00E076F1">
        <w:rPr>
          <w:snapToGrid/>
          <w:szCs w:val="22"/>
          <w:lang w:val="hu-HU" w:eastAsia="en-GB"/>
        </w:rPr>
        <w:t>szekréciót fokozó hatóanyagok, mint például a szulfonilureák hypoglykaemiát okoznak. Ezért a dapagliflozinnal kombinált alkalmazás esetén a hypoglykaemia kockázatának csökkentése érdekében alacsonyabb dózisú inzulinra vagy inzulinszekréciót</w:t>
      </w:r>
      <w:r w:rsidR="00B81DB6">
        <w:rPr>
          <w:snapToGrid/>
          <w:szCs w:val="22"/>
          <w:lang w:val="hu-HU" w:eastAsia="en-GB"/>
        </w:rPr>
        <w:t>-</w:t>
      </w:r>
      <w:r w:rsidRPr="00E076F1">
        <w:rPr>
          <w:snapToGrid/>
          <w:szCs w:val="22"/>
          <w:lang w:val="hu-HU" w:eastAsia="en-GB"/>
        </w:rPr>
        <w:t>fokozó hatóanyagra lehet szükség (lásd 4.2 és 4.8 pont).</w:t>
      </w:r>
    </w:p>
    <w:p w14:paraId="0E9554E4"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0A885772" w14:textId="77777777" w:rsidR="00AB4B65" w:rsidRPr="00E076F1" w:rsidRDefault="00AB4B6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Farmakokinetikai kölcsönhatások</w:t>
      </w:r>
    </w:p>
    <w:p w14:paraId="39AF9434" w14:textId="0973D12B"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metabolizmusa elsősorban az UDP-glükuroniltranszferáz 1A9 (UGT1A9) által mediált glükuronid konjugáción keresztül megy végbe.</w:t>
      </w:r>
    </w:p>
    <w:p w14:paraId="5D3E62DC" w14:textId="77777777" w:rsidR="0091120B" w:rsidRPr="00E076F1" w:rsidRDefault="0091120B" w:rsidP="00E076F1">
      <w:pPr>
        <w:tabs>
          <w:tab w:val="clear" w:pos="567"/>
        </w:tabs>
        <w:autoSpaceDE w:val="0"/>
        <w:autoSpaceDN w:val="0"/>
        <w:adjustRightInd w:val="0"/>
        <w:spacing w:line="240" w:lineRule="auto"/>
        <w:rPr>
          <w:rFonts w:eastAsia="TimesNewRoman,Italic"/>
          <w:snapToGrid/>
          <w:szCs w:val="22"/>
          <w:lang w:val="hu-HU" w:eastAsia="en-GB"/>
        </w:rPr>
      </w:pPr>
    </w:p>
    <w:p w14:paraId="508F4267" w14:textId="585C0526"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Az </w:t>
      </w:r>
      <w:r w:rsidRPr="00E076F1">
        <w:rPr>
          <w:rFonts w:eastAsia="TimesNewRoman,Italic"/>
          <w:i/>
          <w:iCs/>
          <w:snapToGrid/>
          <w:szCs w:val="22"/>
          <w:lang w:val="hu-HU" w:eastAsia="en-GB"/>
        </w:rPr>
        <w:t xml:space="preserve">in vitro </w:t>
      </w:r>
      <w:r w:rsidRPr="00E076F1">
        <w:rPr>
          <w:rFonts w:eastAsia="TimesNewRoman,Italic"/>
          <w:snapToGrid/>
          <w:szCs w:val="22"/>
          <w:lang w:val="hu-HU" w:eastAsia="en-GB"/>
        </w:rPr>
        <w:t>vizsgálatokban a dapagliflozin nem gátolta a citokróm P450 (CYP) 1A2, CYP2A6, CYP2B6, CYP2C8, CYP2C9, CYP2C19, CYP2D6, CYP3A4, és nem indukálta a CYP1A2, CYP2B6 vagy CYP3A4 izoenzimeket. Ezért a gyógyszer várhatóan nem változtatja meg az ezen enzimek által metabolizált, egyidejűleg alkalmazott gyógyszerek metabolikus clearance-ét.</w:t>
      </w:r>
    </w:p>
    <w:p w14:paraId="67CA1F45"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35096D31" w14:textId="77777777" w:rsidR="00AB4B65" w:rsidRPr="00E076F1" w:rsidRDefault="00AB4B65" w:rsidP="00CE5342">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Más gyógyszerek dapagliflozinra gyakorolt hatása</w:t>
      </w:r>
    </w:p>
    <w:p w14:paraId="1450C9B1" w14:textId="3D9D1576" w:rsidR="00AB4B65" w:rsidRPr="00E076F1" w:rsidRDefault="00AB4B65" w:rsidP="00CE5342">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Egészséges alanyokkal végzett, elsősorban egyszeri adagolást alkalmazó interakciós vizsgálatok arra utalnak, hogy a dapagliflozin farmakokinetikáját nem változtatja meg a pioglitazon, a szitagliptin, a glimepirid, a vogliboz, a hidroklorotiazid, a bumetanid, a valzartán vagy a szimvasztatin.</w:t>
      </w:r>
    </w:p>
    <w:p w14:paraId="2F20705A" w14:textId="77777777" w:rsidR="0091120B" w:rsidRPr="00E076F1" w:rsidRDefault="0091120B" w:rsidP="00E076F1">
      <w:pPr>
        <w:tabs>
          <w:tab w:val="clear" w:pos="567"/>
        </w:tabs>
        <w:autoSpaceDE w:val="0"/>
        <w:autoSpaceDN w:val="0"/>
        <w:adjustRightInd w:val="0"/>
        <w:spacing w:line="240" w:lineRule="auto"/>
        <w:rPr>
          <w:rFonts w:eastAsia="TimesNewRoman,Italic"/>
          <w:snapToGrid/>
          <w:szCs w:val="22"/>
          <w:lang w:val="hu-HU" w:eastAsia="en-GB"/>
        </w:rPr>
      </w:pPr>
    </w:p>
    <w:p w14:paraId="7CC6C182" w14:textId="4AE8104E"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rifampicinnel (ami különböző aktív transzporterek és gyógyszer-metabolizáló enzimek induktora) történt egyidejű alkalmazást követően a dapagliflozin szisztémás expozíciójának (AUC) 22%-os csökkenését észlelték, de ennek nem volt klinikailag jelentős hatása a vizelettel történő 24 órás glükóz</w:t>
      </w:r>
      <w:r w:rsidR="00B81DB6">
        <w:rPr>
          <w:rFonts w:eastAsia="TimesNewRoman,Italic"/>
          <w:snapToGrid/>
          <w:szCs w:val="22"/>
          <w:lang w:val="hu-HU" w:eastAsia="en-GB"/>
        </w:rPr>
        <w:t>-</w:t>
      </w:r>
      <w:r w:rsidRPr="00E076F1">
        <w:rPr>
          <w:rFonts w:eastAsia="TimesNewRoman,Italic"/>
          <w:snapToGrid/>
          <w:szCs w:val="22"/>
          <w:lang w:val="hu-HU" w:eastAsia="en-GB"/>
        </w:rPr>
        <w:t>excretióra. A dózis módosítása nem javasolt. Más induktorokkal (pl. karbamazepin, fenitoin, fenobarbitál) klinikailag jelentős kölcsönhatás nem várható.</w:t>
      </w:r>
    </w:p>
    <w:p w14:paraId="3BA7E709" w14:textId="77777777" w:rsidR="00046212" w:rsidRPr="00E076F1" w:rsidRDefault="00046212" w:rsidP="00E076F1">
      <w:pPr>
        <w:tabs>
          <w:tab w:val="clear" w:pos="567"/>
        </w:tabs>
        <w:autoSpaceDE w:val="0"/>
        <w:autoSpaceDN w:val="0"/>
        <w:adjustRightInd w:val="0"/>
        <w:spacing w:line="240" w:lineRule="auto"/>
        <w:rPr>
          <w:rFonts w:eastAsia="TimesNewRoman,Italic"/>
          <w:snapToGrid/>
          <w:szCs w:val="22"/>
          <w:lang w:val="hu-HU" w:eastAsia="en-GB"/>
        </w:rPr>
      </w:pPr>
    </w:p>
    <w:p w14:paraId="2B5A9600" w14:textId="43C65D79"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mefenami</w:t>
      </w:r>
      <w:r w:rsidR="002308BD">
        <w:rPr>
          <w:rFonts w:eastAsia="TimesNewRoman,Italic"/>
          <w:snapToGrid/>
          <w:szCs w:val="22"/>
          <w:lang w:val="hu-HU" w:eastAsia="en-GB"/>
        </w:rPr>
        <w:t>n</w:t>
      </w:r>
      <w:r w:rsidRPr="00E076F1">
        <w:rPr>
          <w:rFonts w:eastAsia="TimesNewRoman,Italic"/>
          <w:snapToGrid/>
          <w:szCs w:val="22"/>
          <w:lang w:val="hu-HU" w:eastAsia="en-GB"/>
        </w:rPr>
        <w:t>savval (ami egy UGT1A9-inhibitor) történő egyidejű alkalmazását követően a dapagliflozin szisztémás expozíciójának 55%-os növekedését észlelték, de ennek nem volt klinikailag jelentős hatása a vizelettel történő 24 órás glükóz-excretióra. A dózis módosítása nem javasolt.</w:t>
      </w:r>
    </w:p>
    <w:p w14:paraId="2B75CA15"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79CB78E9" w14:textId="77777777" w:rsidR="00AB4B65" w:rsidRPr="00E076F1" w:rsidRDefault="00AB4B6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 dapagliflozin hatása más gyógyszerekre</w:t>
      </w:r>
    </w:p>
    <w:p w14:paraId="49F0B9E0" w14:textId="2BFCD355"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Egészséges alanyokkal végzett, elsősorban egyszeri adagolást alkalmazó interakciós vizsgálatokban a dapagliflozin nem változtatta meg a pioglitazon, a szitagliptin, a glimepirid, a hidroklorotiazid, a bumetanid, a valzartán, a digoxin (egy P-gp-szubsztrát) vagy a warfarin (S-warfarin, egy CYP2C9</w:t>
      </w:r>
      <w:r w:rsidRPr="00E076F1">
        <w:rPr>
          <w:rFonts w:eastAsia="TimesNewRoman,Italic"/>
          <w:snapToGrid/>
          <w:szCs w:val="22"/>
          <w:lang w:val="hu-HU" w:eastAsia="en-GB"/>
        </w:rPr>
        <w:noBreakHyphen/>
        <w:t>szubsztrát) farmakokinetikáját vagy a warfarin INR-rel mért antikoaguláns hatását. Egyetlen 20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adag dapagliflozin és szimvasztatin (egy CYP3A4-szubsztrát) kombinációja a szimvasztatin AUC 19%-os emelkedését és a szimvasztatinsav AUC 31%-os emelkedéset eredményezte. A szimvasztatin- és a szimvasztatinsav-expozíció emelkedését nem tartják klinikailag relevánsnak.</w:t>
      </w:r>
    </w:p>
    <w:p w14:paraId="5FF19399" w14:textId="77777777" w:rsidR="00AB4B65" w:rsidRPr="00E076F1" w:rsidRDefault="00AB4B65" w:rsidP="00E076F1">
      <w:pPr>
        <w:tabs>
          <w:tab w:val="clear" w:pos="567"/>
        </w:tabs>
        <w:autoSpaceDE w:val="0"/>
        <w:autoSpaceDN w:val="0"/>
        <w:adjustRightInd w:val="0"/>
        <w:spacing w:line="240" w:lineRule="auto"/>
        <w:rPr>
          <w:rFonts w:eastAsia="TimesNewRoman,Italic"/>
          <w:i/>
          <w:iCs/>
          <w:snapToGrid/>
          <w:szCs w:val="22"/>
          <w:lang w:val="hu-HU" w:eastAsia="en-GB"/>
        </w:rPr>
      </w:pPr>
    </w:p>
    <w:p w14:paraId="3317A682" w14:textId="40BE4F36" w:rsidR="00AB4B65" w:rsidRPr="00E076F1" w:rsidRDefault="00AB4B65" w:rsidP="00CE5342">
      <w:pPr>
        <w:keepNext/>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Az 1,5-anhidroglucitol (1,5-AG) vizsgálatra kifejtett zavaró hatás</w:t>
      </w:r>
    </w:p>
    <w:p w14:paraId="012DA5B6" w14:textId="1B895B32" w:rsidR="00AB4B65" w:rsidRPr="00E076F1" w:rsidRDefault="00AB4B65" w:rsidP="00CE5342">
      <w:pPr>
        <w:keepNext/>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1,5-AG vizsgálat nem ajánlott a glikémiás kontroll ellenőrzésére, mivel az SGLT2-gátló kezelésben részesülő betegeknél a szénhidrátanyagcsere-egyensúly értékelésekor az 1,5-AG mérése megbízhatatlan eredményt ad. A glikémiás kontroll ellenőrzésére alternatív módszerek alkalmazása javasolt.</w:t>
      </w:r>
    </w:p>
    <w:p w14:paraId="5F9744EB" w14:textId="77777777"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p>
    <w:p w14:paraId="4F3AE798" w14:textId="77777777" w:rsidR="00AB4B65" w:rsidRPr="00E076F1" w:rsidRDefault="00AB4B6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Gyermekek és serdülők</w:t>
      </w:r>
    </w:p>
    <w:p w14:paraId="2740C52E" w14:textId="21D3A011"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rFonts w:eastAsia="TimesNewRoman,Italic"/>
          <w:snapToGrid/>
          <w:szCs w:val="22"/>
          <w:lang w:val="hu-HU" w:eastAsia="en-GB"/>
        </w:rPr>
        <w:t>Interakciós vizsgálatokat csak felnőttek körében végeztek.</w:t>
      </w:r>
    </w:p>
    <w:p w14:paraId="79895709"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13A88410" w14:textId="77777777" w:rsidR="00F20A62" w:rsidRPr="00E076F1" w:rsidRDefault="00F20A6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Metformin</w:t>
      </w:r>
    </w:p>
    <w:p w14:paraId="5CCA2808" w14:textId="77777777" w:rsidR="0091120B" w:rsidRPr="00E076F1" w:rsidRDefault="0091120B"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42DF2305" w14:textId="0A82F3A8" w:rsidR="00F20A62" w:rsidRPr="00E076F1" w:rsidRDefault="00F20A62"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Együttadása nem ajánlott</w:t>
      </w:r>
    </w:p>
    <w:p w14:paraId="4BBF9244" w14:textId="62D9DE5C"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renális tubuláris szekrécióval eliminálódó kationos hatóanyagok (pl. cimetidin) kölcsönhatásba léphetnek a metforminnal azáltal, hogy versengenek az általános renális tubuláris transzportrendszerekért.</w:t>
      </w:r>
    </w:p>
    <w:p w14:paraId="3217FE2D" w14:textId="1D443EB2"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 hét, egészséges önkéntessel végzett vizsgálat azt mutatta, hogy a naponta kétszer adott 400</w:t>
      </w:r>
      <w:r w:rsidR="00122450" w:rsidRPr="00E076F1">
        <w:rPr>
          <w:snapToGrid/>
          <w:szCs w:val="22"/>
          <w:lang w:val="hu-HU" w:eastAsia="en-GB"/>
        </w:rPr>
        <w:t> mg</w:t>
      </w:r>
      <w:r w:rsidRPr="00E076F1">
        <w:rPr>
          <w:snapToGrid/>
          <w:szCs w:val="22"/>
          <w:lang w:val="hu-HU" w:eastAsia="en-GB"/>
        </w:rPr>
        <w:t xml:space="preserve"> cimetidin 50%-kal emelte a metformin szisztémás expozícióját (AUC) és 81%-kal a C</w:t>
      </w:r>
      <w:r w:rsidRPr="00E076F1">
        <w:rPr>
          <w:snapToGrid/>
          <w:szCs w:val="22"/>
          <w:vertAlign w:val="subscript"/>
          <w:lang w:val="hu-HU" w:eastAsia="en-GB"/>
        </w:rPr>
        <w:t>max</w:t>
      </w:r>
      <w:r w:rsidRPr="00E076F1">
        <w:rPr>
          <w:snapToGrid/>
          <w:szCs w:val="22"/>
          <w:lang w:val="hu-HU" w:eastAsia="en-GB"/>
        </w:rPr>
        <w:t>-át. Ezért a szénhidrátanyagcsere-egyensúly szoros ellenőrzése, a dózis javasolt adagoláson belüli módosítása, valamint a diabetes kezelésének megváltoztatása mérlegelendő, ha olyan kationos gyógyszerek kerülnek egyidejű alkalmazásra, amelyek renális tubuláris szekrécióval eliminálódnak.</w:t>
      </w:r>
    </w:p>
    <w:p w14:paraId="53135C48" w14:textId="77777777" w:rsidR="00F20A62" w:rsidRPr="00E076F1" w:rsidRDefault="00F20A62" w:rsidP="00E076F1">
      <w:pPr>
        <w:tabs>
          <w:tab w:val="clear" w:pos="567"/>
        </w:tabs>
        <w:autoSpaceDE w:val="0"/>
        <w:autoSpaceDN w:val="0"/>
        <w:adjustRightInd w:val="0"/>
        <w:spacing w:line="240" w:lineRule="auto"/>
        <w:rPr>
          <w:rFonts w:eastAsia="TimesNewRoman,Italic"/>
          <w:i/>
          <w:iCs/>
          <w:snapToGrid/>
          <w:szCs w:val="22"/>
          <w:lang w:val="hu-HU" w:eastAsia="en-GB"/>
        </w:rPr>
      </w:pPr>
    </w:p>
    <w:p w14:paraId="5D7EE155" w14:textId="48968FB1" w:rsidR="00F20A62" w:rsidRPr="00E076F1" w:rsidRDefault="00F20A62"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Alkohol</w:t>
      </w:r>
    </w:p>
    <w:p w14:paraId="7EDCF39A" w14:textId="38B54E1B"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metformin hatóanyagtartalma miatt az alkoholintoxikáció fokozza a laktátacidózis kockázatát, különösen éhezés, alultápláltság vagy májkárosodás fennállásakor (lásd 4.4 pont). Az alkohol és az alkoholtartalmú gyógyszerek szedését kerülni kell.</w:t>
      </w:r>
    </w:p>
    <w:p w14:paraId="05DAF99C"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4DAB2546" w14:textId="77777777" w:rsidR="00F20A62" w:rsidRPr="00E076F1" w:rsidRDefault="00F20A62" w:rsidP="00CE5342">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Jódtartalmú kontrasztanyagok</w:t>
      </w:r>
    </w:p>
    <w:p w14:paraId="5B21F166" w14:textId="06A64C9E" w:rsidR="00F20A62" w:rsidRPr="00E076F1" w:rsidRDefault="00F20A62" w:rsidP="00CE5342">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Jódtartalmú kontrasztanyagok intravaszkuláris alkalmazása kontrasztanyag-indukált nephropathiához vezethet, ami a metformin felhalmozódásával és a laktátacidózis kockázatának növekedésével jár. A </w:t>
      </w:r>
      <w:r w:rsidR="00AE4F87" w:rsidRPr="00E076F1">
        <w:rPr>
          <w:rFonts w:eastAsia="TimesNewRoman,Italic"/>
          <w:snapToGrid/>
          <w:szCs w:val="22"/>
          <w:lang w:val="hu-HU" w:eastAsia="en-GB"/>
        </w:rPr>
        <w:t>Dapagliflozin/Metformin Polpharma</w:t>
      </w:r>
      <w:r w:rsidRPr="00E076F1">
        <w:rPr>
          <w:rFonts w:eastAsia="TimesNewRoman,Italic"/>
          <w:snapToGrid/>
          <w:szCs w:val="22"/>
          <w:lang w:val="hu-HU" w:eastAsia="en-GB"/>
        </w:rPr>
        <w:t xml:space="preserve"> adását fel kell függeszteni a vizsgálatot megelőzően vagy a vizsgálat idejére, és csak legalább 48 óra elteltével állítható vissza, akkor is csak abban az esetben, ha a veseműködést újra ellenőrizték, és az stabilnak bizonyult (lásd 4.2 és 4.4 pont).</w:t>
      </w:r>
    </w:p>
    <w:p w14:paraId="295345D8" w14:textId="77777777"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p>
    <w:p w14:paraId="69B84B77" w14:textId="5E25EBD5" w:rsidR="00F20A62" w:rsidRPr="00E076F1" w:rsidRDefault="00CB6B06"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Pr>
          <w:rFonts w:eastAsia="TimesNewRoman,Italic"/>
          <w:i/>
          <w:iCs/>
          <w:snapToGrid/>
          <w:szCs w:val="22"/>
          <w:u w:val="single"/>
          <w:lang w:val="hu-HU" w:eastAsia="en-GB"/>
        </w:rPr>
        <w:t>Elővigyáz</w:t>
      </w:r>
      <w:r w:rsidR="00F20A62" w:rsidRPr="00E076F1">
        <w:rPr>
          <w:rFonts w:eastAsia="TimesNewRoman,Italic"/>
          <w:i/>
          <w:iCs/>
          <w:snapToGrid/>
          <w:szCs w:val="22"/>
          <w:u w:val="single"/>
          <w:lang w:val="hu-HU" w:eastAsia="en-GB"/>
        </w:rPr>
        <w:t>atossággal adható kombinációk</w:t>
      </w:r>
    </w:p>
    <w:p w14:paraId="50E45054" w14:textId="624242D4"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glükokortikoidoknak (szisztémásan és lokálisan alkalmazva) a béta-2-agonistáknak és a diuretikumoknak intrinsic hyperglykaemiás aktivitásuk van. A betegeket erről tájékoztatni kell, és a vércukorszint gyakoribb ellenőrzése szükséges, különösen az ilyen gyógyszerekkel történő kezelés kezdetén. Ha szükséges, a másik gyógyszerrel végzett kezelés ideje alatt és annak abbahagyásakor a vércukorszint</w:t>
      </w:r>
      <w:r w:rsidR="009D147C">
        <w:rPr>
          <w:rFonts w:eastAsia="TimesNewRoman,Italic"/>
          <w:snapToGrid/>
          <w:szCs w:val="22"/>
          <w:lang w:val="hu-HU" w:eastAsia="en-GB"/>
        </w:rPr>
        <w:t>-</w:t>
      </w:r>
      <w:r w:rsidRPr="00E076F1">
        <w:rPr>
          <w:rFonts w:eastAsia="TimesNewRoman,Italic"/>
          <w:snapToGrid/>
          <w:szCs w:val="22"/>
          <w:lang w:val="hu-HU" w:eastAsia="en-GB"/>
        </w:rPr>
        <w:t xml:space="preserve">csökkentő gyógyszer </w:t>
      </w:r>
      <w:r w:rsidR="009D147C">
        <w:rPr>
          <w:rFonts w:eastAsia="TimesNewRoman,Italic"/>
          <w:snapToGrid/>
          <w:szCs w:val="22"/>
          <w:lang w:val="hu-HU" w:eastAsia="en-GB"/>
        </w:rPr>
        <w:t>dózis</w:t>
      </w:r>
      <w:r w:rsidRPr="00E076F1">
        <w:rPr>
          <w:rFonts w:eastAsia="TimesNewRoman,Italic"/>
          <w:snapToGrid/>
          <w:szCs w:val="22"/>
          <w:lang w:val="hu-HU" w:eastAsia="en-GB"/>
        </w:rPr>
        <w:t>át módosítani kell.</w:t>
      </w:r>
    </w:p>
    <w:p w14:paraId="7A21A4E3" w14:textId="77777777" w:rsidR="00046212" w:rsidRPr="00E076F1" w:rsidRDefault="00046212" w:rsidP="00E076F1">
      <w:pPr>
        <w:tabs>
          <w:tab w:val="clear" w:pos="567"/>
        </w:tabs>
        <w:autoSpaceDE w:val="0"/>
        <w:autoSpaceDN w:val="0"/>
        <w:adjustRightInd w:val="0"/>
        <w:spacing w:line="240" w:lineRule="auto"/>
        <w:rPr>
          <w:rFonts w:eastAsia="TimesNewRoman,Italic"/>
          <w:snapToGrid/>
          <w:szCs w:val="22"/>
          <w:lang w:val="hu-HU" w:eastAsia="en-GB"/>
        </w:rPr>
      </w:pPr>
    </w:p>
    <w:p w14:paraId="20B29061" w14:textId="05343D5F"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Egyes gyógyszerek, például az NSAID-ok, köztük a szelektív ciklooxigenáz (COX)-2-inhibitorok, az ACE-gátlók, az angiotenzin-II-receptor-blokkolók, valamint a vízhajtók, különösen a kacsdiuretikumok károsan befolyásolhatják a veseműködést, és ezáltal növelhetik a laktátacidózis kockázatát. Ezen készítmények metforminnal </w:t>
      </w:r>
      <w:r w:rsidR="00241307">
        <w:rPr>
          <w:rFonts w:eastAsia="TimesNewRoman,Italic"/>
          <w:snapToGrid/>
          <w:szCs w:val="22"/>
          <w:lang w:val="hu-HU" w:eastAsia="en-GB"/>
        </w:rPr>
        <w:t xml:space="preserve">történő </w:t>
      </w:r>
      <w:r w:rsidRPr="00E076F1">
        <w:rPr>
          <w:rFonts w:eastAsia="TimesNewRoman,Italic"/>
          <w:snapToGrid/>
          <w:szCs w:val="22"/>
          <w:lang w:val="hu-HU" w:eastAsia="en-GB"/>
        </w:rPr>
        <w:t>együttes adásának megkezdésekor, illetve a kombinációs kezelés során a veseműködés szoros ellenőrzése szükséges.</w:t>
      </w:r>
    </w:p>
    <w:p w14:paraId="73FE8608" w14:textId="77777777"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p>
    <w:p w14:paraId="4A3A3992" w14:textId="77777777" w:rsidR="00F20A62" w:rsidRPr="00E076F1" w:rsidRDefault="00F20A62"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Inzulin és inzulin szekréciót fokozó hatóanyagok</w:t>
      </w:r>
    </w:p>
    <w:p w14:paraId="7956E2D6" w14:textId="4023202E"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inzulin és az inzulin szekréciót fokozó hatóanyagok, mint például a szulfonilureák</w:t>
      </w:r>
      <w:r w:rsidR="00241307">
        <w:rPr>
          <w:rFonts w:eastAsia="TimesNewRoman,Italic"/>
          <w:snapToGrid/>
          <w:szCs w:val="22"/>
          <w:lang w:val="hu-HU" w:eastAsia="en-GB"/>
        </w:rPr>
        <w:t>,</w:t>
      </w:r>
      <w:r w:rsidRPr="00E076F1">
        <w:rPr>
          <w:rFonts w:eastAsia="TimesNewRoman,Italic"/>
          <w:snapToGrid/>
          <w:szCs w:val="22"/>
          <w:lang w:val="hu-HU" w:eastAsia="en-GB"/>
        </w:rPr>
        <w:t xml:space="preserve"> hypoglykaemiát okoznak. Ezért a metforminnal kombinált alkalmazás esetén a hypoglykaemia kockázatának csökkentése érdekében alacsonyabb dózisú inzulinra vagy inzulin szekréciót fokozó hatóanyagra lehet szükség (lásd 4.2 és 4.8 pont).</w:t>
      </w:r>
    </w:p>
    <w:p w14:paraId="314D6A13" w14:textId="77777777"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p>
    <w:p w14:paraId="2090827B"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4.6</w:t>
      </w:r>
      <w:r w:rsidRPr="00E076F1">
        <w:rPr>
          <w:rFonts w:eastAsia="Times New Roman"/>
          <w:b/>
          <w:noProof/>
          <w:snapToGrid/>
          <w:szCs w:val="22"/>
          <w:lang w:val="hu-HU" w:eastAsia="en-US"/>
        </w:rPr>
        <w:tab/>
        <w:t>Termékenység, terhesség és szoptatás</w:t>
      </w:r>
    </w:p>
    <w:p w14:paraId="62EA758F" w14:textId="77777777" w:rsidR="00F45C51" w:rsidRPr="00E076F1" w:rsidRDefault="00F45C51" w:rsidP="00E076F1">
      <w:pPr>
        <w:spacing w:line="240" w:lineRule="auto"/>
        <w:rPr>
          <w:i/>
          <w:lang w:val="hu-HU"/>
        </w:rPr>
      </w:pPr>
    </w:p>
    <w:p w14:paraId="38D75DD0" w14:textId="77777777" w:rsidR="00F20A62" w:rsidRPr="00E076F1" w:rsidRDefault="00F20A6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Terhesség</w:t>
      </w:r>
    </w:p>
    <w:p w14:paraId="655B3D42" w14:textId="11AEBF67" w:rsidR="00F45C51"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AE4F87" w:rsidRPr="00E076F1">
        <w:rPr>
          <w:rFonts w:eastAsia="TimesNewRoman,Italic"/>
          <w:snapToGrid/>
          <w:szCs w:val="22"/>
          <w:lang w:val="hu-HU" w:eastAsia="en-GB"/>
        </w:rPr>
        <w:t>Dapagliflozin/Metformin Polpharma</w:t>
      </w:r>
      <w:r w:rsidRPr="00E076F1">
        <w:rPr>
          <w:snapToGrid/>
          <w:szCs w:val="22"/>
          <w:lang w:val="hu-HU" w:eastAsia="en-GB"/>
        </w:rPr>
        <w:t xml:space="preserve"> terhes nőknél történő alkalmazása tekintetében nem áll rendelkezésre információ. A dapagliflozinnal kezelt patkányokkal végzett vizsgálatok a humán terhesség második és harmadik trimeszterének megfelelő időszakban a fejlődő vesékre gyakorolt toxicitást jeleztek (lásd 5.3 pont). Ezért a gyógyszer alkalmazása a terhesség második és harmadik trimesztere alatt nem javasolt. A metformin terhes nőknél történő alkalmazása során a korlátozott mennyiségű adat nem mutatja a veleszületett fejlődési rendellenességek fokozott kockázatát. A metforminnal végzett állatkísérletek nem utalnak a terhességet, az embrionális vagy magzati fejlődést, szülést vagy szülés utáni fejlődést károsan befolyásoló hatásra (lásd 5.3 pont).</w:t>
      </w:r>
    </w:p>
    <w:p w14:paraId="030B3E75"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63F132B6" w14:textId="1E96672B"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kóros vércukorszint következtében kialakuló magzati rendellenességek kockázatának csökkentése érdekében, amikor a beteg terhességet tervez, valamint a terhesség ideje alatt</w:t>
      </w:r>
      <w:r w:rsidR="00241307">
        <w:rPr>
          <w:snapToGrid/>
          <w:szCs w:val="22"/>
          <w:lang w:val="hu-HU" w:eastAsia="en-GB"/>
        </w:rPr>
        <w:t>,</w:t>
      </w:r>
      <w:r w:rsidRPr="00E076F1">
        <w:rPr>
          <w:snapToGrid/>
          <w:szCs w:val="22"/>
          <w:lang w:val="hu-HU" w:eastAsia="en-GB"/>
        </w:rPr>
        <w:t xml:space="preserve"> nem ajánlott, hogy a diabetes kezelése ezzel a gyógyszerrel történjen, hanem inzulin alkalmazásával tartsák a vércukorszinteket a lehető legközelebb a normál értékekhez.</w:t>
      </w:r>
    </w:p>
    <w:p w14:paraId="5D186C7F"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70186BD0" w14:textId="77777777" w:rsidR="00F20A62" w:rsidRPr="00E076F1" w:rsidRDefault="00F20A6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Szoptatás</w:t>
      </w:r>
    </w:p>
    <w:p w14:paraId="179681B6" w14:textId="6B207E00"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Nem ismert, hogy a gyógyszer vagy a dapagliflozin (és/vagy annak metabolitjai) kiválasztódnak-e a humán anyatejbe. Az állatkísérletekből rendelkezésre álló farmakodinámiás/toxikológiai adatok a dapagliflozin anyatejbe történő kiválasztódását, valamint a szoptatott utódokra gyakorolt, farmakológiailag-mediált hatások kialakulását igazolták (lásd 5.3 pont). A metformin kis mennyiségben kiválasztódik a humán anyatejbe. </w:t>
      </w:r>
      <w:r w:rsidR="002270AE">
        <w:rPr>
          <w:snapToGrid/>
          <w:szCs w:val="22"/>
          <w:lang w:val="hu-HU" w:eastAsia="en-GB"/>
        </w:rPr>
        <w:t xml:space="preserve">A kezelt anya tejével táplált </w:t>
      </w:r>
      <w:r w:rsidRPr="00E076F1">
        <w:rPr>
          <w:snapToGrid/>
          <w:szCs w:val="22"/>
          <w:lang w:val="hu-HU" w:eastAsia="en-GB"/>
        </w:rPr>
        <w:t>újszülöttre/csecsemőre nézve a kockázatot nem lehet kizárni.</w:t>
      </w:r>
    </w:p>
    <w:p w14:paraId="2BAFFE61"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03FAD5FF" w14:textId="3096FE8C"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alkalmazása nem javasolt a szoptatás alatt.</w:t>
      </w:r>
    </w:p>
    <w:p w14:paraId="5DE8371B"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48F057ED" w14:textId="2772104E" w:rsidR="00F20A62" w:rsidRPr="00E076F1" w:rsidRDefault="00F20A6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Termékenység</w:t>
      </w:r>
    </w:p>
    <w:p w14:paraId="7A62476B" w14:textId="588EBB1D"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vagy a dapagliflozin emberi termékenységre gyakorolt hatását nem vizsgálták. Hím és nőstény patkányoknál a dapagliflozin egyetlen vizsgált dózisban sem mutatott a fertilitásra gyakorolt hatásokat. A metformin esetén az állato</w:t>
      </w:r>
      <w:r w:rsidR="00F168F6">
        <w:rPr>
          <w:snapToGrid/>
          <w:szCs w:val="22"/>
          <w:lang w:val="hu-HU" w:eastAsia="en-GB"/>
        </w:rPr>
        <w:t>knál</w:t>
      </w:r>
      <w:r w:rsidRPr="00E076F1">
        <w:rPr>
          <w:snapToGrid/>
          <w:szCs w:val="22"/>
          <w:lang w:val="hu-HU" w:eastAsia="en-GB"/>
        </w:rPr>
        <w:t xml:space="preserve"> végzett kísérletek nem mutattak reprodukciós toxicitást (lásd 5.3 pont).</w:t>
      </w:r>
    </w:p>
    <w:p w14:paraId="5EAF9AE1"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7849FC3E" w14:textId="77777777" w:rsidR="00F45C51" w:rsidRPr="00E076F1" w:rsidRDefault="00D05999" w:rsidP="00CE5342">
      <w:pPr>
        <w:spacing w:line="240" w:lineRule="auto"/>
        <w:ind w:left="567" w:hanging="567"/>
        <w:outlineLvl w:val="0"/>
        <w:rPr>
          <w:rFonts w:eastAsia="Times New Roman"/>
          <w:b/>
          <w:noProof/>
          <w:snapToGrid/>
          <w:szCs w:val="22"/>
          <w:lang w:val="hu-HU" w:eastAsia="en-US"/>
        </w:rPr>
      </w:pPr>
      <w:r w:rsidRPr="00CC23BB">
        <w:rPr>
          <w:rFonts w:eastAsia="Times New Roman"/>
          <w:b/>
          <w:noProof/>
          <w:snapToGrid/>
          <w:szCs w:val="22"/>
          <w:lang w:val="hu-HU" w:eastAsia="en-US"/>
        </w:rPr>
        <w:t>4.7</w:t>
      </w:r>
      <w:r w:rsidRPr="00E076F1">
        <w:rPr>
          <w:rFonts w:eastAsia="Times New Roman"/>
          <w:b/>
          <w:noProof/>
          <w:snapToGrid/>
          <w:szCs w:val="22"/>
          <w:lang w:val="hu-HU" w:eastAsia="en-US"/>
        </w:rPr>
        <w:tab/>
        <w:t xml:space="preserve">A készítmény hatásai a gépjárművezetéshez és </w:t>
      </w:r>
      <w:r w:rsidR="00F5194B" w:rsidRPr="00E076F1">
        <w:rPr>
          <w:rFonts w:eastAsia="Times New Roman"/>
          <w:b/>
          <w:noProof/>
          <w:snapToGrid/>
          <w:szCs w:val="22"/>
          <w:lang w:val="hu-HU" w:eastAsia="en-US"/>
        </w:rPr>
        <w:t xml:space="preserve">a </w:t>
      </w:r>
      <w:r w:rsidRPr="00E076F1">
        <w:rPr>
          <w:rFonts w:eastAsia="Times New Roman"/>
          <w:b/>
          <w:noProof/>
          <w:snapToGrid/>
          <w:szCs w:val="22"/>
          <w:lang w:val="hu-HU" w:eastAsia="en-US"/>
        </w:rPr>
        <w:t>gépek kezeléséhez szükséges képességekre</w:t>
      </w:r>
    </w:p>
    <w:p w14:paraId="495ECC9C" w14:textId="77777777" w:rsidR="00F45C51" w:rsidRPr="00E076F1" w:rsidRDefault="00F45C51" w:rsidP="00CE5342">
      <w:pPr>
        <w:spacing w:line="240" w:lineRule="auto"/>
        <w:ind w:left="567" w:hanging="567"/>
        <w:outlineLvl w:val="0"/>
        <w:rPr>
          <w:bCs/>
          <w:lang w:val="hu-HU"/>
        </w:rPr>
      </w:pPr>
    </w:p>
    <w:p w14:paraId="52D871DC" w14:textId="3C9B1114" w:rsidR="00F45C51" w:rsidRPr="00E076F1" w:rsidRDefault="00F20A62" w:rsidP="00CE5342">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AE4F87" w:rsidRPr="00E076F1">
        <w:rPr>
          <w:rFonts w:eastAsia="TimesNewRoman,Italic"/>
          <w:snapToGrid/>
          <w:szCs w:val="22"/>
          <w:lang w:val="hu-HU" w:eastAsia="en-GB"/>
        </w:rPr>
        <w:t>Dapagliflozin/Metformin Polpharma</w:t>
      </w:r>
      <w:r w:rsidRPr="00E076F1">
        <w:rPr>
          <w:snapToGrid/>
          <w:szCs w:val="22"/>
          <w:lang w:val="hu-HU" w:eastAsia="en-GB"/>
        </w:rPr>
        <w:t xml:space="preserve"> nem</w:t>
      </w:r>
      <w:r w:rsidR="00CC23BB">
        <w:rPr>
          <w:snapToGrid/>
          <w:szCs w:val="22"/>
          <w:lang w:val="hu-HU" w:eastAsia="en-GB"/>
        </w:rPr>
        <w:t>,</w:t>
      </w:r>
      <w:r w:rsidRPr="00E076F1">
        <w:rPr>
          <w:snapToGrid/>
          <w:szCs w:val="22"/>
          <w:lang w:val="hu-HU" w:eastAsia="en-GB"/>
        </w:rPr>
        <w:t xml:space="preserve"> vagy csak elhanyagolható mértékben befolyásolja a gépjárművezetéshez és a</w:t>
      </w:r>
      <w:r w:rsidR="006C6C63" w:rsidRPr="00E076F1">
        <w:rPr>
          <w:snapToGrid/>
          <w:szCs w:val="22"/>
          <w:lang w:val="hu-HU" w:eastAsia="en-GB"/>
        </w:rPr>
        <w:t> </w:t>
      </w:r>
      <w:r w:rsidRPr="00E076F1">
        <w:rPr>
          <w:snapToGrid/>
          <w:szCs w:val="22"/>
          <w:lang w:val="hu-HU" w:eastAsia="en-GB"/>
        </w:rPr>
        <w:t>gépek</w:t>
      </w:r>
      <w:r w:rsidR="006C6C63" w:rsidRPr="00E076F1">
        <w:rPr>
          <w:snapToGrid/>
          <w:szCs w:val="22"/>
          <w:lang w:val="hu-HU" w:eastAsia="en-GB"/>
        </w:rPr>
        <w:t xml:space="preserve"> </w:t>
      </w:r>
      <w:r w:rsidRPr="00E076F1">
        <w:rPr>
          <w:snapToGrid/>
          <w:szCs w:val="22"/>
          <w:lang w:val="hu-HU" w:eastAsia="en-GB"/>
        </w:rPr>
        <w:t>kezeléséhez szükséges képességeket. A betegeket figyelmeztetni kell a hypoglykaemia kockázatára,</w:t>
      </w:r>
      <w:r w:rsidR="006C6C63" w:rsidRPr="00E076F1">
        <w:rPr>
          <w:snapToGrid/>
          <w:szCs w:val="22"/>
          <w:lang w:val="hu-HU" w:eastAsia="en-GB"/>
        </w:rPr>
        <w:t xml:space="preserve"> </w:t>
      </w:r>
      <w:r w:rsidRPr="00E076F1">
        <w:rPr>
          <w:snapToGrid/>
          <w:szCs w:val="22"/>
          <w:lang w:val="hu-HU" w:eastAsia="en-GB"/>
        </w:rPr>
        <w:t>amikor ezt a gyógyszert más, ismerten hypoglykaemiát okozó vércukorszint-csökkentő gyógyszerekkel</w:t>
      </w:r>
      <w:r w:rsidR="006C6C63" w:rsidRPr="00E076F1">
        <w:rPr>
          <w:snapToGrid/>
          <w:szCs w:val="22"/>
          <w:lang w:val="hu-HU" w:eastAsia="en-GB"/>
        </w:rPr>
        <w:t xml:space="preserve"> </w:t>
      </w:r>
      <w:r w:rsidRPr="00E076F1">
        <w:rPr>
          <w:snapToGrid/>
          <w:szCs w:val="22"/>
          <w:lang w:val="hu-HU" w:eastAsia="en-GB"/>
        </w:rPr>
        <w:t>kombinálva alkalmazzák.</w:t>
      </w:r>
    </w:p>
    <w:p w14:paraId="5A905648" w14:textId="77777777" w:rsidR="006C6C63" w:rsidRPr="00E076F1" w:rsidRDefault="006C6C63" w:rsidP="00E076F1">
      <w:pPr>
        <w:tabs>
          <w:tab w:val="clear" w:pos="567"/>
        </w:tabs>
        <w:autoSpaceDE w:val="0"/>
        <w:autoSpaceDN w:val="0"/>
        <w:adjustRightInd w:val="0"/>
        <w:spacing w:line="240" w:lineRule="auto"/>
        <w:rPr>
          <w:snapToGrid/>
          <w:szCs w:val="22"/>
          <w:lang w:val="hu-HU" w:eastAsia="en-GB"/>
        </w:rPr>
      </w:pPr>
    </w:p>
    <w:p w14:paraId="5494DFBC"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4.8</w:t>
      </w:r>
      <w:r w:rsidRPr="00E076F1">
        <w:rPr>
          <w:rFonts w:eastAsia="Times New Roman"/>
          <w:b/>
          <w:noProof/>
          <w:snapToGrid/>
          <w:szCs w:val="22"/>
          <w:lang w:val="hu-HU" w:eastAsia="en-US"/>
        </w:rPr>
        <w:tab/>
        <w:t>Nemkívánatos hatások, mellékhatások</w:t>
      </w:r>
    </w:p>
    <w:p w14:paraId="6E580ED4" w14:textId="77777777" w:rsidR="00F45C51" w:rsidRPr="00720C2A" w:rsidRDefault="00F45C51" w:rsidP="00E076F1">
      <w:pPr>
        <w:spacing w:line="240" w:lineRule="auto"/>
        <w:rPr>
          <w:iCs/>
          <w:lang w:val="hu-HU"/>
        </w:rPr>
      </w:pPr>
    </w:p>
    <w:p w14:paraId="31B2FA0A" w14:textId="65C40FED"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AE4F87" w:rsidRPr="00E076F1">
        <w:rPr>
          <w:rFonts w:eastAsia="TimesNewRoman,Italic"/>
          <w:snapToGrid/>
          <w:szCs w:val="22"/>
          <w:lang w:val="hu-HU" w:eastAsia="en-GB"/>
        </w:rPr>
        <w:t>Dapagliflozin/Metformin Polpharma</w:t>
      </w:r>
      <w:r w:rsidRPr="00E076F1">
        <w:rPr>
          <w:snapToGrid/>
          <w:szCs w:val="22"/>
          <w:lang w:val="hu-HU" w:eastAsia="en-GB"/>
        </w:rPr>
        <w:t xml:space="preserve"> igazoltan bioekvivalens az egyidejűleg adott dapagliflozinnal és metforminnal (lásd 5.2 pont).</w:t>
      </w:r>
      <w:r w:rsidR="00AF5856" w:rsidRPr="00E076F1">
        <w:rPr>
          <w:snapToGrid/>
          <w:szCs w:val="22"/>
          <w:lang w:val="hu-HU" w:eastAsia="en-GB"/>
        </w:rPr>
        <w:t xml:space="preserve"> A dapagliflozin plusz metformin tablettával nem végeztek terápiás klinikai vizsgálatokat.</w:t>
      </w:r>
    </w:p>
    <w:p w14:paraId="172A9A91" w14:textId="77777777" w:rsidR="00AF5856" w:rsidRPr="00E076F1" w:rsidRDefault="00AF5856" w:rsidP="00E076F1">
      <w:pPr>
        <w:tabs>
          <w:tab w:val="clear" w:pos="567"/>
        </w:tabs>
        <w:autoSpaceDE w:val="0"/>
        <w:autoSpaceDN w:val="0"/>
        <w:adjustRightInd w:val="0"/>
        <w:spacing w:line="240" w:lineRule="auto"/>
        <w:rPr>
          <w:snapToGrid/>
          <w:szCs w:val="22"/>
          <w:u w:val="single"/>
          <w:lang w:val="hu-HU" w:eastAsia="en-GB"/>
        </w:rPr>
      </w:pPr>
    </w:p>
    <w:p w14:paraId="45116150" w14:textId="623144D5" w:rsidR="006C6C63" w:rsidRPr="00E076F1" w:rsidRDefault="006C6C63"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 plusz metformin</w:t>
      </w:r>
    </w:p>
    <w:p w14:paraId="7BF5C05B" w14:textId="77777777" w:rsidR="00AF5856" w:rsidRPr="00E076F1" w:rsidRDefault="00AF5856"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46CF1613" w14:textId="1E4C9B7D" w:rsidR="006C6C63" w:rsidRPr="00E076F1" w:rsidRDefault="006C6C63"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 biztonságossági profil összefoglalása</w:t>
      </w:r>
    </w:p>
    <w:p w14:paraId="34B70032" w14:textId="6ED3C6A5" w:rsidR="00F5194B"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metformin mellé kiegészítésként adott dapagliflozin-kezeléssel végzett 5 placebokontrollos vizsgálat analízisében a biztonságossági eredmények hasonlóak voltak a 13 dapagliflozinnal végzett placebokontrollos vizsgálat előre meghatározott összesített analízisének eredményével (lásd alább, Dapagliflozin, </w:t>
      </w:r>
      <w:r w:rsidRPr="00E076F1">
        <w:rPr>
          <w:rFonts w:eastAsia="TimesNewRoman,Italic"/>
          <w:i/>
          <w:iCs/>
          <w:snapToGrid/>
          <w:szCs w:val="22"/>
          <w:lang w:val="hu-HU" w:eastAsia="en-GB"/>
        </w:rPr>
        <w:t>A biztonságossági profil összefoglalása</w:t>
      </w:r>
      <w:r w:rsidRPr="00E076F1">
        <w:rPr>
          <w:snapToGrid/>
          <w:szCs w:val="22"/>
          <w:lang w:val="hu-HU" w:eastAsia="en-GB"/>
        </w:rPr>
        <w:t>). A dapagliflozin plusz metformin csoportban az egyes összetevőkkel kapcsolatban jelentettekhez képest nem azonosítottak további mellékhatásokat. Egy különálló, a metformin mellé kiegészítésként adott dapagliflozin-kezelés összesített analízisében 623 beteget kezeltek a metformin mellé kiegészítésként adott 10</w:t>
      </w:r>
      <w:r w:rsidR="00122450" w:rsidRPr="00E076F1">
        <w:rPr>
          <w:snapToGrid/>
          <w:szCs w:val="22"/>
          <w:lang w:val="hu-HU" w:eastAsia="en-GB"/>
        </w:rPr>
        <w:t> mg</w:t>
      </w:r>
      <w:r w:rsidRPr="00E076F1">
        <w:rPr>
          <w:snapToGrid/>
          <w:szCs w:val="22"/>
          <w:lang w:val="hu-HU" w:eastAsia="en-GB"/>
        </w:rPr>
        <w:t xml:space="preserve"> dapagliflozinnal, és 523 beteget kezeltek placebo plusz metforminnal.</w:t>
      </w:r>
    </w:p>
    <w:p w14:paraId="6EC413B8" w14:textId="77777777" w:rsidR="006C6C63" w:rsidRPr="00E076F1" w:rsidRDefault="006C6C63" w:rsidP="00E076F1">
      <w:pPr>
        <w:spacing w:line="240" w:lineRule="auto"/>
        <w:rPr>
          <w:u w:val="single"/>
          <w:lang w:val="hu-HU"/>
        </w:rPr>
      </w:pPr>
    </w:p>
    <w:p w14:paraId="1EAEEBDE" w14:textId="77777777" w:rsidR="006C6C63" w:rsidRPr="00E076F1" w:rsidRDefault="006C6C63" w:rsidP="00CE5342">
      <w:pPr>
        <w:keepNext/>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6967E192" w14:textId="77777777" w:rsidR="00AF5856" w:rsidRPr="00E076F1" w:rsidRDefault="00AF5856" w:rsidP="00CE5342">
      <w:pPr>
        <w:keepNext/>
        <w:tabs>
          <w:tab w:val="clear" w:pos="567"/>
        </w:tabs>
        <w:autoSpaceDE w:val="0"/>
        <w:autoSpaceDN w:val="0"/>
        <w:adjustRightInd w:val="0"/>
        <w:spacing w:line="240" w:lineRule="auto"/>
        <w:rPr>
          <w:rFonts w:eastAsia="TimesNewRoman,Italic"/>
          <w:i/>
          <w:iCs/>
          <w:snapToGrid/>
          <w:szCs w:val="22"/>
          <w:u w:val="single"/>
          <w:lang w:val="hu-HU" w:eastAsia="en-GB"/>
        </w:rPr>
      </w:pPr>
    </w:p>
    <w:p w14:paraId="379B7120" w14:textId="1DE15ADF" w:rsidR="006C6C63" w:rsidRPr="00E076F1" w:rsidRDefault="006C6C63" w:rsidP="00CE5342">
      <w:pPr>
        <w:keepNext/>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 biztonságossági profil összefoglalása</w:t>
      </w:r>
    </w:p>
    <w:p w14:paraId="4F0DF717" w14:textId="77777777" w:rsidR="00046212" w:rsidRPr="00E076F1" w:rsidRDefault="006C6C63" w:rsidP="00CE5342">
      <w:pPr>
        <w:keepNext/>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2-es típusú diabetesben végzett klinikai vizsgálatokban több mint 15 000 beteget kezeltek dapagliflozinnal.</w:t>
      </w:r>
    </w:p>
    <w:p w14:paraId="0751A70E" w14:textId="77777777" w:rsidR="00046212" w:rsidRPr="00E076F1" w:rsidRDefault="00046212" w:rsidP="00E076F1">
      <w:pPr>
        <w:tabs>
          <w:tab w:val="clear" w:pos="567"/>
        </w:tabs>
        <w:autoSpaceDE w:val="0"/>
        <w:autoSpaceDN w:val="0"/>
        <w:adjustRightInd w:val="0"/>
        <w:spacing w:line="240" w:lineRule="auto"/>
        <w:rPr>
          <w:snapToGrid/>
          <w:szCs w:val="22"/>
          <w:lang w:val="hu-HU" w:eastAsia="en-GB"/>
        </w:rPr>
      </w:pPr>
    </w:p>
    <w:p w14:paraId="61BDFC63" w14:textId="62D82F84"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biztonságosság és a tolerabilitás elsődleges vizsgálatát egy előre meghatározott, összesített analízisben végezték, 13 rövid </w:t>
      </w:r>
      <w:r w:rsidR="00EC7641">
        <w:rPr>
          <w:snapToGrid/>
          <w:szCs w:val="22"/>
          <w:lang w:val="hu-HU" w:eastAsia="en-GB"/>
        </w:rPr>
        <w:t>távú</w:t>
      </w:r>
      <w:r w:rsidRPr="00E076F1">
        <w:rPr>
          <w:snapToGrid/>
          <w:szCs w:val="22"/>
          <w:lang w:val="hu-HU" w:eastAsia="en-GB"/>
        </w:rPr>
        <w:t xml:space="preserve"> (legfeljebb 24 hetes), placebokontrollos vizsgálatban, 2360, 10</w:t>
      </w:r>
      <w:r w:rsidR="00122450" w:rsidRPr="00E076F1">
        <w:rPr>
          <w:snapToGrid/>
          <w:szCs w:val="22"/>
          <w:lang w:val="hu-HU" w:eastAsia="en-GB"/>
        </w:rPr>
        <w:t> mg</w:t>
      </w:r>
      <w:r w:rsidRPr="00E076F1">
        <w:rPr>
          <w:snapToGrid/>
          <w:szCs w:val="22"/>
          <w:lang w:val="hu-HU" w:eastAsia="en-GB"/>
        </w:rPr>
        <w:t xml:space="preserve"> dapagliflozinnal kezelt, és 2295, placebóval kezelt betegnél.</w:t>
      </w:r>
    </w:p>
    <w:p w14:paraId="3F9F5E9A" w14:textId="77777777" w:rsidR="00046212" w:rsidRPr="00E076F1" w:rsidRDefault="00046212" w:rsidP="00E076F1">
      <w:pPr>
        <w:tabs>
          <w:tab w:val="clear" w:pos="567"/>
        </w:tabs>
        <w:autoSpaceDE w:val="0"/>
        <w:autoSpaceDN w:val="0"/>
        <w:adjustRightInd w:val="0"/>
        <w:spacing w:line="240" w:lineRule="auto"/>
        <w:rPr>
          <w:snapToGrid/>
          <w:szCs w:val="22"/>
          <w:lang w:val="hu-HU" w:eastAsia="en-GB"/>
        </w:rPr>
      </w:pPr>
    </w:p>
    <w:p w14:paraId="7A7060A1" w14:textId="1AA3C5BB"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cardiovascularis végpontú vizsgálatában (DECLARE, lásd 5.1 pont) 8574 beteg kapott 10</w:t>
      </w:r>
      <w:r w:rsidR="00122450" w:rsidRPr="00E076F1">
        <w:rPr>
          <w:snapToGrid/>
          <w:szCs w:val="22"/>
          <w:lang w:val="hu-HU" w:eastAsia="en-GB"/>
        </w:rPr>
        <w:t> mg</w:t>
      </w:r>
      <w:r w:rsidRPr="00E076F1">
        <w:rPr>
          <w:snapToGrid/>
          <w:szCs w:val="22"/>
          <w:lang w:val="hu-HU" w:eastAsia="en-GB"/>
        </w:rPr>
        <w:t xml:space="preserve"> dapagliflozint, és 8569 beteg kapott placebót, ahol az expozíció medián időtartama 48</w:t>
      </w:r>
      <w:r w:rsidR="00AF5856" w:rsidRPr="00E076F1">
        <w:rPr>
          <w:snapToGrid/>
          <w:szCs w:val="22"/>
          <w:lang w:val="hu-HU" w:eastAsia="en-GB"/>
        </w:rPr>
        <w:t> </w:t>
      </w:r>
      <w:r w:rsidRPr="00E076F1">
        <w:rPr>
          <w:snapToGrid/>
          <w:szCs w:val="22"/>
          <w:lang w:val="hu-HU" w:eastAsia="en-GB"/>
        </w:rPr>
        <w:t>hónap volt. Összesen 30 623 betegév volt a dapagliflozin-expozíció.</w:t>
      </w:r>
    </w:p>
    <w:p w14:paraId="44380A35" w14:textId="17E54431"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klinikai vizsgálatokban a leggyakrabban jelentett mellékhatás a genit</w:t>
      </w:r>
      <w:r w:rsidR="00603988">
        <w:rPr>
          <w:snapToGrid/>
          <w:szCs w:val="22"/>
          <w:lang w:val="hu-HU" w:eastAsia="en-GB"/>
        </w:rPr>
        <w:t>á</w:t>
      </w:r>
      <w:r w:rsidRPr="00E076F1">
        <w:rPr>
          <w:snapToGrid/>
          <w:szCs w:val="22"/>
          <w:lang w:val="hu-HU" w:eastAsia="en-GB"/>
        </w:rPr>
        <w:t>lis fertőzés volt.</w:t>
      </w:r>
    </w:p>
    <w:p w14:paraId="70522EFA" w14:textId="77777777" w:rsidR="006C6C63" w:rsidRPr="00E076F1" w:rsidRDefault="006C6C63" w:rsidP="00E076F1">
      <w:pPr>
        <w:tabs>
          <w:tab w:val="clear" w:pos="567"/>
        </w:tabs>
        <w:autoSpaceDE w:val="0"/>
        <w:autoSpaceDN w:val="0"/>
        <w:adjustRightInd w:val="0"/>
        <w:spacing w:line="240" w:lineRule="auto"/>
        <w:rPr>
          <w:snapToGrid/>
          <w:szCs w:val="22"/>
          <w:lang w:val="hu-HU" w:eastAsia="en-GB"/>
        </w:rPr>
      </w:pPr>
    </w:p>
    <w:p w14:paraId="34EC67B3" w14:textId="35C56220" w:rsidR="006C6C63" w:rsidRPr="00E076F1" w:rsidRDefault="006C6C63" w:rsidP="00CE5342">
      <w:pPr>
        <w:keepNext/>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 mellékhatások táblázatos felsorolása</w:t>
      </w:r>
    </w:p>
    <w:p w14:paraId="571233C2" w14:textId="77777777" w:rsidR="00046212" w:rsidRPr="00E076F1" w:rsidRDefault="006C6C63" w:rsidP="004E5F14">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alábbi mellékhatásokat azonosították a placebokontrollos dapagliflozin plusz metformin klinikai vizsgálatokban, a dapagliflozin klinikai vizsgálatokban és a metformin klinikai vizsgálatokban, valamint a forgalomba hozatalt követően. Egyiknél sem észlelték, hogy dózisfüggő lenne. Az alább felsorolt mellékhatások gyakoriság és szervrendszeri kategória szerint kerültek osztályozásra</w:t>
      </w:r>
    </w:p>
    <w:p w14:paraId="0FF5D1F1" w14:textId="77777777" w:rsidR="00046212" w:rsidRPr="00E076F1" w:rsidRDefault="00046212" w:rsidP="00E076F1">
      <w:pPr>
        <w:tabs>
          <w:tab w:val="clear" w:pos="567"/>
        </w:tabs>
        <w:autoSpaceDE w:val="0"/>
        <w:autoSpaceDN w:val="0"/>
        <w:adjustRightInd w:val="0"/>
        <w:spacing w:line="240" w:lineRule="auto"/>
        <w:rPr>
          <w:snapToGrid/>
          <w:szCs w:val="22"/>
          <w:lang w:val="hu-HU" w:eastAsia="en-GB"/>
        </w:rPr>
      </w:pPr>
    </w:p>
    <w:p w14:paraId="4DEF6D68" w14:textId="6483BCD3"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gyakorisági kategóriák az alábbi megegyezés szerint kerünek megadásra: nagyon gyakori (≥ 1/10), gyakori (≥ 1/100 - &lt; 1/10), nem gyakori (≥ 1/1000 - &lt; 1/100), ritka (≥ 1/10 000 - &lt; 1/1000), nagyon ritka (&lt; 1/10 000) és nem ismert (a gyakoriság a rendelkezésre álló adatokból nem állapítható meg).</w:t>
      </w:r>
    </w:p>
    <w:p w14:paraId="60FBBE78" w14:textId="77777777" w:rsidR="006C6C63" w:rsidRPr="00E076F1" w:rsidRDefault="006C6C63" w:rsidP="00E076F1">
      <w:pPr>
        <w:spacing w:line="240" w:lineRule="auto"/>
        <w:rPr>
          <w:szCs w:val="22"/>
          <w:u w:val="single"/>
          <w:lang w:val="hu-HU"/>
        </w:rPr>
      </w:pPr>
    </w:p>
    <w:p w14:paraId="6700352C" w14:textId="5175DA8D" w:rsidR="006C6C63" w:rsidRPr="00E076F1" w:rsidRDefault="006C6C63"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2. táblázat A dapagliflozinnal és az azonnali hatóanyagleadású metforminnal végzett klinikai vizsgálatokból és a forgalomba hozatalt követő adatokból származó mellékhatások</w:t>
      </w:r>
    </w:p>
    <w:tbl>
      <w:tblPr>
        <w:tblW w:w="0" w:type="auto"/>
        <w:tblLayout w:type="fixed"/>
        <w:tblCellMar>
          <w:left w:w="10" w:type="dxa"/>
          <w:right w:w="10" w:type="dxa"/>
        </w:tblCellMar>
        <w:tblLook w:val="04A0" w:firstRow="1" w:lastRow="0" w:firstColumn="1" w:lastColumn="0" w:noHBand="0" w:noVBand="1"/>
      </w:tblPr>
      <w:tblGrid>
        <w:gridCol w:w="1531"/>
        <w:gridCol w:w="1536"/>
        <w:gridCol w:w="1478"/>
        <w:gridCol w:w="1416"/>
        <w:gridCol w:w="1478"/>
        <w:gridCol w:w="1315"/>
      </w:tblGrid>
      <w:tr w:rsidR="006C6C63" w:rsidRPr="00E076F1" w14:paraId="45F7492D" w14:textId="77777777" w:rsidTr="00BB10D9">
        <w:trPr>
          <w:trHeight w:hRule="exact" w:val="562"/>
          <w:tblHeader/>
        </w:trPr>
        <w:tc>
          <w:tcPr>
            <w:tcW w:w="1531" w:type="dxa"/>
            <w:tcBorders>
              <w:top w:val="single" w:sz="4" w:space="0" w:color="auto"/>
              <w:left w:val="single" w:sz="4" w:space="0" w:color="auto"/>
            </w:tcBorders>
            <w:shd w:val="clear" w:color="auto" w:fill="FFFFFF"/>
          </w:tcPr>
          <w:p w14:paraId="120AD4C1" w14:textId="103B11A5" w:rsidR="006C6C63" w:rsidRPr="00E076F1" w:rsidRDefault="006C6C63" w:rsidP="00E076F1">
            <w:pPr>
              <w:tabs>
                <w:tab w:val="clear" w:pos="567"/>
              </w:tabs>
              <w:autoSpaceDE w:val="0"/>
              <w:autoSpaceDN w:val="0"/>
              <w:adjustRightInd w:val="0"/>
              <w:spacing w:line="240" w:lineRule="auto"/>
              <w:rPr>
                <w:rFonts w:eastAsia="TimesNewRoman,Bold"/>
                <w:b/>
                <w:bCs/>
                <w:snapToGrid/>
                <w:szCs w:val="18"/>
                <w:lang w:val="hu-HU" w:eastAsia="en-GB"/>
              </w:rPr>
            </w:pPr>
            <w:r w:rsidRPr="00E076F1">
              <w:rPr>
                <w:rFonts w:eastAsia="TimesNewRoman,Bold"/>
                <w:b/>
                <w:bCs/>
                <w:snapToGrid/>
                <w:szCs w:val="18"/>
                <w:lang w:val="hu-HU" w:eastAsia="en-GB"/>
              </w:rPr>
              <w:t>Szervrendszeri kategóriák</w:t>
            </w:r>
          </w:p>
        </w:tc>
        <w:tc>
          <w:tcPr>
            <w:tcW w:w="1536" w:type="dxa"/>
            <w:tcBorders>
              <w:top w:val="single" w:sz="4" w:space="0" w:color="auto"/>
              <w:left w:val="single" w:sz="4" w:space="0" w:color="auto"/>
            </w:tcBorders>
            <w:shd w:val="clear" w:color="auto" w:fill="FFFFFF"/>
          </w:tcPr>
          <w:p w14:paraId="4490B8B8" w14:textId="524C2A42" w:rsidR="006C6C63" w:rsidRPr="00E076F1" w:rsidRDefault="006C6C63" w:rsidP="00E076F1">
            <w:pPr>
              <w:tabs>
                <w:tab w:val="clear" w:pos="567"/>
              </w:tabs>
              <w:autoSpaceDE w:val="0"/>
              <w:autoSpaceDN w:val="0"/>
              <w:adjustRightInd w:val="0"/>
              <w:spacing w:line="240" w:lineRule="auto"/>
              <w:rPr>
                <w:rFonts w:eastAsia="TimesNewRoman,Bold"/>
                <w:b/>
                <w:bCs/>
                <w:snapToGrid/>
                <w:szCs w:val="18"/>
                <w:lang w:val="hu-HU" w:eastAsia="en-GB"/>
              </w:rPr>
            </w:pPr>
            <w:r w:rsidRPr="00E076F1">
              <w:rPr>
                <w:rFonts w:eastAsia="TimesNewRoman,Bold"/>
                <w:b/>
                <w:bCs/>
                <w:snapToGrid/>
                <w:szCs w:val="18"/>
                <w:lang w:val="hu-HU" w:eastAsia="en-GB"/>
              </w:rPr>
              <w:t>Nagyon</w:t>
            </w:r>
            <w:r w:rsidR="0068465D" w:rsidRPr="00E076F1">
              <w:rPr>
                <w:rFonts w:eastAsia="TimesNewRoman,Bold"/>
                <w:b/>
                <w:bCs/>
                <w:snapToGrid/>
                <w:szCs w:val="18"/>
                <w:lang w:val="hu-HU" w:eastAsia="en-GB"/>
              </w:rPr>
              <w:t xml:space="preserve"> </w:t>
            </w:r>
            <w:r w:rsidRPr="00E076F1">
              <w:rPr>
                <w:rFonts w:eastAsia="TimesNewRoman,Bold"/>
                <w:b/>
                <w:bCs/>
                <w:snapToGrid/>
                <w:szCs w:val="18"/>
                <w:lang w:val="hu-HU" w:eastAsia="en-GB"/>
              </w:rPr>
              <w:t>gyakori</w:t>
            </w:r>
          </w:p>
        </w:tc>
        <w:tc>
          <w:tcPr>
            <w:tcW w:w="1478" w:type="dxa"/>
            <w:tcBorders>
              <w:top w:val="single" w:sz="4" w:space="0" w:color="auto"/>
              <w:left w:val="single" w:sz="4" w:space="0" w:color="auto"/>
            </w:tcBorders>
            <w:shd w:val="clear" w:color="auto" w:fill="FFFFFF"/>
          </w:tcPr>
          <w:p w14:paraId="7F0B450E" w14:textId="7C9A5A6F"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rFonts w:eastAsia="TimesNewRoman,Bold"/>
                <w:b/>
                <w:bCs/>
                <w:sz w:val="22"/>
                <w:szCs w:val="18"/>
                <w:lang w:val="hu-HU"/>
              </w:rPr>
              <w:t>Gyakori</w:t>
            </w:r>
          </w:p>
        </w:tc>
        <w:tc>
          <w:tcPr>
            <w:tcW w:w="1416" w:type="dxa"/>
            <w:tcBorders>
              <w:top w:val="single" w:sz="4" w:space="0" w:color="auto"/>
              <w:left w:val="single" w:sz="4" w:space="0" w:color="auto"/>
            </w:tcBorders>
            <w:shd w:val="clear" w:color="auto" w:fill="FFFFFF"/>
          </w:tcPr>
          <w:p w14:paraId="6E651E99" w14:textId="7C53112D"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rFonts w:eastAsia="TimesNewRoman,Bold"/>
                <w:b/>
                <w:bCs/>
                <w:sz w:val="22"/>
                <w:szCs w:val="18"/>
                <w:lang w:val="hu-HU"/>
              </w:rPr>
              <w:t>Nem gyakori</w:t>
            </w:r>
          </w:p>
        </w:tc>
        <w:tc>
          <w:tcPr>
            <w:tcW w:w="1478" w:type="dxa"/>
            <w:tcBorders>
              <w:top w:val="single" w:sz="4" w:space="0" w:color="auto"/>
              <w:left w:val="single" w:sz="4" w:space="0" w:color="auto"/>
            </w:tcBorders>
            <w:shd w:val="clear" w:color="auto" w:fill="FFFFFF"/>
          </w:tcPr>
          <w:p w14:paraId="3853BECE" w14:textId="422C145A"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rStyle w:val="Bodytext95ptBold"/>
                <w:rFonts w:eastAsia="SimSun"/>
                <w:color w:val="auto"/>
                <w:sz w:val="22"/>
                <w:szCs w:val="18"/>
                <w:lang w:val="hu-HU"/>
              </w:rPr>
              <w:t>Ritka</w:t>
            </w:r>
          </w:p>
        </w:tc>
        <w:tc>
          <w:tcPr>
            <w:tcW w:w="1315" w:type="dxa"/>
            <w:tcBorders>
              <w:top w:val="single" w:sz="4" w:space="0" w:color="auto"/>
              <w:left w:val="single" w:sz="4" w:space="0" w:color="auto"/>
              <w:right w:val="single" w:sz="4" w:space="0" w:color="auto"/>
            </w:tcBorders>
            <w:shd w:val="clear" w:color="auto" w:fill="FFFFFF"/>
          </w:tcPr>
          <w:p w14:paraId="7FCBBBF9" w14:textId="0E32C1BE"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rStyle w:val="Bodytext95ptBold"/>
                <w:rFonts w:eastAsia="SimSun"/>
                <w:color w:val="auto"/>
                <w:sz w:val="22"/>
                <w:szCs w:val="18"/>
                <w:lang w:val="hu-HU"/>
              </w:rPr>
              <w:t>Nagyon ritka</w:t>
            </w:r>
          </w:p>
        </w:tc>
      </w:tr>
      <w:tr w:rsidR="006C6C63" w:rsidRPr="007C21A3" w14:paraId="7C4DD6CF" w14:textId="77777777" w:rsidTr="00E37AD1">
        <w:trPr>
          <w:trHeight w:hRule="exact" w:val="1512"/>
        </w:trPr>
        <w:tc>
          <w:tcPr>
            <w:tcW w:w="1531" w:type="dxa"/>
            <w:tcBorders>
              <w:top w:val="single" w:sz="4" w:space="0" w:color="auto"/>
              <w:left w:val="single" w:sz="4" w:space="0" w:color="auto"/>
            </w:tcBorders>
            <w:shd w:val="clear" w:color="auto" w:fill="FFFFFF"/>
          </w:tcPr>
          <w:p w14:paraId="3ABF17CB" w14:textId="32DF2E93" w:rsidR="006C6C63" w:rsidRPr="00E076F1" w:rsidRDefault="0068465D"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Fertőző betegségek és parazitafertőzés ek</w:t>
            </w:r>
          </w:p>
        </w:tc>
        <w:tc>
          <w:tcPr>
            <w:tcW w:w="1536" w:type="dxa"/>
            <w:tcBorders>
              <w:top w:val="single" w:sz="4" w:space="0" w:color="auto"/>
              <w:left w:val="single" w:sz="4" w:space="0" w:color="auto"/>
            </w:tcBorders>
            <w:shd w:val="clear" w:color="auto" w:fill="FFFFFF"/>
          </w:tcPr>
          <w:p w14:paraId="5000956C"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tcBorders>
            <w:shd w:val="clear" w:color="auto" w:fill="FFFFFF"/>
          </w:tcPr>
          <w:p w14:paraId="41711F6F" w14:textId="6BF58EF8"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Vulvovaginitis, balanitis és ezekkel összefüggő genitális infekciók*</w:t>
            </w:r>
            <w:r w:rsidRPr="00E076F1">
              <w:rPr>
                <w:snapToGrid/>
                <w:szCs w:val="18"/>
                <w:vertAlign w:val="superscript"/>
                <w:lang w:val="hu-HU" w:eastAsia="en-GB"/>
              </w:rPr>
              <w:t xml:space="preserve">,b,c </w:t>
            </w:r>
            <w:r w:rsidRPr="00E076F1">
              <w:rPr>
                <w:snapToGrid/>
                <w:szCs w:val="18"/>
                <w:lang w:val="hu-HU" w:eastAsia="en-GB"/>
              </w:rPr>
              <w:t>Húgyúti fertőzés*</w:t>
            </w:r>
            <w:r w:rsidRPr="00E076F1">
              <w:rPr>
                <w:snapToGrid/>
                <w:szCs w:val="18"/>
                <w:vertAlign w:val="superscript"/>
                <w:lang w:val="hu-HU" w:eastAsia="en-GB"/>
              </w:rPr>
              <w:t>,b,d</w:t>
            </w:r>
          </w:p>
        </w:tc>
        <w:tc>
          <w:tcPr>
            <w:tcW w:w="1416" w:type="dxa"/>
            <w:tcBorders>
              <w:top w:val="single" w:sz="4" w:space="0" w:color="auto"/>
              <w:left w:val="single" w:sz="4" w:space="0" w:color="auto"/>
            </w:tcBorders>
            <w:shd w:val="clear" w:color="auto" w:fill="FFFFFF"/>
          </w:tcPr>
          <w:p w14:paraId="2BCFBEF1" w14:textId="08421093"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sz w:val="22"/>
                <w:szCs w:val="18"/>
                <w:lang w:val="hu-HU"/>
              </w:rPr>
              <w:t>Gombás fertőzés</w:t>
            </w:r>
            <w:r w:rsidR="006C6C63" w:rsidRPr="00E076F1">
              <w:rPr>
                <w:rStyle w:val="Bodytext95pt"/>
                <w:rFonts w:eastAsia="SimSun"/>
                <w:color w:val="auto"/>
                <w:sz w:val="22"/>
                <w:szCs w:val="18"/>
                <w:lang w:val="hu-HU"/>
              </w:rPr>
              <w:t>**</w:t>
            </w:r>
          </w:p>
        </w:tc>
        <w:tc>
          <w:tcPr>
            <w:tcW w:w="1478" w:type="dxa"/>
            <w:tcBorders>
              <w:top w:val="single" w:sz="4" w:space="0" w:color="auto"/>
              <w:left w:val="single" w:sz="4" w:space="0" w:color="auto"/>
            </w:tcBorders>
            <w:shd w:val="clear" w:color="auto" w:fill="FFFFFF"/>
          </w:tcPr>
          <w:p w14:paraId="5BDCE051"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right w:val="single" w:sz="4" w:space="0" w:color="auto"/>
            </w:tcBorders>
            <w:shd w:val="clear" w:color="auto" w:fill="FFFFFF"/>
          </w:tcPr>
          <w:p w14:paraId="4396692E" w14:textId="314E2964"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A gát necrotizáló fasciitise (Fournier</w:t>
            </w:r>
            <w:r w:rsidR="005D0E38">
              <w:rPr>
                <w:snapToGrid/>
                <w:szCs w:val="18"/>
                <w:lang w:val="hu-HU" w:eastAsia="en-GB"/>
              </w:rPr>
              <w:t>-</w:t>
            </w:r>
            <w:r w:rsidRPr="00E076F1">
              <w:rPr>
                <w:snapToGrid/>
                <w:szCs w:val="18"/>
                <w:lang w:val="hu-HU" w:eastAsia="en-GB"/>
              </w:rPr>
              <w:t>gangraena)</w:t>
            </w:r>
            <w:r w:rsidRPr="00E076F1">
              <w:rPr>
                <w:snapToGrid/>
                <w:szCs w:val="18"/>
                <w:vertAlign w:val="superscript"/>
                <w:lang w:val="hu-HU" w:eastAsia="en-GB"/>
              </w:rPr>
              <w:t>b,k</w:t>
            </w:r>
          </w:p>
        </w:tc>
      </w:tr>
      <w:tr w:rsidR="006C6C63" w:rsidRPr="00E076F1" w14:paraId="18A3860C" w14:textId="77777777" w:rsidTr="0068465D">
        <w:trPr>
          <w:trHeight w:hRule="exact" w:val="1456"/>
        </w:trPr>
        <w:tc>
          <w:tcPr>
            <w:tcW w:w="1531" w:type="dxa"/>
            <w:tcBorders>
              <w:top w:val="single" w:sz="4" w:space="0" w:color="auto"/>
              <w:left w:val="single" w:sz="4" w:space="0" w:color="auto"/>
            </w:tcBorders>
            <w:shd w:val="clear" w:color="auto" w:fill="FFFFFF"/>
          </w:tcPr>
          <w:p w14:paraId="5136BFE1" w14:textId="47FA0A33" w:rsidR="006C6C63" w:rsidRPr="00E076F1" w:rsidRDefault="0068465D"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Anyagcsere- és táplálkozási betegségek és tünetek</w:t>
            </w:r>
          </w:p>
        </w:tc>
        <w:tc>
          <w:tcPr>
            <w:tcW w:w="1536" w:type="dxa"/>
            <w:tcBorders>
              <w:top w:val="single" w:sz="4" w:space="0" w:color="auto"/>
              <w:left w:val="single" w:sz="4" w:space="0" w:color="auto"/>
            </w:tcBorders>
            <w:shd w:val="clear" w:color="auto" w:fill="FFFFFF"/>
          </w:tcPr>
          <w:p w14:paraId="3C6BFE2B" w14:textId="1E96B6D3"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Hypoglykaemia (amikor szulfonilureával vagy inzulinnal alkalmazzák)</w:t>
            </w:r>
            <w:r w:rsidRPr="00E076F1">
              <w:rPr>
                <w:snapToGrid/>
                <w:szCs w:val="18"/>
                <w:vertAlign w:val="superscript"/>
                <w:lang w:val="hu-HU" w:eastAsia="en-GB"/>
              </w:rPr>
              <w:t>b</w:t>
            </w:r>
          </w:p>
        </w:tc>
        <w:tc>
          <w:tcPr>
            <w:tcW w:w="1478" w:type="dxa"/>
            <w:tcBorders>
              <w:top w:val="single" w:sz="4" w:space="0" w:color="auto"/>
              <w:left w:val="single" w:sz="4" w:space="0" w:color="auto"/>
            </w:tcBorders>
            <w:shd w:val="clear" w:color="auto" w:fill="FFFFFF"/>
          </w:tcPr>
          <w:p w14:paraId="160292E3" w14:textId="77777777" w:rsidR="006C6C63" w:rsidRPr="00E076F1" w:rsidRDefault="006C6C63" w:rsidP="00E076F1">
            <w:pPr>
              <w:spacing w:line="240" w:lineRule="auto"/>
              <w:rPr>
                <w:szCs w:val="18"/>
                <w:lang w:val="hu-HU"/>
              </w:rPr>
            </w:pPr>
          </w:p>
        </w:tc>
        <w:tc>
          <w:tcPr>
            <w:tcW w:w="1416" w:type="dxa"/>
            <w:tcBorders>
              <w:top w:val="single" w:sz="4" w:space="0" w:color="auto"/>
              <w:left w:val="single" w:sz="4" w:space="0" w:color="auto"/>
            </w:tcBorders>
            <w:shd w:val="clear" w:color="auto" w:fill="FFFFFF"/>
          </w:tcPr>
          <w:p w14:paraId="2DA740D0" w14:textId="046E43E8" w:rsidR="005D0E38"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Volumendeplé</w:t>
            </w:r>
            <w:r w:rsidR="005D0E38">
              <w:rPr>
                <w:snapToGrid/>
                <w:szCs w:val="18"/>
                <w:lang w:val="hu-HU" w:eastAsia="en-GB"/>
              </w:rPr>
              <w:t>-</w:t>
            </w:r>
          </w:p>
          <w:p w14:paraId="3EB997F9" w14:textId="6AED5373" w:rsidR="009C61FF" w:rsidRPr="00E076F1" w:rsidRDefault="0068465D" w:rsidP="00E076F1">
            <w:pPr>
              <w:tabs>
                <w:tab w:val="clear" w:pos="567"/>
              </w:tabs>
              <w:autoSpaceDE w:val="0"/>
              <w:autoSpaceDN w:val="0"/>
              <w:adjustRightInd w:val="0"/>
              <w:spacing w:line="240" w:lineRule="auto"/>
              <w:rPr>
                <w:snapToGrid/>
                <w:szCs w:val="18"/>
                <w:vertAlign w:val="superscript"/>
                <w:lang w:val="hu-HU" w:eastAsia="en-GB"/>
              </w:rPr>
            </w:pPr>
            <w:r w:rsidRPr="00E076F1">
              <w:rPr>
                <w:snapToGrid/>
                <w:szCs w:val="18"/>
                <w:lang w:val="hu-HU" w:eastAsia="en-GB"/>
              </w:rPr>
              <w:t>ció</w:t>
            </w:r>
            <w:r w:rsidRPr="00E076F1">
              <w:rPr>
                <w:rFonts w:eastAsia="TimesNewRoman,Bold"/>
                <w:b/>
                <w:bCs/>
                <w:snapToGrid/>
                <w:szCs w:val="18"/>
                <w:lang w:val="hu-HU" w:eastAsia="en-GB"/>
              </w:rPr>
              <w:t xml:space="preserve"> </w:t>
            </w:r>
            <w:r w:rsidRPr="00E076F1">
              <w:rPr>
                <w:snapToGrid/>
                <w:szCs w:val="18"/>
                <w:vertAlign w:val="superscript"/>
                <w:lang w:val="hu-HU" w:eastAsia="en-GB"/>
              </w:rPr>
              <w:t>b,e</w:t>
            </w:r>
          </w:p>
          <w:p w14:paraId="7BC9CB14" w14:textId="135BAAF1"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Szomjúság</w:t>
            </w:r>
            <w:r w:rsidRPr="00E076F1">
              <w:rPr>
                <w:rFonts w:eastAsia="TimesNewRoman,Bold"/>
                <w:b/>
                <w:bCs/>
                <w:snapToGrid/>
                <w:szCs w:val="18"/>
                <w:lang w:val="hu-HU" w:eastAsia="en-GB"/>
              </w:rPr>
              <w:t>**</w:t>
            </w:r>
          </w:p>
        </w:tc>
        <w:tc>
          <w:tcPr>
            <w:tcW w:w="1478" w:type="dxa"/>
            <w:tcBorders>
              <w:top w:val="single" w:sz="4" w:space="0" w:color="auto"/>
              <w:left w:val="single" w:sz="4" w:space="0" w:color="auto"/>
            </w:tcBorders>
            <w:shd w:val="clear" w:color="auto" w:fill="FFFFFF"/>
          </w:tcPr>
          <w:p w14:paraId="0780BC73" w14:textId="72566F0F"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Diabeteses</w:t>
            </w:r>
            <w:r w:rsidR="00641AE3" w:rsidRPr="00E076F1">
              <w:rPr>
                <w:snapToGrid/>
                <w:szCs w:val="18"/>
                <w:lang w:val="hu-HU" w:eastAsia="en-GB"/>
              </w:rPr>
              <w:t xml:space="preserve"> </w:t>
            </w:r>
            <w:r w:rsidRPr="00E076F1">
              <w:rPr>
                <w:snapToGrid/>
                <w:szCs w:val="18"/>
                <w:lang w:val="hu-HU" w:eastAsia="en-GB"/>
              </w:rPr>
              <w:t>ketoacidózis</w:t>
            </w:r>
            <w:r w:rsidR="00641AE3" w:rsidRPr="00E076F1">
              <w:rPr>
                <w:snapToGrid/>
                <w:szCs w:val="18"/>
                <w:lang w:val="hu-HU" w:eastAsia="en-GB"/>
              </w:rPr>
              <w:t xml:space="preserve"> </w:t>
            </w:r>
            <w:r w:rsidRPr="00E076F1">
              <w:rPr>
                <w:snapToGrid/>
                <w:szCs w:val="18"/>
                <w:vertAlign w:val="superscript"/>
                <w:lang w:val="hu-HU" w:eastAsia="en-GB"/>
              </w:rPr>
              <w:t>b,k,l</w:t>
            </w:r>
          </w:p>
        </w:tc>
        <w:tc>
          <w:tcPr>
            <w:tcW w:w="1315" w:type="dxa"/>
            <w:tcBorders>
              <w:top w:val="single" w:sz="4" w:space="0" w:color="auto"/>
              <w:left w:val="single" w:sz="4" w:space="0" w:color="auto"/>
              <w:right w:val="single" w:sz="4" w:space="0" w:color="auto"/>
            </w:tcBorders>
            <w:shd w:val="clear" w:color="auto" w:fill="FFFFFF"/>
          </w:tcPr>
          <w:p w14:paraId="70CA36C1" w14:textId="5BC89802"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Laktátacidózis</w:t>
            </w:r>
            <w:r w:rsidR="00641AE3" w:rsidRPr="00E076F1">
              <w:rPr>
                <w:snapToGrid/>
                <w:szCs w:val="18"/>
                <w:lang w:val="hu-HU" w:eastAsia="en-GB"/>
              </w:rPr>
              <w:t xml:space="preserve"> </w:t>
            </w:r>
            <w:r w:rsidRPr="00E076F1">
              <w:rPr>
                <w:snapToGrid/>
                <w:szCs w:val="18"/>
                <w:lang w:val="hu-HU" w:eastAsia="en-GB"/>
              </w:rPr>
              <w:t>B</w:t>
            </w:r>
            <w:r w:rsidRPr="00CE5342">
              <w:rPr>
                <w:snapToGrid/>
                <w:szCs w:val="18"/>
                <w:vertAlign w:val="subscript"/>
                <w:lang w:val="hu-HU" w:eastAsia="en-GB"/>
              </w:rPr>
              <w:t>12</w:t>
            </w:r>
            <w:r w:rsidRPr="00E076F1">
              <w:rPr>
                <w:snapToGrid/>
                <w:szCs w:val="18"/>
                <w:lang w:val="hu-HU" w:eastAsia="en-GB"/>
              </w:rPr>
              <w:t>-vitamin-hiány</w:t>
            </w:r>
            <w:r w:rsidRPr="00E076F1">
              <w:rPr>
                <w:snapToGrid/>
                <w:szCs w:val="18"/>
                <w:vertAlign w:val="superscript"/>
                <w:lang w:val="hu-HU" w:eastAsia="en-GB"/>
              </w:rPr>
              <w:t>h,§</w:t>
            </w:r>
          </w:p>
        </w:tc>
      </w:tr>
      <w:tr w:rsidR="006C6C63" w:rsidRPr="00E076F1" w14:paraId="3BA7FD0A" w14:textId="77777777" w:rsidTr="00E37AD1">
        <w:trPr>
          <w:trHeight w:hRule="exact" w:val="926"/>
        </w:trPr>
        <w:tc>
          <w:tcPr>
            <w:tcW w:w="1531" w:type="dxa"/>
            <w:tcBorders>
              <w:top w:val="single" w:sz="4" w:space="0" w:color="auto"/>
              <w:left w:val="single" w:sz="4" w:space="0" w:color="auto"/>
            </w:tcBorders>
            <w:shd w:val="clear" w:color="auto" w:fill="FFFFFF"/>
          </w:tcPr>
          <w:p w14:paraId="545A3E9E" w14:textId="36802156" w:rsidR="006C6C63" w:rsidRPr="00E076F1" w:rsidRDefault="00641AE3"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Idegrendszeri</w:t>
            </w:r>
            <w:r w:rsidR="00672D6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betegségek és</w:t>
            </w:r>
            <w:r w:rsidR="00672D6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tünetek</w:t>
            </w:r>
          </w:p>
        </w:tc>
        <w:tc>
          <w:tcPr>
            <w:tcW w:w="1536" w:type="dxa"/>
            <w:tcBorders>
              <w:top w:val="single" w:sz="4" w:space="0" w:color="auto"/>
              <w:left w:val="single" w:sz="4" w:space="0" w:color="auto"/>
            </w:tcBorders>
            <w:shd w:val="clear" w:color="auto" w:fill="FFFFFF"/>
          </w:tcPr>
          <w:p w14:paraId="25211F72" w14:textId="140B234E" w:rsidR="006C6C63" w:rsidRPr="00E076F1" w:rsidRDefault="006C6C63" w:rsidP="00E076F1">
            <w:pPr>
              <w:tabs>
                <w:tab w:val="clear" w:pos="567"/>
              </w:tabs>
              <w:autoSpaceDE w:val="0"/>
              <w:autoSpaceDN w:val="0"/>
              <w:adjustRightInd w:val="0"/>
              <w:spacing w:line="240" w:lineRule="auto"/>
              <w:rPr>
                <w:snapToGrid/>
                <w:szCs w:val="18"/>
                <w:lang w:val="hu-HU" w:eastAsia="en-GB"/>
              </w:rPr>
            </w:pPr>
          </w:p>
        </w:tc>
        <w:tc>
          <w:tcPr>
            <w:tcW w:w="1478" w:type="dxa"/>
            <w:tcBorders>
              <w:top w:val="single" w:sz="4" w:space="0" w:color="auto"/>
              <w:left w:val="single" w:sz="4" w:space="0" w:color="auto"/>
            </w:tcBorders>
            <w:shd w:val="clear" w:color="auto" w:fill="FFFFFF"/>
          </w:tcPr>
          <w:p w14:paraId="02C02F69" w14:textId="33258F0D" w:rsidR="006C6C63" w:rsidRPr="00E076F1" w:rsidRDefault="00641AE3"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Ízérzés zavara</w:t>
            </w:r>
            <w:r w:rsidRPr="00E076F1">
              <w:rPr>
                <w:snapToGrid/>
                <w:szCs w:val="18"/>
                <w:vertAlign w:val="superscript"/>
                <w:lang w:val="hu-HU" w:eastAsia="en-GB"/>
              </w:rPr>
              <w:t>§</w:t>
            </w:r>
            <w:r w:rsidR="00672D61" w:rsidRPr="00E076F1">
              <w:rPr>
                <w:snapToGrid/>
                <w:szCs w:val="18"/>
                <w:lang w:val="hu-HU" w:eastAsia="en-GB"/>
              </w:rPr>
              <w:t xml:space="preserve"> </w:t>
            </w:r>
            <w:r w:rsidRPr="00E076F1">
              <w:rPr>
                <w:snapToGrid/>
                <w:szCs w:val="18"/>
                <w:lang w:val="hu-HU" w:eastAsia="en-GB"/>
              </w:rPr>
              <w:t>Szédülés</w:t>
            </w:r>
          </w:p>
        </w:tc>
        <w:tc>
          <w:tcPr>
            <w:tcW w:w="1416" w:type="dxa"/>
            <w:tcBorders>
              <w:top w:val="single" w:sz="4" w:space="0" w:color="auto"/>
              <w:left w:val="single" w:sz="4" w:space="0" w:color="auto"/>
            </w:tcBorders>
            <w:shd w:val="clear" w:color="auto" w:fill="FFFFFF"/>
          </w:tcPr>
          <w:p w14:paraId="21E77E34"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tcBorders>
            <w:shd w:val="clear" w:color="auto" w:fill="FFFFFF"/>
          </w:tcPr>
          <w:p w14:paraId="48E14711"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right w:val="single" w:sz="4" w:space="0" w:color="auto"/>
            </w:tcBorders>
            <w:shd w:val="clear" w:color="auto" w:fill="FFFFFF"/>
          </w:tcPr>
          <w:p w14:paraId="05702E2C" w14:textId="77777777" w:rsidR="006C6C63" w:rsidRPr="00E076F1" w:rsidRDefault="006C6C63" w:rsidP="00E076F1">
            <w:pPr>
              <w:spacing w:line="240" w:lineRule="auto"/>
              <w:rPr>
                <w:szCs w:val="18"/>
                <w:lang w:val="hu-HU"/>
              </w:rPr>
            </w:pPr>
          </w:p>
        </w:tc>
      </w:tr>
      <w:tr w:rsidR="006C6C63" w:rsidRPr="00E076F1" w14:paraId="6B8EDB9F" w14:textId="77777777" w:rsidTr="00BB10D9">
        <w:trPr>
          <w:trHeight w:hRule="exact" w:val="765"/>
        </w:trPr>
        <w:tc>
          <w:tcPr>
            <w:tcW w:w="1531" w:type="dxa"/>
            <w:tcBorders>
              <w:top w:val="single" w:sz="4" w:space="0" w:color="auto"/>
              <w:left w:val="single" w:sz="4" w:space="0" w:color="auto"/>
            </w:tcBorders>
            <w:shd w:val="clear" w:color="auto" w:fill="FFFFFF"/>
          </w:tcPr>
          <w:p w14:paraId="36A3452C" w14:textId="152FD4AE" w:rsidR="006C6C63" w:rsidRPr="00E076F1" w:rsidRDefault="00672D6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Emésztőrendsze</w:t>
            </w:r>
            <w:r w:rsidR="005D0E38">
              <w:rPr>
                <w:rFonts w:eastAsia="TimesNewRoman,Italic"/>
                <w:i/>
                <w:iCs/>
                <w:snapToGrid/>
                <w:szCs w:val="18"/>
                <w:lang w:val="hu-HU" w:eastAsia="en-GB"/>
              </w:rPr>
              <w:t>-</w:t>
            </w:r>
            <w:r w:rsidRPr="00E076F1">
              <w:rPr>
                <w:rFonts w:eastAsia="TimesNewRoman,Italic"/>
                <w:i/>
                <w:iCs/>
                <w:snapToGrid/>
                <w:szCs w:val="18"/>
                <w:lang w:val="hu-HU" w:eastAsia="en-GB"/>
              </w:rPr>
              <w:t>ri betegségek és tünetek</w:t>
            </w:r>
          </w:p>
        </w:tc>
        <w:tc>
          <w:tcPr>
            <w:tcW w:w="1536" w:type="dxa"/>
            <w:tcBorders>
              <w:top w:val="single" w:sz="4" w:space="0" w:color="auto"/>
              <w:left w:val="single" w:sz="4" w:space="0" w:color="auto"/>
            </w:tcBorders>
            <w:shd w:val="clear" w:color="auto" w:fill="FFFFFF"/>
          </w:tcPr>
          <w:p w14:paraId="30A168F9" w14:textId="16F079CC" w:rsidR="006C6C63" w:rsidRPr="00E076F1" w:rsidRDefault="00672D6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Gastrointestin</w:t>
            </w:r>
            <w:r w:rsidR="005D0E38">
              <w:rPr>
                <w:snapToGrid/>
                <w:szCs w:val="18"/>
                <w:lang w:val="hu-HU" w:eastAsia="en-GB"/>
              </w:rPr>
              <w:t>á-</w:t>
            </w:r>
            <w:r w:rsidRPr="00E076F1">
              <w:rPr>
                <w:snapToGrid/>
                <w:szCs w:val="18"/>
                <w:lang w:val="hu-HU" w:eastAsia="en-GB"/>
              </w:rPr>
              <w:t>lis tünetek</w:t>
            </w:r>
            <w:r w:rsidRPr="00E076F1">
              <w:rPr>
                <w:snapToGrid/>
                <w:szCs w:val="18"/>
                <w:vertAlign w:val="superscript"/>
                <w:lang w:val="hu-HU" w:eastAsia="en-GB"/>
              </w:rPr>
              <w:t>i,§</w:t>
            </w:r>
          </w:p>
        </w:tc>
        <w:tc>
          <w:tcPr>
            <w:tcW w:w="1478" w:type="dxa"/>
            <w:tcBorders>
              <w:top w:val="single" w:sz="4" w:space="0" w:color="auto"/>
              <w:left w:val="single" w:sz="4" w:space="0" w:color="auto"/>
            </w:tcBorders>
            <w:shd w:val="clear" w:color="auto" w:fill="FFFFFF"/>
          </w:tcPr>
          <w:p w14:paraId="3B44F6F1" w14:textId="77777777" w:rsidR="006C6C63" w:rsidRPr="00E076F1" w:rsidRDefault="006C6C63" w:rsidP="00E076F1">
            <w:pPr>
              <w:spacing w:line="240" w:lineRule="auto"/>
              <w:rPr>
                <w:szCs w:val="18"/>
                <w:lang w:val="hu-HU"/>
              </w:rPr>
            </w:pPr>
          </w:p>
        </w:tc>
        <w:tc>
          <w:tcPr>
            <w:tcW w:w="1416" w:type="dxa"/>
            <w:tcBorders>
              <w:top w:val="single" w:sz="4" w:space="0" w:color="auto"/>
              <w:left w:val="single" w:sz="4" w:space="0" w:color="auto"/>
            </w:tcBorders>
            <w:shd w:val="clear" w:color="auto" w:fill="FFFFFF"/>
          </w:tcPr>
          <w:p w14:paraId="5FC25743" w14:textId="244C38D1" w:rsidR="006C6C63" w:rsidRPr="00E076F1" w:rsidRDefault="00672D61" w:rsidP="00E076F1">
            <w:pPr>
              <w:tabs>
                <w:tab w:val="clear" w:pos="567"/>
              </w:tabs>
              <w:autoSpaceDE w:val="0"/>
              <w:autoSpaceDN w:val="0"/>
              <w:adjustRightInd w:val="0"/>
              <w:spacing w:line="240" w:lineRule="auto"/>
              <w:rPr>
                <w:rFonts w:eastAsia="TimesNewRoman,Bold"/>
                <w:b/>
                <w:bCs/>
                <w:snapToGrid/>
                <w:szCs w:val="18"/>
                <w:lang w:val="hu-HU" w:eastAsia="en-GB"/>
              </w:rPr>
            </w:pPr>
            <w:r w:rsidRPr="00E076F1">
              <w:rPr>
                <w:snapToGrid/>
                <w:szCs w:val="18"/>
                <w:lang w:val="hu-HU" w:eastAsia="en-GB"/>
              </w:rPr>
              <w:t>Székrekedés</w:t>
            </w:r>
            <w:r w:rsidR="00AF5856" w:rsidRPr="00E076F1">
              <w:rPr>
                <w:rStyle w:val="Bodytext95pt"/>
                <w:rFonts w:eastAsia="SimSun"/>
                <w:color w:val="auto"/>
                <w:sz w:val="22"/>
                <w:szCs w:val="18"/>
                <w:lang w:val="en-GB"/>
              </w:rPr>
              <w:t>**</w:t>
            </w:r>
            <w:r w:rsidRPr="00E076F1">
              <w:rPr>
                <w:rFonts w:eastAsia="TimesNewRoman,Bold"/>
                <w:b/>
                <w:bCs/>
                <w:snapToGrid/>
                <w:szCs w:val="18"/>
                <w:lang w:val="hu-HU" w:eastAsia="en-GB"/>
              </w:rPr>
              <w:t xml:space="preserve"> </w:t>
            </w:r>
            <w:r w:rsidRPr="00E076F1">
              <w:rPr>
                <w:snapToGrid/>
                <w:szCs w:val="18"/>
                <w:lang w:val="hu-HU" w:eastAsia="en-GB"/>
              </w:rPr>
              <w:t>Szájszárazság</w:t>
            </w:r>
            <w:r w:rsidR="00AF5856" w:rsidRPr="00E076F1">
              <w:rPr>
                <w:rStyle w:val="Bodytext95pt"/>
                <w:rFonts w:eastAsia="SimSun"/>
                <w:color w:val="auto"/>
                <w:sz w:val="22"/>
                <w:szCs w:val="18"/>
                <w:lang w:val="en-GB"/>
              </w:rPr>
              <w:t>**</w:t>
            </w:r>
          </w:p>
        </w:tc>
        <w:tc>
          <w:tcPr>
            <w:tcW w:w="1478" w:type="dxa"/>
            <w:tcBorders>
              <w:top w:val="single" w:sz="4" w:space="0" w:color="auto"/>
              <w:left w:val="single" w:sz="4" w:space="0" w:color="auto"/>
            </w:tcBorders>
            <w:shd w:val="clear" w:color="auto" w:fill="FFFFFF"/>
          </w:tcPr>
          <w:p w14:paraId="3D9A8BC4"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right w:val="single" w:sz="4" w:space="0" w:color="auto"/>
            </w:tcBorders>
            <w:shd w:val="clear" w:color="auto" w:fill="FFFFFF"/>
          </w:tcPr>
          <w:p w14:paraId="6CF0C3A7" w14:textId="77777777" w:rsidR="006C6C63" w:rsidRPr="00E076F1" w:rsidRDefault="006C6C63" w:rsidP="00E076F1">
            <w:pPr>
              <w:spacing w:line="240" w:lineRule="auto"/>
              <w:rPr>
                <w:szCs w:val="18"/>
                <w:lang w:val="hu-HU"/>
              </w:rPr>
            </w:pPr>
          </w:p>
        </w:tc>
      </w:tr>
      <w:tr w:rsidR="006C6C63" w:rsidRPr="00E076F1" w14:paraId="4F8B5AF5" w14:textId="77777777" w:rsidTr="00BB10D9">
        <w:trPr>
          <w:trHeight w:hRule="exact" w:val="846"/>
        </w:trPr>
        <w:tc>
          <w:tcPr>
            <w:tcW w:w="1531" w:type="dxa"/>
            <w:tcBorders>
              <w:top w:val="single" w:sz="4" w:space="0" w:color="auto"/>
              <w:left w:val="single" w:sz="4" w:space="0" w:color="auto"/>
            </w:tcBorders>
            <w:shd w:val="clear" w:color="auto" w:fill="FFFFFF"/>
          </w:tcPr>
          <w:p w14:paraId="628C49A3" w14:textId="44E3DB61" w:rsidR="006C6C63" w:rsidRPr="00E076F1" w:rsidRDefault="00BF2A8A"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Máj- és epebetegségek, illetve tünetek</w:t>
            </w:r>
          </w:p>
        </w:tc>
        <w:tc>
          <w:tcPr>
            <w:tcW w:w="1536" w:type="dxa"/>
            <w:tcBorders>
              <w:top w:val="single" w:sz="4" w:space="0" w:color="auto"/>
              <w:left w:val="single" w:sz="4" w:space="0" w:color="auto"/>
            </w:tcBorders>
            <w:shd w:val="clear" w:color="auto" w:fill="FFFFFF"/>
          </w:tcPr>
          <w:p w14:paraId="3AF1DB31"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tcBorders>
            <w:shd w:val="clear" w:color="auto" w:fill="FFFFFF"/>
          </w:tcPr>
          <w:p w14:paraId="6B72ACA2" w14:textId="77777777" w:rsidR="006C6C63" w:rsidRPr="00E076F1" w:rsidRDefault="006C6C63" w:rsidP="00E076F1">
            <w:pPr>
              <w:spacing w:line="240" w:lineRule="auto"/>
              <w:rPr>
                <w:szCs w:val="18"/>
                <w:lang w:val="hu-HU"/>
              </w:rPr>
            </w:pPr>
          </w:p>
        </w:tc>
        <w:tc>
          <w:tcPr>
            <w:tcW w:w="1416" w:type="dxa"/>
            <w:tcBorders>
              <w:top w:val="single" w:sz="4" w:space="0" w:color="auto"/>
              <w:left w:val="single" w:sz="4" w:space="0" w:color="auto"/>
            </w:tcBorders>
            <w:shd w:val="clear" w:color="auto" w:fill="FFFFFF"/>
          </w:tcPr>
          <w:p w14:paraId="2955A7C8"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tcBorders>
            <w:shd w:val="clear" w:color="auto" w:fill="FFFFFF"/>
          </w:tcPr>
          <w:p w14:paraId="561270E8"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right w:val="single" w:sz="4" w:space="0" w:color="auto"/>
            </w:tcBorders>
            <w:shd w:val="clear" w:color="auto" w:fill="FFFFFF"/>
          </w:tcPr>
          <w:p w14:paraId="1C82588A" w14:textId="7D547BE4" w:rsidR="006C6C63" w:rsidRPr="00E076F1" w:rsidRDefault="00BF2A8A"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Májfunkciós eltérések</w:t>
            </w:r>
            <w:r w:rsidRPr="00E076F1">
              <w:rPr>
                <w:snapToGrid/>
                <w:szCs w:val="18"/>
                <w:vertAlign w:val="superscript"/>
                <w:lang w:val="hu-HU" w:eastAsia="en-GB"/>
              </w:rPr>
              <w:t>§</w:t>
            </w:r>
            <w:r w:rsidRPr="00E076F1">
              <w:rPr>
                <w:snapToGrid/>
                <w:szCs w:val="18"/>
                <w:lang w:val="hu-HU" w:eastAsia="en-GB"/>
              </w:rPr>
              <w:t xml:space="preserve"> Hepatitis</w:t>
            </w:r>
            <w:r w:rsidRPr="00E076F1">
              <w:rPr>
                <w:snapToGrid/>
                <w:szCs w:val="18"/>
                <w:vertAlign w:val="superscript"/>
                <w:lang w:val="hu-HU" w:eastAsia="en-GB"/>
              </w:rPr>
              <w:t>§</w:t>
            </w:r>
          </w:p>
        </w:tc>
      </w:tr>
      <w:tr w:rsidR="006C6C63" w:rsidRPr="00E076F1" w14:paraId="721FD3E4" w14:textId="77777777" w:rsidTr="00BB10D9">
        <w:trPr>
          <w:trHeight w:hRule="exact" w:val="1074"/>
        </w:trPr>
        <w:tc>
          <w:tcPr>
            <w:tcW w:w="1531" w:type="dxa"/>
            <w:tcBorders>
              <w:top w:val="single" w:sz="4" w:space="0" w:color="auto"/>
              <w:left w:val="single" w:sz="4" w:space="0" w:color="auto"/>
              <w:bottom w:val="single" w:sz="4" w:space="0" w:color="auto"/>
            </w:tcBorders>
            <w:shd w:val="clear" w:color="auto" w:fill="FFFFFF"/>
          </w:tcPr>
          <w:p w14:paraId="302D4504" w14:textId="62EB1C4B" w:rsidR="006C6C63" w:rsidRPr="00E076F1" w:rsidRDefault="00BF2A8A"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A bőr és a bőr</w:t>
            </w:r>
            <w:r w:rsidR="009B4F1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alatti szövet</w:t>
            </w:r>
            <w:r w:rsidR="009B4F1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betegségei és</w:t>
            </w:r>
            <w:r w:rsidR="009B4F1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tünetei</w:t>
            </w:r>
          </w:p>
        </w:tc>
        <w:tc>
          <w:tcPr>
            <w:tcW w:w="1536" w:type="dxa"/>
            <w:tcBorders>
              <w:top w:val="single" w:sz="4" w:space="0" w:color="auto"/>
              <w:left w:val="single" w:sz="4" w:space="0" w:color="auto"/>
              <w:bottom w:val="single" w:sz="4" w:space="0" w:color="auto"/>
            </w:tcBorders>
            <w:shd w:val="clear" w:color="auto" w:fill="FFFFFF"/>
          </w:tcPr>
          <w:p w14:paraId="53BD8664"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28D97F4C" w14:textId="0C4AE36C" w:rsidR="006C6C63" w:rsidRPr="00E076F1" w:rsidRDefault="00BF2A8A" w:rsidP="00E076F1">
            <w:pPr>
              <w:pStyle w:val="Tekstpodstawowy6"/>
              <w:shd w:val="clear" w:color="auto" w:fill="auto"/>
              <w:spacing w:after="0" w:line="240" w:lineRule="auto"/>
              <w:ind w:firstLine="0"/>
              <w:jc w:val="left"/>
              <w:rPr>
                <w:sz w:val="22"/>
                <w:szCs w:val="18"/>
                <w:lang w:val="hu-HU"/>
              </w:rPr>
            </w:pPr>
            <w:r w:rsidRPr="00E076F1">
              <w:rPr>
                <w:sz w:val="22"/>
                <w:szCs w:val="18"/>
                <w:lang w:val="hu-HU"/>
              </w:rPr>
              <w:t>Bőrkiütés</w:t>
            </w:r>
            <w:r w:rsidR="006C6C63" w:rsidRPr="00E076F1">
              <w:rPr>
                <w:rStyle w:val="Bodytext95pt"/>
                <w:rFonts w:eastAsia="SimSun"/>
                <w:color w:val="auto"/>
                <w:sz w:val="22"/>
                <w:szCs w:val="18"/>
                <w:vertAlign w:val="superscript"/>
                <w:lang w:val="hu-HU"/>
              </w:rPr>
              <w:t>m</w:t>
            </w:r>
          </w:p>
        </w:tc>
        <w:tc>
          <w:tcPr>
            <w:tcW w:w="1416" w:type="dxa"/>
            <w:tcBorders>
              <w:top w:val="single" w:sz="4" w:space="0" w:color="auto"/>
              <w:left w:val="single" w:sz="4" w:space="0" w:color="auto"/>
              <w:bottom w:val="single" w:sz="4" w:space="0" w:color="auto"/>
            </w:tcBorders>
            <w:shd w:val="clear" w:color="auto" w:fill="FFFFFF"/>
          </w:tcPr>
          <w:p w14:paraId="3AF55FB3"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72652EBD"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2EBF0B43" w14:textId="6CADC458" w:rsidR="006C6C63" w:rsidRPr="00E076F1" w:rsidRDefault="009B4F1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Urticaria</w:t>
            </w:r>
            <w:r w:rsidRPr="00E076F1">
              <w:rPr>
                <w:snapToGrid/>
                <w:szCs w:val="18"/>
                <w:vertAlign w:val="superscript"/>
                <w:lang w:val="hu-HU" w:eastAsia="en-GB"/>
              </w:rPr>
              <w:t>§</w:t>
            </w:r>
            <w:r w:rsidRPr="00E076F1">
              <w:rPr>
                <w:snapToGrid/>
                <w:szCs w:val="18"/>
                <w:lang w:val="hu-HU" w:eastAsia="en-GB"/>
              </w:rPr>
              <w:t xml:space="preserve"> Erythema</w:t>
            </w:r>
            <w:r w:rsidRPr="00E076F1">
              <w:rPr>
                <w:snapToGrid/>
                <w:szCs w:val="18"/>
                <w:vertAlign w:val="superscript"/>
                <w:lang w:val="hu-HU" w:eastAsia="en-GB"/>
              </w:rPr>
              <w:t>§</w:t>
            </w:r>
            <w:r w:rsidRPr="00E076F1">
              <w:rPr>
                <w:snapToGrid/>
                <w:szCs w:val="18"/>
                <w:lang w:val="hu-HU" w:eastAsia="en-GB"/>
              </w:rPr>
              <w:t xml:space="preserve"> Pruritus</w:t>
            </w:r>
            <w:r w:rsidRPr="00E076F1">
              <w:rPr>
                <w:snapToGrid/>
                <w:szCs w:val="18"/>
                <w:vertAlign w:val="superscript"/>
                <w:lang w:val="hu-HU" w:eastAsia="en-GB"/>
              </w:rPr>
              <w:t>§</w:t>
            </w:r>
          </w:p>
        </w:tc>
      </w:tr>
      <w:tr w:rsidR="006C6C63" w:rsidRPr="00E076F1" w14:paraId="2B0D1BF5" w14:textId="77777777" w:rsidTr="00BB10D9">
        <w:trPr>
          <w:trHeight w:hRule="exact" w:val="1526"/>
        </w:trPr>
        <w:tc>
          <w:tcPr>
            <w:tcW w:w="1531" w:type="dxa"/>
            <w:tcBorders>
              <w:top w:val="single" w:sz="4" w:space="0" w:color="auto"/>
              <w:left w:val="single" w:sz="4" w:space="0" w:color="auto"/>
              <w:bottom w:val="single" w:sz="4" w:space="0" w:color="auto"/>
            </w:tcBorders>
            <w:shd w:val="clear" w:color="auto" w:fill="FFFFFF"/>
          </w:tcPr>
          <w:p w14:paraId="4A10C7C4" w14:textId="0D80275A" w:rsidR="006C6C63" w:rsidRPr="00E076F1" w:rsidRDefault="009B4F1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A csont- és izomrendszer, valamint a kötőszövet betegségei és tünetei</w:t>
            </w:r>
          </w:p>
        </w:tc>
        <w:tc>
          <w:tcPr>
            <w:tcW w:w="1536" w:type="dxa"/>
            <w:tcBorders>
              <w:top w:val="single" w:sz="4" w:space="0" w:color="auto"/>
              <w:left w:val="single" w:sz="4" w:space="0" w:color="auto"/>
              <w:bottom w:val="single" w:sz="4" w:space="0" w:color="auto"/>
            </w:tcBorders>
            <w:shd w:val="clear" w:color="auto" w:fill="FFFFFF"/>
          </w:tcPr>
          <w:p w14:paraId="00CC8073"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406871E0" w14:textId="1EF085D4" w:rsidR="006C6C63" w:rsidRPr="00E076F1" w:rsidRDefault="009B4F11" w:rsidP="00E076F1">
            <w:pPr>
              <w:pStyle w:val="Tekstpodstawowy6"/>
              <w:shd w:val="clear" w:color="auto" w:fill="auto"/>
              <w:spacing w:after="0" w:line="240" w:lineRule="auto"/>
              <w:ind w:firstLine="0"/>
              <w:jc w:val="left"/>
              <w:rPr>
                <w:sz w:val="22"/>
                <w:szCs w:val="18"/>
                <w:lang w:val="hu-HU"/>
              </w:rPr>
            </w:pPr>
            <w:r w:rsidRPr="00E076F1">
              <w:rPr>
                <w:sz w:val="22"/>
                <w:szCs w:val="18"/>
                <w:lang w:val="hu-HU"/>
              </w:rPr>
              <w:t>Hátfájás</w:t>
            </w:r>
            <w:r w:rsidR="006C6C63" w:rsidRPr="00E076F1">
              <w:rPr>
                <w:rStyle w:val="Bodytext95pt"/>
                <w:rFonts w:eastAsia="SimSun"/>
                <w:color w:val="auto"/>
                <w:sz w:val="22"/>
                <w:szCs w:val="18"/>
                <w:lang w:val="hu-HU"/>
              </w:rPr>
              <w:t>*</w:t>
            </w:r>
          </w:p>
        </w:tc>
        <w:tc>
          <w:tcPr>
            <w:tcW w:w="1416" w:type="dxa"/>
            <w:tcBorders>
              <w:top w:val="single" w:sz="4" w:space="0" w:color="auto"/>
              <w:left w:val="single" w:sz="4" w:space="0" w:color="auto"/>
              <w:bottom w:val="single" w:sz="4" w:space="0" w:color="auto"/>
            </w:tcBorders>
            <w:shd w:val="clear" w:color="auto" w:fill="FFFFFF"/>
          </w:tcPr>
          <w:p w14:paraId="01E57DC4"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5C16698B"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62DBF32E" w14:textId="77777777" w:rsidR="006C6C63" w:rsidRPr="00E076F1" w:rsidRDefault="006C6C63" w:rsidP="00E076F1">
            <w:pPr>
              <w:pStyle w:val="Tekstpodstawowy6"/>
              <w:spacing w:after="0" w:line="240" w:lineRule="auto"/>
              <w:jc w:val="left"/>
              <w:rPr>
                <w:sz w:val="22"/>
                <w:szCs w:val="18"/>
                <w:lang w:val="hu-HU"/>
              </w:rPr>
            </w:pPr>
          </w:p>
        </w:tc>
      </w:tr>
      <w:tr w:rsidR="006C6C63" w:rsidRPr="00E076F1" w14:paraId="56A02AAC" w14:textId="77777777" w:rsidTr="00E37AD1">
        <w:trPr>
          <w:trHeight w:hRule="exact" w:val="830"/>
        </w:trPr>
        <w:tc>
          <w:tcPr>
            <w:tcW w:w="1531" w:type="dxa"/>
            <w:tcBorders>
              <w:top w:val="single" w:sz="4" w:space="0" w:color="auto"/>
              <w:left w:val="single" w:sz="4" w:space="0" w:color="auto"/>
              <w:bottom w:val="single" w:sz="4" w:space="0" w:color="auto"/>
            </w:tcBorders>
            <w:shd w:val="clear" w:color="auto" w:fill="FFFFFF"/>
          </w:tcPr>
          <w:p w14:paraId="30F63D3A" w14:textId="21E5F5DA" w:rsidR="006C6C63" w:rsidRPr="00E076F1" w:rsidRDefault="009B4F1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Vese- és húgyúti betegségek és tünetek</w:t>
            </w:r>
          </w:p>
        </w:tc>
        <w:tc>
          <w:tcPr>
            <w:tcW w:w="1536" w:type="dxa"/>
            <w:tcBorders>
              <w:top w:val="single" w:sz="4" w:space="0" w:color="auto"/>
              <w:left w:val="single" w:sz="4" w:space="0" w:color="auto"/>
              <w:bottom w:val="single" w:sz="4" w:space="0" w:color="auto"/>
            </w:tcBorders>
            <w:shd w:val="clear" w:color="auto" w:fill="FFFFFF"/>
          </w:tcPr>
          <w:p w14:paraId="7197AEE3"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306B925B" w14:textId="77777777" w:rsidR="00AF5856" w:rsidRPr="00E076F1" w:rsidRDefault="009B4F11" w:rsidP="00E076F1">
            <w:pPr>
              <w:tabs>
                <w:tab w:val="clear" w:pos="567"/>
              </w:tabs>
              <w:autoSpaceDE w:val="0"/>
              <w:autoSpaceDN w:val="0"/>
              <w:adjustRightInd w:val="0"/>
              <w:spacing w:line="240" w:lineRule="auto"/>
              <w:rPr>
                <w:snapToGrid/>
                <w:szCs w:val="18"/>
                <w:lang w:val="en-US" w:eastAsia="en-GB"/>
              </w:rPr>
            </w:pPr>
            <w:r w:rsidRPr="00E076F1">
              <w:rPr>
                <w:snapToGrid/>
                <w:szCs w:val="18"/>
                <w:lang w:val="en-US" w:eastAsia="en-GB"/>
              </w:rPr>
              <w:t>Dysuria</w:t>
            </w:r>
          </w:p>
          <w:p w14:paraId="712D1D37" w14:textId="40985E6F" w:rsidR="006C6C63" w:rsidRPr="00E076F1" w:rsidRDefault="009B4F11" w:rsidP="00E076F1">
            <w:pPr>
              <w:tabs>
                <w:tab w:val="clear" w:pos="567"/>
              </w:tabs>
              <w:autoSpaceDE w:val="0"/>
              <w:autoSpaceDN w:val="0"/>
              <w:adjustRightInd w:val="0"/>
              <w:spacing w:line="240" w:lineRule="auto"/>
              <w:rPr>
                <w:snapToGrid/>
                <w:szCs w:val="18"/>
                <w:lang w:val="en-US" w:eastAsia="en-GB"/>
              </w:rPr>
            </w:pPr>
            <w:r w:rsidRPr="00E076F1">
              <w:rPr>
                <w:snapToGrid/>
                <w:szCs w:val="18"/>
                <w:lang w:val="en-US" w:eastAsia="en-GB"/>
              </w:rPr>
              <w:t>Polyuria</w:t>
            </w:r>
            <w:r w:rsidR="00AF5856" w:rsidRPr="00E076F1">
              <w:rPr>
                <w:rStyle w:val="Bodytext95pt"/>
                <w:rFonts w:eastAsia="SimSun"/>
                <w:color w:val="auto"/>
                <w:sz w:val="22"/>
                <w:szCs w:val="18"/>
                <w:lang w:val="en-GB"/>
              </w:rPr>
              <w:t>*</w:t>
            </w:r>
            <w:r w:rsidR="00AF5856" w:rsidRPr="00E076F1">
              <w:rPr>
                <w:rStyle w:val="Bodytext95pt"/>
                <w:rFonts w:eastAsia="SimSun"/>
                <w:color w:val="auto"/>
                <w:sz w:val="22"/>
                <w:szCs w:val="18"/>
                <w:vertAlign w:val="superscript"/>
                <w:lang w:val="en-GB"/>
              </w:rPr>
              <w:t>,</w:t>
            </w:r>
            <w:r w:rsidRPr="00E076F1">
              <w:rPr>
                <w:snapToGrid/>
                <w:szCs w:val="18"/>
                <w:vertAlign w:val="superscript"/>
                <w:lang w:val="en-US" w:eastAsia="en-GB"/>
              </w:rPr>
              <w:t>f</w:t>
            </w:r>
          </w:p>
        </w:tc>
        <w:tc>
          <w:tcPr>
            <w:tcW w:w="1416" w:type="dxa"/>
            <w:tcBorders>
              <w:top w:val="single" w:sz="4" w:space="0" w:color="auto"/>
              <w:left w:val="single" w:sz="4" w:space="0" w:color="auto"/>
              <w:bottom w:val="single" w:sz="4" w:space="0" w:color="auto"/>
            </w:tcBorders>
            <w:shd w:val="clear" w:color="auto" w:fill="FFFFFF"/>
          </w:tcPr>
          <w:p w14:paraId="6AC6A96F" w14:textId="77777777" w:rsidR="006C6C63" w:rsidRPr="00E076F1" w:rsidRDefault="006C6C63" w:rsidP="00E076F1">
            <w:pPr>
              <w:spacing w:line="240" w:lineRule="auto"/>
              <w:rPr>
                <w:szCs w:val="18"/>
              </w:rPr>
            </w:pPr>
            <w:r w:rsidRPr="00E076F1">
              <w:rPr>
                <w:rStyle w:val="Bodytext95pt"/>
                <w:rFonts w:eastAsia="SimSun"/>
                <w:color w:val="auto"/>
                <w:sz w:val="22"/>
                <w:szCs w:val="18"/>
                <w:lang w:val="en-GB"/>
              </w:rPr>
              <w:t>Nocturia**</w:t>
            </w:r>
          </w:p>
        </w:tc>
        <w:tc>
          <w:tcPr>
            <w:tcW w:w="1478" w:type="dxa"/>
            <w:tcBorders>
              <w:top w:val="single" w:sz="4" w:space="0" w:color="auto"/>
              <w:left w:val="single" w:sz="4" w:space="0" w:color="auto"/>
              <w:bottom w:val="single" w:sz="4" w:space="0" w:color="auto"/>
            </w:tcBorders>
            <w:shd w:val="clear" w:color="auto" w:fill="FFFFFF"/>
          </w:tcPr>
          <w:p w14:paraId="625EFB3D" w14:textId="77777777" w:rsidR="006C6C63" w:rsidRPr="00E076F1" w:rsidRDefault="006C6C63" w:rsidP="00E076F1">
            <w:pPr>
              <w:spacing w:line="240" w:lineRule="auto"/>
              <w:rPr>
                <w:szCs w:val="18"/>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70D92CFF" w14:textId="77777777" w:rsidR="006C6C63" w:rsidRPr="00E076F1" w:rsidRDefault="006C6C63" w:rsidP="00E076F1">
            <w:pPr>
              <w:pStyle w:val="Tekstpodstawowy6"/>
              <w:spacing w:after="0" w:line="240" w:lineRule="auto"/>
              <w:jc w:val="left"/>
              <w:rPr>
                <w:sz w:val="22"/>
                <w:szCs w:val="18"/>
                <w:lang w:val="en-US"/>
              </w:rPr>
            </w:pPr>
          </w:p>
        </w:tc>
      </w:tr>
      <w:tr w:rsidR="006C6C63" w:rsidRPr="00E076F1" w14:paraId="6E471169" w14:textId="77777777" w:rsidTr="00BB10D9">
        <w:trPr>
          <w:trHeight w:hRule="exact" w:val="1546"/>
        </w:trPr>
        <w:tc>
          <w:tcPr>
            <w:tcW w:w="1531" w:type="dxa"/>
            <w:tcBorders>
              <w:top w:val="single" w:sz="4" w:space="0" w:color="auto"/>
              <w:left w:val="single" w:sz="4" w:space="0" w:color="auto"/>
              <w:bottom w:val="single" w:sz="4" w:space="0" w:color="auto"/>
            </w:tcBorders>
            <w:shd w:val="clear" w:color="auto" w:fill="FFFFFF"/>
          </w:tcPr>
          <w:p w14:paraId="5991E206" w14:textId="3D3F3D24" w:rsidR="006C6C63" w:rsidRPr="00E076F1" w:rsidRDefault="009B4F1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A nemi szervekkel és az emlővel kapcsolatos betegségek és tünetek</w:t>
            </w:r>
          </w:p>
        </w:tc>
        <w:tc>
          <w:tcPr>
            <w:tcW w:w="1536" w:type="dxa"/>
            <w:tcBorders>
              <w:top w:val="single" w:sz="4" w:space="0" w:color="auto"/>
              <w:left w:val="single" w:sz="4" w:space="0" w:color="auto"/>
              <w:bottom w:val="single" w:sz="4" w:space="0" w:color="auto"/>
            </w:tcBorders>
            <w:shd w:val="clear" w:color="auto" w:fill="FFFFFF"/>
          </w:tcPr>
          <w:p w14:paraId="4C98DC57"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1F49DF7B" w14:textId="77777777" w:rsidR="006C6C63" w:rsidRPr="00E076F1" w:rsidRDefault="006C6C63" w:rsidP="00E076F1">
            <w:pPr>
              <w:pStyle w:val="Tekstpodstawowy6"/>
              <w:spacing w:after="0" w:line="240" w:lineRule="auto"/>
              <w:jc w:val="left"/>
              <w:rPr>
                <w:sz w:val="22"/>
                <w:szCs w:val="18"/>
                <w:lang w:val="hu-HU"/>
              </w:rPr>
            </w:pPr>
          </w:p>
        </w:tc>
        <w:tc>
          <w:tcPr>
            <w:tcW w:w="1416" w:type="dxa"/>
            <w:tcBorders>
              <w:top w:val="single" w:sz="4" w:space="0" w:color="auto"/>
              <w:left w:val="single" w:sz="4" w:space="0" w:color="auto"/>
              <w:bottom w:val="single" w:sz="4" w:space="0" w:color="auto"/>
            </w:tcBorders>
            <w:shd w:val="clear" w:color="auto" w:fill="FFFFFF"/>
          </w:tcPr>
          <w:p w14:paraId="13DA1BFD" w14:textId="21800DD6" w:rsidR="006C6C63" w:rsidRPr="00E076F1" w:rsidRDefault="009B4F1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Vulvovaginális pruritus</w:t>
            </w:r>
            <w:r w:rsidR="006C6C63" w:rsidRPr="00E076F1">
              <w:rPr>
                <w:rStyle w:val="Bodytext95pt"/>
                <w:rFonts w:eastAsia="SimSun"/>
                <w:color w:val="auto"/>
                <w:sz w:val="22"/>
                <w:szCs w:val="18"/>
                <w:lang w:val="hu-HU"/>
              </w:rPr>
              <w:t>**</w:t>
            </w:r>
            <w:r w:rsidR="009C61FF" w:rsidRPr="00E076F1">
              <w:rPr>
                <w:rStyle w:val="Bodytext95pt"/>
                <w:rFonts w:eastAsia="SimSun"/>
                <w:snapToGrid/>
                <w:color w:val="auto"/>
                <w:sz w:val="22"/>
                <w:szCs w:val="18"/>
                <w:shd w:val="clear" w:color="auto" w:fill="auto"/>
                <w:lang w:val="hu-HU" w:eastAsia="en-GB"/>
              </w:rPr>
              <w:t xml:space="preserve"> </w:t>
            </w:r>
            <w:r w:rsidRPr="00E076F1">
              <w:rPr>
                <w:snapToGrid/>
                <w:szCs w:val="18"/>
                <w:lang w:val="hu-HU" w:eastAsia="en-GB"/>
              </w:rPr>
              <w:t>Genitális pruritus</w:t>
            </w:r>
            <w:r w:rsidRPr="00E076F1">
              <w:rPr>
                <w:rStyle w:val="Bodytext95pt"/>
                <w:rFonts w:eastAsia="SimSun"/>
                <w:color w:val="auto"/>
                <w:sz w:val="22"/>
                <w:szCs w:val="18"/>
                <w:lang w:val="hu-HU"/>
              </w:rPr>
              <w:t xml:space="preserve"> </w:t>
            </w:r>
            <w:r w:rsidR="006C6C63" w:rsidRPr="00E076F1">
              <w:rPr>
                <w:rStyle w:val="Bodytext95pt"/>
                <w:rFonts w:eastAsia="SimSun"/>
                <w:color w:val="auto"/>
                <w:sz w:val="22"/>
                <w:szCs w:val="18"/>
                <w:lang w:val="hu-HU"/>
              </w:rPr>
              <w:t>**</w:t>
            </w:r>
          </w:p>
        </w:tc>
        <w:tc>
          <w:tcPr>
            <w:tcW w:w="1478" w:type="dxa"/>
            <w:tcBorders>
              <w:top w:val="single" w:sz="4" w:space="0" w:color="auto"/>
              <w:left w:val="single" w:sz="4" w:space="0" w:color="auto"/>
              <w:bottom w:val="single" w:sz="4" w:space="0" w:color="auto"/>
            </w:tcBorders>
            <w:shd w:val="clear" w:color="auto" w:fill="FFFFFF"/>
          </w:tcPr>
          <w:p w14:paraId="3170644B"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3FC4719B" w14:textId="77777777" w:rsidR="006C6C63" w:rsidRPr="00E076F1" w:rsidRDefault="006C6C63" w:rsidP="00E076F1">
            <w:pPr>
              <w:pStyle w:val="Tekstpodstawowy6"/>
              <w:spacing w:after="0" w:line="240" w:lineRule="auto"/>
              <w:jc w:val="left"/>
              <w:rPr>
                <w:sz w:val="22"/>
                <w:szCs w:val="18"/>
                <w:lang w:val="hu-HU"/>
              </w:rPr>
            </w:pPr>
          </w:p>
        </w:tc>
      </w:tr>
      <w:tr w:rsidR="006C6C63" w:rsidRPr="0030763D" w14:paraId="6403D01E" w14:textId="77777777" w:rsidTr="009B4F11">
        <w:trPr>
          <w:trHeight w:hRule="exact" w:val="2833"/>
        </w:trPr>
        <w:tc>
          <w:tcPr>
            <w:tcW w:w="1531" w:type="dxa"/>
            <w:tcBorders>
              <w:top w:val="single" w:sz="4" w:space="0" w:color="auto"/>
              <w:left w:val="single" w:sz="4" w:space="0" w:color="auto"/>
              <w:bottom w:val="single" w:sz="4" w:space="0" w:color="auto"/>
            </w:tcBorders>
            <w:shd w:val="clear" w:color="auto" w:fill="FFFFFF"/>
          </w:tcPr>
          <w:p w14:paraId="3773DBA3" w14:textId="45959DE7" w:rsidR="006C6C63" w:rsidRPr="00E076F1" w:rsidRDefault="009B4F1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Laboratóriumi és egyéb vizsgálatok eredményei</w:t>
            </w:r>
          </w:p>
        </w:tc>
        <w:tc>
          <w:tcPr>
            <w:tcW w:w="1536" w:type="dxa"/>
            <w:tcBorders>
              <w:top w:val="single" w:sz="4" w:space="0" w:color="auto"/>
              <w:left w:val="single" w:sz="4" w:space="0" w:color="auto"/>
              <w:bottom w:val="single" w:sz="4" w:space="0" w:color="auto"/>
            </w:tcBorders>
            <w:shd w:val="clear" w:color="auto" w:fill="FFFFFF"/>
          </w:tcPr>
          <w:p w14:paraId="72BDC4AB"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752EC6C2" w14:textId="3A7F4FAE" w:rsidR="006C6C63" w:rsidRPr="00E076F1" w:rsidRDefault="009B4F1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Emelkedett</w:t>
            </w:r>
            <w:r w:rsidR="009C61FF" w:rsidRPr="00E076F1">
              <w:rPr>
                <w:snapToGrid/>
                <w:szCs w:val="18"/>
                <w:lang w:val="hu-HU" w:eastAsia="en-GB"/>
              </w:rPr>
              <w:t xml:space="preserve"> </w:t>
            </w:r>
            <w:r w:rsidRPr="00E076F1">
              <w:rPr>
                <w:snapToGrid/>
                <w:szCs w:val="18"/>
                <w:lang w:val="hu-HU" w:eastAsia="en-GB"/>
              </w:rPr>
              <w:t>hematokrit</w:t>
            </w:r>
            <w:r w:rsidR="009C61FF" w:rsidRPr="00E076F1">
              <w:rPr>
                <w:snapToGrid/>
                <w:szCs w:val="18"/>
                <w:lang w:val="hu-HU" w:eastAsia="en-GB"/>
              </w:rPr>
              <w:t xml:space="preserve"> </w:t>
            </w:r>
            <w:r w:rsidRPr="00E076F1">
              <w:rPr>
                <w:snapToGrid/>
                <w:szCs w:val="18"/>
                <w:vertAlign w:val="superscript"/>
                <w:lang w:val="hu-HU" w:eastAsia="en-GB"/>
              </w:rPr>
              <w:t>g</w:t>
            </w:r>
            <w:r w:rsidR="009C61FF" w:rsidRPr="00E076F1">
              <w:rPr>
                <w:snapToGrid/>
                <w:szCs w:val="18"/>
                <w:lang w:val="hu-HU" w:eastAsia="en-GB"/>
              </w:rPr>
              <w:t xml:space="preserve"> </w:t>
            </w:r>
            <w:r w:rsidR="00FD00C6">
              <w:rPr>
                <w:snapToGrid/>
                <w:szCs w:val="18"/>
                <w:lang w:val="hu-HU" w:eastAsia="en-GB"/>
              </w:rPr>
              <w:t>a</w:t>
            </w:r>
            <w:r w:rsidR="009C61FF" w:rsidRPr="00E076F1">
              <w:rPr>
                <w:snapToGrid/>
                <w:szCs w:val="18"/>
                <w:lang w:val="hu-HU" w:eastAsia="en-GB"/>
              </w:rPr>
              <w:t> </w:t>
            </w:r>
            <w:r w:rsidRPr="00E076F1">
              <w:rPr>
                <w:snapToGrid/>
                <w:szCs w:val="18"/>
                <w:lang w:val="hu-HU" w:eastAsia="en-GB"/>
              </w:rPr>
              <w:t>kreatinin</w:t>
            </w:r>
            <w:r w:rsidR="009C61FF" w:rsidRPr="00E076F1">
              <w:rPr>
                <w:snapToGrid/>
                <w:szCs w:val="18"/>
                <w:lang w:val="hu-HU" w:eastAsia="en-GB"/>
              </w:rPr>
              <w:t xml:space="preserve"> </w:t>
            </w:r>
            <w:r w:rsidRPr="00E076F1">
              <w:rPr>
                <w:snapToGrid/>
                <w:szCs w:val="18"/>
                <w:lang w:val="hu-HU" w:eastAsia="en-GB"/>
              </w:rPr>
              <w:t>renalis</w:t>
            </w:r>
            <w:r w:rsidR="009C61FF" w:rsidRPr="00E076F1">
              <w:rPr>
                <w:snapToGrid/>
                <w:szCs w:val="18"/>
                <w:lang w:val="hu-HU" w:eastAsia="en-GB"/>
              </w:rPr>
              <w:t xml:space="preserve"> </w:t>
            </w:r>
            <w:r w:rsidRPr="00E076F1">
              <w:rPr>
                <w:snapToGrid/>
                <w:szCs w:val="18"/>
                <w:lang w:val="hu-HU" w:eastAsia="en-GB"/>
              </w:rPr>
              <w:t>clearance-e</w:t>
            </w:r>
            <w:r w:rsidR="009C61FF" w:rsidRPr="00E076F1">
              <w:rPr>
                <w:snapToGrid/>
                <w:szCs w:val="18"/>
                <w:lang w:val="hu-HU" w:eastAsia="en-GB"/>
              </w:rPr>
              <w:t xml:space="preserve"> </w:t>
            </w:r>
            <w:r w:rsidRPr="00E076F1">
              <w:rPr>
                <w:snapToGrid/>
                <w:szCs w:val="18"/>
                <w:lang w:val="hu-HU" w:eastAsia="en-GB"/>
              </w:rPr>
              <w:t>csökkent a</w:t>
            </w:r>
            <w:r w:rsidR="009C61FF" w:rsidRPr="00E076F1">
              <w:rPr>
                <w:snapToGrid/>
                <w:szCs w:val="18"/>
                <w:lang w:val="hu-HU" w:eastAsia="en-GB"/>
              </w:rPr>
              <w:t xml:space="preserve"> </w:t>
            </w:r>
            <w:r w:rsidRPr="00E076F1">
              <w:rPr>
                <w:snapToGrid/>
                <w:szCs w:val="18"/>
                <w:lang w:val="hu-HU" w:eastAsia="en-GB"/>
              </w:rPr>
              <w:t>kezelés</w:t>
            </w:r>
            <w:r w:rsidR="009C61FF" w:rsidRPr="00E076F1">
              <w:rPr>
                <w:snapToGrid/>
                <w:szCs w:val="18"/>
                <w:lang w:val="hu-HU" w:eastAsia="en-GB"/>
              </w:rPr>
              <w:t xml:space="preserve"> </w:t>
            </w:r>
            <w:r w:rsidRPr="00E076F1">
              <w:rPr>
                <w:snapToGrid/>
                <w:szCs w:val="18"/>
                <w:lang w:val="hu-HU" w:eastAsia="en-GB"/>
              </w:rPr>
              <w:t>elkezdésekor</w:t>
            </w:r>
            <w:r w:rsidRPr="00E076F1">
              <w:rPr>
                <w:snapToGrid/>
                <w:szCs w:val="18"/>
                <w:vertAlign w:val="superscript"/>
                <w:lang w:val="hu-HU" w:eastAsia="en-GB"/>
              </w:rPr>
              <w:t>b</w:t>
            </w:r>
            <w:r w:rsidR="009C61FF" w:rsidRPr="00E076F1">
              <w:rPr>
                <w:snapToGrid/>
                <w:szCs w:val="18"/>
                <w:lang w:val="hu-HU" w:eastAsia="en-GB"/>
              </w:rPr>
              <w:t xml:space="preserve"> </w:t>
            </w:r>
            <w:r w:rsidR="00FD00C6">
              <w:rPr>
                <w:snapToGrid/>
                <w:szCs w:val="18"/>
                <w:lang w:val="hu-HU" w:eastAsia="en-GB"/>
              </w:rPr>
              <w:t>d</w:t>
            </w:r>
            <w:r w:rsidRPr="00E076F1">
              <w:rPr>
                <w:snapToGrid/>
                <w:szCs w:val="18"/>
                <w:lang w:val="hu-HU" w:eastAsia="en-GB"/>
              </w:rPr>
              <w:t>yslipidaemia</w:t>
            </w:r>
            <w:r w:rsidR="00FD00C6">
              <w:rPr>
                <w:snapToGrid/>
                <w:szCs w:val="18"/>
                <w:lang w:val="hu-HU" w:eastAsia="en-GB"/>
              </w:rPr>
              <w:t>.</w:t>
            </w:r>
            <w:r w:rsidR="009C61FF" w:rsidRPr="00E076F1">
              <w:rPr>
                <w:snapToGrid/>
                <w:szCs w:val="18"/>
                <w:lang w:val="hu-HU" w:eastAsia="en-GB"/>
              </w:rPr>
              <w:t xml:space="preserve"> </w:t>
            </w:r>
            <w:r w:rsidRPr="00E076F1">
              <w:rPr>
                <w:snapToGrid/>
                <w:szCs w:val="18"/>
                <w:vertAlign w:val="superscript"/>
                <w:lang w:val="hu-HU" w:eastAsia="en-GB"/>
              </w:rPr>
              <w:t>j</w:t>
            </w:r>
          </w:p>
        </w:tc>
        <w:tc>
          <w:tcPr>
            <w:tcW w:w="1416" w:type="dxa"/>
            <w:tcBorders>
              <w:top w:val="single" w:sz="4" w:space="0" w:color="auto"/>
              <w:left w:val="single" w:sz="4" w:space="0" w:color="auto"/>
              <w:bottom w:val="single" w:sz="4" w:space="0" w:color="auto"/>
            </w:tcBorders>
            <w:shd w:val="clear" w:color="auto" w:fill="FFFFFF"/>
          </w:tcPr>
          <w:p w14:paraId="1E8BFD62" w14:textId="1B69A73E" w:rsidR="006C6C63" w:rsidRPr="00E076F1" w:rsidRDefault="009B4F1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Emelkedett</w:t>
            </w:r>
            <w:r w:rsidR="009C61FF" w:rsidRPr="00E076F1">
              <w:rPr>
                <w:snapToGrid/>
                <w:szCs w:val="18"/>
                <w:lang w:val="hu-HU" w:eastAsia="en-GB"/>
              </w:rPr>
              <w:t xml:space="preserve"> </w:t>
            </w:r>
            <w:r w:rsidRPr="00E076F1">
              <w:rPr>
                <w:snapToGrid/>
                <w:szCs w:val="18"/>
                <w:lang w:val="hu-HU" w:eastAsia="en-GB"/>
              </w:rPr>
              <w:t>kreatininszint a</w:t>
            </w:r>
            <w:r w:rsidR="009C61FF" w:rsidRPr="00E076F1">
              <w:rPr>
                <w:snapToGrid/>
                <w:szCs w:val="18"/>
                <w:lang w:val="hu-HU" w:eastAsia="en-GB"/>
              </w:rPr>
              <w:t xml:space="preserve"> </w:t>
            </w:r>
            <w:r w:rsidRPr="00E076F1">
              <w:rPr>
                <w:snapToGrid/>
                <w:szCs w:val="18"/>
                <w:lang w:val="hu-HU" w:eastAsia="en-GB"/>
              </w:rPr>
              <w:t>vérben a kezelés</w:t>
            </w:r>
            <w:r w:rsidR="009C61FF" w:rsidRPr="00E076F1">
              <w:rPr>
                <w:snapToGrid/>
                <w:szCs w:val="18"/>
                <w:lang w:val="hu-HU" w:eastAsia="en-GB"/>
              </w:rPr>
              <w:t xml:space="preserve"> </w:t>
            </w:r>
            <w:r w:rsidRPr="00E076F1">
              <w:rPr>
                <w:snapToGrid/>
                <w:szCs w:val="18"/>
                <w:lang w:val="hu-HU" w:eastAsia="en-GB"/>
              </w:rPr>
              <w:t>elkezdésekor</w:t>
            </w:r>
            <w:r w:rsidR="00AF5856" w:rsidRPr="00E076F1">
              <w:rPr>
                <w:rFonts w:eastAsia="TimesNewRoman,Bold"/>
                <w:b/>
                <w:bCs/>
                <w:snapToGrid/>
                <w:szCs w:val="18"/>
                <w:lang w:val="hu-HU" w:eastAsia="en-GB"/>
              </w:rPr>
              <w:t>**</w:t>
            </w:r>
            <w:r w:rsidRPr="00E076F1">
              <w:rPr>
                <w:rFonts w:eastAsia="TimesNewRoman,Bold"/>
                <w:snapToGrid/>
                <w:szCs w:val="18"/>
                <w:vertAlign w:val="superscript"/>
                <w:lang w:val="hu-HU" w:eastAsia="en-GB"/>
              </w:rPr>
              <w:t>,b</w:t>
            </w:r>
            <w:r w:rsidR="009C61FF" w:rsidRPr="00E076F1">
              <w:rPr>
                <w:snapToGrid/>
                <w:szCs w:val="18"/>
                <w:lang w:val="hu-HU" w:eastAsia="en-GB"/>
              </w:rPr>
              <w:t xml:space="preserve"> </w:t>
            </w:r>
            <w:r w:rsidR="00FD00C6">
              <w:rPr>
                <w:snapToGrid/>
                <w:szCs w:val="18"/>
                <w:lang w:val="hu-HU" w:eastAsia="en-GB"/>
              </w:rPr>
              <w:t>e</w:t>
            </w:r>
            <w:r w:rsidRPr="00E076F1">
              <w:rPr>
                <w:snapToGrid/>
                <w:szCs w:val="18"/>
                <w:lang w:val="hu-HU" w:eastAsia="en-GB"/>
              </w:rPr>
              <w:t>melkedett</w:t>
            </w:r>
            <w:r w:rsidR="009C61FF" w:rsidRPr="00E076F1">
              <w:rPr>
                <w:snapToGrid/>
                <w:szCs w:val="18"/>
                <w:lang w:val="hu-HU" w:eastAsia="en-GB"/>
              </w:rPr>
              <w:t xml:space="preserve"> </w:t>
            </w:r>
            <w:r w:rsidRPr="00E076F1">
              <w:rPr>
                <w:snapToGrid/>
                <w:szCs w:val="18"/>
                <w:lang w:val="hu-HU" w:eastAsia="en-GB"/>
              </w:rPr>
              <w:t>karbamidszint a</w:t>
            </w:r>
            <w:r w:rsidR="009C61FF" w:rsidRPr="00E076F1">
              <w:rPr>
                <w:snapToGrid/>
                <w:szCs w:val="18"/>
                <w:lang w:val="hu-HU" w:eastAsia="en-GB"/>
              </w:rPr>
              <w:t xml:space="preserve"> </w:t>
            </w:r>
            <w:r w:rsidRPr="00E076F1">
              <w:rPr>
                <w:snapToGrid/>
                <w:szCs w:val="18"/>
                <w:lang w:val="hu-HU" w:eastAsia="en-GB"/>
              </w:rPr>
              <w:t>vérben</w:t>
            </w:r>
            <w:r w:rsidR="00AF5856" w:rsidRPr="00E076F1">
              <w:rPr>
                <w:rStyle w:val="Bodytext95pt"/>
                <w:rFonts w:eastAsia="SimSun"/>
                <w:color w:val="auto"/>
                <w:sz w:val="22"/>
                <w:szCs w:val="18"/>
                <w:lang w:val="hu-HU"/>
              </w:rPr>
              <w:t>**</w:t>
            </w:r>
            <w:r w:rsidR="009C61FF" w:rsidRPr="00E076F1">
              <w:rPr>
                <w:snapToGrid/>
                <w:szCs w:val="18"/>
                <w:lang w:val="hu-HU" w:eastAsia="en-GB"/>
              </w:rPr>
              <w:t xml:space="preserve"> </w:t>
            </w:r>
            <w:r w:rsidR="00FD00C6">
              <w:rPr>
                <w:snapToGrid/>
                <w:szCs w:val="18"/>
                <w:lang w:val="hu-HU" w:eastAsia="en-GB"/>
              </w:rPr>
              <w:t>t</w:t>
            </w:r>
            <w:r w:rsidRPr="00E076F1">
              <w:rPr>
                <w:snapToGrid/>
                <w:szCs w:val="18"/>
                <w:lang w:val="hu-HU" w:eastAsia="en-GB"/>
              </w:rPr>
              <w:t>esttömegcsökkenés</w:t>
            </w:r>
            <w:r w:rsidR="00AF5856" w:rsidRPr="00E076F1">
              <w:rPr>
                <w:rStyle w:val="Bodytext95pt"/>
                <w:rFonts w:eastAsia="SimSun"/>
                <w:color w:val="auto"/>
                <w:sz w:val="22"/>
                <w:szCs w:val="18"/>
                <w:lang w:val="hu-HU"/>
              </w:rPr>
              <w:t>**</w:t>
            </w:r>
            <w:r w:rsidR="00FD00C6">
              <w:rPr>
                <w:rStyle w:val="Bodytext95pt"/>
                <w:rFonts w:eastAsia="SimSun"/>
                <w:color w:val="auto"/>
                <w:sz w:val="22"/>
                <w:szCs w:val="18"/>
                <w:lang w:val="hu-HU"/>
              </w:rPr>
              <w:t>.</w:t>
            </w:r>
          </w:p>
        </w:tc>
        <w:tc>
          <w:tcPr>
            <w:tcW w:w="1478" w:type="dxa"/>
            <w:tcBorders>
              <w:top w:val="single" w:sz="4" w:space="0" w:color="auto"/>
              <w:left w:val="single" w:sz="4" w:space="0" w:color="auto"/>
              <w:bottom w:val="single" w:sz="4" w:space="0" w:color="auto"/>
            </w:tcBorders>
            <w:shd w:val="clear" w:color="auto" w:fill="FFFFFF"/>
          </w:tcPr>
          <w:p w14:paraId="7B846AA5"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21FC382D" w14:textId="77777777" w:rsidR="006C6C63" w:rsidRPr="00E076F1" w:rsidRDefault="006C6C63" w:rsidP="00E076F1">
            <w:pPr>
              <w:pStyle w:val="Tekstpodstawowy6"/>
              <w:spacing w:after="0" w:line="240" w:lineRule="auto"/>
              <w:jc w:val="left"/>
              <w:rPr>
                <w:sz w:val="22"/>
                <w:szCs w:val="18"/>
                <w:lang w:val="hu-HU"/>
              </w:rPr>
            </w:pPr>
          </w:p>
        </w:tc>
      </w:tr>
    </w:tbl>
    <w:p w14:paraId="0A91E1A6" w14:textId="77777777" w:rsidR="006C6C63" w:rsidRPr="00E076F1" w:rsidRDefault="006C6C63" w:rsidP="00E076F1">
      <w:pPr>
        <w:spacing w:line="240" w:lineRule="auto"/>
        <w:rPr>
          <w:u w:val="single"/>
          <w:lang w:val="hu-HU"/>
        </w:rPr>
      </w:pPr>
    </w:p>
    <w:p w14:paraId="4C589D6F" w14:textId="3F41B67D" w:rsidR="006C6C63"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a </w:t>
      </w:r>
      <w:r w:rsidRPr="00E076F1">
        <w:rPr>
          <w:snapToGrid/>
          <w:lang w:val="hu-HU" w:eastAsia="en-GB"/>
        </w:rPr>
        <w:t>A táblázat legfeljebb 24 hetes (rövid</w:t>
      </w:r>
      <w:r w:rsidR="002B5BE0">
        <w:rPr>
          <w:snapToGrid/>
          <w:lang w:val="hu-HU" w:eastAsia="en-GB"/>
        </w:rPr>
        <w:t xml:space="preserve"> </w:t>
      </w:r>
      <w:r w:rsidRPr="00E076F1">
        <w:rPr>
          <w:snapToGrid/>
          <w:lang w:val="hu-HU" w:eastAsia="en-GB"/>
        </w:rPr>
        <w:t xml:space="preserve">távú) adatokat mutat, tekintet nélkül a glykaemiás segítségre, kivéve azokat, amelyek § jelzéssel vannak ellátva, melyeknél a mellékhatás és a gyakorisági kategóriák a metformin Európai Unióban érvényes </w:t>
      </w:r>
      <w:r w:rsidR="00E73F9D">
        <w:rPr>
          <w:snapToGrid/>
          <w:lang w:val="hu-HU" w:eastAsia="en-GB"/>
        </w:rPr>
        <w:t>a</w:t>
      </w:r>
      <w:r w:rsidRPr="00E076F1">
        <w:rPr>
          <w:snapToGrid/>
          <w:lang w:val="hu-HU" w:eastAsia="en-GB"/>
        </w:rPr>
        <w:t>lkalmazási előírásának információin alapulnak.</w:t>
      </w:r>
    </w:p>
    <w:p w14:paraId="57CCB57C" w14:textId="4F6A216D" w:rsidR="006C6C63" w:rsidRPr="00E076F1" w:rsidRDefault="00EB4A4B" w:rsidP="00E076F1">
      <w:pPr>
        <w:spacing w:line="240" w:lineRule="auto"/>
        <w:rPr>
          <w:u w:val="single"/>
          <w:lang w:val="hu-HU"/>
        </w:rPr>
      </w:pPr>
      <w:r w:rsidRPr="00E076F1">
        <w:rPr>
          <w:snapToGrid/>
          <w:vertAlign w:val="superscript"/>
          <w:lang w:val="hu-HU" w:eastAsia="en-GB"/>
        </w:rPr>
        <w:t xml:space="preserve">b </w:t>
      </w:r>
      <w:r w:rsidRPr="00E076F1">
        <w:rPr>
          <w:snapToGrid/>
          <w:lang w:val="hu-HU" w:eastAsia="en-GB"/>
        </w:rPr>
        <w:t>További információkért lásd az alábbi, megfelelő alpontokat.</w:t>
      </w:r>
    </w:p>
    <w:p w14:paraId="403CBB9D" w14:textId="7B25ED18" w:rsidR="006C6C63"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vulvovaginitis, balanitis és ezekkel összefüggő genitális infekciók közé tartozó, előre meghatározott, preferált szakkifejezések: vulvovagin</w:t>
      </w:r>
      <w:r w:rsidR="00E73F9D">
        <w:rPr>
          <w:snapToGrid/>
          <w:lang w:val="hu-HU" w:eastAsia="en-GB"/>
        </w:rPr>
        <w:t>á</w:t>
      </w:r>
      <w:r w:rsidRPr="00E076F1">
        <w:rPr>
          <w:snapToGrid/>
          <w:lang w:val="hu-HU" w:eastAsia="en-GB"/>
        </w:rPr>
        <w:t>lis mycoticus fertőzés, vagin</w:t>
      </w:r>
      <w:r w:rsidR="00E73F9D">
        <w:rPr>
          <w:snapToGrid/>
          <w:lang w:val="hu-HU" w:eastAsia="en-GB"/>
        </w:rPr>
        <w:t>á</w:t>
      </w:r>
      <w:r w:rsidRPr="00E076F1">
        <w:rPr>
          <w:snapToGrid/>
          <w:lang w:val="hu-HU" w:eastAsia="en-GB"/>
        </w:rPr>
        <w:t>lis fertőzés, balanitis, gombás genitális fertőzés, vulvovagin</w:t>
      </w:r>
      <w:r w:rsidR="00E73F9D">
        <w:rPr>
          <w:snapToGrid/>
          <w:lang w:val="hu-HU" w:eastAsia="en-GB"/>
        </w:rPr>
        <w:t>á</w:t>
      </w:r>
      <w:r w:rsidRPr="00E076F1">
        <w:rPr>
          <w:snapToGrid/>
          <w:lang w:val="hu-HU" w:eastAsia="en-GB"/>
        </w:rPr>
        <w:t>lis candidiasis, vulvovaginitis, candida balanitis, genitális candidiasis, genitális fertőzés, férfi genitális fertőzés, penis fertőzés, vulvitis, bakteriális vaginitis, abcessus vulvae.</w:t>
      </w:r>
    </w:p>
    <w:p w14:paraId="2965CA69" w14:textId="095CA565" w:rsidR="006C6C63"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d </w:t>
      </w:r>
      <w:r w:rsidRPr="00E076F1">
        <w:rPr>
          <w:snapToGrid/>
          <w:lang w:val="hu-HU" w:eastAsia="en-GB"/>
        </w:rPr>
        <w:t>A húgyúti fertőzés a következő preferált szakkifejezéseket foglalja magába, a bejelentési gyakoriság szerinti sorrendben: húgyúti fertőzés, cystitis, Escherichia húgyúti fertőzés, genitourinális fertőzés, pyelonephritis, trigonitis, urethritis, vesefertőzés és prostatitis.</w:t>
      </w:r>
    </w:p>
    <w:p w14:paraId="3B6D5611" w14:textId="0DDA2A3F"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e</w:t>
      </w:r>
      <w:r w:rsidRPr="00E076F1">
        <w:rPr>
          <w:snapToGrid/>
          <w:lang w:val="hu-HU" w:eastAsia="en-GB"/>
        </w:rPr>
        <w:t xml:space="preserve"> A volumendeplécióhoz tartozó, preferált szakkifejezések: dehydratio, hypovolaemia, hypotensio.</w:t>
      </w:r>
    </w:p>
    <w:p w14:paraId="6BA2CACF" w14:textId="56A9421B" w:rsidR="006C6C63" w:rsidRPr="00E076F1" w:rsidRDefault="00EB4A4B" w:rsidP="00E076F1">
      <w:pPr>
        <w:spacing w:line="240" w:lineRule="auto"/>
        <w:rPr>
          <w:u w:val="single"/>
          <w:lang w:val="hu-HU"/>
        </w:rPr>
      </w:pPr>
      <w:r w:rsidRPr="00E076F1">
        <w:rPr>
          <w:snapToGrid/>
          <w:vertAlign w:val="superscript"/>
          <w:lang w:val="hu-HU" w:eastAsia="en-GB"/>
        </w:rPr>
        <w:t>f</w:t>
      </w:r>
      <w:r w:rsidRPr="00E076F1">
        <w:rPr>
          <w:snapToGrid/>
          <w:lang w:val="hu-HU" w:eastAsia="en-GB"/>
        </w:rPr>
        <w:t xml:space="preserve"> A polyuriához tartozó preferált szakkifejezések: pollakisuria, polyuria, megnövekedett vizeletmennyiség.</w:t>
      </w:r>
    </w:p>
    <w:p w14:paraId="0271B378" w14:textId="6B28753D"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g </w:t>
      </w:r>
      <w:r w:rsidRPr="00E076F1">
        <w:rPr>
          <w:snapToGrid/>
          <w:lang w:val="hu-HU" w:eastAsia="en-GB"/>
        </w:rPr>
        <w:t>A vizsgálat megkezdésétől a hematokritértékben bekövetkezett átlagos változás 2,30% volt a 10</w:t>
      </w:r>
      <w:r w:rsidR="00122450" w:rsidRPr="00E076F1">
        <w:rPr>
          <w:snapToGrid/>
          <w:lang w:val="hu-HU" w:eastAsia="en-GB"/>
        </w:rPr>
        <w:t> mg</w:t>
      </w:r>
      <w:r w:rsidRPr="00E076F1">
        <w:rPr>
          <w:snapToGrid/>
          <w:lang w:val="hu-HU" w:eastAsia="en-GB"/>
        </w:rPr>
        <w:t xml:space="preserve"> dapagliflozin, míg -0,33% a placebo esetén. 55% fölötti hematokritértéket a 10</w:t>
      </w:r>
      <w:r w:rsidR="00122450" w:rsidRPr="00E076F1">
        <w:rPr>
          <w:snapToGrid/>
          <w:lang w:val="hu-HU" w:eastAsia="en-GB"/>
        </w:rPr>
        <w:t> mg</w:t>
      </w:r>
      <w:r w:rsidRPr="00E076F1">
        <w:rPr>
          <w:snapToGrid/>
          <w:lang w:val="hu-HU" w:eastAsia="en-GB"/>
        </w:rPr>
        <w:t xml:space="preserve"> dapagliflozinnal kezelt vizsgálati alanyok 1,3%-ánál, míg a placebóval kezelt vizsgálati alanyok 0,4%-ánál jelentettek.</w:t>
      </w:r>
    </w:p>
    <w:p w14:paraId="6E702D21" w14:textId="0A2684FF"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h</w:t>
      </w:r>
      <w:r w:rsidRPr="00E076F1">
        <w:rPr>
          <w:snapToGrid/>
          <w:lang w:val="hu-HU" w:eastAsia="en-GB"/>
        </w:rPr>
        <w:t>A hossz</w:t>
      </w:r>
      <w:r w:rsidR="00E73F9D">
        <w:rPr>
          <w:snapToGrid/>
          <w:lang w:val="hu-HU" w:eastAsia="en-GB"/>
        </w:rPr>
        <w:t>ú távú</w:t>
      </w:r>
      <w:r w:rsidRPr="00E076F1">
        <w:rPr>
          <w:snapToGrid/>
          <w:lang w:val="hu-HU" w:eastAsia="en-GB"/>
        </w:rPr>
        <w:t xml:space="preserve"> metformin-kezelés a B</w:t>
      </w:r>
      <w:r w:rsidRPr="00BB10D9">
        <w:rPr>
          <w:snapToGrid/>
          <w:vertAlign w:val="subscript"/>
          <w:lang w:val="hu-HU" w:eastAsia="en-GB"/>
        </w:rPr>
        <w:t>12</w:t>
      </w:r>
      <w:r w:rsidRPr="00E076F1">
        <w:rPr>
          <w:snapToGrid/>
          <w:lang w:val="hu-HU" w:eastAsia="en-GB"/>
        </w:rPr>
        <w:t>-vitamin felszívódásának csökkenésével járt, ami nagyon ritkán klinikailag jelentős B</w:t>
      </w:r>
      <w:r w:rsidRPr="00BB10D9">
        <w:rPr>
          <w:snapToGrid/>
          <w:vertAlign w:val="subscript"/>
          <w:lang w:val="hu-HU" w:eastAsia="en-GB"/>
        </w:rPr>
        <w:t>12</w:t>
      </w:r>
      <w:r w:rsidRPr="00E076F1">
        <w:rPr>
          <w:snapToGrid/>
          <w:lang w:val="hu-HU" w:eastAsia="en-GB"/>
        </w:rPr>
        <w:t>-vitamin-hiányt (pl. megaloblastos anaemiát) eredményezhet.</w:t>
      </w:r>
    </w:p>
    <w:p w14:paraId="7FD5B290" w14:textId="705BD3AE"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i </w:t>
      </w:r>
      <w:r w:rsidRPr="00E076F1">
        <w:rPr>
          <w:snapToGrid/>
          <w:lang w:val="hu-HU" w:eastAsia="en-GB"/>
        </w:rPr>
        <w:t>A gastrointestinalis tünetek, mint például a hányinger, hányás, hasmenés, hasi fájdalom és étvágytalanság leggyakrabban a kezelés kezdetén jelentkeznek, és a legtöbb esetben spontán megszűnnek.</w:t>
      </w:r>
    </w:p>
    <w:p w14:paraId="45533E02" w14:textId="02C8EA68"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j</w:t>
      </w:r>
      <w:r w:rsidRPr="00E076F1">
        <w:rPr>
          <w:snapToGrid/>
          <w:lang w:val="hu-HU" w:eastAsia="en-GB"/>
        </w:rPr>
        <w:t xml:space="preserve"> A vizsgálat megkezdésétől bekövetkezett átlagos százalékos változás a 10</w:t>
      </w:r>
      <w:r w:rsidR="00122450" w:rsidRPr="00E076F1">
        <w:rPr>
          <w:snapToGrid/>
          <w:lang w:val="hu-HU" w:eastAsia="en-GB"/>
        </w:rPr>
        <w:t> mg</w:t>
      </w:r>
      <w:r w:rsidRPr="00E076F1">
        <w:rPr>
          <w:snapToGrid/>
          <w:lang w:val="hu-HU" w:eastAsia="en-GB"/>
        </w:rPr>
        <w:t xml:space="preserve"> dapagliflozin esetén a placebóhoz képest sorrendben a következő volt: összkoleszterinszint 2,5% versus -0,0%; HDL-koleszterinszint 6,0% versus 2,7%; LDL-koleszterinszint 2,9% versus -1,0%; triglyceridek -2,7% versus -0,7%.</w:t>
      </w:r>
    </w:p>
    <w:p w14:paraId="487C084B" w14:textId="130C877B" w:rsidR="00EB4A4B" w:rsidRPr="00E076F1" w:rsidRDefault="00EB4A4B" w:rsidP="00E076F1">
      <w:pPr>
        <w:spacing w:line="240" w:lineRule="auto"/>
        <w:rPr>
          <w:u w:val="single"/>
          <w:lang w:val="hu-HU"/>
        </w:rPr>
      </w:pPr>
      <w:r w:rsidRPr="00E076F1">
        <w:rPr>
          <w:snapToGrid/>
          <w:vertAlign w:val="superscript"/>
          <w:lang w:val="hu-HU" w:eastAsia="en-GB"/>
        </w:rPr>
        <w:t>k</w:t>
      </w:r>
      <w:r w:rsidRPr="00E076F1">
        <w:rPr>
          <w:snapToGrid/>
          <w:lang w:val="hu-HU" w:eastAsia="en-GB"/>
        </w:rPr>
        <w:t xml:space="preserve"> Lásd 4.4 pont.</w:t>
      </w:r>
    </w:p>
    <w:p w14:paraId="56B763B9" w14:textId="29961DDE"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l</w:t>
      </w:r>
      <w:r w:rsidRPr="00E076F1">
        <w:rPr>
          <w:snapToGrid/>
          <w:lang w:val="hu-HU" w:eastAsia="en-GB"/>
        </w:rPr>
        <w:t xml:space="preserve"> A cardiovascularis végpontú vizsgálatban a 2-es típusú diabetesben szenvedő betegeknél jelentették (DECLARE). A gyakoriság az évenkénti arányon alapul.</w:t>
      </w:r>
    </w:p>
    <w:p w14:paraId="55950153" w14:textId="5AF40DBA" w:rsidR="00EB4A4B" w:rsidRPr="00E076F1" w:rsidRDefault="00FD7597"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m</w:t>
      </w:r>
      <w:r w:rsidRPr="00E076F1">
        <w:rPr>
          <w:snapToGrid/>
          <w:lang w:val="hu-HU" w:eastAsia="en-GB"/>
        </w:rPr>
        <w:t xml:space="preserve"> A mellékhatást a dapagliflozin esetén, a forgalomba hozatalt követően azonosították. A bőrkiütés, a klinikai vizsgálatokban gyakoriság szerint felsorolt, következő preferált szakkifejezéseket foglalta magába: bőrkiütés, generalizált bőrkiütés, viszkető bőrkiütés, macularis bőrkiütés, maculo-papularis bőrkiütés, pustularis bőrkiütés, hólyagos bőrkiütés és erythemás bőrkiütés. Az aktív és placebokontrollos klinikai vizsgálatokban (dapagliflozin, N = 5936, összes kontroll, N = 3403), sorrendben a bőrkiütés gyakorisága hasonló volt a dapagliflozin (1,4%) és az összes kontroll (1,4%) esetén.</w:t>
      </w:r>
    </w:p>
    <w:p w14:paraId="7001DEEF" w14:textId="70D53AFF" w:rsidR="00EB4A4B" w:rsidRPr="00E076F1" w:rsidRDefault="00FD7597" w:rsidP="00E076F1">
      <w:pPr>
        <w:tabs>
          <w:tab w:val="clear" w:pos="567"/>
        </w:tabs>
        <w:autoSpaceDE w:val="0"/>
        <w:autoSpaceDN w:val="0"/>
        <w:adjustRightInd w:val="0"/>
        <w:spacing w:line="240" w:lineRule="auto"/>
        <w:rPr>
          <w:snapToGrid/>
          <w:lang w:val="hu-HU" w:eastAsia="en-GB"/>
        </w:rPr>
      </w:pPr>
      <w:r w:rsidRPr="00E076F1">
        <w:rPr>
          <w:snapToGrid/>
          <w:lang w:val="hu-HU" w:eastAsia="en-GB"/>
        </w:rPr>
        <w:t>*</w:t>
      </w:r>
      <w:r w:rsidRPr="007C6093">
        <w:rPr>
          <w:snapToGrid/>
          <w:lang w:val="hu-HU" w:eastAsia="en-GB"/>
        </w:rPr>
        <w:t>A betegek ≥</w:t>
      </w:r>
      <w:r w:rsidRPr="00E076F1">
        <w:rPr>
          <w:snapToGrid/>
          <w:lang w:val="hu-HU" w:eastAsia="en-GB"/>
        </w:rPr>
        <w:t xml:space="preserve"> 2%-ánál és a placebóhoz viszonyítva ≥ 1%-kal több és legalább 3-mal több, 10</w:t>
      </w:r>
      <w:r w:rsidR="00122450" w:rsidRPr="00E076F1">
        <w:rPr>
          <w:snapToGrid/>
          <w:lang w:val="hu-HU" w:eastAsia="en-GB"/>
        </w:rPr>
        <w:t> mg</w:t>
      </w:r>
      <w:r w:rsidRPr="00E076F1">
        <w:rPr>
          <w:snapToGrid/>
          <w:lang w:val="hu-HU" w:eastAsia="en-GB"/>
        </w:rPr>
        <w:t xml:space="preserve"> dapagliflozint kapó betegnél jelentették.</w:t>
      </w:r>
    </w:p>
    <w:p w14:paraId="2D5B6E3E" w14:textId="3F4530B7" w:rsidR="00EB4A4B" w:rsidRPr="00E076F1" w:rsidRDefault="00FD7597" w:rsidP="00E076F1">
      <w:pPr>
        <w:tabs>
          <w:tab w:val="clear" w:pos="567"/>
        </w:tabs>
        <w:autoSpaceDE w:val="0"/>
        <w:autoSpaceDN w:val="0"/>
        <w:adjustRightInd w:val="0"/>
        <w:spacing w:line="240" w:lineRule="auto"/>
        <w:rPr>
          <w:snapToGrid/>
          <w:lang w:val="hu-HU" w:eastAsia="en-GB"/>
        </w:rPr>
      </w:pPr>
      <w:r w:rsidRPr="00E076F1">
        <w:rPr>
          <w:snapToGrid/>
          <w:lang w:val="hu-HU" w:eastAsia="en-GB"/>
        </w:rPr>
        <w:t>**A betegek ≥ 0,2%-ánál és a placebóhoz viszonyítva ≥ 0,1%-kal több és legalább 3-mal több, 10</w:t>
      </w:r>
      <w:r w:rsidR="00122450" w:rsidRPr="00E076F1">
        <w:rPr>
          <w:snapToGrid/>
          <w:lang w:val="hu-HU" w:eastAsia="en-GB"/>
        </w:rPr>
        <w:t> mg</w:t>
      </w:r>
      <w:r w:rsidRPr="00E076F1">
        <w:rPr>
          <w:snapToGrid/>
          <w:lang w:val="hu-HU" w:eastAsia="en-GB"/>
        </w:rPr>
        <w:t xml:space="preserve"> dapagliflozint kapó betegnél jelentették a vizsgálók a vizsgálati kezeléssel lehetségesen összefüggő, valószínűleg összefüggő vagy összefüggő esetként.</w:t>
      </w:r>
    </w:p>
    <w:p w14:paraId="56826644" w14:textId="77777777" w:rsidR="00FD7597" w:rsidRPr="00E076F1" w:rsidRDefault="00FD7597" w:rsidP="00E076F1">
      <w:pPr>
        <w:spacing w:line="240" w:lineRule="auto"/>
        <w:rPr>
          <w:szCs w:val="22"/>
          <w:u w:val="single"/>
          <w:lang w:val="hu-HU"/>
        </w:rPr>
      </w:pPr>
    </w:p>
    <w:p w14:paraId="30E6F52F" w14:textId="77777777" w:rsidR="00FD7597" w:rsidRPr="00E076F1" w:rsidRDefault="00FD7597"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Kiválasztott mellékhatások leírása</w:t>
      </w:r>
    </w:p>
    <w:p w14:paraId="01FF27BD" w14:textId="77777777" w:rsidR="00AF5856" w:rsidRPr="00E076F1" w:rsidRDefault="00AF5856"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2758DB33" w14:textId="3B1DD19C" w:rsidR="00FD7597" w:rsidRPr="00E076F1" w:rsidRDefault="00FD759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Dapagliflozin plusz metformin</w:t>
      </w:r>
    </w:p>
    <w:p w14:paraId="1BE68768" w14:textId="77777777" w:rsidR="00AF5856" w:rsidRPr="00E076F1" w:rsidRDefault="00AF5856" w:rsidP="00E076F1">
      <w:pPr>
        <w:tabs>
          <w:tab w:val="clear" w:pos="567"/>
        </w:tabs>
        <w:autoSpaceDE w:val="0"/>
        <w:autoSpaceDN w:val="0"/>
        <w:adjustRightInd w:val="0"/>
        <w:spacing w:line="240" w:lineRule="auto"/>
        <w:rPr>
          <w:rFonts w:eastAsia="TimesNewRoman,Italic"/>
          <w:i/>
          <w:iCs/>
          <w:snapToGrid/>
          <w:szCs w:val="22"/>
          <w:lang w:val="hu-HU" w:eastAsia="en-GB"/>
        </w:rPr>
      </w:pPr>
    </w:p>
    <w:p w14:paraId="16DE062D" w14:textId="34A43DE0" w:rsidR="00FD7597" w:rsidRPr="00E076F1" w:rsidRDefault="00FD759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Hypoglykaemia</w:t>
      </w:r>
    </w:p>
    <w:p w14:paraId="684A4615" w14:textId="5C6AB26C"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metformin mellé kiegészítésként adott dapagliflozin kombinációval végzett vizsgálatokban a hypoglykaemia nem jelentős epizódjairól hasonló gyakorisággal számoltak be a 10</w:t>
      </w:r>
      <w:r w:rsidR="00122450" w:rsidRPr="00E076F1">
        <w:rPr>
          <w:snapToGrid/>
          <w:szCs w:val="22"/>
          <w:lang w:val="hu-HU" w:eastAsia="en-GB"/>
        </w:rPr>
        <w:t> mg</w:t>
      </w:r>
      <w:r w:rsidRPr="00E076F1">
        <w:rPr>
          <w:snapToGrid/>
          <w:szCs w:val="22"/>
          <w:lang w:val="hu-HU" w:eastAsia="en-GB"/>
        </w:rPr>
        <w:t xml:space="preserve"> dapagliflozin plusz metforminnal kezelt csoportban (6,9%), mint a placebo plusz metformin csoportban (5,5%). Jelentős hypoglykaemiás eseményekről nem számoltak be. Hasonló megfigyeléseket végeztek a gyógyszeres kezelésben korábban nem részesült betegeknél a dapagliflozin és metformin kombináció alkalmazásakor.</w:t>
      </w:r>
    </w:p>
    <w:p w14:paraId="0E4B5440"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019CD70F" w14:textId="044BC031"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metforminhoz és egy szulfonilureához kiegészítésként adott kezeléssel végzett vizsgálatban, legfeljebb 24 hét alatt, a 10</w:t>
      </w:r>
      <w:r w:rsidR="00122450" w:rsidRPr="00E076F1">
        <w:rPr>
          <w:snapToGrid/>
          <w:szCs w:val="22"/>
          <w:lang w:val="hu-HU" w:eastAsia="en-GB"/>
        </w:rPr>
        <w:t> mg</w:t>
      </w:r>
      <w:r w:rsidRPr="00E076F1">
        <w:rPr>
          <w:snapToGrid/>
          <w:szCs w:val="22"/>
          <w:lang w:val="hu-HU" w:eastAsia="en-GB"/>
        </w:rPr>
        <w:t xml:space="preserve"> dapagliflozinnal plusz metforminnal és szulfonilureával kezelt betegek 12,8%-ánál számoltak be nem jelentős hypoglykaemiás epizódokról, míg a placebót plusz metformint és szulfonilureát kapó betegeknél ez 3,7% volt. Nem jelentettek jelentős hypoglykaemiás epizódokat.</w:t>
      </w:r>
    </w:p>
    <w:p w14:paraId="1ED7755E" w14:textId="77777777" w:rsidR="00FD7597" w:rsidRPr="00E076F1" w:rsidRDefault="00FD7597" w:rsidP="00E076F1">
      <w:pPr>
        <w:spacing w:line="240" w:lineRule="auto"/>
        <w:rPr>
          <w:szCs w:val="22"/>
          <w:u w:val="single"/>
          <w:lang w:val="hu-HU"/>
        </w:rPr>
      </w:pPr>
    </w:p>
    <w:p w14:paraId="2EB8F481" w14:textId="77777777" w:rsidR="00FD7597" w:rsidRPr="00E076F1" w:rsidRDefault="00FD759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Dapagliflozin</w:t>
      </w:r>
    </w:p>
    <w:p w14:paraId="0888B988" w14:textId="77777777" w:rsidR="00FD7597" w:rsidRPr="00E076F1" w:rsidRDefault="00FD759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Vulvovaginitis, balanitis és az ezekkel összefüggő genitális infekciók</w:t>
      </w:r>
    </w:p>
    <w:p w14:paraId="2A4F1D6D" w14:textId="6918BAF1" w:rsidR="00FD7597" w:rsidRPr="00E076F1" w:rsidRDefault="00FD759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13 vizsgálat összesített biztonságossági adatai alapján vulvovaginitisről, balanitisről és az ezekkel összefüggő genitális infekciókról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kezelt betegek 5,5%-ánál, míg a placebót kapók 0,6%-ánál számoltak be. A legtöbb fertőzés enyhe - közepesen súlyos volt, a betegek reagáltak a standard kezeléssel végzett első kúrára, és ez csak ritkán tette szükségessé a dapagliflozin-kezelés abbahagyását. Ezek a fertőzések gyakoribbak voltak nőknél (sorrendben 8,4% a dapagliflozin és 1,2% a placebo esetében), és azoknál a betegeknél, akiknek a korábbi anamnaesisében már ilyen szerepelt, nagyobb valószínűséggel fordult elő ismétlődő infekció.</w:t>
      </w:r>
    </w:p>
    <w:p w14:paraId="78375FDB"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742E602F" w14:textId="74C890A8"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a genit</w:t>
      </w:r>
      <w:r w:rsidR="007C6093">
        <w:rPr>
          <w:snapToGrid/>
          <w:szCs w:val="22"/>
          <w:lang w:val="hu-HU" w:eastAsia="en-GB"/>
        </w:rPr>
        <w:t>á</w:t>
      </w:r>
      <w:r w:rsidRPr="00E076F1">
        <w:rPr>
          <w:snapToGrid/>
          <w:szCs w:val="22"/>
          <w:lang w:val="hu-HU" w:eastAsia="en-GB"/>
        </w:rPr>
        <w:t>lis fertőzés súlyos nemkívánatos eseményben szenvedő betegek száma csekély volt, és egyensúlyban volt: egyaránt 2 beteg a dapagliflozin- és a placebocsoportban is.</w:t>
      </w:r>
    </w:p>
    <w:p w14:paraId="2BD37EF3" w14:textId="77777777" w:rsidR="00FD7597" w:rsidRPr="00E076F1" w:rsidRDefault="00FD7597" w:rsidP="00E076F1">
      <w:pPr>
        <w:tabs>
          <w:tab w:val="clear" w:pos="567"/>
        </w:tabs>
        <w:autoSpaceDE w:val="0"/>
        <w:autoSpaceDN w:val="0"/>
        <w:adjustRightInd w:val="0"/>
        <w:spacing w:line="240" w:lineRule="auto"/>
        <w:rPr>
          <w:rFonts w:eastAsia="TimesNewRoman,Italic"/>
          <w:snapToGrid/>
          <w:szCs w:val="22"/>
          <w:lang w:val="hu-HU" w:eastAsia="en-GB"/>
        </w:rPr>
      </w:pPr>
    </w:p>
    <w:p w14:paraId="22EE5A2A" w14:textId="4844F03F" w:rsidR="004767F2" w:rsidRPr="00E076F1" w:rsidRDefault="004767F2" w:rsidP="00E076F1">
      <w:pPr>
        <w:tabs>
          <w:tab w:val="clear" w:pos="567"/>
        </w:tabs>
        <w:autoSpaceDE w:val="0"/>
        <w:autoSpaceDN w:val="0"/>
        <w:adjustRightInd w:val="0"/>
        <w:spacing w:line="240" w:lineRule="auto"/>
        <w:rPr>
          <w:lang w:val="hu-HU"/>
        </w:rPr>
      </w:pPr>
      <w:r w:rsidRPr="00E076F1">
        <w:rPr>
          <w:lang w:val="hu-HU"/>
        </w:rPr>
        <w:t>A dapagliflozin alkalmazásával összefüggésben genitális infekciókkal egyidejűleg előforduló phimosis/szerzett phimosis eseteit jelentették, és néhány esetben körülmetélésre volt szükség.</w:t>
      </w:r>
    </w:p>
    <w:p w14:paraId="76E848FC" w14:textId="77777777" w:rsidR="004767F2" w:rsidRPr="00E076F1" w:rsidRDefault="004767F2" w:rsidP="00E076F1">
      <w:pPr>
        <w:tabs>
          <w:tab w:val="clear" w:pos="567"/>
        </w:tabs>
        <w:autoSpaceDE w:val="0"/>
        <w:autoSpaceDN w:val="0"/>
        <w:adjustRightInd w:val="0"/>
        <w:spacing w:line="240" w:lineRule="auto"/>
        <w:rPr>
          <w:rFonts w:eastAsia="TimesNewRoman,Italic"/>
          <w:snapToGrid/>
          <w:szCs w:val="22"/>
          <w:lang w:val="hu-HU" w:eastAsia="en-GB"/>
        </w:rPr>
      </w:pPr>
    </w:p>
    <w:p w14:paraId="322CDB2B" w14:textId="62387AFF" w:rsidR="00FD7597" w:rsidRPr="00E076F1" w:rsidRDefault="00FD759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A gát nekrotizáló fasciitise (Fournier-gangraena)</w:t>
      </w:r>
    </w:p>
    <w:p w14:paraId="34A2C421" w14:textId="5A0C1F1D"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SGLT2-gátlókat szedő betegeknél, beleértve a dapagliflozint is, a forgalomba hozatalt követően a gát nekrotizáló fasciitisét (más néven Fournier-gangraena) jelentették (lásd 4.4 pont).</w:t>
      </w:r>
    </w:p>
    <w:p w14:paraId="4AF6510E"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0B8665E4" w14:textId="4D626674"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amelyben 17 160, 2-es típusú diabetes mellitusban szenvedő beteget kezeltek és az expozíció medián időtartama 48</w:t>
      </w:r>
      <w:r w:rsidR="00642015">
        <w:rPr>
          <w:snapToGrid/>
          <w:szCs w:val="22"/>
          <w:lang w:val="hu-HU" w:eastAsia="en-GB"/>
        </w:rPr>
        <w:t> </w:t>
      </w:r>
      <w:r w:rsidRPr="00E076F1">
        <w:rPr>
          <w:snapToGrid/>
          <w:szCs w:val="22"/>
          <w:lang w:val="hu-HU" w:eastAsia="en-GB"/>
        </w:rPr>
        <w:t>hónap volt, összesen 6 esetben jelentettek Fournier-gangraena-t, egy alkalommal a dapagliflozinnal kezelt csoportban és öt alkalommal a placebo-csoportban.</w:t>
      </w:r>
    </w:p>
    <w:p w14:paraId="2D20E88A"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73AE6492" w14:textId="77777777" w:rsidR="00561B0E" w:rsidRPr="00E076F1" w:rsidRDefault="00561B0E"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Hypoglykaemia</w:t>
      </w:r>
    </w:p>
    <w:p w14:paraId="6051E5CA" w14:textId="21AA52E9"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hypoglykaemia gyakorisága minden vizsgálatban az alkalmazott háttérkezelés típusától függött.</w:t>
      </w:r>
    </w:p>
    <w:p w14:paraId="55971FC3" w14:textId="77777777"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p>
    <w:p w14:paraId="720A9C1E" w14:textId="40E96A13"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metforminhoz vagy a szitagliptinhez (metforminnal együtt vagy anélkül) kiegészítésként adott dapagliflozin kezeléssel végzett vizsgálatokban a hypoglykaemia nem jelentős epizódjainak gyakorisága a legfeljebb 102 hetes kezelés esetén a terápiás csoportok között hasonló (&lt; 5%) volt, beleértve a placebót is. Az összes vizsgálatban a jelentős hypoglykaemiás események nem gyakoriak, és a dapagliflozinnal </w:t>
      </w:r>
      <w:r w:rsidRPr="00E076F1">
        <w:rPr>
          <w:snapToGrid/>
          <w:szCs w:val="22"/>
          <w:lang w:val="hu-HU" w:eastAsia="en-GB"/>
        </w:rPr>
        <w:t>vagy placebóval kezelt csoportokban hasonlóak voltak. Az inzulinhoz kiegészítésként adott kezelésekkel</w:t>
      </w:r>
      <w:r w:rsidRPr="00E076F1">
        <w:rPr>
          <w:rFonts w:eastAsia="TimesNewRoman,Italic"/>
          <w:snapToGrid/>
          <w:szCs w:val="22"/>
          <w:lang w:val="hu-HU" w:eastAsia="en-GB"/>
        </w:rPr>
        <w:t xml:space="preserve"> </w:t>
      </w:r>
      <w:r w:rsidRPr="00E076F1">
        <w:rPr>
          <w:snapToGrid/>
          <w:szCs w:val="22"/>
          <w:lang w:val="hu-HU" w:eastAsia="en-GB"/>
        </w:rPr>
        <w:t>végzett vizsgálatokban a hypoglykaemia magasabb arányát figyelték meg (lásd 4.5 pont).</w:t>
      </w:r>
    </w:p>
    <w:p w14:paraId="6877FA89" w14:textId="77777777" w:rsidR="00561B0E" w:rsidRPr="00E076F1" w:rsidRDefault="00561B0E" w:rsidP="00E076F1">
      <w:pPr>
        <w:tabs>
          <w:tab w:val="clear" w:pos="567"/>
        </w:tabs>
        <w:autoSpaceDE w:val="0"/>
        <w:autoSpaceDN w:val="0"/>
        <w:adjustRightInd w:val="0"/>
        <w:spacing w:line="240" w:lineRule="auto"/>
        <w:rPr>
          <w:snapToGrid/>
          <w:szCs w:val="22"/>
          <w:lang w:val="hu-HU" w:eastAsia="en-GB"/>
        </w:rPr>
      </w:pPr>
    </w:p>
    <w:p w14:paraId="43414BCB" w14:textId="76C74E17" w:rsidR="00561B0E" w:rsidRPr="00E076F1" w:rsidRDefault="00561B0E"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inzulinhoz kiegészítésként adott, legfeljebb 104 hetes egyik vizsgálatban a 10</w:t>
      </w:r>
      <w:r w:rsidR="00122450" w:rsidRPr="00E076F1">
        <w:rPr>
          <w:snapToGrid/>
          <w:szCs w:val="22"/>
          <w:lang w:val="hu-HU" w:eastAsia="en-GB"/>
        </w:rPr>
        <w:t> mg</w:t>
      </w:r>
      <w:r w:rsidRPr="00E076F1">
        <w:rPr>
          <w:snapToGrid/>
          <w:szCs w:val="22"/>
          <w:lang w:val="hu-HU" w:eastAsia="en-GB"/>
        </w:rPr>
        <w:t xml:space="preserve"> dapagliflozinnal plusz inzulinnal kezelt betegeknél a jelentett jelentős hypoglykaemiás epizódok aránya 0,5% volt a 24.</w:t>
      </w:r>
      <w:r w:rsidR="00F47D2F" w:rsidRPr="00E076F1">
        <w:rPr>
          <w:snapToGrid/>
          <w:szCs w:val="22"/>
          <w:lang w:val="hu-HU" w:eastAsia="en-GB"/>
        </w:rPr>
        <w:t> </w:t>
      </w:r>
      <w:r w:rsidRPr="00E076F1">
        <w:rPr>
          <w:snapToGrid/>
          <w:szCs w:val="22"/>
          <w:lang w:val="hu-HU" w:eastAsia="en-GB"/>
        </w:rPr>
        <w:t>héten, és 1,0% volt a 104. héten, és a placebóval plusz inzulinnal kezelt csoport betegeinél 0,5%</w:t>
      </w:r>
      <w:r w:rsidR="00F47D2F" w:rsidRPr="00E076F1">
        <w:rPr>
          <w:snapToGrid/>
          <w:szCs w:val="22"/>
          <w:lang w:val="hu-HU" w:eastAsia="en-GB"/>
        </w:rPr>
        <w:t> </w:t>
      </w:r>
      <w:r w:rsidRPr="00E076F1">
        <w:rPr>
          <w:snapToGrid/>
          <w:szCs w:val="22"/>
          <w:lang w:val="hu-HU" w:eastAsia="en-GB"/>
        </w:rPr>
        <w:t>volt a 24. és a 104. héten. A 10</w:t>
      </w:r>
      <w:r w:rsidR="00122450" w:rsidRPr="00E076F1">
        <w:rPr>
          <w:snapToGrid/>
          <w:szCs w:val="22"/>
          <w:lang w:val="hu-HU" w:eastAsia="en-GB"/>
        </w:rPr>
        <w:t> mg</w:t>
      </w:r>
      <w:r w:rsidRPr="00E076F1">
        <w:rPr>
          <w:snapToGrid/>
          <w:szCs w:val="22"/>
          <w:lang w:val="hu-HU" w:eastAsia="en-GB"/>
        </w:rPr>
        <w:t xml:space="preserve"> dapagliflozinnal plusz inzulinnal kezelt betegek 40,3%-ánál számoltak be nem jelentős hypoglykaemiás epizódokról a 24. héten, és 53,1%-ánál a 104. héten, míg a</w:t>
      </w:r>
      <w:r w:rsidR="00F47D2F" w:rsidRPr="00E076F1">
        <w:rPr>
          <w:snapToGrid/>
          <w:szCs w:val="22"/>
          <w:lang w:val="hu-HU" w:eastAsia="en-GB"/>
        </w:rPr>
        <w:t> </w:t>
      </w:r>
      <w:r w:rsidRPr="00E076F1">
        <w:rPr>
          <w:snapToGrid/>
          <w:szCs w:val="22"/>
          <w:lang w:val="hu-HU" w:eastAsia="en-GB"/>
        </w:rPr>
        <w:t>placebót plusz inzulint kapó betegeknél ez sorrendben 34,0% és 41,6% volt.</w:t>
      </w:r>
    </w:p>
    <w:p w14:paraId="6638295B" w14:textId="77777777" w:rsidR="00561B0E" w:rsidRPr="00E076F1" w:rsidRDefault="00561B0E" w:rsidP="00E076F1">
      <w:pPr>
        <w:tabs>
          <w:tab w:val="clear" w:pos="567"/>
        </w:tabs>
        <w:autoSpaceDE w:val="0"/>
        <w:autoSpaceDN w:val="0"/>
        <w:adjustRightInd w:val="0"/>
        <w:spacing w:line="240" w:lineRule="auto"/>
        <w:rPr>
          <w:snapToGrid/>
          <w:szCs w:val="22"/>
          <w:lang w:val="hu-HU" w:eastAsia="en-GB"/>
        </w:rPr>
      </w:pPr>
    </w:p>
    <w:p w14:paraId="410CE633" w14:textId="5DC33258" w:rsidR="00FD7597" w:rsidRPr="00E076F1" w:rsidRDefault="00561B0E"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nem figyelték meg a dapagliflozin-kezelés mellett a major hypoglykaemia placebóhoz viszonyított, fokozott kockázatát. Major hypoglykaemiás eseményekről a dapagliflozinnal kezelt betegek közül 58-nál (0,7%), míg a placebóval kezelt betegek közül 83-nál (1,0%) számoltak be.</w:t>
      </w:r>
    </w:p>
    <w:p w14:paraId="302678B3"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1EABAA85" w14:textId="77777777" w:rsidR="00561B0E" w:rsidRPr="00E076F1" w:rsidRDefault="00561B0E"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Volumendepléció</w:t>
      </w:r>
    </w:p>
    <w:p w14:paraId="4A0D593D" w14:textId="77EC40C8"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13 vizsgálat összesített biztonságossági adatai alapján a volumendeplécióra utaló reakciókról (beleértve a dehydratióról, hypovolaemiáról vagy hypotensióról szóló jelentéseket) számoltak be a</w:t>
      </w:r>
      <w:r w:rsidR="00F47D2F" w:rsidRPr="00E076F1">
        <w:rPr>
          <w:rFonts w:eastAsia="TimesNewRoman,Italic"/>
          <w:snapToGrid/>
          <w:szCs w:val="22"/>
          <w:lang w:val="hu-HU" w:eastAsia="en-GB"/>
        </w:rPr>
        <w:t> </w:t>
      </w:r>
      <w:r w:rsidRPr="00E076F1">
        <w:rPr>
          <w:rFonts w:eastAsia="TimesNewRoman,Italic"/>
          <w:snapToGrid/>
          <w:szCs w:val="22"/>
          <w:lang w:val="hu-HU" w:eastAsia="en-GB"/>
        </w:rPr>
        <w:t>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kezelt betegek 1,1%-ánál és a placebót kapók 0,7%-ánál: súlyos reakciók a betegek &lt;0,2%-ánál alakultak ki, és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és placebo között egyensúlyban voltak (lásd 4.4 pont).</w:t>
      </w:r>
    </w:p>
    <w:p w14:paraId="1575B334" w14:textId="77777777"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p>
    <w:p w14:paraId="5CEC1249" w14:textId="08DB3CAB"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DECLARE-vizsgálatban azoknak a betegeknek a száma, akiknél volumendeplécióra utaló események fordultak elő, egyensúlyban volt a terápiás csoportok között: 213 (2,5%) a dapagliflozin-, és 207 (2,4%) a placebocsoportban. Súlyos nemkívánatos eseményekről a dapagliflozin-csoportban 81</w:t>
      </w:r>
      <w:r w:rsidR="00F47D2F" w:rsidRPr="00E076F1">
        <w:rPr>
          <w:rFonts w:eastAsia="TimesNewRoman,Italic"/>
          <w:snapToGrid/>
          <w:szCs w:val="22"/>
          <w:lang w:val="hu-HU" w:eastAsia="en-GB"/>
        </w:rPr>
        <w:t> </w:t>
      </w:r>
      <w:r w:rsidRPr="00E076F1">
        <w:rPr>
          <w:rFonts w:eastAsia="TimesNewRoman,Italic"/>
          <w:snapToGrid/>
          <w:szCs w:val="22"/>
          <w:lang w:val="hu-HU" w:eastAsia="en-GB"/>
        </w:rPr>
        <w:t>(0,9%), míg a placebocsoportban 70 (0,8%) esetben számoltak be. Az események általában egyensúlyban voltak a terápiás csoportok között, az életkor, a vízhajtó alkalmazása, a vérnyomás és az ACE-I/ARB alkalmazása szerinti alcsoportokban is. Az olyan betegeknél, akiknél a vizsgálat megkezdésekor az eGFR &lt; 60 ml/perc/1,73 m2 volt, 19 súlyos, volumendeplécióra utaló nemkívánatos esemény volt a dapagliflozin-csoportban, és 13 ilyen esemény a placebocsoportban.</w:t>
      </w:r>
    </w:p>
    <w:p w14:paraId="2BE58AFA" w14:textId="77777777" w:rsidR="00561B0E" w:rsidRPr="00E076F1" w:rsidRDefault="00561B0E" w:rsidP="00E076F1">
      <w:pPr>
        <w:tabs>
          <w:tab w:val="clear" w:pos="567"/>
        </w:tabs>
        <w:autoSpaceDE w:val="0"/>
        <w:autoSpaceDN w:val="0"/>
        <w:adjustRightInd w:val="0"/>
        <w:spacing w:line="240" w:lineRule="auto"/>
        <w:rPr>
          <w:snapToGrid/>
          <w:szCs w:val="22"/>
          <w:lang w:val="hu-HU" w:eastAsia="en-GB"/>
        </w:rPr>
      </w:pPr>
    </w:p>
    <w:p w14:paraId="2BD5A822" w14:textId="77777777" w:rsidR="00561B0E" w:rsidRPr="00E076F1" w:rsidRDefault="00561B0E" w:rsidP="00CE5342">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Diabeteses ketoacidózis</w:t>
      </w:r>
    </w:p>
    <w:p w14:paraId="56AB031C" w14:textId="2E6680F3" w:rsidR="00561B0E" w:rsidRPr="00E076F1" w:rsidRDefault="00561B0E" w:rsidP="00CE5342">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DECLARE-vizsgálatban, amelyben az expozíció medián időtartama 48</w:t>
      </w:r>
      <w:r w:rsidR="00642015">
        <w:rPr>
          <w:rFonts w:eastAsia="TimesNewRoman,Italic"/>
          <w:snapToGrid/>
          <w:szCs w:val="22"/>
          <w:lang w:val="hu-HU" w:eastAsia="en-GB"/>
        </w:rPr>
        <w:t> </w:t>
      </w:r>
      <w:r w:rsidRPr="00E076F1">
        <w:rPr>
          <w:rFonts w:eastAsia="TimesNewRoman,Italic"/>
          <w:snapToGrid/>
          <w:szCs w:val="22"/>
          <w:lang w:val="hu-HU" w:eastAsia="en-GB"/>
        </w:rPr>
        <w:t>hónap volt, diabeteses ketoacidózist 27 betegnél jelentettek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dapagliflozin-, és 12 betegnél jelentettek a placebocsoportban. Az események a vizsgálati periódus alatt egyenletesen fordultak elő. A dapagliflozin-csoportban a diabeteses ketoacidózist mutató 27 beteg közül 22 egyidejűleg inzulin-kezelést is kapott az adott időpontban. A 2-es típusú diabetes mellitus esetén a ketoacidózis lehetséges bekövetkezése várható (lásd 4.4 pont).</w:t>
      </w:r>
    </w:p>
    <w:p w14:paraId="24175023" w14:textId="77777777" w:rsidR="00561B0E" w:rsidRPr="00E076F1" w:rsidRDefault="00561B0E" w:rsidP="00E076F1">
      <w:pPr>
        <w:spacing w:line="240" w:lineRule="auto"/>
        <w:rPr>
          <w:szCs w:val="22"/>
          <w:u w:val="single"/>
          <w:lang w:val="hu-HU"/>
        </w:rPr>
      </w:pPr>
    </w:p>
    <w:p w14:paraId="74D66F0A" w14:textId="77777777" w:rsidR="00561B0E" w:rsidRPr="00E076F1" w:rsidRDefault="00561B0E"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Húgyúti fertőzések</w:t>
      </w:r>
    </w:p>
    <w:p w14:paraId="0269306F" w14:textId="63E1C8E9"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13 vizsgálat összesített biztonságossági adatai alapján a placebóhoz viszonyítva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esetén gyakrabban számoltak be húgyúti fertőzésekről (sorrendben 4,7% versus 3,5%, lásd 4.4 pont). A legtöbb fertőzés enyhe - közepesen súlyos volt, a betegek reagáltak a standard kezeléssel végzett első kúrára, és csak ritkán tették szükségessé a dapagliflozin-kezelés abbahagyását. Ezek a fertőzések gyakoribbak voltak nőknél, és azok a betegek, akiknek a korábbi anamnézisében szerepelt, nagyobb valószínűséggel fordult elő </w:t>
      </w:r>
      <w:r w:rsidR="00642015">
        <w:rPr>
          <w:rFonts w:eastAsia="TimesNewRoman,Italic"/>
          <w:snapToGrid/>
          <w:szCs w:val="22"/>
          <w:lang w:val="hu-HU" w:eastAsia="en-GB"/>
        </w:rPr>
        <w:t>ismétlődő</w:t>
      </w:r>
      <w:r w:rsidR="00642015" w:rsidRPr="00E076F1">
        <w:rPr>
          <w:rFonts w:eastAsia="TimesNewRoman,Italic"/>
          <w:snapToGrid/>
          <w:szCs w:val="22"/>
          <w:lang w:val="hu-HU" w:eastAsia="en-GB"/>
        </w:rPr>
        <w:t xml:space="preserve"> </w:t>
      </w:r>
      <w:r w:rsidRPr="00E076F1">
        <w:rPr>
          <w:rFonts w:eastAsia="TimesNewRoman,Italic"/>
          <w:snapToGrid/>
          <w:szCs w:val="22"/>
          <w:lang w:val="hu-HU" w:eastAsia="en-GB"/>
        </w:rPr>
        <w:t>infekció.</w:t>
      </w:r>
    </w:p>
    <w:p w14:paraId="1C1C4B77" w14:textId="77777777"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p>
    <w:p w14:paraId="5B01D402" w14:textId="67E57326"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DECLARE-vizsgálatban súlyos húgyúti fertőzésekről kevésbé gyakran számoltak be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dapagliflozin-kezelés mellett, szemben a placebóval, ami sorrendben 79 (0,9%) esemény, illetve 109 (1,3%) esemény volt.</w:t>
      </w:r>
    </w:p>
    <w:p w14:paraId="630B9DCE" w14:textId="77777777" w:rsidR="00561B0E" w:rsidRPr="00E076F1" w:rsidRDefault="00561B0E" w:rsidP="00E076F1">
      <w:pPr>
        <w:spacing w:line="240" w:lineRule="auto"/>
        <w:rPr>
          <w:szCs w:val="22"/>
          <w:u w:val="single"/>
          <w:lang w:val="hu-HU"/>
        </w:rPr>
      </w:pPr>
    </w:p>
    <w:p w14:paraId="5E177102" w14:textId="77777777" w:rsidR="00561B0E" w:rsidRPr="00E076F1" w:rsidRDefault="00561B0E"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Emelkedett kreatininszint</w:t>
      </w:r>
    </w:p>
    <w:p w14:paraId="3B18E9C4" w14:textId="48843AF3"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emelkedett kreatininszinttel kapcsolatos mellékhatásokat csoportosították (például a csökkent renalis kreatinin-clearance, a vesekárosodás, a vér emelkedett kreatininszintje és a csökkent glomerul</w:t>
      </w:r>
      <w:r w:rsidR="00615DAC">
        <w:rPr>
          <w:rFonts w:eastAsia="TimesNewRoman,Italic"/>
          <w:snapToGrid/>
          <w:szCs w:val="22"/>
          <w:lang w:val="hu-HU" w:eastAsia="en-GB"/>
        </w:rPr>
        <w:t>us</w:t>
      </w:r>
      <w:r w:rsidRPr="00E076F1">
        <w:rPr>
          <w:rFonts w:eastAsia="TimesNewRoman,Italic"/>
          <w:snapToGrid/>
          <w:szCs w:val="22"/>
          <w:lang w:val="hu-HU" w:eastAsia="en-GB"/>
        </w:rPr>
        <w:t>filtrációs ráta). A mellékhatások ezen csoportját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dapagliflozint kapó betegek 3,2%-ánál, míg a placebót kapó betegek 1,8%-ánál jelentették. A normális </w:t>
      </w:r>
      <w:r w:rsidR="000A7FD7">
        <w:rPr>
          <w:rFonts w:eastAsia="TimesNewRoman,Italic"/>
          <w:snapToGrid/>
          <w:szCs w:val="22"/>
          <w:lang w:val="hu-HU" w:eastAsia="en-GB"/>
        </w:rPr>
        <w:t xml:space="preserve">veseműködésű </w:t>
      </w:r>
      <w:r w:rsidRPr="00E076F1">
        <w:rPr>
          <w:rFonts w:eastAsia="TimesNewRoman,Italic"/>
          <w:snapToGrid/>
          <w:szCs w:val="22"/>
          <w:lang w:val="hu-HU" w:eastAsia="en-GB"/>
        </w:rPr>
        <w:t xml:space="preserve">vagy az </w:t>
      </w:r>
      <w:r w:rsidR="000A7FD7">
        <w:rPr>
          <w:rFonts w:eastAsia="TimesNewRoman,Italic"/>
          <w:snapToGrid/>
          <w:szCs w:val="22"/>
          <w:lang w:val="hu-HU" w:eastAsia="en-GB"/>
        </w:rPr>
        <w:t>enyhe vesekárosodásban szenvedő</w:t>
      </w:r>
      <w:r w:rsidRPr="00E076F1">
        <w:rPr>
          <w:rFonts w:eastAsia="TimesNewRoman,Italic"/>
          <w:snapToGrid/>
          <w:szCs w:val="22"/>
          <w:lang w:val="hu-HU" w:eastAsia="en-GB"/>
        </w:rPr>
        <w:t xml:space="preserve"> </w:t>
      </w:r>
      <w:r w:rsidR="000A7FD7" w:rsidRPr="000A7FD7">
        <w:rPr>
          <w:rFonts w:eastAsia="TimesNewRoman,Italic"/>
          <w:snapToGrid/>
          <w:szCs w:val="22"/>
          <w:lang w:val="hu-HU" w:eastAsia="en-GB"/>
        </w:rPr>
        <w:t xml:space="preserve">betegek </w:t>
      </w:r>
      <w:r w:rsidRPr="00E076F1">
        <w:rPr>
          <w:rFonts w:eastAsia="TimesNewRoman,Italic"/>
          <w:snapToGrid/>
          <w:szCs w:val="22"/>
          <w:lang w:val="hu-HU" w:eastAsia="en-GB"/>
        </w:rPr>
        <w:t>(kiindulási eGFR ≥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esetén a mellékhatások ezen csoportját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dapagliflozint kapó betegek 1,3%-ánál, míg a placebót kapó betegek 0,8%-ánál jelentették. Ezek a mellékhatások gyakoribbak voltak azoknál a betegeknél, akiknél az eGFR kiindulási értéke ≥</w:t>
      </w:r>
      <w:r w:rsidR="00F47D2F" w:rsidRPr="00E076F1">
        <w:rPr>
          <w:rFonts w:eastAsia="TimesNewRoman,Italic"/>
          <w:snapToGrid/>
          <w:szCs w:val="22"/>
          <w:lang w:val="hu-HU" w:eastAsia="en-GB"/>
        </w:rPr>
        <w:t> </w:t>
      </w:r>
      <w:r w:rsidRPr="00E076F1">
        <w:rPr>
          <w:rFonts w:eastAsia="TimesNewRoman,Italic"/>
          <w:snapToGrid/>
          <w:szCs w:val="22"/>
          <w:lang w:val="hu-HU" w:eastAsia="en-GB"/>
        </w:rPr>
        <w:t>30 és &lt;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volt (18,5%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illetve 9,3% a placebo esetén).</w:t>
      </w:r>
    </w:p>
    <w:p w14:paraId="1DF21AD2"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7467F899" w14:textId="50450FC6"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Azoknak a betegeknek a további vizsgálata, akiknél vesével kapcsolatos nemkívánatos események jelentkeztek, azt mutatta, hogy legtöbbjüknél a szérum kreatininszintjének változása a kiindulási értékhez képest ≤ 44 </w:t>
      </w:r>
      <w:r w:rsidRPr="00E076F1">
        <w:rPr>
          <w:rFonts w:eastAsia="TimesNewRoman,Italic"/>
          <w:snapToGrid/>
          <w:szCs w:val="22"/>
          <w:lang w:val="en-US" w:eastAsia="en-GB"/>
        </w:rPr>
        <w:t>μ</w:t>
      </w:r>
      <w:r w:rsidRPr="00E076F1">
        <w:rPr>
          <w:rFonts w:eastAsia="TimesNewRoman,Italic"/>
          <w:snapToGrid/>
          <w:szCs w:val="22"/>
          <w:lang w:val="hu-HU" w:eastAsia="en-GB"/>
        </w:rPr>
        <w:t>mol/l (≤ 0,5</w:t>
      </w:r>
      <w:r w:rsidR="00122450" w:rsidRPr="00E076F1">
        <w:rPr>
          <w:rFonts w:eastAsia="TimesNewRoman,Italic"/>
          <w:snapToGrid/>
          <w:szCs w:val="22"/>
          <w:lang w:val="hu-HU" w:eastAsia="en-GB"/>
        </w:rPr>
        <w:t> mg</w:t>
      </w:r>
      <w:r w:rsidRPr="00E076F1">
        <w:rPr>
          <w:rFonts w:eastAsia="TimesNewRoman,Italic"/>
          <w:snapToGrid/>
          <w:szCs w:val="22"/>
          <w:lang w:val="hu-HU" w:eastAsia="en-GB"/>
        </w:rPr>
        <w:t>/dl) volt. A kreatininszint emelkedése általában átmeneti volt a folyamatos kezelés során, vagy reverz</w:t>
      </w:r>
      <w:r w:rsidR="00FB2700">
        <w:rPr>
          <w:rFonts w:eastAsia="TimesNewRoman,Italic"/>
          <w:snapToGrid/>
          <w:szCs w:val="22"/>
          <w:lang w:val="hu-HU" w:eastAsia="en-GB"/>
        </w:rPr>
        <w:t>i</w:t>
      </w:r>
      <w:r w:rsidRPr="00E076F1">
        <w:rPr>
          <w:rFonts w:eastAsia="TimesNewRoman,Italic"/>
          <w:snapToGrid/>
          <w:szCs w:val="22"/>
          <w:lang w:val="hu-HU" w:eastAsia="en-GB"/>
        </w:rPr>
        <w:t>bilis volt a kezelés leállítása után.</w:t>
      </w:r>
    </w:p>
    <w:p w14:paraId="7B1BAA87" w14:textId="77777777" w:rsidR="00561B0E" w:rsidRPr="00E076F1" w:rsidRDefault="00561B0E" w:rsidP="00E076F1">
      <w:pPr>
        <w:spacing w:line="240" w:lineRule="auto"/>
        <w:rPr>
          <w:szCs w:val="22"/>
          <w:u w:val="single"/>
          <w:lang w:val="hu-HU"/>
        </w:rPr>
      </w:pPr>
    </w:p>
    <w:p w14:paraId="50C34498" w14:textId="6D5F91E7" w:rsidR="00561B0E"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beleértve az idős betegeket és a vesekárosodásban szenvedő betegeket is (eGFR kevesebb mint 60 ml/perc/1,73 m2), az eGFR az idő múlásával mindkét terápiás csoportban csökkent. Az első évben az átlagos eGFR kissé alacsonyabb volt, és a negyedik évben az átlagos eGFR kismértékben magasabb volt a dapagliflozin-csoportban, mint a placebocsoportban.</w:t>
      </w:r>
    </w:p>
    <w:p w14:paraId="2832C9AB" w14:textId="77777777" w:rsidR="00F47D2F" w:rsidRPr="00E076F1" w:rsidRDefault="00F47D2F" w:rsidP="00E076F1">
      <w:pPr>
        <w:spacing w:line="240" w:lineRule="auto"/>
        <w:rPr>
          <w:szCs w:val="22"/>
          <w:u w:val="single"/>
          <w:lang w:val="hu-HU"/>
        </w:rPr>
      </w:pPr>
    </w:p>
    <w:p w14:paraId="6B8F506F" w14:textId="066D3FBC" w:rsidR="00F5194B" w:rsidRPr="00E076F1" w:rsidRDefault="00D05999" w:rsidP="00E076F1">
      <w:pPr>
        <w:spacing w:line="240" w:lineRule="auto"/>
        <w:rPr>
          <w:szCs w:val="22"/>
          <w:u w:val="single"/>
          <w:lang w:val="hu-HU"/>
        </w:rPr>
      </w:pPr>
      <w:r w:rsidRPr="00E076F1">
        <w:rPr>
          <w:szCs w:val="22"/>
          <w:u w:val="single"/>
          <w:lang w:val="hu-HU"/>
        </w:rPr>
        <w:t>Feltételezett mellékhatások bejelentése</w:t>
      </w:r>
    </w:p>
    <w:p w14:paraId="740D9D18" w14:textId="77777777" w:rsidR="00F5194B" w:rsidRPr="00E076F1" w:rsidRDefault="00D05999" w:rsidP="00E076F1">
      <w:pPr>
        <w:spacing w:line="240" w:lineRule="auto"/>
        <w:rPr>
          <w:szCs w:val="22"/>
          <w:lang w:val="hu-HU"/>
        </w:rPr>
      </w:pPr>
      <w:r w:rsidRPr="00E076F1">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49509BC7" w14:textId="2195A45B" w:rsidR="00F5194B" w:rsidRPr="00E076F1" w:rsidRDefault="00D05999" w:rsidP="00E076F1">
      <w:pPr>
        <w:spacing w:line="240" w:lineRule="auto"/>
        <w:rPr>
          <w:lang w:val="hu-HU"/>
        </w:rPr>
      </w:pPr>
      <w:r w:rsidRPr="00E076F1">
        <w:rPr>
          <w:szCs w:val="22"/>
          <w:lang w:val="hu-HU"/>
        </w:rPr>
        <w:t>Az egészségügyi szakembereket kérjük, hogy jelentsék be a feltételezett mellékhatásokat a hatóság</w:t>
      </w:r>
      <w:r w:rsidRPr="00E076F1">
        <w:rPr>
          <w:lang w:val="hu-HU"/>
        </w:rPr>
        <w:t xml:space="preserve"> részére az </w:t>
      </w:r>
      <w:hyperlink r:id="rId10" w:history="1">
        <w:r w:rsidRPr="00E076F1">
          <w:rPr>
            <w:rStyle w:val="Hiperhivatkozs"/>
            <w:color w:val="auto"/>
            <w:highlight w:val="lightGray"/>
            <w:lang w:val="hu-HU"/>
          </w:rPr>
          <w:t>V. füg</w:t>
        </w:r>
        <w:bookmarkStart w:id="2" w:name="_Hlt352075914"/>
        <w:bookmarkStart w:id="3" w:name="_Hlt352075915"/>
        <w:r w:rsidRPr="00E076F1">
          <w:rPr>
            <w:rStyle w:val="Hiperhivatkozs"/>
            <w:color w:val="auto"/>
            <w:highlight w:val="lightGray"/>
            <w:lang w:val="hu-HU"/>
          </w:rPr>
          <w:t>g</w:t>
        </w:r>
        <w:bookmarkEnd w:id="2"/>
        <w:bookmarkEnd w:id="3"/>
        <w:r w:rsidRPr="00E076F1">
          <w:rPr>
            <w:rStyle w:val="Hiperhivatkozs"/>
            <w:color w:val="auto"/>
            <w:highlight w:val="lightGray"/>
            <w:lang w:val="hu-HU"/>
          </w:rPr>
          <w:t>elékben</w:t>
        </w:r>
      </w:hyperlink>
      <w:r w:rsidRPr="00E076F1">
        <w:rPr>
          <w:highlight w:val="lightGray"/>
          <w:lang w:val="hu-HU"/>
        </w:rPr>
        <w:t xml:space="preserve"> található elérhetőségek valamelyikén keresztül</w:t>
      </w:r>
      <w:r w:rsidR="00DC4CAB" w:rsidRPr="00E076F1">
        <w:rPr>
          <w:lang w:val="hu-HU"/>
        </w:rPr>
        <w:t>*</w:t>
      </w:r>
      <w:r w:rsidR="002D1F2D" w:rsidRPr="00E076F1">
        <w:rPr>
          <w:lang w:val="hu-HU"/>
        </w:rPr>
        <w:t>.</w:t>
      </w:r>
    </w:p>
    <w:p w14:paraId="44329588" w14:textId="79DFCD6F" w:rsidR="00F5194B" w:rsidRPr="00E076F1" w:rsidRDefault="00F5194B" w:rsidP="00E076F1">
      <w:pPr>
        <w:spacing w:line="240" w:lineRule="auto"/>
        <w:rPr>
          <w:u w:val="single"/>
          <w:lang w:val="hu-HU"/>
        </w:rPr>
      </w:pPr>
    </w:p>
    <w:p w14:paraId="639F4E88"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4.9</w:t>
      </w:r>
      <w:r w:rsidRPr="00E076F1">
        <w:rPr>
          <w:rFonts w:eastAsia="Times New Roman"/>
          <w:b/>
          <w:noProof/>
          <w:snapToGrid/>
          <w:szCs w:val="22"/>
          <w:lang w:val="hu-HU" w:eastAsia="en-US"/>
        </w:rPr>
        <w:tab/>
        <w:t>Túladagolás</w:t>
      </w:r>
    </w:p>
    <w:p w14:paraId="7194A639" w14:textId="77777777" w:rsidR="00F45C51" w:rsidRPr="00E076F1" w:rsidRDefault="00F45C51" w:rsidP="00E076F1">
      <w:pPr>
        <w:spacing w:line="240" w:lineRule="auto"/>
        <w:ind w:left="567" w:hanging="567"/>
        <w:outlineLvl w:val="0"/>
        <w:rPr>
          <w:bCs/>
          <w:lang w:val="hu-HU"/>
        </w:rPr>
      </w:pPr>
    </w:p>
    <w:p w14:paraId="2CE1EE5B" w14:textId="275D2AC5"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haemodialysissel történő eltávolítását nem vizsgálták. A metformin és a laktát eltávolításának leghatékonyabb módja a haemodialysis.</w:t>
      </w:r>
    </w:p>
    <w:p w14:paraId="44D7DD19" w14:textId="77777777" w:rsidR="00F47D2F" w:rsidRPr="00E076F1" w:rsidRDefault="00F47D2F" w:rsidP="00E076F1">
      <w:pPr>
        <w:tabs>
          <w:tab w:val="clear" w:pos="567"/>
        </w:tabs>
        <w:autoSpaceDE w:val="0"/>
        <w:autoSpaceDN w:val="0"/>
        <w:adjustRightInd w:val="0"/>
        <w:spacing w:line="240" w:lineRule="auto"/>
        <w:rPr>
          <w:snapToGrid/>
          <w:szCs w:val="22"/>
          <w:lang w:val="hu-HU" w:eastAsia="en-GB"/>
        </w:rPr>
      </w:pPr>
    </w:p>
    <w:p w14:paraId="7281D573" w14:textId="3C3E8096" w:rsidR="00F47D2F" w:rsidRPr="00E076F1" w:rsidRDefault="00F47D2F" w:rsidP="00CE5342">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3CFFD60D" w14:textId="68540203" w:rsidR="00F47D2F" w:rsidRPr="00E076F1" w:rsidRDefault="00F47D2F" w:rsidP="00CE5342">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egészséges alanyoknál egyetlen, legfeljebb 500</w:t>
      </w:r>
      <w:r w:rsidR="00122450" w:rsidRPr="00E076F1">
        <w:rPr>
          <w:snapToGrid/>
          <w:szCs w:val="22"/>
          <w:lang w:val="hu-HU" w:eastAsia="en-GB"/>
        </w:rPr>
        <w:t> mg</w:t>
      </w:r>
      <w:r w:rsidRPr="00E076F1">
        <w:rPr>
          <w:snapToGrid/>
          <w:szCs w:val="22"/>
          <w:lang w:val="hu-HU" w:eastAsia="en-GB"/>
        </w:rPr>
        <w:t xml:space="preserve">-os </w:t>
      </w:r>
      <w:r w:rsidRPr="00E076F1">
        <w:rPr>
          <w:rFonts w:eastAsia="TimesNewRoman,Italic"/>
          <w:i/>
          <w:iCs/>
          <w:snapToGrid/>
          <w:szCs w:val="22"/>
          <w:lang w:val="hu-HU" w:eastAsia="en-GB"/>
        </w:rPr>
        <w:t xml:space="preserve">per os </w:t>
      </w:r>
      <w:r w:rsidRPr="00E076F1">
        <w:rPr>
          <w:snapToGrid/>
          <w:szCs w:val="22"/>
          <w:lang w:val="hu-HU" w:eastAsia="en-GB"/>
        </w:rPr>
        <w:t>dózisig (ami a maximális javasolt humán dózis 50-szerese) nem mutatott semmilyen toxicitást. Ezeknél a vizsgálati alanyoknál a dózistól függő időtartamon keresztül cukor volt kimutatható a vizeletben (az 500</w:t>
      </w:r>
      <w:r w:rsidR="00122450" w:rsidRPr="00E076F1">
        <w:rPr>
          <w:snapToGrid/>
          <w:szCs w:val="22"/>
          <w:lang w:val="hu-HU" w:eastAsia="en-GB"/>
        </w:rPr>
        <w:t> mg</w:t>
      </w:r>
      <w:r w:rsidRPr="00E076F1">
        <w:rPr>
          <w:snapToGrid/>
          <w:szCs w:val="22"/>
          <w:lang w:val="hu-HU" w:eastAsia="en-GB"/>
        </w:rPr>
        <w:t>-os dózis esetén legalább 5 napig), és nem számoltak be dehydratióról, hypotoniáról vagy elektrolit-egyensúlyzavarról, és nem észleltek klinikailag jelentős, a QTc-távolságra gyakorolt hatást sem. A hypoglykaemia előfordulási gyakorisága a placebónál észlelthez hasonló volt. Azokban a klinikai vizsgálatokban, ahol egészséges alanyoknak és 2-es típusú diabeteses betegeknek 2 hétig naponta egyszer legfeljebb 100</w:t>
      </w:r>
      <w:r w:rsidR="00122450" w:rsidRPr="00E076F1">
        <w:rPr>
          <w:snapToGrid/>
          <w:szCs w:val="22"/>
          <w:lang w:val="hu-HU" w:eastAsia="en-GB"/>
        </w:rPr>
        <w:t> mg</w:t>
      </w:r>
      <w:r w:rsidRPr="00E076F1">
        <w:rPr>
          <w:snapToGrid/>
          <w:szCs w:val="22"/>
          <w:lang w:val="hu-HU" w:eastAsia="en-GB"/>
        </w:rPr>
        <w:t>-os dózisokat adtak (ami a maximális javasolt humán dózis 10-szerese), a hypoglykaemia előfordulási gyakorisága kissé magasabb volt, mint a placebo esetén, és nem volt dózisfüggő. A nemkívánatos események, köztük a dehydratio vagy a hypotonia aránya a placebo mellett észlelthez hasonló volt, és nem voltak a laboratóriumi paraméterekben bekövetkező, klinikailag jelentős, dózisfüggő változások, beleértve a szérum</w:t>
      </w:r>
      <w:r w:rsidR="004736F4">
        <w:rPr>
          <w:snapToGrid/>
          <w:szCs w:val="22"/>
          <w:lang w:val="hu-HU" w:eastAsia="en-GB"/>
        </w:rPr>
        <w:t>-</w:t>
      </w:r>
      <w:r w:rsidRPr="00E076F1">
        <w:rPr>
          <w:snapToGrid/>
          <w:szCs w:val="22"/>
          <w:lang w:val="hu-HU" w:eastAsia="en-GB"/>
        </w:rPr>
        <w:t>elektrolitszinteket és a vesefunkció biológiai markereit is.</w:t>
      </w:r>
    </w:p>
    <w:p w14:paraId="6A34E18D" w14:textId="77777777" w:rsidR="00F47D2F" w:rsidRPr="00E076F1" w:rsidRDefault="00F47D2F" w:rsidP="00E076F1">
      <w:pPr>
        <w:spacing w:line="240" w:lineRule="auto"/>
        <w:ind w:left="567" w:hanging="567"/>
        <w:outlineLvl w:val="0"/>
        <w:rPr>
          <w:snapToGrid/>
          <w:szCs w:val="22"/>
          <w:lang w:val="hu-HU" w:eastAsia="en-GB"/>
        </w:rPr>
      </w:pPr>
    </w:p>
    <w:p w14:paraId="68BAEBDF" w14:textId="0A5E9989" w:rsidR="00F45C51" w:rsidRPr="00E076F1" w:rsidRDefault="00F47D2F" w:rsidP="00E076F1">
      <w:pPr>
        <w:spacing w:line="240" w:lineRule="auto"/>
        <w:ind w:left="567" w:hanging="567"/>
        <w:outlineLvl w:val="0"/>
        <w:rPr>
          <w:bCs/>
          <w:lang w:val="hu-HU"/>
        </w:rPr>
      </w:pPr>
      <w:r w:rsidRPr="00E076F1">
        <w:rPr>
          <w:snapToGrid/>
          <w:szCs w:val="22"/>
          <w:lang w:val="hu-HU" w:eastAsia="en-GB"/>
        </w:rPr>
        <w:t>Túladagolás esetén a beteg klinikai státuszától függő, megfelelő szupportív kezelést kell kezdeni.</w:t>
      </w:r>
    </w:p>
    <w:p w14:paraId="65F7C26B" w14:textId="77777777" w:rsidR="00F45C51" w:rsidRPr="00E076F1" w:rsidRDefault="00F45C51" w:rsidP="00E076F1">
      <w:pPr>
        <w:spacing w:line="240" w:lineRule="auto"/>
        <w:ind w:left="567" w:hanging="567"/>
        <w:outlineLvl w:val="0"/>
        <w:rPr>
          <w:bCs/>
          <w:lang w:val="hu-HU"/>
        </w:rPr>
      </w:pPr>
    </w:p>
    <w:p w14:paraId="1BB5D219" w14:textId="77777777" w:rsidR="00F47D2F" w:rsidRPr="00E076F1" w:rsidRDefault="00F47D2F"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Metformin</w:t>
      </w:r>
    </w:p>
    <w:p w14:paraId="52951E15" w14:textId="3D578D5A"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Jelentős túladagolás vagy a metformin egyidejű kockázatai laktátacidózishoz vezethetnek. A laktátacidózis egy sürgősségi állapot, amit kórházban kell kezelni.</w:t>
      </w:r>
    </w:p>
    <w:p w14:paraId="5A9CD1ED" w14:textId="77777777" w:rsidR="00F47D2F" w:rsidRPr="00E076F1" w:rsidRDefault="00F47D2F" w:rsidP="00E076F1">
      <w:pPr>
        <w:spacing w:line="240" w:lineRule="auto"/>
        <w:ind w:left="567" w:hanging="567"/>
        <w:outlineLvl w:val="0"/>
        <w:rPr>
          <w:snapToGrid/>
          <w:szCs w:val="22"/>
          <w:lang w:val="hu-HU" w:eastAsia="en-GB"/>
        </w:rPr>
      </w:pPr>
    </w:p>
    <w:p w14:paraId="06F76897" w14:textId="77777777" w:rsidR="00F47D2F" w:rsidRPr="00E076F1" w:rsidRDefault="00F47D2F" w:rsidP="00E076F1">
      <w:pPr>
        <w:spacing w:line="240" w:lineRule="auto"/>
        <w:ind w:left="567" w:hanging="567"/>
        <w:outlineLvl w:val="0"/>
        <w:rPr>
          <w:bCs/>
          <w:lang w:val="hu-HU"/>
        </w:rPr>
      </w:pPr>
    </w:p>
    <w:p w14:paraId="6CEA7F1A"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5.</w:t>
      </w:r>
      <w:r w:rsidRPr="00E076F1">
        <w:rPr>
          <w:rFonts w:eastAsia="Times New Roman"/>
          <w:b/>
          <w:noProof/>
          <w:snapToGrid/>
          <w:szCs w:val="22"/>
          <w:lang w:val="hu-HU" w:eastAsia="en-US"/>
        </w:rPr>
        <w:tab/>
        <w:t>FARMAKOLÓGIAI TULAJDONSÁGOK</w:t>
      </w:r>
    </w:p>
    <w:p w14:paraId="7B1AE86D" w14:textId="77777777" w:rsidR="00F45C51" w:rsidRPr="00E076F1" w:rsidRDefault="00F45C51" w:rsidP="00E076F1">
      <w:pPr>
        <w:spacing w:line="240" w:lineRule="auto"/>
        <w:ind w:left="567" w:hanging="567"/>
        <w:outlineLvl w:val="0"/>
        <w:rPr>
          <w:rFonts w:eastAsia="Times New Roman"/>
          <w:bCs/>
          <w:noProof/>
          <w:snapToGrid/>
          <w:szCs w:val="22"/>
          <w:lang w:val="hu-HU" w:eastAsia="en-US"/>
        </w:rPr>
      </w:pPr>
    </w:p>
    <w:p w14:paraId="525391A9"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5.1</w:t>
      </w:r>
      <w:r w:rsidRPr="00E076F1">
        <w:rPr>
          <w:rFonts w:eastAsia="Times New Roman"/>
          <w:b/>
          <w:noProof/>
          <w:snapToGrid/>
          <w:szCs w:val="22"/>
          <w:lang w:val="hu-HU" w:eastAsia="en-US"/>
        </w:rPr>
        <w:tab/>
        <w:t>Farmakodinámiás tulajdonságok</w:t>
      </w:r>
    </w:p>
    <w:p w14:paraId="6B07E82B" w14:textId="77777777" w:rsidR="00F45C51" w:rsidRPr="00E076F1" w:rsidRDefault="00F45C51" w:rsidP="00E076F1">
      <w:pPr>
        <w:spacing w:line="240" w:lineRule="auto"/>
        <w:rPr>
          <w:rFonts w:eastAsia="Times New Roman"/>
          <w:noProof/>
          <w:snapToGrid/>
          <w:szCs w:val="22"/>
          <w:lang w:val="hu-HU" w:eastAsia="en-US"/>
        </w:rPr>
      </w:pPr>
    </w:p>
    <w:p w14:paraId="3B880EF7" w14:textId="4FCB48BE"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Farmakoterápiás csoport: Antidiabetikus terápia, vércukor</w:t>
      </w:r>
      <w:r w:rsidR="004736F4">
        <w:rPr>
          <w:snapToGrid/>
          <w:szCs w:val="22"/>
          <w:lang w:val="hu-HU" w:eastAsia="en-GB"/>
        </w:rPr>
        <w:t>szint</w:t>
      </w:r>
      <w:r w:rsidRPr="00E076F1">
        <w:rPr>
          <w:snapToGrid/>
          <w:szCs w:val="22"/>
          <w:lang w:val="hu-HU" w:eastAsia="en-GB"/>
        </w:rPr>
        <w:t xml:space="preserve">csökkentő </w:t>
      </w:r>
      <w:r w:rsidR="004736F4">
        <w:rPr>
          <w:snapToGrid/>
          <w:szCs w:val="22"/>
          <w:lang w:val="hu-HU" w:eastAsia="en-GB"/>
        </w:rPr>
        <w:t>gyógy</w:t>
      </w:r>
      <w:r w:rsidRPr="00E076F1">
        <w:rPr>
          <w:snapToGrid/>
          <w:szCs w:val="22"/>
          <w:lang w:val="hu-HU" w:eastAsia="en-GB"/>
        </w:rPr>
        <w:t>szerek (</w:t>
      </w:r>
      <w:r w:rsidRPr="00E076F1">
        <w:rPr>
          <w:rFonts w:eastAsia="TimesNewRoman,Italic"/>
          <w:i/>
          <w:iCs/>
          <w:snapToGrid/>
          <w:szCs w:val="22"/>
          <w:lang w:val="hu-HU" w:eastAsia="en-GB"/>
        </w:rPr>
        <w:t>per os</w:t>
      </w:r>
      <w:r w:rsidRPr="00E076F1">
        <w:rPr>
          <w:snapToGrid/>
          <w:szCs w:val="22"/>
          <w:lang w:val="hu-HU" w:eastAsia="en-GB"/>
        </w:rPr>
        <w:t>) kombinációi, ATC kód: A10BD15</w:t>
      </w:r>
    </w:p>
    <w:p w14:paraId="4DD99CA6" w14:textId="77777777" w:rsidR="00F47D2F" w:rsidRPr="00E076F1" w:rsidRDefault="00F47D2F" w:rsidP="00E076F1">
      <w:pPr>
        <w:tabs>
          <w:tab w:val="clear" w:pos="567"/>
        </w:tabs>
        <w:autoSpaceDE w:val="0"/>
        <w:autoSpaceDN w:val="0"/>
        <w:adjustRightInd w:val="0"/>
        <w:spacing w:line="240" w:lineRule="auto"/>
        <w:rPr>
          <w:snapToGrid/>
          <w:szCs w:val="22"/>
          <w:lang w:val="hu-HU" w:eastAsia="en-GB"/>
        </w:rPr>
      </w:pPr>
    </w:p>
    <w:p w14:paraId="6DB2F943" w14:textId="55FC5F1C" w:rsidR="00F47D2F" w:rsidRPr="00E076F1" w:rsidRDefault="00F47D2F"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Hatásmechanizmus</w:t>
      </w:r>
    </w:p>
    <w:p w14:paraId="7934CFF6" w14:textId="77777777" w:rsidR="0042172E" w:rsidRPr="00E076F1" w:rsidRDefault="0042172E" w:rsidP="00E076F1">
      <w:pPr>
        <w:tabs>
          <w:tab w:val="clear" w:pos="567"/>
        </w:tabs>
        <w:autoSpaceDE w:val="0"/>
        <w:autoSpaceDN w:val="0"/>
        <w:adjustRightInd w:val="0"/>
        <w:spacing w:line="240" w:lineRule="auto"/>
        <w:rPr>
          <w:snapToGrid/>
          <w:szCs w:val="22"/>
          <w:lang w:val="hu-HU" w:eastAsia="en-GB"/>
        </w:rPr>
      </w:pPr>
    </w:p>
    <w:p w14:paraId="5A5C02D0" w14:textId="79DE0C8C"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AE4F87" w:rsidRPr="00E076F1">
        <w:rPr>
          <w:snapToGrid/>
          <w:szCs w:val="22"/>
          <w:lang w:val="hu-HU" w:eastAsia="en-GB"/>
        </w:rPr>
        <w:t>Dapagliflozin/Metformin Polpharma</w:t>
      </w:r>
      <w:r w:rsidRPr="00E076F1">
        <w:rPr>
          <w:snapToGrid/>
          <w:szCs w:val="22"/>
          <w:lang w:val="hu-HU" w:eastAsia="en-GB"/>
        </w:rPr>
        <w:t xml:space="preserve"> két antihyperglykaemiás gyógyszer</w:t>
      </w:r>
      <w:r w:rsidR="004736F4">
        <w:rPr>
          <w:snapToGrid/>
          <w:szCs w:val="22"/>
          <w:lang w:val="hu-HU" w:eastAsia="en-GB"/>
        </w:rPr>
        <w:t>t tartalmaz</w:t>
      </w:r>
      <w:r w:rsidRPr="00E076F1">
        <w:rPr>
          <w:snapToGrid/>
          <w:szCs w:val="22"/>
          <w:lang w:val="hu-HU" w:eastAsia="en-GB"/>
        </w:rPr>
        <w:t>, melyek eltérő és egymást kiegészítő hatásmechanizmusa javítja a 2-es típusú diabetesben szenvedő betegeknél a szénhidrátanyagcsere-egyensúlyt: a dapagliflozint, ami egy SGLT2-inhibitor, és a metformin-hidrokloridot, ami a biguanidok csoportjának egyik tagja.</w:t>
      </w:r>
    </w:p>
    <w:p w14:paraId="3870FB87" w14:textId="77777777" w:rsidR="00F47D2F" w:rsidRPr="00E076F1" w:rsidRDefault="00F47D2F" w:rsidP="00E076F1">
      <w:pPr>
        <w:spacing w:line="240" w:lineRule="auto"/>
        <w:rPr>
          <w:snapToGrid/>
          <w:szCs w:val="22"/>
          <w:lang w:val="hu-HU" w:eastAsia="en-GB"/>
        </w:rPr>
      </w:pPr>
    </w:p>
    <w:p w14:paraId="06CF8CD2"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u w:val="single"/>
          <w:lang w:val="hu-HU" w:eastAsia="en-GB"/>
        </w:rPr>
      </w:pPr>
      <w:r w:rsidRPr="00E076F1">
        <w:rPr>
          <w:rFonts w:eastAsia="TimesNewRoman,Italic"/>
          <w:snapToGrid/>
          <w:szCs w:val="22"/>
          <w:u w:val="single"/>
          <w:lang w:val="hu-HU" w:eastAsia="en-GB"/>
        </w:rPr>
        <w:t>Dapagliflozin</w:t>
      </w:r>
    </w:p>
    <w:p w14:paraId="2D64CAE5" w14:textId="5694406F"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az SGLT2-nek egy igen potens (K</w:t>
      </w:r>
      <w:r w:rsidRPr="00E076F1">
        <w:rPr>
          <w:rFonts w:eastAsia="TimesNewRoman,Italic"/>
          <w:snapToGrid/>
          <w:szCs w:val="14"/>
          <w:lang w:val="hu-HU" w:eastAsia="en-GB"/>
        </w:rPr>
        <w:t>i</w:t>
      </w:r>
      <w:r w:rsidRPr="00E076F1">
        <w:rPr>
          <w:rFonts w:eastAsia="TimesNewRoman,Italic"/>
          <w:snapToGrid/>
          <w:szCs w:val="22"/>
          <w:lang w:val="hu-HU" w:eastAsia="en-GB"/>
        </w:rPr>
        <w:t>: 0,55 nM), szelektív és reverz</w:t>
      </w:r>
      <w:r w:rsidR="004736F4">
        <w:rPr>
          <w:rFonts w:eastAsia="TimesNewRoman,Italic"/>
          <w:snapToGrid/>
          <w:szCs w:val="22"/>
          <w:lang w:val="hu-HU" w:eastAsia="en-GB"/>
        </w:rPr>
        <w:t>i</w:t>
      </w:r>
      <w:r w:rsidRPr="00E076F1">
        <w:rPr>
          <w:rFonts w:eastAsia="TimesNewRoman,Italic"/>
          <w:snapToGrid/>
          <w:szCs w:val="22"/>
          <w:lang w:val="hu-HU" w:eastAsia="en-GB"/>
        </w:rPr>
        <w:t>bilis inhibitora.</w:t>
      </w:r>
    </w:p>
    <w:p w14:paraId="3EF3FC49"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5137CD81" w14:textId="6493306F"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SGLT2 dapagliflozinnal történő gátlása csökkenti a proximalis renalis tubulusokban a glükóz glomeruláris filtrátumból történő reabszorpcióját, a nátriumreabszorpció egyidejű csökkenésével, ami a glükóz vizelettel történő excretiójához és ozmotikus diuresishez vezet. Ezért a dapagliflozin fokozza a nátrium disztális tubulusokba történő transzportját, ami növeli a tubuloglomerularis feedback-et, és csökkenti az intraglomerularis nyomást. Ez, ozmotikus diuresissel kombinálva a volumentúlterhelés csökkenéséhez, csökkent vérnyomáshoz és alacsonyabb preload-hoz és afterload-hoz (végdiasztolés és végszisztolés rosthosszhoz) vezet, amelyeknek kedvező hatásai lehetnek a cardialis remodellingre és a vesefunkció megőrzésére. További hatások közé tartozik a hematokritérték emelkedése és a testtömeg csökkenése. A dapagliflozin kedvező cardialis és renalis hatásai nem kizárólag a vércukorszint-csökkentő hatástól függnek.</w:t>
      </w:r>
    </w:p>
    <w:p w14:paraId="03EC5AFF"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45C820EA" w14:textId="0275AD55"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a vizelettel történő glükóz</w:t>
      </w:r>
      <w:r w:rsidR="004736F4">
        <w:rPr>
          <w:rFonts w:eastAsia="TimesNewRoman,Italic"/>
          <w:snapToGrid/>
          <w:szCs w:val="22"/>
          <w:lang w:val="hu-HU" w:eastAsia="en-GB"/>
        </w:rPr>
        <w:t>-</w:t>
      </w:r>
      <w:r w:rsidRPr="00E076F1">
        <w:rPr>
          <w:rFonts w:eastAsia="TimesNewRoman,Italic"/>
          <w:snapToGrid/>
          <w:szCs w:val="22"/>
          <w:lang w:val="hu-HU" w:eastAsia="en-GB"/>
        </w:rPr>
        <w:t>excretióhoz vezető renális glükóz-reabszorpció csökkentésével egyaránt javítja az éhomi és a posztprandiális plazmaglükózszintet is. Ez, az első dózis után megfigyelt glükóz-excretio (glucosuriás hatás) a 24 órás adagolási intevallum alatt is folytatódik, és a kezelés időtartama alatt megmarad. Az ezen a mechanizmuson keresztül a vesék által kiürített glükóz mennyisége függ a vércukorszinttől és a GFR-től. Ezért a normális vércukorszintű alanyoknál a dapagliflozin hypoglykaemiát okozó hatása csekély. A dapagliflozin nem rontja a hypoglykaemiára normálisan adott endogén glükóztermeléshez vezető válaszreakciót. A dapagliflozin az inzulinszekréciótól és az inzulin hatásától függetlenül hat. A dapagliflozinnal végzett klinikai vizsgálatokban a béta-sejt funkciót értékelő homeosztázis modellben (HOMA béta-sejt) bekövetkező javulást észleltek.</w:t>
      </w:r>
    </w:p>
    <w:p w14:paraId="0ACF3582"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5B8E6509" w14:textId="53909B5F"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SGLT2 szelektíven expresszálódik a vesékben. A dapagliflozin nem gátol más, a glükóz perifériás szövetekbe történő transzportjához fontos egyéb glükóz transzportereket, és &gt; 1400-szor szelektívebben kötődik az SGLT2-höz, mint az SGLT1-hez, ami a glükóz felszívódásáért felelős, a belekben található legfontosabb transzporter.</w:t>
      </w:r>
    </w:p>
    <w:p w14:paraId="7C36CA7C"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43AA50E4"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u w:val="single"/>
          <w:lang w:val="hu-HU" w:eastAsia="en-GB"/>
        </w:rPr>
      </w:pPr>
      <w:r w:rsidRPr="00E076F1">
        <w:rPr>
          <w:rFonts w:eastAsia="TimesNewRoman,Italic"/>
          <w:snapToGrid/>
          <w:szCs w:val="22"/>
          <w:u w:val="single"/>
          <w:lang w:val="hu-HU" w:eastAsia="en-GB"/>
        </w:rPr>
        <w:t>Metformin</w:t>
      </w:r>
    </w:p>
    <w:p w14:paraId="48AC9559" w14:textId="74DD33C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metformin egy antihyperglykaemiás hatással rendelkező biguanid, ami mind a bazális, mind a postprandiális plazma glükózszintet csökkenti. Nem serkenti az inzulinszekréciót, ezért nem okoz hypoglykaemiát.</w:t>
      </w:r>
    </w:p>
    <w:p w14:paraId="41FC522E"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572194FE" w14:textId="3F0871A3"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metformin három mechanizmuson keresztül hathat:</w:t>
      </w:r>
    </w:p>
    <w:p w14:paraId="1277434F" w14:textId="26928A9A" w:rsidR="00F47D2F" w:rsidRPr="00E076F1" w:rsidRDefault="00F47D2F"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007139E1" w:rsidRPr="00E076F1">
        <w:rPr>
          <w:snapToGrid/>
          <w:szCs w:val="22"/>
          <w:lang w:val="hu-HU" w:eastAsia="en-GB"/>
        </w:rPr>
        <w:tab/>
      </w:r>
      <w:r w:rsidRPr="00E076F1">
        <w:rPr>
          <w:snapToGrid/>
          <w:szCs w:val="22"/>
          <w:lang w:val="hu-HU" w:eastAsia="en-GB"/>
        </w:rPr>
        <w:t>a gluconeogenesis és a glycogenolysis gátlásával csökkenti a hepaticus glükóztermelést,</w:t>
      </w:r>
    </w:p>
    <w:p w14:paraId="224C193C" w14:textId="7001D9C0" w:rsidR="00F47D2F" w:rsidRPr="00E076F1" w:rsidRDefault="00F47D2F" w:rsidP="00E076F1">
      <w:pPr>
        <w:autoSpaceDE w:val="0"/>
        <w:autoSpaceDN w:val="0"/>
        <w:adjustRightInd w:val="0"/>
        <w:spacing w:line="240" w:lineRule="auto"/>
        <w:ind w:left="567" w:hanging="567"/>
        <w:rPr>
          <w:snapToGrid/>
          <w:szCs w:val="22"/>
          <w:lang w:val="hu-HU" w:eastAsia="en-GB"/>
        </w:rPr>
      </w:pPr>
      <w:r w:rsidRPr="00E076F1">
        <w:rPr>
          <w:snapToGrid/>
          <w:szCs w:val="22"/>
          <w:lang w:val="hu-HU" w:eastAsia="en-GB"/>
        </w:rPr>
        <w:t>-</w:t>
      </w:r>
      <w:r w:rsidR="007139E1" w:rsidRPr="00E076F1">
        <w:rPr>
          <w:snapToGrid/>
          <w:szCs w:val="22"/>
          <w:lang w:val="hu-HU" w:eastAsia="en-GB"/>
        </w:rPr>
        <w:tab/>
      </w:r>
      <w:r w:rsidRPr="00E076F1">
        <w:rPr>
          <w:snapToGrid/>
          <w:szCs w:val="22"/>
          <w:lang w:val="hu-HU" w:eastAsia="en-GB"/>
        </w:rPr>
        <w:t>mérsékelten növeli az inzulinszenzitivitást, javítja a perifériás glükózfelvételt és felhasználást az</w:t>
      </w:r>
      <w:r w:rsidR="007139E1" w:rsidRPr="00E076F1">
        <w:rPr>
          <w:snapToGrid/>
          <w:szCs w:val="22"/>
          <w:lang w:val="hu-HU" w:eastAsia="en-GB"/>
        </w:rPr>
        <w:t xml:space="preserve"> </w:t>
      </w:r>
      <w:r w:rsidRPr="00E076F1">
        <w:rPr>
          <w:snapToGrid/>
          <w:szCs w:val="22"/>
          <w:lang w:val="hu-HU" w:eastAsia="en-GB"/>
        </w:rPr>
        <w:t>izmokban,</w:t>
      </w:r>
    </w:p>
    <w:p w14:paraId="1D7B106B" w14:textId="5E73005B" w:rsidR="00F47D2F" w:rsidRPr="00E076F1" w:rsidRDefault="00F47D2F" w:rsidP="00E076F1">
      <w:pPr>
        <w:autoSpaceDE w:val="0"/>
        <w:autoSpaceDN w:val="0"/>
        <w:adjustRightInd w:val="0"/>
        <w:spacing w:line="240" w:lineRule="auto"/>
        <w:rPr>
          <w:rFonts w:eastAsia="TimesNewRoman,Italic"/>
          <w:snapToGrid/>
          <w:szCs w:val="22"/>
          <w:lang w:val="hu-HU" w:eastAsia="en-GB"/>
        </w:rPr>
      </w:pPr>
      <w:r w:rsidRPr="00E076F1">
        <w:rPr>
          <w:snapToGrid/>
          <w:szCs w:val="22"/>
          <w:lang w:val="hu-HU" w:eastAsia="en-GB"/>
        </w:rPr>
        <w:t>-</w:t>
      </w:r>
      <w:r w:rsidR="007139E1" w:rsidRPr="00E076F1">
        <w:rPr>
          <w:snapToGrid/>
          <w:szCs w:val="22"/>
          <w:lang w:val="hu-HU" w:eastAsia="en-GB"/>
        </w:rPr>
        <w:tab/>
      </w:r>
      <w:r w:rsidRPr="00E076F1">
        <w:rPr>
          <w:snapToGrid/>
          <w:szCs w:val="22"/>
          <w:lang w:val="hu-HU" w:eastAsia="en-GB"/>
        </w:rPr>
        <w:t>késlelteti az intestinális glükózfelszívódást.</w:t>
      </w:r>
    </w:p>
    <w:p w14:paraId="4BF5F9D3" w14:textId="77777777" w:rsidR="00B74E64" w:rsidRPr="00E076F1" w:rsidRDefault="00B74E64" w:rsidP="00E076F1">
      <w:pPr>
        <w:tabs>
          <w:tab w:val="clear" w:pos="567"/>
        </w:tabs>
        <w:autoSpaceDE w:val="0"/>
        <w:autoSpaceDN w:val="0"/>
        <w:adjustRightInd w:val="0"/>
        <w:spacing w:line="240" w:lineRule="auto"/>
        <w:rPr>
          <w:snapToGrid/>
          <w:szCs w:val="22"/>
          <w:lang w:val="hu-HU" w:eastAsia="en-GB"/>
        </w:rPr>
      </w:pPr>
    </w:p>
    <w:p w14:paraId="2CD5D67C" w14:textId="208FE94D"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metformin a glikogén-szintetázra hatva serkenti az intracellularis glikogénszintézist. A metformin</w:t>
      </w:r>
      <w:r w:rsidR="007139E1" w:rsidRPr="00E076F1">
        <w:rPr>
          <w:snapToGrid/>
          <w:szCs w:val="22"/>
          <w:lang w:val="hu-HU" w:eastAsia="en-GB"/>
        </w:rPr>
        <w:t xml:space="preserve"> </w:t>
      </w:r>
      <w:r w:rsidRPr="00E076F1">
        <w:rPr>
          <w:snapToGrid/>
          <w:szCs w:val="22"/>
          <w:lang w:val="hu-HU" w:eastAsia="en-GB"/>
        </w:rPr>
        <w:t>növeli a membrán glükóz transzporterek (GLUT-1 és GLUT-4) specifikus típusainak</w:t>
      </w:r>
      <w:r w:rsidR="007139E1" w:rsidRPr="00E076F1">
        <w:rPr>
          <w:snapToGrid/>
          <w:szCs w:val="22"/>
          <w:lang w:val="hu-HU" w:eastAsia="en-GB"/>
        </w:rPr>
        <w:t xml:space="preserve"> </w:t>
      </w:r>
      <w:r w:rsidRPr="00E076F1">
        <w:rPr>
          <w:snapToGrid/>
          <w:szCs w:val="22"/>
          <w:lang w:val="hu-HU" w:eastAsia="en-GB"/>
        </w:rPr>
        <w:t>transzportkapacitását.</w:t>
      </w:r>
    </w:p>
    <w:p w14:paraId="38CFD032" w14:textId="77777777" w:rsidR="007139E1" w:rsidRPr="00E076F1" w:rsidRDefault="007139E1" w:rsidP="00E076F1">
      <w:pPr>
        <w:tabs>
          <w:tab w:val="clear" w:pos="567"/>
        </w:tabs>
        <w:autoSpaceDE w:val="0"/>
        <w:autoSpaceDN w:val="0"/>
        <w:adjustRightInd w:val="0"/>
        <w:spacing w:line="240" w:lineRule="auto"/>
        <w:rPr>
          <w:snapToGrid/>
          <w:szCs w:val="22"/>
          <w:u w:val="single"/>
          <w:lang w:val="hu-HU" w:eastAsia="en-GB"/>
        </w:rPr>
      </w:pPr>
    </w:p>
    <w:p w14:paraId="16C14900" w14:textId="5C440710" w:rsidR="007139E1" w:rsidRPr="00E076F1" w:rsidRDefault="007139E1"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Farmakodinámiás hatások</w:t>
      </w:r>
    </w:p>
    <w:p w14:paraId="7C20B9BB" w14:textId="77777777" w:rsidR="0042172E" w:rsidRPr="00E076F1" w:rsidRDefault="0042172E"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101A3E53" w14:textId="7A1B15D0" w:rsidR="007139E1" w:rsidRPr="00E076F1" w:rsidRDefault="007139E1"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Dapagliflozin</w:t>
      </w:r>
    </w:p>
    <w:p w14:paraId="46F17E72" w14:textId="1A051188"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alkalmazását követően egészséges alanyoknál és 2-es típusú diabetes mellitusban szenvedő betegeknél a vizeletbe kiválasztódó glükóz mennyiségének növekedését figyelték meg. Tizenkét hétig adott napi 10</w:t>
      </w:r>
      <w:r w:rsidR="00122450" w:rsidRPr="00E076F1">
        <w:rPr>
          <w:snapToGrid/>
          <w:szCs w:val="22"/>
          <w:lang w:val="hu-HU" w:eastAsia="en-GB"/>
        </w:rPr>
        <w:t> mg</w:t>
      </w:r>
      <w:r w:rsidRPr="00E076F1">
        <w:rPr>
          <w:snapToGrid/>
          <w:szCs w:val="22"/>
          <w:lang w:val="hu-HU" w:eastAsia="en-GB"/>
        </w:rPr>
        <w:t>-os dapagliflozin dózis mellett a 2-es típusú diabetes mellitusos betegeknél naponta megközelítőleg 70 g glükóz választódott ki a vizeletbe (ami napi 280 kcal-nak felel meg). A legfeljebb 2 évig tartó, napi 10</w:t>
      </w:r>
      <w:r w:rsidR="00122450" w:rsidRPr="00E076F1">
        <w:rPr>
          <w:snapToGrid/>
          <w:szCs w:val="22"/>
          <w:lang w:val="hu-HU" w:eastAsia="en-GB"/>
        </w:rPr>
        <w:t> mg</w:t>
      </w:r>
      <w:r w:rsidRPr="00E076F1">
        <w:rPr>
          <w:snapToGrid/>
          <w:szCs w:val="22"/>
          <w:lang w:val="hu-HU" w:eastAsia="en-GB"/>
        </w:rPr>
        <w:t>-os dapagliflozin adás mellett a 2-es típusú diabetes mellitusban szenvedő betegeknél tartós glükóz-excretióra utaló bizonyítékot észleltek.</w:t>
      </w:r>
    </w:p>
    <w:p w14:paraId="7105775A" w14:textId="77777777" w:rsidR="007139E1" w:rsidRPr="00E076F1" w:rsidRDefault="007139E1" w:rsidP="00E076F1">
      <w:pPr>
        <w:tabs>
          <w:tab w:val="clear" w:pos="567"/>
        </w:tabs>
        <w:autoSpaceDE w:val="0"/>
        <w:autoSpaceDN w:val="0"/>
        <w:adjustRightInd w:val="0"/>
        <w:spacing w:line="240" w:lineRule="auto"/>
        <w:rPr>
          <w:snapToGrid/>
          <w:szCs w:val="22"/>
          <w:lang w:val="hu-HU" w:eastAsia="en-GB"/>
        </w:rPr>
      </w:pPr>
    </w:p>
    <w:p w14:paraId="7D2BB4C2" w14:textId="3BBD753D"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2-es típusú diabetes mellitusban szenvedő betegeknél a dapagliflozin okozta, vizelettel történő glükóz-excretio ozmotikus diuresist, valamint a vizelet mennyiségének növekedését is eredményezi. A 10</w:t>
      </w:r>
      <w:r w:rsidR="00122450" w:rsidRPr="00E076F1">
        <w:rPr>
          <w:snapToGrid/>
          <w:szCs w:val="22"/>
          <w:lang w:val="hu-HU" w:eastAsia="en-GB"/>
        </w:rPr>
        <w:t> mg</w:t>
      </w:r>
      <w:r w:rsidRPr="00E076F1">
        <w:rPr>
          <w:snapToGrid/>
          <w:szCs w:val="22"/>
          <w:lang w:val="hu-HU" w:eastAsia="en-GB"/>
        </w:rPr>
        <w:t xml:space="preserve"> dapagliflozinnal kezelt, 2-es típusú diabetes mellitusos betegeknél a vizelet mennyiségének növekedése a 12. héten is fennmaradt, és megközelítőleg napi 375 ml-t ért el. A vizelet mennyiségének növekedése a vizelettel történő nátrium-excretio kismértékű és átmeneti emelkedésével járt, ami nem okozott a szérum</w:t>
      </w:r>
      <w:r w:rsidR="000C4D53">
        <w:rPr>
          <w:snapToGrid/>
          <w:szCs w:val="22"/>
          <w:lang w:val="hu-HU" w:eastAsia="en-GB"/>
        </w:rPr>
        <w:t>-</w:t>
      </w:r>
      <w:r w:rsidRPr="00E076F1">
        <w:rPr>
          <w:snapToGrid/>
          <w:szCs w:val="22"/>
          <w:lang w:val="hu-HU" w:eastAsia="en-GB"/>
        </w:rPr>
        <w:t>nátriumkoncentrációkban bekövetkező változást.</w:t>
      </w:r>
    </w:p>
    <w:p w14:paraId="3FF2F3A9" w14:textId="77777777" w:rsidR="007139E1" w:rsidRPr="00E076F1" w:rsidRDefault="007139E1" w:rsidP="00E076F1">
      <w:pPr>
        <w:tabs>
          <w:tab w:val="clear" w:pos="567"/>
        </w:tabs>
        <w:autoSpaceDE w:val="0"/>
        <w:autoSpaceDN w:val="0"/>
        <w:adjustRightInd w:val="0"/>
        <w:spacing w:line="240" w:lineRule="auto"/>
        <w:rPr>
          <w:snapToGrid/>
          <w:szCs w:val="22"/>
          <w:lang w:val="hu-HU" w:eastAsia="en-GB"/>
        </w:rPr>
      </w:pPr>
    </w:p>
    <w:p w14:paraId="11CCA348" w14:textId="66832383"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vizelettel történő húgysav-excretio átmenetileg szintén fokozódott (3-7 napig), amit a szérumhúgysavszint tartós csökkenése kísért. A 24. héten a szérumhúgysavszint csökkenése -48,3 – -18,3 </w:t>
      </w:r>
      <w:r w:rsidRPr="00E076F1">
        <w:rPr>
          <w:snapToGrid/>
          <w:szCs w:val="22"/>
          <w:lang w:val="en-US" w:eastAsia="en-GB"/>
        </w:rPr>
        <w:t>μ</w:t>
      </w:r>
      <w:r w:rsidRPr="00E076F1">
        <w:rPr>
          <w:snapToGrid/>
          <w:szCs w:val="22"/>
          <w:lang w:val="hu-HU" w:eastAsia="en-GB"/>
        </w:rPr>
        <w:t>mol/l-es (-0,87 – -0,33</w:t>
      </w:r>
      <w:r w:rsidR="00122450" w:rsidRPr="00E076F1">
        <w:rPr>
          <w:snapToGrid/>
          <w:szCs w:val="22"/>
          <w:lang w:val="hu-HU" w:eastAsia="en-GB"/>
        </w:rPr>
        <w:t> mg</w:t>
      </w:r>
      <w:r w:rsidRPr="00E076F1">
        <w:rPr>
          <w:snapToGrid/>
          <w:szCs w:val="22"/>
          <w:lang w:val="hu-HU" w:eastAsia="en-GB"/>
        </w:rPr>
        <w:t>/dl-es) tartományba esett.</w:t>
      </w:r>
    </w:p>
    <w:p w14:paraId="3965F2F4" w14:textId="77777777" w:rsidR="007139E1" w:rsidRPr="00E076F1" w:rsidRDefault="007139E1" w:rsidP="00E076F1">
      <w:pPr>
        <w:tabs>
          <w:tab w:val="clear" w:pos="567"/>
        </w:tabs>
        <w:autoSpaceDE w:val="0"/>
        <w:autoSpaceDN w:val="0"/>
        <w:adjustRightInd w:val="0"/>
        <w:spacing w:line="240" w:lineRule="auto"/>
        <w:rPr>
          <w:snapToGrid/>
          <w:szCs w:val="22"/>
          <w:lang w:val="hu-HU" w:eastAsia="en-GB"/>
        </w:rPr>
      </w:pPr>
    </w:p>
    <w:p w14:paraId="0686D657" w14:textId="18E7F181" w:rsidR="00F47D2F"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naponta kétszer 5</w:t>
      </w:r>
      <w:r w:rsidR="00122450" w:rsidRPr="00E076F1">
        <w:rPr>
          <w:snapToGrid/>
          <w:szCs w:val="22"/>
          <w:lang w:val="hu-HU" w:eastAsia="en-GB"/>
        </w:rPr>
        <w:t> mg</w:t>
      </w:r>
      <w:r w:rsidRPr="00E076F1">
        <w:rPr>
          <w:snapToGrid/>
          <w:szCs w:val="22"/>
          <w:lang w:val="hu-HU" w:eastAsia="en-GB"/>
        </w:rPr>
        <w:t xml:space="preserve"> dapagliflozin és a naponta egyszer 10</w:t>
      </w:r>
      <w:r w:rsidR="00122450" w:rsidRPr="00E076F1">
        <w:rPr>
          <w:snapToGrid/>
          <w:szCs w:val="22"/>
          <w:lang w:val="hu-HU" w:eastAsia="en-GB"/>
        </w:rPr>
        <w:t> mg</w:t>
      </w:r>
      <w:r w:rsidRPr="00E076F1">
        <w:rPr>
          <w:snapToGrid/>
          <w:szCs w:val="22"/>
          <w:lang w:val="hu-HU" w:eastAsia="en-GB"/>
        </w:rPr>
        <w:t xml:space="preserve"> dapagliflozin farmakodinámiás tulajdonságait egészséges alanyoknál hasonlították össze. A renalis glükóz</w:t>
      </w:r>
      <w:r w:rsidR="004F5335">
        <w:rPr>
          <w:snapToGrid/>
          <w:szCs w:val="22"/>
          <w:lang w:val="hu-HU" w:eastAsia="en-GB"/>
        </w:rPr>
        <w:t>-</w:t>
      </w:r>
      <w:r w:rsidRPr="00E076F1">
        <w:rPr>
          <w:snapToGrid/>
          <w:szCs w:val="22"/>
          <w:lang w:val="hu-HU" w:eastAsia="en-GB"/>
        </w:rPr>
        <w:t>reabszorpció dinamikus egyensúlyi állapotú gátlása és a vizelettel történő glükóz</w:t>
      </w:r>
      <w:r w:rsidR="004F5335">
        <w:rPr>
          <w:snapToGrid/>
          <w:szCs w:val="22"/>
          <w:lang w:val="hu-HU" w:eastAsia="en-GB"/>
        </w:rPr>
        <w:t>-</w:t>
      </w:r>
      <w:r w:rsidRPr="00E076F1">
        <w:rPr>
          <w:snapToGrid/>
          <w:szCs w:val="22"/>
          <w:lang w:val="hu-HU" w:eastAsia="en-GB"/>
        </w:rPr>
        <w:t>excretio mennyisége egy 24 órás periódus alatt mindkét adagolási rend esetén azonos volt.</w:t>
      </w:r>
    </w:p>
    <w:p w14:paraId="1ACC8C62"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6F8E8BBD" w14:textId="77777777" w:rsidR="007139E1" w:rsidRPr="00E076F1" w:rsidRDefault="007139E1"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Metformin</w:t>
      </w:r>
    </w:p>
    <w:p w14:paraId="248EB278" w14:textId="185719F2"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Embernél a glykaemiára gyakorolt hatásától függetlenül a metforminnak kedvező hatása van a lipid metabolizmusra. Közepesen hosszú vagy hosszú távú kontrollos klinikai vizsgálatokban kimutatták, hogy a metformin csökkenti az összkoleszterinszintet, az LDL-koleszterinszintet és a trigliceridszintet.</w:t>
      </w:r>
    </w:p>
    <w:p w14:paraId="520DE280"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635A22E4" w14:textId="0048C551"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Klinikai vizsgálatokban a metformin alkalmazását állandó testtömeg vagy a testtömeg mérsékelt csökkenése kísérte.</w:t>
      </w:r>
    </w:p>
    <w:p w14:paraId="1258C5E7"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13F98017" w14:textId="02C673E5" w:rsidR="007139E1" w:rsidRPr="00E076F1" w:rsidRDefault="007139E1" w:rsidP="00E076F1">
      <w:pPr>
        <w:tabs>
          <w:tab w:val="clear" w:pos="567"/>
        </w:tabs>
        <w:autoSpaceDE w:val="0"/>
        <w:autoSpaceDN w:val="0"/>
        <w:adjustRightInd w:val="0"/>
        <w:spacing w:line="240" w:lineRule="auto"/>
        <w:rPr>
          <w:rFonts w:eastAsia="TimesNewRoman,Italic"/>
          <w:snapToGrid/>
          <w:szCs w:val="22"/>
          <w:u w:val="single"/>
          <w:lang w:val="hu-HU" w:eastAsia="en-GB"/>
        </w:rPr>
      </w:pPr>
      <w:r w:rsidRPr="00E076F1">
        <w:rPr>
          <w:rFonts w:eastAsia="TimesNewRoman,Italic"/>
          <w:snapToGrid/>
          <w:szCs w:val="22"/>
          <w:u w:val="single"/>
          <w:lang w:val="hu-HU" w:eastAsia="en-GB"/>
        </w:rPr>
        <w:t>Klinikai hatásosság és biztonságosság</w:t>
      </w:r>
    </w:p>
    <w:p w14:paraId="6611E469" w14:textId="6E784FBE"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szénhidrátanyagcsere-egyensúlyban bekövetkező javulás, illetve a cardiovascularis morbiditás és mortalitás csökkenése egyaránt integrált részét képezi a 2-es típusú diabetes kezelésének.</w:t>
      </w:r>
    </w:p>
    <w:p w14:paraId="4323FF81"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47C57CFA" w14:textId="1528945E"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és a metformin egyidejű alkalmazását olyan nem megfelelően beállított, 2-es típusú diabetesben szenvedő betegeknél vizsgálták, akiknél csak a diéta és a testmozgás, illetve az önmagában vagy egy DPP-4 inhibitorral (szitagliptin), szulfonilureával vagy inzulinnal kombinációban adott metformin nem biztosít megfelelő kontrollt. A dapagliflozin plusz metformin-kezelés minden dózisban a HbA1c és az éhomi plazmaglükózszint (fasting plasma glucose, FPG) klinikailag jelentős és</w:t>
      </w:r>
      <w:r w:rsidR="00B74E64" w:rsidRPr="00E076F1">
        <w:rPr>
          <w:snapToGrid/>
          <w:szCs w:val="22"/>
          <w:lang w:val="hu-HU" w:eastAsia="en-GB"/>
        </w:rPr>
        <w:t xml:space="preserve"> </w:t>
      </w:r>
      <w:r w:rsidRPr="00E076F1">
        <w:rPr>
          <w:snapToGrid/>
          <w:szCs w:val="22"/>
          <w:lang w:val="hu-HU" w:eastAsia="en-GB"/>
        </w:rPr>
        <w:t>statisztikailag szignifikáns javulását eredményezte a kontrollhoz viszonyítva. A</w:t>
      </w:r>
      <w:r w:rsidR="00B74E64" w:rsidRPr="00E076F1">
        <w:rPr>
          <w:snapToGrid/>
          <w:szCs w:val="22"/>
          <w:lang w:val="hu-HU" w:eastAsia="en-GB"/>
        </w:rPr>
        <w:t> </w:t>
      </w:r>
      <w:r w:rsidRPr="00E076F1">
        <w:rPr>
          <w:snapToGrid/>
          <w:szCs w:val="22"/>
          <w:lang w:val="hu-HU" w:eastAsia="en-GB"/>
        </w:rPr>
        <w:t>klinikailag releváns glykaemiás hatások a legfeljebb 104 hetes, hosszú távú kiterjesztés során fennmaradtak. A HbA1c csökkenését észlelték az alcsoportokban, beleértve a nemi hovatartozást, az életkort, a rasszot, a betegség időtartamát és a kiindulási testtömeg-indexet (BMI). Ezenkívül a 24. héten a kontrollhoz képest a kiindulási testtömegben bekövetkezett átlagos változás klinikailag jelentős és statisztikailag szignifikáns javulását észlelték a dapagliflozin és metformin kombinációval végzett kezelés esetén. A testtömeg-csökkenés a legfeljebb 208 hetes, hosszú távú kiterjesztés során fennmarad. Ezenkívül kimutatták, hogy a metformin mellé adott, napi kétszeri dapagliflozin-kezelés hatásos és biztonságos a 2-es típusú diabeteses betegeknél. Továbbá két 12 hetes, placebokontrollos vizsgálatot végeztek nem megfelelően kontrollált 2-es típusú diabetesben és hypertoniában szenvedő betegekkel.</w:t>
      </w:r>
    </w:p>
    <w:p w14:paraId="2DA18ABB" w14:textId="77777777" w:rsidR="00B74E64" w:rsidRPr="00E076F1" w:rsidRDefault="00B74E64" w:rsidP="00E076F1">
      <w:pPr>
        <w:tabs>
          <w:tab w:val="clear" w:pos="567"/>
        </w:tabs>
        <w:autoSpaceDE w:val="0"/>
        <w:autoSpaceDN w:val="0"/>
        <w:adjustRightInd w:val="0"/>
        <w:spacing w:line="240" w:lineRule="auto"/>
        <w:rPr>
          <w:snapToGrid/>
          <w:szCs w:val="22"/>
          <w:lang w:val="hu-HU" w:eastAsia="en-GB"/>
        </w:rPr>
      </w:pPr>
    </w:p>
    <w:p w14:paraId="52D6A556" w14:textId="748501C3"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a standard kezelés mellé kiegészítésként adott dapagliflozin csökkentette a cardiovascularis és renalis eseményeket a 2-es típusú diabetesben szenvedő betegeknél.</w:t>
      </w:r>
    </w:p>
    <w:p w14:paraId="1B124D40" w14:textId="77777777" w:rsidR="007139E1" w:rsidRPr="00E076F1" w:rsidRDefault="007139E1" w:rsidP="00E076F1">
      <w:pPr>
        <w:tabs>
          <w:tab w:val="clear" w:pos="567"/>
        </w:tabs>
        <w:autoSpaceDE w:val="0"/>
        <w:autoSpaceDN w:val="0"/>
        <w:adjustRightInd w:val="0"/>
        <w:spacing w:line="240" w:lineRule="auto"/>
        <w:rPr>
          <w:snapToGrid/>
          <w:szCs w:val="22"/>
          <w:lang w:val="hu-HU" w:eastAsia="en-GB"/>
        </w:rPr>
      </w:pPr>
    </w:p>
    <w:p w14:paraId="32E3F7D7" w14:textId="77777777" w:rsidR="007139E1" w:rsidRPr="00E076F1" w:rsidRDefault="007139E1"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Szénhidrátanyagcsere-egyensúly</w:t>
      </w:r>
    </w:p>
    <w:p w14:paraId="6EA7AED2" w14:textId="77777777" w:rsidR="007139E1" w:rsidRPr="00E076F1" w:rsidRDefault="007139E1"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Kiegészítő kombinált kezelés</w:t>
      </w:r>
    </w:p>
    <w:p w14:paraId="7B6BE619" w14:textId="50D09DF5"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52 hetes (52 és 104 hetes kiterjesztési időszakokkal bővített), aktív-kontrollos non-inferioritási vizsgálatban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dapagliflozint a metforminhoz adott kiegészítő kezelésként értékelték, és a metforminhoz kiegészítő kezelésként adott szulfonilureával (glipizid) hasonlították össze a nem megfelelően beállított szénhidrátanyagcsere-egyensúlyú betegeknél (HbA1c &gt; 6,5% és ≤ 10%). Az eredmények a vizsgálat megkezdésétől az 52. hétig a HbA1c hasonló átlagos csökkenését mutatták, mint a glipizid esetén, ezzel igazolva a non-inferioritást (3. táblázat). A 104. héten a kiindulási HbA1c-től mért korrigált átlagos változás sorrendben -0,32% volt a dapagliflozin, és -0,14% volt a glipizid esetén. A 208. héten a kiindulási HbA1c-től észlelt korrigált átlagos változás sorrendben -0,10% volt a dapagliflozin, és -0,20% volt a glipizid esetén. Az 52., a 104. és a 208. héten a dapagliflozinnal kezelt csoport betegeinek lényegesen kisebb arányánál (sorrendben 3,5%, 4,3% és 5,0%) észleltek legalább egy hypoglykaemiás eseményt, mint a glipiziddel kezelt csoportban (sorrendben 40,8%, 47% és 50,0%). A 104. és a 208. héten vizsgálatban maradó betegek aránya 56,2% és 39,7% volt a dapagliflozinnal kezelt csoportban, illetve 50,0% és 34,6% volt a glipiziddel kezelt csoportban.</w:t>
      </w:r>
    </w:p>
    <w:p w14:paraId="34D83103"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10191E12" w14:textId="07D948F5" w:rsidR="007139E1" w:rsidRPr="00E076F1" w:rsidRDefault="007139E1"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3. táblázat A metforminhoz kiegészítésként adott dapagliflozint és glipizidet összehasonlító aktív-kontrollos vizsgálat 52. heti eredményei (LOCF</w:t>
      </w:r>
      <w:r w:rsidRPr="00E076F1">
        <w:rPr>
          <w:rFonts w:eastAsia="TimesNewRoman,Bold"/>
          <w:b/>
          <w:bCs/>
          <w:snapToGrid/>
          <w:szCs w:val="22"/>
          <w:vertAlign w:val="superscript"/>
          <w:lang w:val="hu-HU" w:eastAsia="en-GB"/>
        </w:rPr>
        <w:t>a</w:t>
      </w:r>
      <w:r w:rsidRPr="00E076F1">
        <w:rPr>
          <w:rFonts w:eastAsia="TimesNewRoman,Bold"/>
          <w:b/>
          <w:bCs/>
          <w:snapToGrid/>
          <w:szCs w:val="22"/>
          <w:lang w:val="hu-HU" w:eastAsia="en-GB"/>
        </w:rPr>
        <w:t>)</w:t>
      </w:r>
    </w:p>
    <w:tbl>
      <w:tblPr>
        <w:tblStyle w:val="Rcsostblzat"/>
        <w:tblW w:w="0" w:type="auto"/>
        <w:tblLook w:val="0420" w:firstRow="1" w:lastRow="0" w:firstColumn="0" w:lastColumn="0" w:noHBand="0" w:noVBand="1"/>
      </w:tblPr>
      <w:tblGrid>
        <w:gridCol w:w="3020"/>
        <w:gridCol w:w="3020"/>
        <w:gridCol w:w="3021"/>
      </w:tblGrid>
      <w:tr w:rsidR="00B277D7" w:rsidRPr="00E076F1" w14:paraId="7425D39F" w14:textId="77777777" w:rsidTr="003520E6">
        <w:tc>
          <w:tcPr>
            <w:tcW w:w="3020" w:type="dxa"/>
            <w:tcBorders>
              <w:top w:val="single" w:sz="4" w:space="0" w:color="auto"/>
              <w:left w:val="nil"/>
              <w:bottom w:val="single" w:sz="4" w:space="0" w:color="auto"/>
              <w:right w:val="nil"/>
            </w:tcBorders>
          </w:tcPr>
          <w:p w14:paraId="1B89DFD1" w14:textId="29B32E05"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Paraméter</w:t>
            </w:r>
          </w:p>
        </w:tc>
        <w:tc>
          <w:tcPr>
            <w:tcW w:w="3020" w:type="dxa"/>
            <w:tcBorders>
              <w:top w:val="single" w:sz="4" w:space="0" w:color="auto"/>
              <w:left w:val="nil"/>
              <w:bottom w:val="single" w:sz="4" w:space="0" w:color="auto"/>
              <w:right w:val="nil"/>
            </w:tcBorders>
          </w:tcPr>
          <w:p w14:paraId="311B8D90" w14:textId="77777777"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w:t>
            </w:r>
          </w:p>
          <w:p w14:paraId="135C1165" w14:textId="09128C68"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metformin</w:t>
            </w:r>
          </w:p>
        </w:tc>
        <w:tc>
          <w:tcPr>
            <w:tcW w:w="3021" w:type="dxa"/>
            <w:tcBorders>
              <w:top w:val="single" w:sz="4" w:space="0" w:color="auto"/>
              <w:left w:val="nil"/>
              <w:bottom w:val="single" w:sz="4" w:space="0" w:color="auto"/>
              <w:right w:val="nil"/>
            </w:tcBorders>
          </w:tcPr>
          <w:p w14:paraId="3106BA98" w14:textId="77777777"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Glipizid</w:t>
            </w:r>
          </w:p>
          <w:p w14:paraId="4E141992" w14:textId="6A3136F4"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metformin</w:t>
            </w:r>
          </w:p>
        </w:tc>
      </w:tr>
      <w:tr w:rsidR="00B277D7" w:rsidRPr="00E076F1" w14:paraId="79E09CFC" w14:textId="77777777" w:rsidTr="003520E6">
        <w:tc>
          <w:tcPr>
            <w:tcW w:w="3020" w:type="dxa"/>
            <w:tcBorders>
              <w:top w:val="single" w:sz="4" w:space="0" w:color="auto"/>
              <w:left w:val="nil"/>
              <w:bottom w:val="single" w:sz="4" w:space="0" w:color="auto"/>
              <w:right w:val="nil"/>
            </w:tcBorders>
          </w:tcPr>
          <w:p w14:paraId="6A3475F1" w14:textId="7FB906AE"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b</w:t>
            </w:r>
          </w:p>
        </w:tc>
        <w:tc>
          <w:tcPr>
            <w:tcW w:w="3020" w:type="dxa"/>
            <w:tcBorders>
              <w:top w:val="single" w:sz="4" w:space="0" w:color="auto"/>
              <w:left w:val="nil"/>
              <w:bottom w:val="single" w:sz="4" w:space="0" w:color="auto"/>
              <w:right w:val="nil"/>
            </w:tcBorders>
          </w:tcPr>
          <w:p w14:paraId="799D9010" w14:textId="58BADE91"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400</w:t>
            </w:r>
          </w:p>
        </w:tc>
        <w:tc>
          <w:tcPr>
            <w:tcW w:w="3021" w:type="dxa"/>
            <w:tcBorders>
              <w:top w:val="single" w:sz="4" w:space="0" w:color="auto"/>
              <w:left w:val="nil"/>
              <w:bottom w:val="single" w:sz="4" w:space="0" w:color="auto"/>
              <w:right w:val="nil"/>
            </w:tcBorders>
          </w:tcPr>
          <w:p w14:paraId="2CACBD22" w14:textId="03EE2B82"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401</w:t>
            </w:r>
          </w:p>
        </w:tc>
      </w:tr>
      <w:tr w:rsidR="00B277D7" w:rsidRPr="00E076F1" w14:paraId="1164BD7E" w14:textId="77777777" w:rsidTr="003520E6">
        <w:tc>
          <w:tcPr>
            <w:tcW w:w="3020" w:type="dxa"/>
            <w:tcBorders>
              <w:top w:val="single" w:sz="4" w:space="0" w:color="auto"/>
              <w:left w:val="nil"/>
              <w:bottom w:val="nil"/>
              <w:right w:val="nil"/>
            </w:tcBorders>
          </w:tcPr>
          <w:p w14:paraId="38F3755F" w14:textId="206C8DFE"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3020" w:type="dxa"/>
            <w:tcBorders>
              <w:top w:val="single" w:sz="4" w:space="0" w:color="auto"/>
              <w:left w:val="nil"/>
              <w:bottom w:val="nil"/>
              <w:right w:val="nil"/>
            </w:tcBorders>
          </w:tcPr>
          <w:p w14:paraId="6EEA80DF"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355ED02A"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4667706F" w14:textId="77777777" w:rsidTr="003520E6">
        <w:tc>
          <w:tcPr>
            <w:tcW w:w="3020" w:type="dxa"/>
            <w:tcBorders>
              <w:top w:val="nil"/>
              <w:left w:val="nil"/>
              <w:bottom w:val="nil"/>
              <w:right w:val="nil"/>
            </w:tcBorders>
          </w:tcPr>
          <w:p w14:paraId="60C64345" w14:textId="352FDA5B"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310F8642" w14:textId="7BA82E66"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7,69</w:t>
            </w:r>
          </w:p>
        </w:tc>
        <w:tc>
          <w:tcPr>
            <w:tcW w:w="3021" w:type="dxa"/>
            <w:tcBorders>
              <w:top w:val="nil"/>
              <w:left w:val="nil"/>
              <w:bottom w:val="nil"/>
              <w:right w:val="nil"/>
            </w:tcBorders>
          </w:tcPr>
          <w:p w14:paraId="3B9E63CD" w14:textId="7124DDBD"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7,74</w:t>
            </w:r>
          </w:p>
        </w:tc>
      </w:tr>
      <w:tr w:rsidR="00B277D7" w:rsidRPr="00E076F1" w14:paraId="7C834A80" w14:textId="77777777" w:rsidTr="003520E6">
        <w:tc>
          <w:tcPr>
            <w:tcW w:w="3020" w:type="dxa"/>
            <w:tcBorders>
              <w:top w:val="nil"/>
              <w:left w:val="nil"/>
              <w:bottom w:val="nil"/>
              <w:right w:val="nil"/>
            </w:tcBorders>
          </w:tcPr>
          <w:p w14:paraId="09513EAD" w14:textId="6D984D88" w:rsidR="0098079F" w:rsidRPr="00E076F1" w:rsidRDefault="0098079F"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c</w:t>
            </w:r>
          </w:p>
        </w:tc>
        <w:tc>
          <w:tcPr>
            <w:tcW w:w="3020" w:type="dxa"/>
            <w:tcBorders>
              <w:top w:val="nil"/>
              <w:left w:val="nil"/>
              <w:bottom w:val="nil"/>
              <w:right w:val="nil"/>
            </w:tcBorders>
          </w:tcPr>
          <w:p w14:paraId="0CDE18FD" w14:textId="134E17EF"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-0,52</w:t>
            </w:r>
          </w:p>
        </w:tc>
        <w:tc>
          <w:tcPr>
            <w:tcW w:w="3021" w:type="dxa"/>
            <w:tcBorders>
              <w:top w:val="nil"/>
              <w:left w:val="nil"/>
              <w:bottom w:val="nil"/>
              <w:right w:val="nil"/>
            </w:tcBorders>
          </w:tcPr>
          <w:p w14:paraId="3F7166D8" w14:textId="0569A446"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-0,52</w:t>
            </w:r>
          </w:p>
        </w:tc>
      </w:tr>
      <w:tr w:rsidR="00B277D7" w:rsidRPr="00E076F1" w14:paraId="41E66EA4" w14:textId="77777777" w:rsidTr="003520E6">
        <w:tc>
          <w:tcPr>
            <w:tcW w:w="3020" w:type="dxa"/>
            <w:tcBorders>
              <w:top w:val="nil"/>
              <w:left w:val="nil"/>
              <w:bottom w:val="nil"/>
              <w:right w:val="nil"/>
            </w:tcBorders>
          </w:tcPr>
          <w:p w14:paraId="53CE0F21" w14:textId="0C943A0E" w:rsidR="0098079F" w:rsidRPr="00E076F1" w:rsidRDefault="00B277D7" w:rsidP="00E076F1">
            <w:pPr>
              <w:tabs>
                <w:tab w:val="clear" w:pos="567"/>
              </w:tabs>
              <w:autoSpaceDE w:val="0"/>
              <w:autoSpaceDN w:val="0"/>
              <w:adjustRightInd w:val="0"/>
              <w:spacing w:line="240" w:lineRule="auto"/>
              <w:rPr>
                <w:snapToGrid/>
                <w:lang w:val="hu-HU" w:eastAsia="en-GB"/>
              </w:rPr>
            </w:pPr>
            <w:r w:rsidRPr="00E076F1">
              <w:rPr>
                <w:snapToGrid/>
                <w:lang w:val="hu-HU" w:eastAsia="en-GB"/>
              </w:rPr>
              <w:t>A glipizid + metformin kezeléshez</w:t>
            </w:r>
            <w:r w:rsidR="003520E6" w:rsidRPr="00E076F1">
              <w:rPr>
                <w:snapToGrid/>
                <w:lang w:val="hu-HU" w:eastAsia="en-GB"/>
              </w:rPr>
              <w:t xml:space="preserve"> </w:t>
            </w:r>
            <w:r w:rsidRPr="00E076F1">
              <w:rPr>
                <w:snapToGrid/>
                <w:lang w:val="hu-HU" w:eastAsia="en-GB"/>
              </w:rPr>
              <w:t>viszonyított különbség</w:t>
            </w:r>
            <w:r w:rsidRPr="00E076F1">
              <w:rPr>
                <w:snapToGrid/>
                <w:vertAlign w:val="superscript"/>
                <w:lang w:val="hu-HU" w:eastAsia="en-GB"/>
              </w:rPr>
              <w:t>c</w:t>
            </w:r>
          </w:p>
        </w:tc>
        <w:tc>
          <w:tcPr>
            <w:tcW w:w="3020" w:type="dxa"/>
            <w:tcBorders>
              <w:top w:val="nil"/>
              <w:left w:val="nil"/>
              <w:bottom w:val="nil"/>
              <w:right w:val="nil"/>
            </w:tcBorders>
          </w:tcPr>
          <w:p w14:paraId="23273DEE" w14:textId="5E03F137" w:rsidR="0098079F"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0,00</w:t>
            </w:r>
            <w:r w:rsidRPr="00E076F1">
              <w:rPr>
                <w:rFonts w:eastAsia="TimesNewRoman,Bold"/>
                <w:snapToGrid/>
                <w:vertAlign w:val="superscript"/>
                <w:lang w:val="hu-HU" w:eastAsia="en-GB"/>
              </w:rPr>
              <w:t>d</w:t>
            </w:r>
          </w:p>
        </w:tc>
        <w:tc>
          <w:tcPr>
            <w:tcW w:w="3021" w:type="dxa"/>
            <w:tcBorders>
              <w:top w:val="nil"/>
              <w:left w:val="nil"/>
              <w:bottom w:val="nil"/>
              <w:right w:val="nil"/>
            </w:tcBorders>
          </w:tcPr>
          <w:p w14:paraId="337F9E3E"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4CDF693F" w14:textId="77777777" w:rsidTr="003520E6">
        <w:tc>
          <w:tcPr>
            <w:tcW w:w="3020" w:type="dxa"/>
            <w:tcBorders>
              <w:top w:val="nil"/>
              <w:left w:val="nil"/>
              <w:bottom w:val="single" w:sz="4" w:space="0" w:color="auto"/>
              <w:right w:val="nil"/>
            </w:tcBorders>
          </w:tcPr>
          <w:p w14:paraId="402F534F" w14:textId="28B05C94" w:rsidR="0098079F"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3020" w:type="dxa"/>
            <w:tcBorders>
              <w:top w:val="nil"/>
              <w:left w:val="nil"/>
              <w:bottom w:val="single" w:sz="4" w:space="0" w:color="auto"/>
              <w:right w:val="nil"/>
            </w:tcBorders>
          </w:tcPr>
          <w:p w14:paraId="729BCD58" w14:textId="6998015F" w:rsidR="0098079F"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(-0,11</w:t>
            </w:r>
            <w:r w:rsidR="00100B54" w:rsidRPr="00E076F1">
              <w:rPr>
                <w:snapToGrid/>
                <w:lang w:val="hu-HU" w:eastAsia="en-GB"/>
              </w:rPr>
              <w:t>;</w:t>
            </w:r>
            <w:r w:rsidRPr="00E076F1">
              <w:rPr>
                <w:snapToGrid/>
                <w:lang w:val="hu-HU" w:eastAsia="en-GB"/>
              </w:rPr>
              <w:t xml:space="preserve"> 0,11)</w:t>
            </w:r>
          </w:p>
        </w:tc>
        <w:tc>
          <w:tcPr>
            <w:tcW w:w="3021" w:type="dxa"/>
            <w:tcBorders>
              <w:top w:val="nil"/>
              <w:left w:val="nil"/>
              <w:bottom w:val="single" w:sz="4" w:space="0" w:color="auto"/>
              <w:right w:val="nil"/>
            </w:tcBorders>
          </w:tcPr>
          <w:p w14:paraId="5E21AC64"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1918CE75" w14:textId="77777777" w:rsidTr="003520E6">
        <w:tc>
          <w:tcPr>
            <w:tcW w:w="3020" w:type="dxa"/>
            <w:tcBorders>
              <w:top w:val="single" w:sz="4" w:space="0" w:color="auto"/>
              <w:left w:val="nil"/>
              <w:bottom w:val="nil"/>
              <w:right w:val="nil"/>
            </w:tcBorders>
          </w:tcPr>
          <w:p w14:paraId="31D56576" w14:textId="431DC43F" w:rsidR="0098079F" w:rsidRPr="00E076F1" w:rsidRDefault="00B277D7"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Testtömeg (kg)</w:t>
            </w:r>
          </w:p>
        </w:tc>
        <w:tc>
          <w:tcPr>
            <w:tcW w:w="3020" w:type="dxa"/>
            <w:tcBorders>
              <w:top w:val="single" w:sz="4" w:space="0" w:color="auto"/>
              <w:left w:val="nil"/>
              <w:bottom w:val="nil"/>
              <w:right w:val="nil"/>
            </w:tcBorders>
          </w:tcPr>
          <w:p w14:paraId="62A235F5"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03FCECE5"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090ABF1C" w14:textId="77777777" w:rsidTr="003520E6">
        <w:tc>
          <w:tcPr>
            <w:tcW w:w="3020" w:type="dxa"/>
            <w:tcBorders>
              <w:top w:val="nil"/>
              <w:left w:val="nil"/>
              <w:bottom w:val="nil"/>
              <w:right w:val="nil"/>
            </w:tcBorders>
          </w:tcPr>
          <w:p w14:paraId="4694C0AF" w14:textId="5E228BC5"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53B0DD01" w14:textId="182F5F01"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88,44</w:t>
            </w:r>
          </w:p>
        </w:tc>
        <w:tc>
          <w:tcPr>
            <w:tcW w:w="3021" w:type="dxa"/>
            <w:tcBorders>
              <w:top w:val="nil"/>
              <w:left w:val="nil"/>
              <w:bottom w:val="nil"/>
              <w:right w:val="nil"/>
            </w:tcBorders>
          </w:tcPr>
          <w:p w14:paraId="431B4AA0" w14:textId="126A6131"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87,60</w:t>
            </w:r>
          </w:p>
        </w:tc>
      </w:tr>
      <w:tr w:rsidR="00B277D7" w:rsidRPr="00E076F1" w14:paraId="39788977" w14:textId="77777777" w:rsidTr="003520E6">
        <w:tc>
          <w:tcPr>
            <w:tcW w:w="3020" w:type="dxa"/>
            <w:tcBorders>
              <w:top w:val="nil"/>
              <w:left w:val="nil"/>
              <w:bottom w:val="nil"/>
              <w:right w:val="nil"/>
            </w:tcBorders>
          </w:tcPr>
          <w:p w14:paraId="15A7EC0B" w14:textId="61F6AE93" w:rsidR="00B277D7" w:rsidRPr="00E076F1" w:rsidRDefault="00B277D7"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w:t>
            </w:r>
            <w:r w:rsidR="003520E6" w:rsidRPr="00E076F1">
              <w:rPr>
                <w:snapToGrid/>
                <w:lang w:val="hu-HU" w:eastAsia="en-GB"/>
              </w:rPr>
              <w:t xml:space="preserve"> </w:t>
            </w:r>
            <w:r w:rsidRPr="00E076F1">
              <w:rPr>
                <w:snapToGrid/>
                <w:lang w:val="hu-HU" w:eastAsia="en-GB"/>
              </w:rPr>
              <w:t>változás</w:t>
            </w:r>
            <w:r w:rsidRPr="00E076F1">
              <w:rPr>
                <w:snapToGrid/>
                <w:vertAlign w:val="superscript"/>
                <w:lang w:val="hu-HU" w:eastAsia="en-GB"/>
              </w:rPr>
              <w:t>c</w:t>
            </w:r>
          </w:p>
        </w:tc>
        <w:tc>
          <w:tcPr>
            <w:tcW w:w="3020" w:type="dxa"/>
            <w:tcBorders>
              <w:top w:val="nil"/>
              <w:left w:val="nil"/>
              <w:bottom w:val="nil"/>
              <w:right w:val="nil"/>
            </w:tcBorders>
          </w:tcPr>
          <w:p w14:paraId="661724D5" w14:textId="7EB29540"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-3,22</w:t>
            </w:r>
          </w:p>
        </w:tc>
        <w:tc>
          <w:tcPr>
            <w:tcW w:w="3021" w:type="dxa"/>
            <w:tcBorders>
              <w:top w:val="nil"/>
              <w:left w:val="nil"/>
              <w:bottom w:val="nil"/>
              <w:right w:val="nil"/>
            </w:tcBorders>
          </w:tcPr>
          <w:p w14:paraId="20ECDA1F" w14:textId="5993B9E9"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1,44</w:t>
            </w:r>
          </w:p>
        </w:tc>
      </w:tr>
      <w:tr w:rsidR="00B277D7" w:rsidRPr="00E076F1" w14:paraId="6B196637" w14:textId="77777777" w:rsidTr="003520E6">
        <w:tc>
          <w:tcPr>
            <w:tcW w:w="3020" w:type="dxa"/>
            <w:tcBorders>
              <w:top w:val="nil"/>
              <w:left w:val="nil"/>
              <w:bottom w:val="nil"/>
              <w:right w:val="nil"/>
            </w:tcBorders>
          </w:tcPr>
          <w:p w14:paraId="090150BB" w14:textId="01ADDBC8" w:rsidR="00B277D7"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lang w:val="hu-HU" w:eastAsia="en-GB"/>
              </w:rPr>
              <w:t>A glipizid + metformin kezeléshez viszonyított különbség</w:t>
            </w:r>
            <w:r w:rsidRPr="00E076F1">
              <w:rPr>
                <w:snapToGrid/>
                <w:vertAlign w:val="superscript"/>
                <w:lang w:val="hu-HU" w:eastAsia="en-GB"/>
              </w:rPr>
              <w:t>c</w:t>
            </w:r>
          </w:p>
        </w:tc>
        <w:tc>
          <w:tcPr>
            <w:tcW w:w="3020" w:type="dxa"/>
            <w:tcBorders>
              <w:top w:val="nil"/>
              <w:left w:val="nil"/>
              <w:bottom w:val="nil"/>
              <w:right w:val="nil"/>
            </w:tcBorders>
          </w:tcPr>
          <w:p w14:paraId="1282C092" w14:textId="5B091199" w:rsidR="00B277D7" w:rsidRPr="00E076F1" w:rsidRDefault="003520E6"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-4,65*</w:t>
            </w:r>
          </w:p>
        </w:tc>
        <w:tc>
          <w:tcPr>
            <w:tcW w:w="3021" w:type="dxa"/>
            <w:tcBorders>
              <w:top w:val="nil"/>
              <w:left w:val="nil"/>
              <w:bottom w:val="nil"/>
              <w:right w:val="nil"/>
            </w:tcBorders>
          </w:tcPr>
          <w:p w14:paraId="3D226214" w14:textId="77777777"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00504AAA" w14:textId="77777777" w:rsidTr="003520E6">
        <w:tc>
          <w:tcPr>
            <w:tcW w:w="3020" w:type="dxa"/>
            <w:tcBorders>
              <w:top w:val="nil"/>
              <w:left w:val="nil"/>
              <w:bottom w:val="single" w:sz="4" w:space="0" w:color="auto"/>
              <w:right w:val="nil"/>
            </w:tcBorders>
          </w:tcPr>
          <w:p w14:paraId="2EC7450E" w14:textId="0B077846" w:rsidR="00B277D7"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lang w:val="en-US" w:eastAsia="en-GB"/>
              </w:rPr>
              <w:t>(95%-os CI)</w:t>
            </w:r>
          </w:p>
        </w:tc>
        <w:tc>
          <w:tcPr>
            <w:tcW w:w="3020" w:type="dxa"/>
            <w:tcBorders>
              <w:top w:val="nil"/>
              <w:left w:val="nil"/>
              <w:bottom w:val="single" w:sz="4" w:space="0" w:color="auto"/>
              <w:right w:val="nil"/>
            </w:tcBorders>
          </w:tcPr>
          <w:p w14:paraId="2DB10580" w14:textId="5CF42B35" w:rsidR="00B277D7" w:rsidRPr="00E076F1" w:rsidRDefault="003520E6"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(-5,14</w:t>
            </w:r>
            <w:r w:rsidR="00100B54" w:rsidRPr="00E076F1">
              <w:rPr>
                <w:snapToGrid/>
                <w:lang w:val="en-US" w:eastAsia="en-GB"/>
              </w:rPr>
              <w:t>;</w:t>
            </w:r>
            <w:r w:rsidRPr="00E076F1">
              <w:rPr>
                <w:snapToGrid/>
                <w:lang w:val="en-US" w:eastAsia="en-GB"/>
              </w:rPr>
              <w:t xml:space="preserve"> -4,17)</w:t>
            </w:r>
          </w:p>
        </w:tc>
        <w:tc>
          <w:tcPr>
            <w:tcW w:w="3021" w:type="dxa"/>
            <w:tcBorders>
              <w:top w:val="nil"/>
              <w:left w:val="nil"/>
              <w:bottom w:val="single" w:sz="4" w:space="0" w:color="auto"/>
              <w:right w:val="nil"/>
            </w:tcBorders>
          </w:tcPr>
          <w:p w14:paraId="7B2CCA0D" w14:textId="77777777"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p>
        </w:tc>
      </w:tr>
    </w:tbl>
    <w:p w14:paraId="6D3D0601" w14:textId="0D945EE2" w:rsidR="003520E6"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a</w:t>
      </w:r>
      <w:r w:rsidRPr="00E076F1">
        <w:rPr>
          <w:snapToGrid/>
          <w:lang w:val="hu-HU" w:eastAsia="en-GB"/>
        </w:rPr>
        <w:t xml:space="preserve"> LOCF: az utolsó észlelt adat alapján végzett elemzés</w:t>
      </w:r>
    </w:p>
    <w:p w14:paraId="2DD11CD7" w14:textId="73B47E32" w:rsidR="003520E6"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Olyan randomizált és kezelt betegek, akiknek a vizsgálat megkezdésekor és a vizsgálat megkezdése után legalább 1 hatásossági vizsgálati eredményük volt</w:t>
      </w:r>
    </w:p>
    <w:p w14:paraId="4A4C2A17" w14:textId="3B4085E0" w:rsidR="003520E6"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átlaga</w:t>
      </w:r>
    </w:p>
    <w:p w14:paraId="66F780DB" w14:textId="355CB8B2" w:rsidR="003520E6"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d</w:t>
      </w:r>
      <w:r w:rsidRPr="00E076F1">
        <w:rPr>
          <w:snapToGrid/>
          <w:lang w:val="hu-HU" w:eastAsia="en-GB"/>
        </w:rPr>
        <w:t xml:space="preserve"> Non-inferior a glipizid + metformin kezeléshez képest</w:t>
      </w:r>
    </w:p>
    <w:p w14:paraId="639E8913" w14:textId="40173CDB" w:rsidR="007139E1" w:rsidRPr="00E076F1" w:rsidRDefault="003520E6"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*p-érték &lt; 0,0001</w:t>
      </w:r>
    </w:p>
    <w:p w14:paraId="5298C593" w14:textId="77777777" w:rsidR="007139E1" w:rsidRPr="00E076F1" w:rsidRDefault="007139E1" w:rsidP="00E076F1">
      <w:pPr>
        <w:tabs>
          <w:tab w:val="clear" w:pos="567"/>
        </w:tabs>
        <w:autoSpaceDE w:val="0"/>
        <w:autoSpaceDN w:val="0"/>
        <w:adjustRightInd w:val="0"/>
        <w:spacing w:line="240" w:lineRule="auto"/>
        <w:rPr>
          <w:rFonts w:eastAsia="TimesNewRoman,Bold"/>
          <w:snapToGrid/>
          <w:szCs w:val="22"/>
          <w:lang w:val="hu-HU" w:eastAsia="en-GB"/>
        </w:rPr>
      </w:pPr>
    </w:p>
    <w:p w14:paraId="4936E376" w14:textId="6E48A89A" w:rsidR="00D16528" w:rsidRPr="00E076F1" w:rsidRDefault="00D1652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Az önmagában adott metformin vagy a szitagliptinnel kombinált metformin, illetve a szulfonilurea vagy az inzulin (kiegészítő </w:t>
      </w:r>
      <w:r w:rsidRPr="00E076F1">
        <w:rPr>
          <w:rFonts w:eastAsia="TimesNewRoman,Italic"/>
          <w:i/>
          <w:iCs/>
          <w:snapToGrid/>
          <w:szCs w:val="22"/>
          <w:lang w:val="hu-HU" w:eastAsia="en-GB"/>
        </w:rPr>
        <w:t xml:space="preserve">per os </w:t>
      </w:r>
      <w:r w:rsidRPr="00E076F1">
        <w:rPr>
          <w:snapToGrid/>
          <w:szCs w:val="22"/>
          <w:lang w:val="hu-HU" w:eastAsia="en-GB"/>
        </w:rPr>
        <w:t>glükózszint-csökkentő gyógyszerekkel vagy azok nélkül, beleértve a metformint is) mellé adott dapagliflozin a HbA1c statisztikailag szignifikáns átlagos csökkenését eredményezte a 24. héten, a placebót kapó betegekhez képest (p &lt; 0,0001; 4., 5. és 6. táblázat). A naponta kétszer 5</w:t>
      </w:r>
      <w:r w:rsidR="00122450" w:rsidRPr="00E076F1">
        <w:rPr>
          <w:snapToGrid/>
          <w:szCs w:val="22"/>
          <w:lang w:val="hu-HU" w:eastAsia="en-GB"/>
        </w:rPr>
        <w:t> mg</w:t>
      </w:r>
      <w:r w:rsidRPr="00E076F1">
        <w:rPr>
          <w:snapToGrid/>
          <w:szCs w:val="22"/>
          <w:lang w:val="hu-HU" w:eastAsia="en-GB"/>
        </w:rPr>
        <w:t xml:space="preserve"> dapagliflozin statisztikailag szignifikáns módon csökkentette a HbA1c-t a 16. héten, a placebót kapó betegekhez képest (p &lt; 0,0001; 4. táblázat).</w:t>
      </w:r>
    </w:p>
    <w:p w14:paraId="054E05D3" w14:textId="77777777" w:rsidR="00D16528" w:rsidRPr="00E076F1" w:rsidRDefault="00D16528" w:rsidP="00E076F1">
      <w:pPr>
        <w:tabs>
          <w:tab w:val="clear" w:pos="567"/>
        </w:tabs>
        <w:autoSpaceDE w:val="0"/>
        <w:autoSpaceDN w:val="0"/>
        <w:adjustRightInd w:val="0"/>
        <w:spacing w:line="240" w:lineRule="auto"/>
        <w:rPr>
          <w:snapToGrid/>
          <w:szCs w:val="22"/>
          <w:lang w:val="hu-HU" w:eastAsia="en-GB"/>
        </w:rPr>
      </w:pPr>
    </w:p>
    <w:p w14:paraId="3FB863B2" w14:textId="3C069457" w:rsidR="00D16528" w:rsidRPr="00E076F1" w:rsidRDefault="00D1652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24. héten megfigyelt HbA1c-csökkenés fennmaradt a kiegészítésként adott kombinációs vizsgálatokban. A metformin mellé kiegészítésként adott kezeléssel végzett vizsgálat esetén a HbA1c-csökkenés a 102. hétig mindvégig megmaradt (a vizsgálat megkezdésétől számított korrigált átlagos változás a 10</w:t>
      </w:r>
      <w:r w:rsidR="00122450" w:rsidRPr="00E076F1">
        <w:rPr>
          <w:snapToGrid/>
          <w:szCs w:val="22"/>
          <w:lang w:val="hu-HU" w:eastAsia="en-GB"/>
        </w:rPr>
        <w:t> mg</w:t>
      </w:r>
      <w:r w:rsidRPr="00E076F1">
        <w:rPr>
          <w:snapToGrid/>
          <w:szCs w:val="22"/>
          <w:lang w:val="hu-HU" w:eastAsia="en-GB"/>
        </w:rPr>
        <w:t xml:space="preserve"> dapagliflozin esetén -0,78%, és a placebo esetén 0,02%). A metformin plusz szitagliptin esetén a 48. héten a vizsgálat megkezdésétől számított korrigált átlagos változás a 10</w:t>
      </w:r>
      <w:r w:rsidR="00122450" w:rsidRPr="00E076F1">
        <w:rPr>
          <w:snapToGrid/>
          <w:szCs w:val="22"/>
          <w:lang w:val="hu-HU" w:eastAsia="en-GB"/>
        </w:rPr>
        <w:t> mg</w:t>
      </w:r>
      <w:r w:rsidRPr="00E076F1">
        <w:rPr>
          <w:snapToGrid/>
          <w:szCs w:val="22"/>
          <w:lang w:val="hu-HU" w:eastAsia="en-GB"/>
        </w:rPr>
        <w:t xml:space="preserve"> dapagliflozin esetén -0,44% és a placebo esetén 0,15% volt. A 104. héten az inzulin esetén (kiegészítő </w:t>
      </w:r>
      <w:r w:rsidRPr="00E076F1">
        <w:rPr>
          <w:rFonts w:eastAsia="TimesNewRoman,Italic"/>
          <w:i/>
          <w:iCs/>
          <w:snapToGrid/>
          <w:szCs w:val="22"/>
          <w:lang w:val="hu-HU" w:eastAsia="en-GB"/>
        </w:rPr>
        <w:t>per</w:t>
      </w:r>
      <w:r w:rsidRPr="00E076F1">
        <w:rPr>
          <w:snapToGrid/>
          <w:szCs w:val="22"/>
          <w:lang w:val="hu-HU" w:eastAsia="en-GB"/>
        </w:rPr>
        <w:t xml:space="preserve"> </w:t>
      </w:r>
      <w:r w:rsidRPr="00E076F1">
        <w:rPr>
          <w:rFonts w:eastAsia="TimesNewRoman,Italic"/>
          <w:i/>
          <w:iCs/>
          <w:snapToGrid/>
          <w:szCs w:val="22"/>
          <w:lang w:val="hu-HU" w:eastAsia="en-GB"/>
        </w:rPr>
        <w:t xml:space="preserve">os </w:t>
      </w:r>
      <w:r w:rsidRPr="00E076F1">
        <w:rPr>
          <w:snapToGrid/>
          <w:szCs w:val="22"/>
          <w:lang w:val="hu-HU" w:eastAsia="en-GB"/>
        </w:rPr>
        <w:t>glükózszintcsökkentő gyógyszerekkel vagy azok nélkül, beleértve a metformint is) a kiindulási HbA1c-től mért korrigált átlagos változás csökkenés a 10</w:t>
      </w:r>
      <w:r w:rsidR="00122450" w:rsidRPr="00E076F1">
        <w:rPr>
          <w:snapToGrid/>
          <w:szCs w:val="22"/>
          <w:lang w:val="hu-HU" w:eastAsia="en-GB"/>
        </w:rPr>
        <w:t> mg</w:t>
      </w:r>
      <w:r w:rsidRPr="00E076F1">
        <w:rPr>
          <w:snapToGrid/>
          <w:szCs w:val="22"/>
          <w:lang w:val="hu-HU" w:eastAsia="en-GB"/>
        </w:rPr>
        <w:t xml:space="preserve"> dapagliflozin mellett -0,71% és a placebo mellett -0,06% volt. A 48. és a 104. héten az inzulin dózis a kiindulási értékhez képest stabil, átlagosan napi 76 NE értéken maradt a 10</w:t>
      </w:r>
      <w:r w:rsidR="00122450" w:rsidRPr="00E076F1">
        <w:rPr>
          <w:snapToGrid/>
          <w:szCs w:val="22"/>
          <w:lang w:val="hu-HU" w:eastAsia="en-GB"/>
        </w:rPr>
        <w:t> mg</w:t>
      </w:r>
      <w:r w:rsidRPr="00E076F1">
        <w:rPr>
          <w:snapToGrid/>
          <w:szCs w:val="22"/>
          <w:lang w:val="hu-HU" w:eastAsia="en-GB"/>
        </w:rPr>
        <w:t xml:space="preserve"> dapagliflozinnal kezelt betegeknél. A placebocsoportban a kiindulási értékhez képest sorrendben egy 10,5 NE/nap és 18,3 NE/nap emelkedés volt (84 és 92 NE/nap átlagos középértékű dózis) a 48. és a 104. héten. A 104. héten vizsgálatban maradó betegek aránya 72,4% volt a 10</w:t>
      </w:r>
      <w:r w:rsidR="00122450" w:rsidRPr="00E076F1">
        <w:rPr>
          <w:snapToGrid/>
          <w:szCs w:val="22"/>
          <w:lang w:val="hu-HU" w:eastAsia="en-GB"/>
        </w:rPr>
        <w:t> mg</w:t>
      </w:r>
      <w:r w:rsidRPr="00E076F1">
        <w:rPr>
          <w:snapToGrid/>
          <w:szCs w:val="22"/>
          <w:lang w:val="hu-HU" w:eastAsia="en-GB"/>
        </w:rPr>
        <w:t xml:space="preserve"> dapagliflozinnal kezelt csoportban, és 54,8% volt a placebocsoportban.</w:t>
      </w:r>
    </w:p>
    <w:p w14:paraId="6EEEC5F6" w14:textId="77777777" w:rsidR="00D16528" w:rsidRPr="00E076F1" w:rsidRDefault="00D16528" w:rsidP="00E076F1">
      <w:pPr>
        <w:tabs>
          <w:tab w:val="clear" w:pos="567"/>
        </w:tabs>
        <w:autoSpaceDE w:val="0"/>
        <w:autoSpaceDN w:val="0"/>
        <w:adjustRightInd w:val="0"/>
        <w:spacing w:line="240" w:lineRule="auto"/>
        <w:rPr>
          <w:snapToGrid/>
          <w:szCs w:val="22"/>
          <w:lang w:val="hu-HU" w:eastAsia="en-GB"/>
        </w:rPr>
      </w:pPr>
    </w:p>
    <w:p w14:paraId="420A2C04" w14:textId="666A90BD" w:rsidR="007139E1" w:rsidRPr="00E076F1" w:rsidRDefault="00D1652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inzulint plusz metformint kapó betegek egy különálló analízisében a teljes vizsgálati populációban észlelthez hasonló HbA1c-csökkenést láttak az inzulin plusz metformin mellett dapagliflozinnal is kezelt betegeknél. A 24. héten a vizsgálat megkezdésétől észlelt HbA1c-változás az inzulin plusz metformin mellett dapagliflozinnal is kezelt betegeknél -0,93% volt.</w:t>
      </w:r>
    </w:p>
    <w:p w14:paraId="1D7FCDB0" w14:textId="4E34D814" w:rsidR="00100B54" w:rsidRPr="00E076F1" w:rsidRDefault="00100B5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br w:type="page"/>
      </w:r>
    </w:p>
    <w:p w14:paraId="5C524DCE" w14:textId="77777777" w:rsidR="007139E1" w:rsidRPr="00E076F1" w:rsidRDefault="007139E1" w:rsidP="00E076F1">
      <w:pPr>
        <w:tabs>
          <w:tab w:val="clear" w:pos="567"/>
        </w:tabs>
        <w:autoSpaceDE w:val="0"/>
        <w:autoSpaceDN w:val="0"/>
        <w:adjustRightInd w:val="0"/>
        <w:spacing w:line="240" w:lineRule="auto"/>
        <w:rPr>
          <w:rFonts w:eastAsia="TimesNewRoman,Bold"/>
          <w:snapToGrid/>
          <w:lang w:val="hu-HU" w:eastAsia="en-GB"/>
        </w:rPr>
      </w:pPr>
    </w:p>
    <w:p w14:paraId="40357D9D" w14:textId="57331409" w:rsidR="007139E1" w:rsidRPr="00E076F1" w:rsidRDefault="00D16528"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4. táblázat A metforminhoz vagy a metformin plusz szitagliptin kombinációhoz kiegészítő kezelésként hozzáadott dapagliflozin placebokontrollos vizsgálati eredményei a 24. héten (LOCF</w:t>
      </w:r>
      <w:r w:rsidRPr="00E076F1">
        <w:rPr>
          <w:rFonts w:eastAsia="TimesNewRoman,Bold"/>
          <w:b/>
          <w:bCs/>
          <w:snapToGrid/>
          <w:szCs w:val="22"/>
          <w:vertAlign w:val="superscript"/>
          <w:lang w:val="hu-HU" w:eastAsia="en-GB"/>
        </w:rPr>
        <w:t>a</w:t>
      </w:r>
      <w:r w:rsidRPr="00E076F1">
        <w:rPr>
          <w:rFonts w:eastAsia="TimesNewRoman,Bold"/>
          <w:b/>
          <w:bCs/>
          <w:snapToGrid/>
          <w:szCs w:val="22"/>
          <w:lang w:val="hu-HU" w:eastAsia="en-GB"/>
        </w:rPr>
        <w:t>)</w:t>
      </w:r>
    </w:p>
    <w:tbl>
      <w:tblPr>
        <w:tblStyle w:val="Rcsostblzat"/>
        <w:tblW w:w="0" w:type="auto"/>
        <w:tblLook w:val="04A0" w:firstRow="1" w:lastRow="0" w:firstColumn="1" w:lastColumn="0" w:noHBand="0" w:noVBand="1"/>
      </w:tblPr>
      <w:tblGrid>
        <w:gridCol w:w="1255"/>
        <w:gridCol w:w="1475"/>
        <w:gridCol w:w="1110"/>
        <w:gridCol w:w="1475"/>
        <w:gridCol w:w="1111"/>
        <w:gridCol w:w="1475"/>
        <w:gridCol w:w="1160"/>
      </w:tblGrid>
      <w:tr w:rsidR="003F4471" w:rsidRPr="00E076F1" w14:paraId="64E8CE56" w14:textId="77777777" w:rsidTr="00145B48">
        <w:tc>
          <w:tcPr>
            <w:tcW w:w="1205" w:type="dxa"/>
            <w:vMerge w:val="restart"/>
            <w:tcBorders>
              <w:bottom w:val="nil"/>
            </w:tcBorders>
          </w:tcPr>
          <w:p w14:paraId="77CF507F"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7856" w:type="dxa"/>
            <w:gridSpan w:val="6"/>
          </w:tcPr>
          <w:p w14:paraId="51D49F1C" w14:textId="242A256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Kiegészítő kombináció</w:t>
            </w:r>
          </w:p>
        </w:tc>
      </w:tr>
      <w:tr w:rsidR="00AA3299" w:rsidRPr="00E076F1" w14:paraId="4CE66921" w14:textId="77777777" w:rsidTr="00145B48">
        <w:tc>
          <w:tcPr>
            <w:tcW w:w="1205" w:type="dxa"/>
            <w:vMerge/>
            <w:tcBorders>
              <w:top w:val="nil"/>
              <w:bottom w:val="nil"/>
            </w:tcBorders>
          </w:tcPr>
          <w:p w14:paraId="524098ED"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2616" w:type="dxa"/>
            <w:gridSpan w:val="2"/>
            <w:tcBorders>
              <w:bottom w:val="single" w:sz="4" w:space="0" w:color="auto"/>
            </w:tcBorders>
          </w:tcPr>
          <w:p w14:paraId="563DCCD5" w14:textId="2324634B"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Metformin</w:t>
            </w:r>
            <w:r w:rsidRPr="00E076F1">
              <w:rPr>
                <w:rFonts w:eastAsia="TimesNewRoman,Bold"/>
                <w:b/>
                <w:bCs/>
                <w:snapToGrid/>
                <w:vertAlign w:val="superscript"/>
                <w:lang w:val="en-US" w:eastAsia="en-GB"/>
              </w:rPr>
              <w:t>1</w:t>
            </w:r>
          </w:p>
        </w:tc>
        <w:tc>
          <w:tcPr>
            <w:tcW w:w="2617" w:type="dxa"/>
            <w:gridSpan w:val="2"/>
            <w:tcBorders>
              <w:bottom w:val="single" w:sz="4" w:space="0" w:color="auto"/>
            </w:tcBorders>
          </w:tcPr>
          <w:p w14:paraId="2C5B74A0" w14:textId="34FECBA1"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Metformin</w:t>
            </w:r>
            <w:r w:rsidRPr="00E076F1">
              <w:rPr>
                <w:rFonts w:eastAsia="TimesNewRoman,Bold"/>
                <w:b/>
                <w:bCs/>
                <w:snapToGrid/>
                <w:vertAlign w:val="superscript"/>
                <w:lang w:val="en-US" w:eastAsia="en-GB"/>
              </w:rPr>
              <w:t>1,b</w:t>
            </w:r>
          </w:p>
        </w:tc>
        <w:tc>
          <w:tcPr>
            <w:tcW w:w="2623" w:type="dxa"/>
            <w:gridSpan w:val="2"/>
            <w:tcBorders>
              <w:bottom w:val="single" w:sz="4" w:space="0" w:color="auto"/>
            </w:tcBorders>
          </w:tcPr>
          <w:p w14:paraId="51DE0158" w14:textId="0B78CE66"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Metformin</w:t>
            </w:r>
            <w:r w:rsidRPr="00E076F1">
              <w:rPr>
                <w:rFonts w:eastAsia="TimesNewRoman,Bold"/>
                <w:b/>
                <w:bCs/>
                <w:snapToGrid/>
                <w:vertAlign w:val="superscript"/>
                <w:lang w:val="en-US" w:eastAsia="en-GB"/>
              </w:rPr>
              <w:t>1</w:t>
            </w:r>
            <w:r w:rsidRPr="00E076F1">
              <w:rPr>
                <w:rFonts w:eastAsia="TimesNewRoman,Bold"/>
                <w:b/>
                <w:bCs/>
                <w:snapToGrid/>
                <w:lang w:val="en-US" w:eastAsia="en-GB"/>
              </w:rPr>
              <w:t>+szitagliptin</w:t>
            </w:r>
            <w:r w:rsidRPr="00E076F1">
              <w:rPr>
                <w:rFonts w:eastAsia="TimesNewRoman,Bold"/>
                <w:b/>
                <w:bCs/>
                <w:snapToGrid/>
                <w:vertAlign w:val="superscript"/>
                <w:lang w:val="en-US" w:eastAsia="en-GB"/>
              </w:rPr>
              <w:t>2</w:t>
            </w:r>
          </w:p>
        </w:tc>
      </w:tr>
      <w:tr w:rsidR="00AA3299" w:rsidRPr="00E076F1" w14:paraId="73E6E856" w14:textId="77777777" w:rsidTr="00380997">
        <w:tc>
          <w:tcPr>
            <w:tcW w:w="1205" w:type="dxa"/>
            <w:vMerge/>
            <w:tcBorders>
              <w:top w:val="nil"/>
              <w:bottom w:val="nil"/>
            </w:tcBorders>
          </w:tcPr>
          <w:p w14:paraId="3E5C00DD"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single" w:sz="4" w:space="0" w:color="auto"/>
              <w:right w:val="nil"/>
            </w:tcBorders>
          </w:tcPr>
          <w:p w14:paraId="6A99EB02" w14:textId="6375A040" w:rsidR="003F4471" w:rsidRPr="00E076F1" w:rsidRDefault="003F4471" w:rsidP="00E076F1">
            <w:pPr>
              <w:tabs>
                <w:tab w:val="clear" w:pos="567"/>
              </w:tabs>
              <w:autoSpaceDE w:val="0"/>
              <w:autoSpaceDN w:val="0"/>
              <w:adjustRightInd w:val="0"/>
              <w:spacing w:line="240" w:lineRule="auto"/>
              <w:rPr>
                <w:rFonts w:eastAsia="TimesNewRoman,Bold"/>
                <w:b/>
                <w:bCs/>
                <w:snapToGrid/>
                <w:lang w:val="en-US" w:eastAsia="en-GB"/>
              </w:rPr>
            </w:pPr>
            <w:r w:rsidRPr="00E076F1">
              <w:rPr>
                <w:rFonts w:eastAsia="TimesNewRoman,Bold"/>
                <w:b/>
                <w:bCs/>
                <w:snapToGrid/>
                <w:lang w:val="en-US" w:eastAsia="en-GB"/>
              </w:rPr>
              <w:t xml:space="preserve">Dapagliflozin </w:t>
            </w:r>
            <w:r w:rsidRPr="00E076F1">
              <w:rPr>
                <w:rFonts w:eastAsia="TimesNewRoman,Bold"/>
                <w:b/>
                <w:bCs/>
                <w:snapToGrid/>
                <w:lang w:val="hu-HU" w:eastAsia="en-GB"/>
              </w:rPr>
              <w:t>naponta egyszer</w:t>
            </w:r>
            <w:r w:rsidRPr="00E076F1">
              <w:rPr>
                <w:rFonts w:eastAsia="TimesNewRoman,Bold"/>
                <w:b/>
                <w:bCs/>
                <w:snapToGrid/>
                <w:lang w:val="en-US" w:eastAsia="en-GB"/>
              </w:rPr>
              <w:t xml:space="preserve"> 10</w:t>
            </w:r>
            <w:r w:rsidR="00122450" w:rsidRPr="00E076F1">
              <w:rPr>
                <w:rFonts w:eastAsia="TimesNewRoman,Bold"/>
                <w:b/>
                <w:bCs/>
                <w:snapToGrid/>
                <w:lang w:val="en-US" w:eastAsia="en-GB"/>
              </w:rPr>
              <w:t> mg</w:t>
            </w:r>
          </w:p>
        </w:tc>
        <w:tc>
          <w:tcPr>
            <w:tcW w:w="1255" w:type="dxa"/>
            <w:tcBorders>
              <w:left w:val="nil"/>
              <w:bottom w:val="single" w:sz="4" w:space="0" w:color="auto"/>
            </w:tcBorders>
          </w:tcPr>
          <w:p w14:paraId="2DD9ABEE" w14:textId="68608CAE" w:rsidR="003F4471" w:rsidRPr="00E076F1" w:rsidRDefault="003F4471" w:rsidP="00E076F1">
            <w:pPr>
              <w:tabs>
                <w:tab w:val="clear" w:pos="567"/>
              </w:tabs>
              <w:autoSpaceDE w:val="0"/>
              <w:autoSpaceDN w:val="0"/>
              <w:adjustRightInd w:val="0"/>
              <w:spacing w:line="240" w:lineRule="auto"/>
              <w:rPr>
                <w:rFonts w:eastAsia="TimesNewRoman,Bold"/>
                <w:b/>
                <w:bCs/>
                <w:snapToGrid/>
                <w:lang w:val="en-US" w:eastAsia="en-GB"/>
              </w:rPr>
            </w:pPr>
            <w:r w:rsidRPr="00E076F1">
              <w:rPr>
                <w:rFonts w:eastAsia="TimesNewRoman,Bold"/>
                <w:b/>
                <w:bCs/>
                <w:snapToGrid/>
                <w:lang w:val="en-US" w:eastAsia="en-GB"/>
              </w:rPr>
              <w:t xml:space="preserve">Placebo </w:t>
            </w:r>
            <w:r w:rsidRPr="00E076F1">
              <w:rPr>
                <w:rFonts w:eastAsia="TimesNewRoman,Bold"/>
                <w:b/>
                <w:bCs/>
                <w:snapToGrid/>
                <w:lang w:val="hu-HU" w:eastAsia="en-GB"/>
              </w:rPr>
              <w:t>naponta egyszer</w:t>
            </w:r>
          </w:p>
        </w:tc>
        <w:tc>
          <w:tcPr>
            <w:tcW w:w="1361" w:type="dxa"/>
            <w:tcBorders>
              <w:bottom w:val="single" w:sz="4" w:space="0" w:color="auto"/>
              <w:right w:val="nil"/>
            </w:tcBorders>
          </w:tcPr>
          <w:p w14:paraId="12A59B23" w14:textId="32919E81" w:rsidR="003F4471" w:rsidRPr="00E076F1" w:rsidRDefault="003F4471" w:rsidP="00E076F1">
            <w:pPr>
              <w:tabs>
                <w:tab w:val="clear" w:pos="567"/>
              </w:tabs>
              <w:autoSpaceDE w:val="0"/>
              <w:autoSpaceDN w:val="0"/>
              <w:adjustRightInd w:val="0"/>
              <w:spacing w:line="240" w:lineRule="auto"/>
              <w:rPr>
                <w:rFonts w:eastAsia="TimesNewRoman,Bold"/>
                <w:b/>
                <w:bCs/>
                <w:snapToGrid/>
                <w:lang w:val="en-US" w:eastAsia="en-GB"/>
              </w:rPr>
            </w:pPr>
            <w:r w:rsidRPr="00E076F1">
              <w:rPr>
                <w:rFonts w:eastAsia="TimesNewRoman,Bold"/>
                <w:b/>
                <w:bCs/>
                <w:snapToGrid/>
                <w:lang w:val="en-US" w:eastAsia="en-GB"/>
              </w:rPr>
              <w:t xml:space="preserve">Dapagliflozin </w:t>
            </w:r>
            <w:r w:rsidRPr="00E076F1">
              <w:rPr>
                <w:rFonts w:eastAsia="TimesNewRoman,Bold"/>
                <w:b/>
                <w:bCs/>
                <w:snapToGrid/>
                <w:lang w:val="hu-HU" w:eastAsia="en-GB"/>
              </w:rPr>
              <w:t>naponta kétszer 5</w:t>
            </w:r>
            <w:r w:rsidR="00122450" w:rsidRPr="00E076F1">
              <w:rPr>
                <w:rFonts w:eastAsia="TimesNewRoman,Bold"/>
                <w:b/>
                <w:bCs/>
                <w:snapToGrid/>
                <w:lang w:val="hu-HU" w:eastAsia="en-GB"/>
              </w:rPr>
              <w:t> mg</w:t>
            </w:r>
          </w:p>
        </w:tc>
        <w:tc>
          <w:tcPr>
            <w:tcW w:w="1256" w:type="dxa"/>
            <w:tcBorders>
              <w:left w:val="nil"/>
              <w:bottom w:val="single" w:sz="4" w:space="0" w:color="auto"/>
            </w:tcBorders>
          </w:tcPr>
          <w:p w14:paraId="763D40BD" w14:textId="19447EE2" w:rsidR="003F4471" w:rsidRPr="00E076F1" w:rsidRDefault="003F447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 naponta kétszer</w:t>
            </w:r>
          </w:p>
        </w:tc>
        <w:tc>
          <w:tcPr>
            <w:tcW w:w="1361" w:type="dxa"/>
            <w:tcBorders>
              <w:bottom w:val="single" w:sz="4" w:space="0" w:color="auto"/>
              <w:right w:val="nil"/>
            </w:tcBorders>
          </w:tcPr>
          <w:p w14:paraId="26E98740" w14:textId="177A79E1" w:rsidR="003F4471" w:rsidRPr="00E076F1" w:rsidRDefault="003F447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 naponta egyszer 10</w:t>
            </w:r>
            <w:r w:rsidR="00122450" w:rsidRPr="00E076F1">
              <w:rPr>
                <w:rFonts w:eastAsia="TimesNewRoman,Bold"/>
                <w:b/>
                <w:bCs/>
                <w:snapToGrid/>
                <w:lang w:val="hu-HU" w:eastAsia="en-GB"/>
              </w:rPr>
              <w:t> mg</w:t>
            </w:r>
          </w:p>
        </w:tc>
        <w:tc>
          <w:tcPr>
            <w:tcW w:w="1262" w:type="dxa"/>
            <w:tcBorders>
              <w:left w:val="nil"/>
              <w:bottom w:val="single" w:sz="4" w:space="0" w:color="auto"/>
            </w:tcBorders>
          </w:tcPr>
          <w:p w14:paraId="67F66E00" w14:textId="2AF0DDD8" w:rsidR="003F4471" w:rsidRPr="00E076F1" w:rsidRDefault="003F447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 naponta egyszer</w:t>
            </w:r>
          </w:p>
        </w:tc>
      </w:tr>
      <w:tr w:rsidR="00AA3299" w:rsidRPr="00E076F1" w14:paraId="3E7A2D55" w14:textId="77777777" w:rsidTr="00380997">
        <w:tc>
          <w:tcPr>
            <w:tcW w:w="1205" w:type="dxa"/>
            <w:tcBorders>
              <w:top w:val="nil"/>
              <w:bottom w:val="single" w:sz="4" w:space="0" w:color="auto"/>
            </w:tcBorders>
          </w:tcPr>
          <w:p w14:paraId="7C6C327C" w14:textId="3F1DFA43" w:rsidR="00D16528" w:rsidRPr="00E076F1" w:rsidRDefault="003F447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c</w:t>
            </w:r>
          </w:p>
        </w:tc>
        <w:tc>
          <w:tcPr>
            <w:tcW w:w="1361" w:type="dxa"/>
            <w:tcBorders>
              <w:top w:val="single" w:sz="4" w:space="0" w:color="auto"/>
              <w:bottom w:val="single" w:sz="4" w:space="0" w:color="auto"/>
              <w:right w:val="nil"/>
            </w:tcBorders>
          </w:tcPr>
          <w:p w14:paraId="5DD9BA01" w14:textId="35217CB6"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135</w:t>
            </w:r>
          </w:p>
        </w:tc>
        <w:tc>
          <w:tcPr>
            <w:tcW w:w="1255" w:type="dxa"/>
            <w:tcBorders>
              <w:top w:val="single" w:sz="4" w:space="0" w:color="auto"/>
              <w:left w:val="nil"/>
              <w:bottom w:val="single" w:sz="4" w:space="0" w:color="auto"/>
            </w:tcBorders>
          </w:tcPr>
          <w:p w14:paraId="04C1950E" w14:textId="4FDB82C5"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137</w:t>
            </w:r>
          </w:p>
        </w:tc>
        <w:tc>
          <w:tcPr>
            <w:tcW w:w="1361" w:type="dxa"/>
            <w:tcBorders>
              <w:top w:val="single" w:sz="4" w:space="0" w:color="auto"/>
              <w:bottom w:val="single" w:sz="4" w:space="0" w:color="auto"/>
              <w:right w:val="nil"/>
            </w:tcBorders>
          </w:tcPr>
          <w:p w14:paraId="117FE1A7" w14:textId="06F059CC"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99</w:t>
            </w:r>
          </w:p>
        </w:tc>
        <w:tc>
          <w:tcPr>
            <w:tcW w:w="1256" w:type="dxa"/>
            <w:tcBorders>
              <w:top w:val="single" w:sz="4" w:space="0" w:color="auto"/>
              <w:left w:val="nil"/>
              <w:bottom w:val="single" w:sz="4" w:space="0" w:color="auto"/>
            </w:tcBorders>
          </w:tcPr>
          <w:p w14:paraId="7200738B" w14:textId="295FDB7F"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101</w:t>
            </w:r>
          </w:p>
        </w:tc>
        <w:tc>
          <w:tcPr>
            <w:tcW w:w="1361" w:type="dxa"/>
            <w:tcBorders>
              <w:top w:val="single" w:sz="4" w:space="0" w:color="auto"/>
              <w:bottom w:val="single" w:sz="4" w:space="0" w:color="auto"/>
              <w:right w:val="nil"/>
            </w:tcBorders>
          </w:tcPr>
          <w:p w14:paraId="165D9E53" w14:textId="3900E254"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113</w:t>
            </w:r>
          </w:p>
        </w:tc>
        <w:tc>
          <w:tcPr>
            <w:tcW w:w="1262" w:type="dxa"/>
            <w:tcBorders>
              <w:top w:val="single" w:sz="4" w:space="0" w:color="auto"/>
              <w:left w:val="nil"/>
              <w:bottom w:val="single" w:sz="4" w:space="0" w:color="auto"/>
            </w:tcBorders>
          </w:tcPr>
          <w:p w14:paraId="208F8F53" w14:textId="42551C4A"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113</w:t>
            </w:r>
          </w:p>
        </w:tc>
      </w:tr>
      <w:tr w:rsidR="00B74E64" w:rsidRPr="00E076F1" w14:paraId="50B1A021" w14:textId="77777777" w:rsidTr="00380997">
        <w:tc>
          <w:tcPr>
            <w:tcW w:w="1205" w:type="dxa"/>
            <w:tcBorders>
              <w:top w:val="nil"/>
              <w:bottom w:val="single" w:sz="4" w:space="0" w:color="auto"/>
            </w:tcBorders>
          </w:tcPr>
          <w:p w14:paraId="2E2E8443" w14:textId="49590467" w:rsidR="00B74E64" w:rsidRPr="00E076F1" w:rsidRDefault="00B74E64" w:rsidP="00E076F1">
            <w:pPr>
              <w:tabs>
                <w:tab w:val="clear" w:pos="567"/>
              </w:tabs>
              <w:autoSpaceDE w:val="0"/>
              <w:autoSpaceDN w:val="0"/>
              <w:adjustRightInd w:val="0"/>
              <w:spacing w:line="240" w:lineRule="auto"/>
              <w:rPr>
                <w:rFonts w:eastAsia="TimesNewRoman,Bold"/>
                <w:b/>
                <w:bCs/>
                <w:snapToGrid/>
                <w:lang w:val="hu-HU" w:eastAsia="en-GB"/>
              </w:rPr>
            </w:pPr>
            <w:r w:rsidRPr="00E076F1">
              <w:rPr>
                <w:b/>
                <w:bCs/>
              </w:rPr>
              <w:t>HbA1c (%)</w:t>
            </w:r>
          </w:p>
        </w:tc>
        <w:tc>
          <w:tcPr>
            <w:tcW w:w="1361" w:type="dxa"/>
            <w:tcBorders>
              <w:top w:val="single" w:sz="4" w:space="0" w:color="auto"/>
              <w:bottom w:val="single" w:sz="4" w:space="0" w:color="auto"/>
              <w:right w:val="nil"/>
            </w:tcBorders>
          </w:tcPr>
          <w:p w14:paraId="4994C66C"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255" w:type="dxa"/>
            <w:tcBorders>
              <w:top w:val="single" w:sz="4" w:space="0" w:color="auto"/>
              <w:left w:val="nil"/>
              <w:bottom w:val="single" w:sz="4" w:space="0" w:color="auto"/>
            </w:tcBorders>
          </w:tcPr>
          <w:p w14:paraId="6B8CED08"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single" w:sz="4" w:space="0" w:color="auto"/>
              <w:bottom w:val="single" w:sz="4" w:space="0" w:color="auto"/>
              <w:right w:val="nil"/>
            </w:tcBorders>
          </w:tcPr>
          <w:p w14:paraId="186E36E8"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256" w:type="dxa"/>
            <w:tcBorders>
              <w:top w:val="single" w:sz="4" w:space="0" w:color="auto"/>
              <w:left w:val="nil"/>
              <w:bottom w:val="single" w:sz="4" w:space="0" w:color="auto"/>
            </w:tcBorders>
          </w:tcPr>
          <w:p w14:paraId="573D2471"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single" w:sz="4" w:space="0" w:color="auto"/>
              <w:bottom w:val="single" w:sz="4" w:space="0" w:color="auto"/>
              <w:right w:val="nil"/>
            </w:tcBorders>
          </w:tcPr>
          <w:p w14:paraId="5FABEBCD"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262" w:type="dxa"/>
            <w:tcBorders>
              <w:top w:val="single" w:sz="4" w:space="0" w:color="auto"/>
              <w:left w:val="nil"/>
              <w:bottom w:val="single" w:sz="4" w:space="0" w:color="auto"/>
            </w:tcBorders>
          </w:tcPr>
          <w:p w14:paraId="6181EEC3"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6700D70C" w14:textId="77777777" w:rsidTr="00380997">
        <w:tc>
          <w:tcPr>
            <w:tcW w:w="1205" w:type="dxa"/>
            <w:tcBorders>
              <w:top w:val="nil"/>
              <w:bottom w:val="nil"/>
            </w:tcBorders>
          </w:tcPr>
          <w:p w14:paraId="68FCFD56" w14:textId="3E6B82BD" w:rsidR="00D16528" w:rsidRPr="00E076F1" w:rsidRDefault="003F4471" w:rsidP="00E076F1">
            <w:pPr>
              <w:tabs>
                <w:tab w:val="clear" w:pos="567"/>
              </w:tabs>
              <w:autoSpaceDE w:val="0"/>
              <w:autoSpaceDN w:val="0"/>
              <w:adjustRightInd w:val="0"/>
              <w:spacing w:line="240" w:lineRule="auto"/>
              <w:rPr>
                <w:snapToGrid/>
                <w:lang w:val="hu-HU" w:eastAsia="en-GB"/>
              </w:rPr>
            </w:pPr>
            <w:r w:rsidRPr="00E076F1">
              <w:rPr>
                <w:snapToGrid/>
                <w:lang w:val="hu-HU" w:eastAsia="en-GB"/>
              </w:rPr>
              <w:t>Kiindulási érték (átlag)</w:t>
            </w:r>
          </w:p>
        </w:tc>
        <w:tc>
          <w:tcPr>
            <w:tcW w:w="1361" w:type="dxa"/>
            <w:tcBorders>
              <w:bottom w:val="nil"/>
              <w:right w:val="nil"/>
            </w:tcBorders>
          </w:tcPr>
          <w:p w14:paraId="4C8FBECF" w14:textId="1D996B03"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7,92</w:t>
            </w:r>
          </w:p>
        </w:tc>
        <w:tc>
          <w:tcPr>
            <w:tcW w:w="1255" w:type="dxa"/>
            <w:tcBorders>
              <w:left w:val="nil"/>
              <w:bottom w:val="nil"/>
            </w:tcBorders>
          </w:tcPr>
          <w:p w14:paraId="4197DAA0" w14:textId="41378B36"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8,11</w:t>
            </w:r>
          </w:p>
        </w:tc>
        <w:tc>
          <w:tcPr>
            <w:tcW w:w="1361" w:type="dxa"/>
            <w:tcBorders>
              <w:bottom w:val="nil"/>
              <w:right w:val="nil"/>
            </w:tcBorders>
          </w:tcPr>
          <w:p w14:paraId="79AAF447" w14:textId="1092EBEB"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7,79</w:t>
            </w:r>
          </w:p>
        </w:tc>
        <w:tc>
          <w:tcPr>
            <w:tcW w:w="1256" w:type="dxa"/>
            <w:tcBorders>
              <w:left w:val="nil"/>
              <w:bottom w:val="nil"/>
            </w:tcBorders>
          </w:tcPr>
          <w:p w14:paraId="2E6A44ED" w14:textId="42ECA762"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7,94</w:t>
            </w:r>
          </w:p>
        </w:tc>
        <w:tc>
          <w:tcPr>
            <w:tcW w:w="1361" w:type="dxa"/>
            <w:tcBorders>
              <w:bottom w:val="nil"/>
              <w:right w:val="nil"/>
            </w:tcBorders>
          </w:tcPr>
          <w:p w14:paraId="3DE2F8C3" w14:textId="0D63F7F8"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7,80</w:t>
            </w:r>
          </w:p>
        </w:tc>
        <w:tc>
          <w:tcPr>
            <w:tcW w:w="1262" w:type="dxa"/>
            <w:tcBorders>
              <w:left w:val="nil"/>
              <w:bottom w:val="nil"/>
            </w:tcBorders>
          </w:tcPr>
          <w:p w14:paraId="476E2150" w14:textId="6975E884"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7,87</w:t>
            </w:r>
          </w:p>
        </w:tc>
      </w:tr>
      <w:tr w:rsidR="00AA3299" w:rsidRPr="00E076F1" w14:paraId="0BE7A437" w14:textId="77777777" w:rsidTr="00100B54">
        <w:tc>
          <w:tcPr>
            <w:tcW w:w="1205" w:type="dxa"/>
            <w:tcBorders>
              <w:top w:val="nil"/>
              <w:bottom w:val="nil"/>
            </w:tcBorders>
          </w:tcPr>
          <w:p w14:paraId="2646D129" w14:textId="57BD4F91" w:rsidR="00D16528" w:rsidRPr="00E076F1" w:rsidRDefault="003F4471" w:rsidP="00E076F1">
            <w:pPr>
              <w:tabs>
                <w:tab w:val="clear" w:pos="567"/>
              </w:tabs>
              <w:autoSpaceDE w:val="0"/>
              <w:autoSpaceDN w:val="0"/>
              <w:adjustRightInd w:val="0"/>
              <w:spacing w:line="240" w:lineRule="auto"/>
              <w:rPr>
                <w:snapToGrid/>
                <w:lang w:val="hu-HU" w:eastAsia="en-GB"/>
              </w:rPr>
            </w:pPr>
            <w:r w:rsidRPr="00E076F1">
              <w:rPr>
                <w:snapToGrid/>
                <w:lang w:val="hu-HU" w:eastAsia="en-GB"/>
              </w:rPr>
              <w:t>Változás a kiindulási értékhez képest</w:t>
            </w:r>
            <w:r w:rsidRPr="00E076F1">
              <w:rPr>
                <w:snapToGrid/>
                <w:vertAlign w:val="superscript"/>
                <w:lang w:val="hu-HU" w:eastAsia="en-GB"/>
              </w:rPr>
              <w:t>d</w:t>
            </w:r>
          </w:p>
        </w:tc>
        <w:tc>
          <w:tcPr>
            <w:tcW w:w="1361" w:type="dxa"/>
            <w:tcBorders>
              <w:top w:val="nil"/>
              <w:bottom w:val="nil"/>
              <w:right w:val="nil"/>
            </w:tcBorders>
          </w:tcPr>
          <w:p w14:paraId="05D2D7A8" w14:textId="11A4337F"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-0,84</w:t>
            </w:r>
          </w:p>
        </w:tc>
        <w:tc>
          <w:tcPr>
            <w:tcW w:w="1255" w:type="dxa"/>
            <w:tcBorders>
              <w:top w:val="nil"/>
              <w:left w:val="nil"/>
              <w:bottom w:val="nil"/>
            </w:tcBorders>
          </w:tcPr>
          <w:p w14:paraId="04A7FFA2" w14:textId="43535944"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-0,30</w:t>
            </w:r>
          </w:p>
        </w:tc>
        <w:tc>
          <w:tcPr>
            <w:tcW w:w="1361" w:type="dxa"/>
            <w:tcBorders>
              <w:top w:val="nil"/>
              <w:bottom w:val="nil"/>
              <w:right w:val="nil"/>
            </w:tcBorders>
          </w:tcPr>
          <w:p w14:paraId="3C0694C9" w14:textId="6B257555"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-065</w:t>
            </w:r>
          </w:p>
        </w:tc>
        <w:tc>
          <w:tcPr>
            <w:tcW w:w="1256" w:type="dxa"/>
            <w:tcBorders>
              <w:top w:val="nil"/>
              <w:left w:val="nil"/>
              <w:bottom w:val="nil"/>
            </w:tcBorders>
          </w:tcPr>
          <w:p w14:paraId="6386BFEE" w14:textId="388392F2"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-0,30</w:t>
            </w:r>
          </w:p>
        </w:tc>
        <w:tc>
          <w:tcPr>
            <w:tcW w:w="1361" w:type="dxa"/>
            <w:tcBorders>
              <w:top w:val="nil"/>
              <w:bottom w:val="nil"/>
              <w:right w:val="nil"/>
            </w:tcBorders>
          </w:tcPr>
          <w:p w14:paraId="437DF04B" w14:textId="3A041088"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-0,43</w:t>
            </w:r>
          </w:p>
        </w:tc>
        <w:tc>
          <w:tcPr>
            <w:tcW w:w="1262" w:type="dxa"/>
            <w:tcBorders>
              <w:top w:val="nil"/>
              <w:left w:val="nil"/>
              <w:bottom w:val="nil"/>
            </w:tcBorders>
          </w:tcPr>
          <w:p w14:paraId="51783720" w14:textId="6585A507"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-0,02</w:t>
            </w:r>
          </w:p>
        </w:tc>
      </w:tr>
      <w:tr w:rsidR="00AA3299" w:rsidRPr="00E076F1" w14:paraId="0D0FF598" w14:textId="77777777" w:rsidTr="00100B54">
        <w:tc>
          <w:tcPr>
            <w:tcW w:w="1205" w:type="dxa"/>
            <w:tcBorders>
              <w:top w:val="nil"/>
              <w:bottom w:val="nil"/>
            </w:tcBorders>
          </w:tcPr>
          <w:p w14:paraId="5093806F" w14:textId="37815231" w:rsidR="00D16528" w:rsidRPr="00E076F1" w:rsidRDefault="003F4471"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különbségd</w:t>
            </w:r>
          </w:p>
        </w:tc>
        <w:tc>
          <w:tcPr>
            <w:tcW w:w="1361" w:type="dxa"/>
            <w:tcBorders>
              <w:top w:val="nil"/>
              <w:bottom w:val="nil"/>
              <w:right w:val="nil"/>
            </w:tcBorders>
          </w:tcPr>
          <w:p w14:paraId="45B313D7" w14:textId="4A046E74"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-0,54</w:t>
            </w:r>
            <w:r w:rsidR="00100B54" w:rsidRPr="00E076F1">
              <w:rPr>
                <w:snapToGrid/>
                <w:lang w:val="hu-HU" w:eastAsia="en-GB"/>
              </w:rPr>
              <w:t>*</w:t>
            </w:r>
          </w:p>
        </w:tc>
        <w:tc>
          <w:tcPr>
            <w:tcW w:w="1255" w:type="dxa"/>
            <w:tcBorders>
              <w:top w:val="nil"/>
              <w:left w:val="nil"/>
              <w:bottom w:val="nil"/>
            </w:tcBorders>
          </w:tcPr>
          <w:p w14:paraId="020D0011" w14:textId="67A71F56" w:rsidR="00D16528" w:rsidRPr="00E076F1" w:rsidRDefault="00D16528"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nil"/>
              <w:right w:val="nil"/>
            </w:tcBorders>
          </w:tcPr>
          <w:p w14:paraId="47C8414D" w14:textId="1E00DCCE"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-0,35</w:t>
            </w:r>
            <w:r w:rsidR="00100B54" w:rsidRPr="00E076F1">
              <w:rPr>
                <w:snapToGrid/>
                <w:lang w:val="hu-HU" w:eastAsia="en-GB"/>
              </w:rPr>
              <w:t>*</w:t>
            </w:r>
          </w:p>
        </w:tc>
        <w:tc>
          <w:tcPr>
            <w:tcW w:w="1256" w:type="dxa"/>
            <w:tcBorders>
              <w:top w:val="nil"/>
              <w:left w:val="nil"/>
              <w:bottom w:val="nil"/>
            </w:tcBorders>
          </w:tcPr>
          <w:p w14:paraId="687DF87F" w14:textId="77777777" w:rsidR="00D16528" w:rsidRPr="00E076F1" w:rsidRDefault="00D16528"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nil"/>
              <w:right w:val="nil"/>
            </w:tcBorders>
          </w:tcPr>
          <w:p w14:paraId="43B30298" w14:textId="67B9EF2E"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-0,40</w:t>
            </w:r>
            <w:r w:rsidR="00100B54" w:rsidRPr="00E076F1">
              <w:rPr>
                <w:snapToGrid/>
                <w:lang w:val="hu-HU" w:eastAsia="en-GB"/>
              </w:rPr>
              <w:t>*</w:t>
            </w:r>
          </w:p>
        </w:tc>
        <w:tc>
          <w:tcPr>
            <w:tcW w:w="1262" w:type="dxa"/>
            <w:tcBorders>
              <w:top w:val="nil"/>
              <w:left w:val="nil"/>
              <w:bottom w:val="nil"/>
            </w:tcBorders>
          </w:tcPr>
          <w:p w14:paraId="45774E9F" w14:textId="77777777" w:rsidR="00D16528" w:rsidRPr="00E076F1" w:rsidRDefault="00D16528"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18405CD4" w14:textId="77777777" w:rsidTr="00100B54">
        <w:tc>
          <w:tcPr>
            <w:tcW w:w="1205" w:type="dxa"/>
            <w:tcBorders>
              <w:top w:val="nil"/>
              <w:bottom w:val="single" w:sz="4" w:space="0" w:color="auto"/>
            </w:tcBorders>
          </w:tcPr>
          <w:p w14:paraId="1D05E7CB" w14:textId="69CC76EF"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(95%-os CI)</w:t>
            </w:r>
          </w:p>
        </w:tc>
        <w:tc>
          <w:tcPr>
            <w:tcW w:w="1361" w:type="dxa"/>
            <w:tcBorders>
              <w:top w:val="nil"/>
              <w:bottom w:val="single" w:sz="4" w:space="0" w:color="auto"/>
              <w:right w:val="nil"/>
            </w:tcBorders>
          </w:tcPr>
          <w:p w14:paraId="069A1C35" w14:textId="6CE70AD2"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(-0,74</w:t>
            </w:r>
            <w:r w:rsidR="00100B54" w:rsidRPr="00E076F1">
              <w:rPr>
                <w:snapToGrid/>
                <w:lang w:val="en-US" w:eastAsia="en-GB"/>
              </w:rPr>
              <w:t>;</w:t>
            </w:r>
            <w:r w:rsidRPr="00E076F1">
              <w:rPr>
                <w:snapToGrid/>
                <w:lang w:val="en-US" w:eastAsia="en-GB"/>
              </w:rPr>
              <w:t xml:space="preserve"> -0,34)</w:t>
            </w:r>
          </w:p>
        </w:tc>
        <w:tc>
          <w:tcPr>
            <w:tcW w:w="1255" w:type="dxa"/>
            <w:tcBorders>
              <w:top w:val="nil"/>
              <w:left w:val="nil"/>
              <w:bottom w:val="single" w:sz="4" w:space="0" w:color="auto"/>
            </w:tcBorders>
          </w:tcPr>
          <w:p w14:paraId="6138DF57"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single" w:sz="4" w:space="0" w:color="auto"/>
              <w:right w:val="nil"/>
            </w:tcBorders>
          </w:tcPr>
          <w:p w14:paraId="5DDCEE63" w14:textId="5C06EE75"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(-0,52</w:t>
            </w:r>
            <w:r w:rsidR="00100B54" w:rsidRPr="00E076F1">
              <w:rPr>
                <w:snapToGrid/>
                <w:lang w:val="en-US" w:eastAsia="en-GB"/>
              </w:rPr>
              <w:t>;</w:t>
            </w:r>
            <w:r w:rsidRPr="00E076F1">
              <w:rPr>
                <w:snapToGrid/>
                <w:lang w:val="en-US" w:eastAsia="en-GB"/>
              </w:rPr>
              <w:t xml:space="preserve"> -0,18)</w:t>
            </w:r>
          </w:p>
        </w:tc>
        <w:tc>
          <w:tcPr>
            <w:tcW w:w="1256" w:type="dxa"/>
            <w:tcBorders>
              <w:top w:val="nil"/>
              <w:left w:val="nil"/>
              <w:bottom w:val="single" w:sz="4" w:space="0" w:color="auto"/>
            </w:tcBorders>
          </w:tcPr>
          <w:p w14:paraId="7FB22760"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single" w:sz="4" w:space="0" w:color="auto"/>
              <w:right w:val="nil"/>
            </w:tcBorders>
          </w:tcPr>
          <w:p w14:paraId="709D7ECA" w14:textId="1E759ECC"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(-0,58</w:t>
            </w:r>
            <w:r w:rsidR="00100B54" w:rsidRPr="00E076F1">
              <w:rPr>
                <w:snapToGrid/>
                <w:lang w:val="en-US" w:eastAsia="en-GB"/>
              </w:rPr>
              <w:t>;</w:t>
            </w:r>
            <w:r w:rsidRPr="00E076F1">
              <w:rPr>
                <w:snapToGrid/>
                <w:lang w:val="en-US" w:eastAsia="en-GB"/>
              </w:rPr>
              <w:t xml:space="preserve"> -0,23)</w:t>
            </w:r>
          </w:p>
        </w:tc>
        <w:tc>
          <w:tcPr>
            <w:tcW w:w="1262" w:type="dxa"/>
            <w:tcBorders>
              <w:top w:val="nil"/>
              <w:left w:val="nil"/>
              <w:bottom w:val="single" w:sz="4" w:space="0" w:color="auto"/>
            </w:tcBorders>
          </w:tcPr>
          <w:p w14:paraId="65160165"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18D86F81" w14:textId="77777777" w:rsidTr="00100B54">
        <w:trPr>
          <w:trHeight w:val="1267"/>
        </w:trPr>
        <w:tc>
          <w:tcPr>
            <w:tcW w:w="1205" w:type="dxa"/>
            <w:tcBorders>
              <w:bottom w:val="nil"/>
            </w:tcBorders>
          </w:tcPr>
          <w:p w14:paraId="0AB394F8" w14:textId="706E7C45" w:rsidR="003F4471" w:rsidRPr="00E076F1" w:rsidRDefault="007E697B"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A betegek (%), akik elérték: HbA1c &lt; 7%</w:t>
            </w:r>
          </w:p>
        </w:tc>
        <w:tc>
          <w:tcPr>
            <w:tcW w:w="1361" w:type="dxa"/>
            <w:tcBorders>
              <w:bottom w:val="nil"/>
              <w:right w:val="nil"/>
            </w:tcBorders>
          </w:tcPr>
          <w:p w14:paraId="2666B128" w14:textId="56949A61"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55" w:type="dxa"/>
            <w:tcBorders>
              <w:left w:val="nil"/>
              <w:bottom w:val="nil"/>
            </w:tcBorders>
          </w:tcPr>
          <w:p w14:paraId="4CA714D0" w14:textId="2C9BCF5A"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nil"/>
              <w:right w:val="nil"/>
            </w:tcBorders>
          </w:tcPr>
          <w:p w14:paraId="40D63BC4" w14:textId="21C20DE5"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256" w:type="dxa"/>
            <w:tcBorders>
              <w:left w:val="nil"/>
              <w:bottom w:val="nil"/>
            </w:tcBorders>
          </w:tcPr>
          <w:p w14:paraId="75BF9DA0" w14:textId="6CF8D9A2"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nil"/>
              <w:right w:val="nil"/>
            </w:tcBorders>
          </w:tcPr>
          <w:p w14:paraId="530EF1A5"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62" w:type="dxa"/>
            <w:tcBorders>
              <w:left w:val="nil"/>
              <w:bottom w:val="nil"/>
            </w:tcBorders>
          </w:tcPr>
          <w:p w14:paraId="7F591DC8"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26CCA1D7" w14:textId="77777777" w:rsidTr="00100B54">
        <w:trPr>
          <w:trHeight w:val="802"/>
        </w:trPr>
        <w:tc>
          <w:tcPr>
            <w:tcW w:w="1205" w:type="dxa"/>
            <w:tcBorders>
              <w:top w:val="nil"/>
              <w:bottom w:val="single" w:sz="4" w:space="0" w:color="auto"/>
            </w:tcBorders>
          </w:tcPr>
          <w:p w14:paraId="20CBCDDD" w14:textId="77777777" w:rsidR="00AA3299" w:rsidRPr="00E076F1" w:rsidRDefault="00AA3299" w:rsidP="00E076F1">
            <w:pPr>
              <w:autoSpaceDE w:val="0"/>
              <w:autoSpaceDN w:val="0"/>
              <w:adjustRightInd w:val="0"/>
              <w:spacing w:line="240" w:lineRule="auto"/>
              <w:rPr>
                <w:rFonts w:eastAsia="TimesNewRoman,Bold"/>
                <w:snapToGrid/>
                <w:lang w:val="hu-HU" w:eastAsia="en-GB"/>
              </w:rPr>
            </w:pPr>
            <w:r w:rsidRPr="00E076F1">
              <w:rPr>
                <w:rFonts w:eastAsia="TimesNewRoman,Bold"/>
                <w:snapToGrid/>
                <w:lang w:val="en-US" w:eastAsia="en-GB"/>
              </w:rPr>
              <w:t xml:space="preserve">A </w:t>
            </w:r>
            <w:r w:rsidRPr="00E076F1">
              <w:rPr>
                <w:rFonts w:eastAsia="TimesNewRoman,Bold"/>
                <w:snapToGrid/>
                <w:lang w:val="hu-HU" w:eastAsia="en-GB"/>
              </w:rPr>
              <w:t>kiindulási értékre korrigálva</w:t>
            </w:r>
          </w:p>
        </w:tc>
        <w:tc>
          <w:tcPr>
            <w:tcW w:w="1361" w:type="dxa"/>
            <w:tcBorders>
              <w:top w:val="nil"/>
              <w:bottom w:val="single" w:sz="4" w:space="0" w:color="auto"/>
              <w:right w:val="nil"/>
            </w:tcBorders>
          </w:tcPr>
          <w:p w14:paraId="45A56343" w14:textId="266993A8" w:rsidR="00AA3299" w:rsidRPr="00E076F1" w:rsidRDefault="00AA3299" w:rsidP="00E076F1">
            <w:pPr>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40,6</w:t>
            </w:r>
            <w:r w:rsidR="005A058D" w:rsidRPr="00E076F1">
              <w:rPr>
                <w:snapToGrid/>
                <w:lang w:val="hu-HU" w:eastAsia="en-GB"/>
              </w:rPr>
              <w:t>**</w:t>
            </w:r>
          </w:p>
        </w:tc>
        <w:tc>
          <w:tcPr>
            <w:tcW w:w="1255" w:type="dxa"/>
            <w:tcBorders>
              <w:top w:val="nil"/>
              <w:left w:val="nil"/>
              <w:bottom w:val="single" w:sz="4" w:space="0" w:color="auto"/>
            </w:tcBorders>
          </w:tcPr>
          <w:p w14:paraId="74DDE238" w14:textId="5B3AC516" w:rsidR="00AA3299" w:rsidRPr="00E076F1" w:rsidRDefault="00AA3299" w:rsidP="00E076F1">
            <w:pPr>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25,9</w:t>
            </w:r>
          </w:p>
        </w:tc>
        <w:tc>
          <w:tcPr>
            <w:tcW w:w="1361" w:type="dxa"/>
            <w:tcBorders>
              <w:top w:val="nil"/>
              <w:bottom w:val="single" w:sz="4" w:space="0" w:color="auto"/>
              <w:right w:val="nil"/>
            </w:tcBorders>
          </w:tcPr>
          <w:p w14:paraId="7F3C7939" w14:textId="44B74FF2"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38,2</w:t>
            </w:r>
            <w:r w:rsidR="005A058D" w:rsidRPr="00E076F1">
              <w:rPr>
                <w:snapToGrid/>
                <w:lang w:val="hu-HU" w:eastAsia="en-GB"/>
              </w:rPr>
              <w:t>**</w:t>
            </w:r>
            <w:r w:rsidRPr="00E076F1">
              <w:rPr>
                <w:rFonts w:eastAsia="TimesNewRoman,Bold"/>
                <w:snapToGrid/>
                <w:lang w:val="hu-HU" w:eastAsia="en-GB"/>
              </w:rPr>
              <w:t>(N=90)</w:t>
            </w:r>
          </w:p>
        </w:tc>
        <w:tc>
          <w:tcPr>
            <w:tcW w:w="1256" w:type="dxa"/>
            <w:tcBorders>
              <w:top w:val="nil"/>
              <w:left w:val="nil"/>
              <w:bottom w:val="single" w:sz="4" w:space="0" w:color="auto"/>
            </w:tcBorders>
          </w:tcPr>
          <w:p w14:paraId="4E037BB6" w14:textId="7F953908"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21,4</w:t>
            </w:r>
            <w:r w:rsidR="00100B54" w:rsidRPr="00E076F1">
              <w:rPr>
                <w:rFonts w:eastAsia="TimesNewRoman,Bold"/>
                <w:snapToGrid/>
                <w:lang w:val="hu-HU" w:eastAsia="en-GB"/>
              </w:rPr>
              <w:t xml:space="preserve"> </w:t>
            </w:r>
            <w:r w:rsidRPr="00E076F1">
              <w:rPr>
                <w:rFonts w:eastAsia="TimesNewRoman,Bold"/>
                <w:snapToGrid/>
                <w:lang w:val="hu-HU" w:eastAsia="en-GB"/>
              </w:rPr>
              <w:t>(N=87)</w:t>
            </w:r>
          </w:p>
        </w:tc>
        <w:tc>
          <w:tcPr>
            <w:tcW w:w="1361" w:type="dxa"/>
            <w:tcBorders>
              <w:top w:val="nil"/>
              <w:bottom w:val="single" w:sz="4" w:space="0" w:color="auto"/>
              <w:right w:val="nil"/>
            </w:tcBorders>
          </w:tcPr>
          <w:p w14:paraId="76ADE6A1"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262" w:type="dxa"/>
            <w:tcBorders>
              <w:top w:val="nil"/>
              <w:left w:val="nil"/>
              <w:bottom w:val="single" w:sz="4" w:space="0" w:color="auto"/>
            </w:tcBorders>
          </w:tcPr>
          <w:p w14:paraId="0875B5D0"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65A29837" w14:textId="77777777" w:rsidTr="00100B54">
        <w:tc>
          <w:tcPr>
            <w:tcW w:w="1205" w:type="dxa"/>
            <w:tcBorders>
              <w:bottom w:val="nil"/>
            </w:tcBorders>
          </w:tcPr>
          <w:p w14:paraId="38BFE70E" w14:textId="759F7E8E"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Testtömeg (kg)</w:t>
            </w:r>
          </w:p>
        </w:tc>
        <w:tc>
          <w:tcPr>
            <w:tcW w:w="1361" w:type="dxa"/>
            <w:tcBorders>
              <w:bottom w:val="nil"/>
              <w:right w:val="nil"/>
            </w:tcBorders>
          </w:tcPr>
          <w:p w14:paraId="350FC87F"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55" w:type="dxa"/>
            <w:tcBorders>
              <w:left w:val="nil"/>
              <w:bottom w:val="nil"/>
            </w:tcBorders>
          </w:tcPr>
          <w:p w14:paraId="398B83C2"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nil"/>
              <w:right w:val="nil"/>
            </w:tcBorders>
          </w:tcPr>
          <w:p w14:paraId="384A783A"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56" w:type="dxa"/>
            <w:tcBorders>
              <w:left w:val="nil"/>
              <w:bottom w:val="nil"/>
            </w:tcBorders>
          </w:tcPr>
          <w:p w14:paraId="1BF31F3E"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nil"/>
              <w:right w:val="nil"/>
            </w:tcBorders>
          </w:tcPr>
          <w:p w14:paraId="59023CA7"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62" w:type="dxa"/>
            <w:tcBorders>
              <w:left w:val="nil"/>
              <w:bottom w:val="nil"/>
            </w:tcBorders>
          </w:tcPr>
          <w:p w14:paraId="45DDB62C"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5CEFB716" w14:textId="77777777" w:rsidTr="00100B54">
        <w:tc>
          <w:tcPr>
            <w:tcW w:w="1205" w:type="dxa"/>
            <w:tcBorders>
              <w:top w:val="nil"/>
              <w:bottom w:val="nil"/>
            </w:tcBorders>
          </w:tcPr>
          <w:p w14:paraId="38A0C97B" w14:textId="77C5F0B0" w:rsidR="003F4471" w:rsidRPr="00E076F1" w:rsidRDefault="00AA3299" w:rsidP="00E076F1">
            <w:pPr>
              <w:tabs>
                <w:tab w:val="clear" w:pos="567"/>
              </w:tabs>
              <w:autoSpaceDE w:val="0"/>
              <w:autoSpaceDN w:val="0"/>
              <w:adjustRightInd w:val="0"/>
              <w:spacing w:line="240" w:lineRule="auto"/>
              <w:rPr>
                <w:snapToGrid/>
                <w:lang w:val="hu-HU" w:eastAsia="en-GB"/>
              </w:rPr>
            </w:pPr>
            <w:r w:rsidRPr="00E076F1">
              <w:rPr>
                <w:snapToGrid/>
                <w:lang w:val="hu-HU" w:eastAsia="en-GB"/>
              </w:rPr>
              <w:t>Kiindulási érték (átlag)</w:t>
            </w:r>
          </w:p>
        </w:tc>
        <w:tc>
          <w:tcPr>
            <w:tcW w:w="1361" w:type="dxa"/>
            <w:tcBorders>
              <w:top w:val="nil"/>
              <w:bottom w:val="nil"/>
              <w:right w:val="nil"/>
            </w:tcBorders>
          </w:tcPr>
          <w:p w14:paraId="0B5E4BF4" w14:textId="68268A32"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86,28</w:t>
            </w:r>
          </w:p>
        </w:tc>
        <w:tc>
          <w:tcPr>
            <w:tcW w:w="1255" w:type="dxa"/>
            <w:tcBorders>
              <w:top w:val="nil"/>
              <w:left w:val="nil"/>
              <w:bottom w:val="nil"/>
            </w:tcBorders>
          </w:tcPr>
          <w:p w14:paraId="3B948211" w14:textId="0C60B6C9"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87,74</w:t>
            </w:r>
          </w:p>
        </w:tc>
        <w:tc>
          <w:tcPr>
            <w:tcW w:w="1361" w:type="dxa"/>
            <w:tcBorders>
              <w:top w:val="nil"/>
              <w:bottom w:val="nil"/>
              <w:right w:val="nil"/>
            </w:tcBorders>
          </w:tcPr>
          <w:p w14:paraId="4B4EA961" w14:textId="26A6F9A7"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93,62</w:t>
            </w:r>
          </w:p>
        </w:tc>
        <w:tc>
          <w:tcPr>
            <w:tcW w:w="1256" w:type="dxa"/>
            <w:tcBorders>
              <w:top w:val="nil"/>
              <w:left w:val="nil"/>
              <w:bottom w:val="nil"/>
            </w:tcBorders>
          </w:tcPr>
          <w:p w14:paraId="23C4DAF6" w14:textId="7D568FB7"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88,82</w:t>
            </w:r>
          </w:p>
        </w:tc>
        <w:tc>
          <w:tcPr>
            <w:tcW w:w="1361" w:type="dxa"/>
            <w:tcBorders>
              <w:top w:val="nil"/>
              <w:bottom w:val="nil"/>
              <w:right w:val="nil"/>
            </w:tcBorders>
          </w:tcPr>
          <w:p w14:paraId="5210D859" w14:textId="5195CB3D"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93,95</w:t>
            </w:r>
          </w:p>
        </w:tc>
        <w:tc>
          <w:tcPr>
            <w:tcW w:w="1262" w:type="dxa"/>
            <w:tcBorders>
              <w:top w:val="nil"/>
              <w:left w:val="nil"/>
              <w:bottom w:val="nil"/>
            </w:tcBorders>
          </w:tcPr>
          <w:p w14:paraId="6B48A506" w14:textId="4E5FBDFC"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94,17</w:t>
            </w:r>
          </w:p>
        </w:tc>
      </w:tr>
      <w:tr w:rsidR="00AA3299" w:rsidRPr="00E076F1" w14:paraId="30D9F1F9" w14:textId="77777777" w:rsidTr="00100B54">
        <w:tc>
          <w:tcPr>
            <w:tcW w:w="1205" w:type="dxa"/>
            <w:tcBorders>
              <w:top w:val="nil"/>
              <w:bottom w:val="nil"/>
            </w:tcBorders>
          </w:tcPr>
          <w:p w14:paraId="7215B985" w14:textId="4ABF7730" w:rsidR="00AA3299" w:rsidRPr="00E076F1" w:rsidRDefault="00AA3299" w:rsidP="00E076F1">
            <w:pPr>
              <w:tabs>
                <w:tab w:val="clear" w:pos="567"/>
              </w:tabs>
              <w:autoSpaceDE w:val="0"/>
              <w:autoSpaceDN w:val="0"/>
              <w:adjustRightInd w:val="0"/>
              <w:spacing w:line="240" w:lineRule="auto"/>
              <w:rPr>
                <w:snapToGrid/>
                <w:lang w:val="hu-HU" w:eastAsia="en-GB"/>
              </w:rPr>
            </w:pPr>
            <w:r w:rsidRPr="00E076F1">
              <w:rPr>
                <w:snapToGrid/>
                <w:lang w:val="hu-HU" w:eastAsia="en-GB"/>
              </w:rPr>
              <w:t>Változás a kiindulási értékhez képest</w:t>
            </w:r>
            <w:r w:rsidRPr="00E076F1">
              <w:rPr>
                <w:snapToGrid/>
                <w:vertAlign w:val="superscript"/>
                <w:lang w:val="hu-HU" w:eastAsia="en-GB"/>
              </w:rPr>
              <w:t>d</w:t>
            </w:r>
          </w:p>
        </w:tc>
        <w:tc>
          <w:tcPr>
            <w:tcW w:w="1361" w:type="dxa"/>
            <w:tcBorders>
              <w:top w:val="nil"/>
              <w:bottom w:val="nil"/>
              <w:right w:val="nil"/>
            </w:tcBorders>
          </w:tcPr>
          <w:p w14:paraId="467B2159" w14:textId="0EED9005"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-2,86</w:t>
            </w:r>
          </w:p>
        </w:tc>
        <w:tc>
          <w:tcPr>
            <w:tcW w:w="1255" w:type="dxa"/>
            <w:tcBorders>
              <w:top w:val="nil"/>
              <w:left w:val="nil"/>
              <w:bottom w:val="nil"/>
            </w:tcBorders>
          </w:tcPr>
          <w:p w14:paraId="7CBB1AE3" w14:textId="22C02E80"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-0,89</w:t>
            </w:r>
          </w:p>
        </w:tc>
        <w:tc>
          <w:tcPr>
            <w:tcW w:w="1361" w:type="dxa"/>
            <w:tcBorders>
              <w:top w:val="nil"/>
              <w:bottom w:val="nil"/>
              <w:right w:val="nil"/>
            </w:tcBorders>
          </w:tcPr>
          <w:p w14:paraId="31036237" w14:textId="1F659714"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-2,74</w:t>
            </w:r>
          </w:p>
        </w:tc>
        <w:tc>
          <w:tcPr>
            <w:tcW w:w="1256" w:type="dxa"/>
            <w:tcBorders>
              <w:top w:val="nil"/>
              <w:left w:val="nil"/>
              <w:bottom w:val="nil"/>
            </w:tcBorders>
          </w:tcPr>
          <w:p w14:paraId="69DB933F" w14:textId="45BDEABB"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-0,86</w:t>
            </w:r>
          </w:p>
        </w:tc>
        <w:tc>
          <w:tcPr>
            <w:tcW w:w="1361" w:type="dxa"/>
            <w:tcBorders>
              <w:top w:val="nil"/>
              <w:bottom w:val="nil"/>
              <w:right w:val="nil"/>
            </w:tcBorders>
          </w:tcPr>
          <w:p w14:paraId="27ACCBBA" w14:textId="1FA04F3E"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-2,35</w:t>
            </w:r>
          </w:p>
        </w:tc>
        <w:tc>
          <w:tcPr>
            <w:tcW w:w="1262" w:type="dxa"/>
            <w:tcBorders>
              <w:top w:val="nil"/>
              <w:left w:val="nil"/>
              <w:bottom w:val="nil"/>
            </w:tcBorders>
          </w:tcPr>
          <w:p w14:paraId="2B10715E" w14:textId="225B2930"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-0,47</w:t>
            </w:r>
          </w:p>
        </w:tc>
      </w:tr>
      <w:tr w:rsidR="00AA3299" w:rsidRPr="00E076F1" w14:paraId="3EE5EF34" w14:textId="77777777" w:rsidTr="00100B54">
        <w:tc>
          <w:tcPr>
            <w:tcW w:w="1205" w:type="dxa"/>
            <w:tcBorders>
              <w:top w:val="nil"/>
              <w:bottom w:val="nil"/>
            </w:tcBorders>
          </w:tcPr>
          <w:p w14:paraId="0BB7E1E4" w14:textId="5F119FED" w:rsidR="00AA3299" w:rsidRPr="00E076F1" w:rsidRDefault="00AA3299"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Pr="00E076F1">
              <w:rPr>
                <w:snapToGrid/>
                <w:vertAlign w:val="superscript"/>
                <w:lang w:val="hu-HU" w:eastAsia="en-GB"/>
              </w:rPr>
              <w:t>d</w:t>
            </w:r>
          </w:p>
        </w:tc>
        <w:tc>
          <w:tcPr>
            <w:tcW w:w="1361" w:type="dxa"/>
            <w:tcBorders>
              <w:top w:val="nil"/>
              <w:bottom w:val="nil"/>
              <w:right w:val="nil"/>
            </w:tcBorders>
          </w:tcPr>
          <w:p w14:paraId="2861A904" w14:textId="28E59618"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-1,97</w:t>
            </w:r>
            <w:r w:rsidR="005A058D" w:rsidRPr="00E076F1">
              <w:rPr>
                <w:snapToGrid/>
                <w:lang w:val="hu-HU" w:eastAsia="en-GB"/>
              </w:rPr>
              <w:t>*</w:t>
            </w:r>
          </w:p>
        </w:tc>
        <w:tc>
          <w:tcPr>
            <w:tcW w:w="1255" w:type="dxa"/>
            <w:tcBorders>
              <w:top w:val="nil"/>
              <w:left w:val="nil"/>
              <w:bottom w:val="nil"/>
            </w:tcBorders>
          </w:tcPr>
          <w:p w14:paraId="459DD957" w14:textId="5C896CF6"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nil"/>
              <w:right w:val="nil"/>
            </w:tcBorders>
          </w:tcPr>
          <w:p w14:paraId="53A7C51B" w14:textId="643AD943"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-1,88</w:t>
            </w:r>
            <w:r w:rsidR="005A058D" w:rsidRPr="00E076F1">
              <w:rPr>
                <w:snapToGrid/>
                <w:lang w:val="hu-HU" w:eastAsia="en-GB"/>
              </w:rPr>
              <w:t>***</w:t>
            </w:r>
          </w:p>
        </w:tc>
        <w:tc>
          <w:tcPr>
            <w:tcW w:w="1256" w:type="dxa"/>
            <w:tcBorders>
              <w:top w:val="nil"/>
              <w:left w:val="nil"/>
              <w:bottom w:val="nil"/>
            </w:tcBorders>
          </w:tcPr>
          <w:p w14:paraId="6641893A"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nil"/>
              <w:right w:val="nil"/>
            </w:tcBorders>
          </w:tcPr>
          <w:p w14:paraId="7B3A6FE7" w14:textId="662F8E2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-1,87</w:t>
            </w:r>
            <w:r w:rsidR="005A058D" w:rsidRPr="00E076F1">
              <w:rPr>
                <w:snapToGrid/>
                <w:lang w:val="hu-HU" w:eastAsia="en-GB"/>
              </w:rPr>
              <w:t>*</w:t>
            </w:r>
          </w:p>
        </w:tc>
        <w:tc>
          <w:tcPr>
            <w:tcW w:w="1262" w:type="dxa"/>
            <w:tcBorders>
              <w:top w:val="nil"/>
              <w:left w:val="nil"/>
              <w:bottom w:val="nil"/>
            </w:tcBorders>
          </w:tcPr>
          <w:p w14:paraId="0BE3D819"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452A15E2" w14:textId="77777777" w:rsidTr="00100B54">
        <w:tc>
          <w:tcPr>
            <w:tcW w:w="1205" w:type="dxa"/>
            <w:tcBorders>
              <w:top w:val="nil"/>
            </w:tcBorders>
          </w:tcPr>
          <w:p w14:paraId="4B044690" w14:textId="10B9F92B"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1361" w:type="dxa"/>
            <w:tcBorders>
              <w:top w:val="nil"/>
              <w:right w:val="nil"/>
            </w:tcBorders>
          </w:tcPr>
          <w:p w14:paraId="7E13CFC9" w14:textId="0B76C45F"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(-2,63</w:t>
            </w:r>
            <w:r w:rsidR="00100B54" w:rsidRPr="00E076F1">
              <w:rPr>
                <w:snapToGrid/>
                <w:lang w:val="hu-HU" w:eastAsia="en-GB"/>
              </w:rPr>
              <w:t>;</w:t>
            </w:r>
            <w:r w:rsidRPr="00E076F1">
              <w:rPr>
                <w:snapToGrid/>
                <w:lang w:val="hu-HU" w:eastAsia="en-GB"/>
              </w:rPr>
              <w:t xml:space="preserve"> -1,31)</w:t>
            </w:r>
          </w:p>
        </w:tc>
        <w:tc>
          <w:tcPr>
            <w:tcW w:w="1255" w:type="dxa"/>
            <w:tcBorders>
              <w:top w:val="nil"/>
              <w:left w:val="nil"/>
            </w:tcBorders>
          </w:tcPr>
          <w:p w14:paraId="59174B2D"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right w:val="nil"/>
            </w:tcBorders>
          </w:tcPr>
          <w:p w14:paraId="6DABF29C" w14:textId="5D0AC25C"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(-2,52</w:t>
            </w:r>
            <w:r w:rsidR="00100B54" w:rsidRPr="00E076F1">
              <w:rPr>
                <w:snapToGrid/>
                <w:lang w:val="hu-HU" w:eastAsia="en-GB"/>
              </w:rPr>
              <w:t>;</w:t>
            </w:r>
            <w:r w:rsidRPr="00E076F1">
              <w:rPr>
                <w:snapToGrid/>
                <w:lang w:val="hu-HU" w:eastAsia="en-GB"/>
              </w:rPr>
              <w:t xml:space="preserve"> -1,24)</w:t>
            </w:r>
          </w:p>
        </w:tc>
        <w:tc>
          <w:tcPr>
            <w:tcW w:w="1256" w:type="dxa"/>
            <w:tcBorders>
              <w:top w:val="nil"/>
              <w:left w:val="nil"/>
            </w:tcBorders>
          </w:tcPr>
          <w:p w14:paraId="78872EC6"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right w:val="nil"/>
            </w:tcBorders>
          </w:tcPr>
          <w:p w14:paraId="751A558B" w14:textId="252C5ECE"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(-2,61</w:t>
            </w:r>
            <w:r w:rsidR="00100B54" w:rsidRPr="00E076F1">
              <w:rPr>
                <w:snapToGrid/>
                <w:lang w:val="hu-HU" w:eastAsia="en-GB"/>
              </w:rPr>
              <w:t>;</w:t>
            </w:r>
            <w:r w:rsidRPr="00E076F1">
              <w:rPr>
                <w:snapToGrid/>
                <w:lang w:val="hu-HU" w:eastAsia="en-GB"/>
              </w:rPr>
              <w:t xml:space="preserve"> -1,13)</w:t>
            </w:r>
          </w:p>
        </w:tc>
        <w:tc>
          <w:tcPr>
            <w:tcW w:w="1262" w:type="dxa"/>
            <w:tcBorders>
              <w:top w:val="nil"/>
              <w:left w:val="nil"/>
            </w:tcBorders>
          </w:tcPr>
          <w:p w14:paraId="0E5099D4"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r>
    </w:tbl>
    <w:p w14:paraId="3EFAF7D7" w14:textId="77777777"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hu-HU" w:eastAsia="en-GB"/>
        </w:rPr>
        <w:t>Rövidítések: QD: naponta egyszer; BID:naponta kétszer</w:t>
      </w:r>
    </w:p>
    <w:p w14:paraId="3D02CB12" w14:textId="04B01D59"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1 </w:t>
      </w:r>
      <w:r w:rsidRPr="00E076F1">
        <w:rPr>
          <w:snapToGrid/>
          <w:lang w:val="hu-HU" w:eastAsia="en-GB"/>
        </w:rPr>
        <w:t>Metformin ≥ 1500</w:t>
      </w:r>
      <w:r w:rsidR="00122450" w:rsidRPr="00E076F1">
        <w:rPr>
          <w:snapToGrid/>
          <w:lang w:val="hu-HU" w:eastAsia="en-GB"/>
        </w:rPr>
        <w:t> mg</w:t>
      </w:r>
      <w:r w:rsidRPr="00E076F1">
        <w:rPr>
          <w:snapToGrid/>
          <w:lang w:val="hu-HU" w:eastAsia="en-GB"/>
        </w:rPr>
        <w:t>/nap; 2Szitagliptin 100</w:t>
      </w:r>
      <w:r w:rsidR="00122450" w:rsidRPr="00E076F1">
        <w:rPr>
          <w:snapToGrid/>
          <w:lang w:val="hu-HU" w:eastAsia="en-GB"/>
        </w:rPr>
        <w:t> mg</w:t>
      </w:r>
      <w:r w:rsidRPr="00E076F1">
        <w:rPr>
          <w:snapToGrid/>
          <w:lang w:val="hu-HU" w:eastAsia="en-GB"/>
        </w:rPr>
        <w:t>/nap</w:t>
      </w:r>
    </w:p>
    <w:p w14:paraId="2F3554D2" w14:textId="69D71B73"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a </w:t>
      </w:r>
      <w:r w:rsidRPr="00E076F1">
        <w:rPr>
          <w:snapToGrid/>
          <w:lang w:val="hu-HU" w:eastAsia="en-GB"/>
        </w:rPr>
        <w:t>LOCF: az utolsó észlelt (a vizsgálatból kiemelt betegek kiemelése előtti) adat alapján végzett elemzés</w:t>
      </w:r>
    </w:p>
    <w:p w14:paraId="2C03C99E" w14:textId="7C44EF41"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Placebokontrollos 16 hetes vizsgálat</w:t>
      </w:r>
    </w:p>
    <w:p w14:paraId="319DF60B" w14:textId="40AF9F8E"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Minden olyan randomizált beteg, aki a rövid távú kettős-vak periódus alatt legalább egy adagot bevett a kettős-vak vizsgálati gyógyszerből.</w:t>
      </w:r>
    </w:p>
    <w:p w14:paraId="3387C780" w14:textId="2C88DBF6" w:rsidR="00D16528"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vertAlign w:val="superscript"/>
          <w:lang w:val="hu-HU" w:eastAsia="en-GB"/>
        </w:rPr>
        <w:t xml:space="preserve">d </w:t>
      </w:r>
      <w:r w:rsidRPr="00E076F1">
        <w:rPr>
          <w:snapToGrid/>
          <w:lang w:val="hu-HU" w:eastAsia="en-GB"/>
        </w:rPr>
        <w:t>A kiindulási értékre korrigált legkisebb négyzetes becslés átlaga</w:t>
      </w:r>
    </w:p>
    <w:p w14:paraId="19C9F17D" w14:textId="5893C32E"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*p-érték &lt; 0,0001 versus placebo + </w:t>
      </w:r>
      <w:r w:rsidRPr="00E076F1">
        <w:rPr>
          <w:rFonts w:eastAsia="TimesNewRoman,Italic"/>
          <w:i/>
          <w:iCs/>
          <w:snapToGrid/>
          <w:lang w:val="hu-HU" w:eastAsia="en-GB"/>
        </w:rPr>
        <w:t xml:space="preserve">per os </w:t>
      </w:r>
      <w:r w:rsidRPr="00E076F1">
        <w:rPr>
          <w:snapToGrid/>
          <w:lang w:val="hu-HU" w:eastAsia="en-GB"/>
        </w:rPr>
        <w:t>glükózszint-csökkentő gyógyszer</w:t>
      </w:r>
    </w:p>
    <w:p w14:paraId="7342156F" w14:textId="77777777"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**p-érték &lt; 0,05 versus placebo + </w:t>
      </w:r>
      <w:r w:rsidRPr="00E076F1">
        <w:rPr>
          <w:rFonts w:eastAsia="TimesNewRoman,Italic"/>
          <w:i/>
          <w:iCs/>
          <w:snapToGrid/>
          <w:lang w:val="hu-HU" w:eastAsia="en-GB"/>
        </w:rPr>
        <w:t xml:space="preserve">per os </w:t>
      </w:r>
      <w:r w:rsidRPr="00E076F1">
        <w:rPr>
          <w:snapToGrid/>
          <w:lang w:val="hu-HU" w:eastAsia="en-GB"/>
        </w:rPr>
        <w:t>glükózszint-csökkentő gyógyszer</w:t>
      </w:r>
    </w:p>
    <w:p w14:paraId="79F15AF1" w14:textId="743294F1" w:rsidR="00D16528"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hu-HU" w:eastAsia="en-GB"/>
        </w:rPr>
        <w:t>***A testtömegben bekövetkezett százalékos változást a legfontosabb másodlagos végpontként analizálták (p &lt; 0,0001); az abszolút testtömeg-változást (kg-ban) egy nominális p-értékkel analizálták (p &lt; 0,0001).</w:t>
      </w:r>
    </w:p>
    <w:p w14:paraId="741AF1E6" w14:textId="77777777" w:rsidR="00E35FF4" w:rsidRPr="00E076F1" w:rsidRDefault="00E35FF4" w:rsidP="00E076F1">
      <w:pPr>
        <w:tabs>
          <w:tab w:val="clear" w:pos="567"/>
        </w:tabs>
        <w:autoSpaceDE w:val="0"/>
        <w:autoSpaceDN w:val="0"/>
        <w:adjustRightInd w:val="0"/>
        <w:spacing w:line="240" w:lineRule="auto"/>
        <w:rPr>
          <w:snapToGrid/>
          <w:lang w:val="hu-HU" w:eastAsia="en-GB"/>
        </w:rPr>
      </w:pPr>
    </w:p>
    <w:p w14:paraId="738109D3" w14:textId="176BE8E8" w:rsidR="00E35FF4" w:rsidRPr="00E076F1" w:rsidRDefault="00E35FF4"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5. táblázat A metforminhoz és egy szulfonilureához kiegészítő kezelésként hozzáadott dapagliflozin kombináció 24 hetes placebokontrollos vizsgálati eredményei</w:t>
      </w:r>
    </w:p>
    <w:tbl>
      <w:tblPr>
        <w:tblStyle w:val="Rcsostblzat"/>
        <w:tblW w:w="0" w:type="auto"/>
        <w:tblLook w:val="0420" w:firstRow="1" w:lastRow="0" w:firstColumn="0" w:lastColumn="0" w:noHBand="0" w:noVBand="1"/>
      </w:tblPr>
      <w:tblGrid>
        <w:gridCol w:w="3020"/>
        <w:gridCol w:w="3020"/>
        <w:gridCol w:w="3021"/>
      </w:tblGrid>
      <w:tr w:rsidR="00E35FF4" w:rsidRPr="00E076F1" w14:paraId="7B48EC37" w14:textId="77777777" w:rsidTr="00E37AD1">
        <w:tc>
          <w:tcPr>
            <w:tcW w:w="3020" w:type="dxa"/>
            <w:tcBorders>
              <w:top w:val="single" w:sz="4" w:space="0" w:color="auto"/>
              <w:left w:val="nil"/>
              <w:bottom w:val="single" w:sz="4" w:space="0" w:color="auto"/>
              <w:right w:val="nil"/>
            </w:tcBorders>
          </w:tcPr>
          <w:p w14:paraId="3B3435CB"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6041" w:type="dxa"/>
            <w:gridSpan w:val="2"/>
            <w:tcBorders>
              <w:top w:val="single" w:sz="4" w:space="0" w:color="auto"/>
              <w:left w:val="nil"/>
              <w:bottom w:val="single" w:sz="4" w:space="0" w:color="auto"/>
              <w:right w:val="nil"/>
            </w:tcBorders>
          </w:tcPr>
          <w:p w14:paraId="7635714F" w14:textId="45F14208"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Kiegészítő kombináció</w:t>
            </w:r>
          </w:p>
        </w:tc>
      </w:tr>
      <w:tr w:rsidR="00E35FF4" w:rsidRPr="00E076F1" w14:paraId="5544DD8B" w14:textId="77777777" w:rsidTr="00E37AD1">
        <w:tc>
          <w:tcPr>
            <w:tcW w:w="3020" w:type="dxa"/>
            <w:tcBorders>
              <w:top w:val="single" w:sz="4" w:space="0" w:color="auto"/>
              <w:left w:val="nil"/>
              <w:bottom w:val="single" w:sz="4" w:space="0" w:color="auto"/>
              <w:right w:val="nil"/>
            </w:tcBorders>
          </w:tcPr>
          <w:p w14:paraId="00909033"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6041" w:type="dxa"/>
            <w:gridSpan w:val="2"/>
            <w:tcBorders>
              <w:top w:val="single" w:sz="4" w:space="0" w:color="auto"/>
              <w:left w:val="nil"/>
              <w:bottom w:val="single" w:sz="4" w:space="0" w:color="auto"/>
              <w:right w:val="nil"/>
            </w:tcBorders>
          </w:tcPr>
          <w:p w14:paraId="44D8B9D9" w14:textId="77777777" w:rsidR="00E35FF4" w:rsidRPr="00E076F1" w:rsidRDefault="00E35FF4" w:rsidP="00E076F1">
            <w:pPr>
              <w:tabs>
                <w:tab w:val="clear" w:pos="567"/>
              </w:tabs>
              <w:autoSpaceDE w:val="0"/>
              <w:autoSpaceDN w:val="0"/>
              <w:adjustRightInd w:val="0"/>
              <w:spacing w:line="240" w:lineRule="auto"/>
              <w:rPr>
                <w:rFonts w:eastAsia="TimesNewRoman,Bold"/>
                <w:b/>
                <w:bCs/>
                <w:snapToGrid/>
                <w:lang w:val="en-US" w:eastAsia="en-GB"/>
              </w:rPr>
            </w:pPr>
            <w:r w:rsidRPr="00E076F1">
              <w:rPr>
                <w:rFonts w:eastAsia="TimesNewRoman,Bold"/>
                <w:b/>
                <w:bCs/>
                <w:snapToGrid/>
                <w:lang w:val="en-US" w:eastAsia="en-GB"/>
              </w:rPr>
              <w:t>Szulfonilurea</w:t>
            </w:r>
          </w:p>
          <w:p w14:paraId="122CA1B8" w14:textId="495E9325"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 metformin</w:t>
            </w:r>
            <w:r w:rsidRPr="00E076F1">
              <w:rPr>
                <w:rFonts w:eastAsia="TimesNewRoman,Bold"/>
                <w:snapToGrid/>
                <w:vertAlign w:val="superscript"/>
                <w:lang w:val="en-US" w:eastAsia="en-GB"/>
              </w:rPr>
              <w:t>1</w:t>
            </w:r>
          </w:p>
        </w:tc>
      </w:tr>
      <w:tr w:rsidR="00E35FF4" w:rsidRPr="00E076F1" w14:paraId="7530E99C" w14:textId="77777777" w:rsidTr="00E37AD1">
        <w:tc>
          <w:tcPr>
            <w:tcW w:w="3020" w:type="dxa"/>
            <w:tcBorders>
              <w:top w:val="single" w:sz="4" w:space="0" w:color="auto"/>
              <w:left w:val="nil"/>
              <w:bottom w:val="single" w:sz="4" w:space="0" w:color="auto"/>
              <w:right w:val="nil"/>
            </w:tcBorders>
          </w:tcPr>
          <w:p w14:paraId="74CA013E" w14:textId="50114264"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3020" w:type="dxa"/>
            <w:tcBorders>
              <w:top w:val="single" w:sz="4" w:space="0" w:color="auto"/>
              <w:left w:val="nil"/>
              <w:bottom w:val="single" w:sz="4" w:space="0" w:color="auto"/>
              <w:right w:val="nil"/>
            </w:tcBorders>
          </w:tcPr>
          <w:p w14:paraId="049EA33C" w14:textId="77777777"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w:t>
            </w:r>
          </w:p>
          <w:p w14:paraId="54E8E413" w14:textId="73629A86"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10</w:t>
            </w:r>
            <w:r w:rsidR="00122450" w:rsidRPr="00E076F1">
              <w:rPr>
                <w:rFonts w:eastAsia="TimesNewRoman,Bold"/>
                <w:b/>
                <w:bCs/>
                <w:snapToGrid/>
                <w:lang w:val="hu-HU" w:eastAsia="en-GB"/>
              </w:rPr>
              <w:t> mg</w:t>
            </w:r>
          </w:p>
        </w:tc>
        <w:tc>
          <w:tcPr>
            <w:tcW w:w="3021" w:type="dxa"/>
            <w:tcBorders>
              <w:top w:val="single" w:sz="4" w:space="0" w:color="auto"/>
              <w:left w:val="nil"/>
              <w:bottom w:val="single" w:sz="4" w:space="0" w:color="auto"/>
              <w:right w:val="nil"/>
            </w:tcBorders>
          </w:tcPr>
          <w:p w14:paraId="7F016FF4" w14:textId="710D862C"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w:t>
            </w:r>
          </w:p>
        </w:tc>
      </w:tr>
      <w:tr w:rsidR="00E35FF4" w:rsidRPr="00E076F1" w14:paraId="0C944B38" w14:textId="77777777" w:rsidTr="00E37AD1">
        <w:tc>
          <w:tcPr>
            <w:tcW w:w="3020" w:type="dxa"/>
            <w:tcBorders>
              <w:top w:val="single" w:sz="4" w:space="0" w:color="auto"/>
              <w:left w:val="nil"/>
              <w:bottom w:val="single" w:sz="4" w:space="0" w:color="auto"/>
              <w:right w:val="nil"/>
            </w:tcBorders>
          </w:tcPr>
          <w:p w14:paraId="707EFD2E" w14:textId="594CFA02"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a</w:t>
            </w:r>
          </w:p>
        </w:tc>
        <w:tc>
          <w:tcPr>
            <w:tcW w:w="3020" w:type="dxa"/>
            <w:tcBorders>
              <w:top w:val="single" w:sz="4" w:space="0" w:color="auto"/>
              <w:left w:val="nil"/>
              <w:bottom w:val="single" w:sz="4" w:space="0" w:color="auto"/>
              <w:right w:val="nil"/>
            </w:tcBorders>
          </w:tcPr>
          <w:p w14:paraId="52C3C31F" w14:textId="2AB39C44"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108</w:t>
            </w:r>
          </w:p>
        </w:tc>
        <w:tc>
          <w:tcPr>
            <w:tcW w:w="3021" w:type="dxa"/>
            <w:tcBorders>
              <w:top w:val="single" w:sz="4" w:space="0" w:color="auto"/>
              <w:left w:val="nil"/>
              <w:bottom w:val="single" w:sz="4" w:space="0" w:color="auto"/>
              <w:right w:val="nil"/>
            </w:tcBorders>
          </w:tcPr>
          <w:p w14:paraId="3B216E61" w14:textId="176868B6"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108</w:t>
            </w:r>
          </w:p>
        </w:tc>
      </w:tr>
      <w:tr w:rsidR="00E35FF4" w:rsidRPr="00E076F1" w14:paraId="578C70C3" w14:textId="77777777" w:rsidTr="00E37AD1">
        <w:tc>
          <w:tcPr>
            <w:tcW w:w="3020" w:type="dxa"/>
            <w:tcBorders>
              <w:top w:val="single" w:sz="4" w:space="0" w:color="auto"/>
              <w:left w:val="nil"/>
              <w:bottom w:val="nil"/>
              <w:right w:val="nil"/>
            </w:tcBorders>
          </w:tcPr>
          <w:p w14:paraId="30165DDD" w14:textId="1B85D05B"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r w:rsidRPr="00E076F1">
              <w:rPr>
                <w:rFonts w:eastAsia="TimesNewRoman,Bold"/>
                <w:b/>
                <w:bCs/>
                <w:snapToGrid/>
                <w:vertAlign w:val="superscript"/>
                <w:lang w:val="hu-HU" w:eastAsia="en-GB"/>
              </w:rPr>
              <w:t>b</w:t>
            </w:r>
          </w:p>
        </w:tc>
        <w:tc>
          <w:tcPr>
            <w:tcW w:w="3020" w:type="dxa"/>
            <w:tcBorders>
              <w:top w:val="single" w:sz="4" w:space="0" w:color="auto"/>
              <w:left w:val="nil"/>
              <w:bottom w:val="nil"/>
              <w:right w:val="nil"/>
            </w:tcBorders>
          </w:tcPr>
          <w:p w14:paraId="651BBBCD"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7400A37A"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35FF4" w:rsidRPr="00E076F1" w14:paraId="51EA39CF" w14:textId="77777777" w:rsidTr="00E37AD1">
        <w:tc>
          <w:tcPr>
            <w:tcW w:w="3020" w:type="dxa"/>
            <w:tcBorders>
              <w:top w:val="nil"/>
              <w:left w:val="nil"/>
              <w:bottom w:val="nil"/>
              <w:right w:val="nil"/>
            </w:tcBorders>
          </w:tcPr>
          <w:p w14:paraId="41CEC2FB"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341ADE5E" w14:textId="69AF4A51" w:rsidR="00E35FF4"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8,08</w:t>
            </w:r>
          </w:p>
        </w:tc>
        <w:tc>
          <w:tcPr>
            <w:tcW w:w="3021" w:type="dxa"/>
            <w:tcBorders>
              <w:top w:val="nil"/>
              <w:left w:val="nil"/>
              <w:bottom w:val="nil"/>
              <w:right w:val="nil"/>
            </w:tcBorders>
          </w:tcPr>
          <w:p w14:paraId="05D1850F" w14:textId="238D810C" w:rsidR="00E35FF4"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8,24</w:t>
            </w:r>
          </w:p>
        </w:tc>
      </w:tr>
      <w:tr w:rsidR="00E35FF4" w:rsidRPr="00E076F1" w14:paraId="6F388B5E" w14:textId="77777777" w:rsidTr="00E37AD1">
        <w:tc>
          <w:tcPr>
            <w:tcW w:w="3020" w:type="dxa"/>
            <w:tcBorders>
              <w:top w:val="nil"/>
              <w:left w:val="nil"/>
              <w:bottom w:val="nil"/>
              <w:right w:val="nil"/>
            </w:tcBorders>
          </w:tcPr>
          <w:p w14:paraId="21B89E3B" w14:textId="7F15CA07" w:rsidR="00E35FF4"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Változás a kiindulási értékhez képest</w:t>
            </w:r>
            <w:r w:rsidRPr="00E076F1">
              <w:rPr>
                <w:snapToGrid/>
                <w:vertAlign w:val="superscript"/>
                <w:lang w:val="hu-HU" w:eastAsia="en-GB"/>
              </w:rPr>
              <w:t xml:space="preserve"> </w:t>
            </w:r>
            <w:r w:rsidR="00E35FF4" w:rsidRPr="00E076F1">
              <w:rPr>
                <w:snapToGrid/>
                <w:vertAlign w:val="superscript"/>
                <w:lang w:val="hu-HU" w:eastAsia="en-GB"/>
              </w:rPr>
              <w:t>c</w:t>
            </w:r>
          </w:p>
        </w:tc>
        <w:tc>
          <w:tcPr>
            <w:tcW w:w="3020" w:type="dxa"/>
            <w:tcBorders>
              <w:top w:val="nil"/>
              <w:left w:val="nil"/>
              <w:bottom w:val="nil"/>
              <w:right w:val="nil"/>
            </w:tcBorders>
          </w:tcPr>
          <w:p w14:paraId="429B03B7" w14:textId="2E7F4F02"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EC68FC" w:rsidRPr="00E076F1">
              <w:rPr>
                <w:rFonts w:eastAsia="TimesNewRoman,Bold"/>
                <w:snapToGrid/>
                <w:lang w:val="hu-HU" w:eastAsia="en-GB"/>
              </w:rPr>
              <w:t>86</w:t>
            </w:r>
          </w:p>
        </w:tc>
        <w:tc>
          <w:tcPr>
            <w:tcW w:w="3021" w:type="dxa"/>
            <w:tcBorders>
              <w:top w:val="nil"/>
              <w:left w:val="nil"/>
              <w:bottom w:val="nil"/>
              <w:right w:val="nil"/>
            </w:tcBorders>
          </w:tcPr>
          <w:p w14:paraId="4FEA6BDB" w14:textId="3D71D394"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EC68FC" w:rsidRPr="00E076F1">
              <w:rPr>
                <w:rFonts w:eastAsia="TimesNewRoman,Bold"/>
                <w:snapToGrid/>
                <w:lang w:val="hu-HU" w:eastAsia="en-GB"/>
              </w:rPr>
              <w:t>17</w:t>
            </w:r>
          </w:p>
        </w:tc>
      </w:tr>
      <w:tr w:rsidR="00E35FF4" w:rsidRPr="00E076F1" w14:paraId="015DAFAA" w14:textId="77777777" w:rsidTr="00E37AD1">
        <w:tc>
          <w:tcPr>
            <w:tcW w:w="3020" w:type="dxa"/>
            <w:tcBorders>
              <w:top w:val="nil"/>
              <w:left w:val="nil"/>
              <w:bottom w:val="nil"/>
              <w:right w:val="nil"/>
            </w:tcBorders>
          </w:tcPr>
          <w:p w14:paraId="67479B0B" w14:textId="4CC6B6CE" w:rsidR="00E35FF4"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w:t>
            </w:r>
            <w:r w:rsidR="00E35FF4" w:rsidRPr="00E076F1">
              <w:rPr>
                <w:snapToGrid/>
                <w:lang w:val="hu-HU" w:eastAsia="en-GB"/>
              </w:rPr>
              <w:t xml:space="preserve"> viszonyított különbség</w:t>
            </w:r>
            <w:r w:rsidR="00E35FF4" w:rsidRPr="00E076F1">
              <w:rPr>
                <w:snapToGrid/>
                <w:vertAlign w:val="superscript"/>
                <w:lang w:val="hu-HU" w:eastAsia="en-GB"/>
              </w:rPr>
              <w:t>c</w:t>
            </w:r>
          </w:p>
        </w:tc>
        <w:tc>
          <w:tcPr>
            <w:tcW w:w="3020" w:type="dxa"/>
            <w:tcBorders>
              <w:top w:val="nil"/>
              <w:left w:val="nil"/>
              <w:bottom w:val="nil"/>
              <w:right w:val="nil"/>
            </w:tcBorders>
          </w:tcPr>
          <w:p w14:paraId="4113E59D" w14:textId="5C8BF362" w:rsidR="00E35FF4"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-0,69</w:t>
            </w:r>
          </w:p>
        </w:tc>
        <w:tc>
          <w:tcPr>
            <w:tcW w:w="3021" w:type="dxa"/>
            <w:tcBorders>
              <w:top w:val="nil"/>
              <w:left w:val="nil"/>
              <w:bottom w:val="nil"/>
              <w:right w:val="nil"/>
            </w:tcBorders>
          </w:tcPr>
          <w:p w14:paraId="335C921A"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35FF4" w:rsidRPr="00E076F1" w14:paraId="465B6F5B" w14:textId="77777777" w:rsidTr="00E37AD1">
        <w:tc>
          <w:tcPr>
            <w:tcW w:w="3020" w:type="dxa"/>
            <w:tcBorders>
              <w:top w:val="nil"/>
              <w:left w:val="nil"/>
              <w:bottom w:val="single" w:sz="4" w:space="0" w:color="auto"/>
              <w:right w:val="nil"/>
            </w:tcBorders>
          </w:tcPr>
          <w:p w14:paraId="0228B36D"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3020" w:type="dxa"/>
            <w:tcBorders>
              <w:top w:val="nil"/>
              <w:left w:val="nil"/>
              <w:bottom w:val="single" w:sz="4" w:space="0" w:color="auto"/>
              <w:right w:val="nil"/>
            </w:tcBorders>
          </w:tcPr>
          <w:p w14:paraId="6E780595" w14:textId="3B4DBA7A"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w:t>
            </w:r>
            <w:r w:rsidR="00EC68FC" w:rsidRPr="00E076F1">
              <w:rPr>
                <w:snapToGrid/>
                <w:lang w:val="hu-HU" w:eastAsia="en-GB"/>
              </w:rPr>
              <w:t>89;</w:t>
            </w:r>
            <w:r w:rsidRPr="00E076F1">
              <w:rPr>
                <w:snapToGrid/>
                <w:lang w:val="hu-HU" w:eastAsia="en-GB"/>
              </w:rPr>
              <w:t xml:space="preserve"> </w:t>
            </w:r>
            <w:r w:rsidR="00EC68FC" w:rsidRPr="00E076F1">
              <w:rPr>
                <w:snapToGrid/>
                <w:lang w:val="hu-HU" w:eastAsia="en-GB"/>
              </w:rPr>
              <w:t>-</w:t>
            </w:r>
            <w:r w:rsidRPr="00E076F1">
              <w:rPr>
                <w:snapToGrid/>
                <w:lang w:val="hu-HU" w:eastAsia="en-GB"/>
              </w:rPr>
              <w:t>0,</w:t>
            </w:r>
            <w:r w:rsidR="00EC68FC" w:rsidRPr="00E076F1">
              <w:rPr>
                <w:snapToGrid/>
                <w:lang w:val="hu-HU" w:eastAsia="en-GB"/>
              </w:rPr>
              <w:t>49</w:t>
            </w:r>
            <w:r w:rsidRPr="00E076F1">
              <w:rPr>
                <w:snapToGrid/>
                <w:lang w:val="hu-HU" w:eastAsia="en-GB"/>
              </w:rPr>
              <w:t>)</w:t>
            </w:r>
          </w:p>
        </w:tc>
        <w:tc>
          <w:tcPr>
            <w:tcW w:w="3021" w:type="dxa"/>
            <w:tcBorders>
              <w:top w:val="nil"/>
              <w:left w:val="nil"/>
              <w:bottom w:val="single" w:sz="4" w:space="0" w:color="auto"/>
              <w:right w:val="nil"/>
            </w:tcBorders>
          </w:tcPr>
          <w:p w14:paraId="0D7B182F"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C68FC" w:rsidRPr="00E076F1" w14:paraId="0E6D9AC9" w14:textId="77777777" w:rsidTr="00E37AD1">
        <w:tc>
          <w:tcPr>
            <w:tcW w:w="3020" w:type="dxa"/>
            <w:tcBorders>
              <w:top w:val="nil"/>
              <w:left w:val="nil"/>
              <w:bottom w:val="single" w:sz="4" w:space="0" w:color="auto"/>
              <w:right w:val="nil"/>
            </w:tcBorders>
          </w:tcPr>
          <w:p w14:paraId="6796AB14" w14:textId="2BD8F14B" w:rsidR="00EC68FC" w:rsidRPr="00E076F1" w:rsidRDefault="00EC68FC"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A betegek (%), akik elérték:</w:t>
            </w:r>
          </w:p>
          <w:p w14:paraId="6A1F3C37" w14:textId="1A2E1075" w:rsidR="00EC68FC" w:rsidRPr="00E076F1" w:rsidRDefault="00EC68FC" w:rsidP="00E076F1">
            <w:pPr>
              <w:tabs>
                <w:tab w:val="clear" w:pos="567"/>
              </w:tabs>
              <w:autoSpaceDE w:val="0"/>
              <w:autoSpaceDN w:val="0"/>
              <w:adjustRightInd w:val="0"/>
              <w:spacing w:line="240" w:lineRule="auto"/>
              <w:rPr>
                <w:snapToGrid/>
                <w:lang w:val="hu-HU" w:eastAsia="en-GB"/>
              </w:rPr>
            </w:pPr>
            <w:r w:rsidRPr="00E076F1">
              <w:rPr>
                <w:rFonts w:eastAsia="TimesNewRoman,Bold"/>
                <w:b/>
                <w:bCs/>
                <w:snapToGrid/>
                <w:lang w:val="hu-HU" w:eastAsia="en-GB"/>
              </w:rPr>
              <w:t>HbA1c &lt; 7%</w:t>
            </w:r>
          </w:p>
        </w:tc>
        <w:tc>
          <w:tcPr>
            <w:tcW w:w="3020" w:type="dxa"/>
            <w:tcBorders>
              <w:top w:val="nil"/>
              <w:left w:val="nil"/>
              <w:bottom w:val="single" w:sz="4" w:space="0" w:color="auto"/>
              <w:right w:val="nil"/>
            </w:tcBorders>
          </w:tcPr>
          <w:p w14:paraId="4B55F2E1" w14:textId="77777777" w:rsidR="00EC68FC" w:rsidRPr="00E076F1" w:rsidRDefault="00EC68FC" w:rsidP="00E076F1">
            <w:pPr>
              <w:tabs>
                <w:tab w:val="clear" w:pos="567"/>
              </w:tabs>
              <w:autoSpaceDE w:val="0"/>
              <w:autoSpaceDN w:val="0"/>
              <w:adjustRightInd w:val="0"/>
              <w:spacing w:line="240" w:lineRule="auto"/>
              <w:rPr>
                <w:snapToGrid/>
                <w:lang w:val="hu-HU" w:eastAsia="en-GB"/>
              </w:rPr>
            </w:pPr>
          </w:p>
        </w:tc>
        <w:tc>
          <w:tcPr>
            <w:tcW w:w="3021" w:type="dxa"/>
            <w:tcBorders>
              <w:top w:val="nil"/>
              <w:left w:val="nil"/>
              <w:bottom w:val="single" w:sz="4" w:space="0" w:color="auto"/>
              <w:right w:val="nil"/>
            </w:tcBorders>
          </w:tcPr>
          <w:p w14:paraId="3B5386F8" w14:textId="77777777" w:rsidR="00EC68FC" w:rsidRPr="00E076F1" w:rsidRDefault="00EC68FC" w:rsidP="00E076F1">
            <w:pPr>
              <w:tabs>
                <w:tab w:val="clear" w:pos="567"/>
              </w:tabs>
              <w:autoSpaceDE w:val="0"/>
              <w:autoSpaceDN w:val="0"/>
              <w:adjustRightInd w:val="0"/>
              <w:spacing w:line="240" w:lineRule="auto"/>
              <w:rPr>
                <w:rFonts w:eastAsia="TimesNewRoman,Bold"/>
                <w:snapToGrid/>
                <w:lang w:val="hu-HU" w:eastAsia="en-GB"/>
              </w:rPr>
            </w:pPr>
          </w:p>
        </w:tc>
      </w:tr>
      <w:tr w:rsidR="00EC68FC" w:rsidRPr="00E076F1" w14:paraId="0AB91DFB" w14:textId="77777777" w:rsidTr="00E37AD1">
        <w:tc>
          <w:tcPr>
            <w:tcW w:w="3020" w:type="dxa"/>
            <w:tcBorders>
              <w:top w:val="nil"/>
              <w:left w:val="nil"/>
              <w:bottom w:val="single" w:sz="4" w:space="0" w:color="auto"/>
              <w:right w:val="nil"/>
            </w:tcBorders>
          </w:tcPr>
          <w:p w14:paraId="27B5C6E0" w14:textId="4F482CE2" w:rsidR="00EC68FC"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A kiindulási értékre korrigálva</w:t>
            </w:r>
          </w:p>
        </w:tc>
        <w:tc>
          <w:tcPr>
            <w:tcW w:w="3020" w:type="dxa"/>
            <w:tcBorders>
              <w:top w:val="nil"/>
              <w:left w:val="nil"/>
              <w:bottom w:val="single" w:sz="4" w:space="0" w:color="auto"/>
              <w:right w:val="nil"/>
            </w:tcBorders>
          </w:tcPr>
          <w:p w14:paraId="039B510D" w14:textId="096B81C5" w:rsidR="00EC68FC"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31,8*</w:t>
            </w:r>
          </w:p>
        </w:tc>
        <w:tc>
          <w:tcPr>
            <w:tcW w:w="3021" w:type="dxa"/>
            <w:tcBorders>
              <w:top w:val="nil"/>
              <w:left w:val="nil"/>
              <w:bottom w:val="single" w:sz="4" w:space="0" w:color="auto"/>
              <w:right w:val="nil"/>
            </w:tcBorders>
          </w:tcPr>
          <w:p w14:paraId="788112BF" w14:textId="24FA844A" w:rsidR="00EC68FC"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11,1</w:t>
            </w:r>
          </w:p>
        </w:tc>
      </w:tr>
      <w:tr w:rsidR="00E35FF4" w:rsidRPr="00E076F1" w14:paraId="31820F64" w14:textId="77777777" w:rsidTr="00E37AD1">
        <w:tc>
          <w:tcPr>
            <w:tcW w:w="3020" w:type="dxa"/>
            <w:tcBorders>
              <w:top w:val="single" w:sz="4" w:space="0" w:color="auto"/>
              <w:left w:val="nil"/>
              <w:bottom w:val="nil"/>
              <w:right w:val="nil"/>
            </w:tcBorders>
          </w:tcPr>
          <w:p w14:paraId="3CCBDD4F"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Testtömeg (kg)</w:t>
            </w:r>
          </w:p>
        </w:tc>
        <w:tc>
          <w:tcPr>
            <w:tcW w:w="3020" w:type="dxa"/>
            <w:tcBorders>
              <w:top w:val="single" w:sz="4" w:space="0" w:color="auto"/>
              <w:left w:val="nil"/>
              <w:bottom w:val="nil"/>
              <w:right w:val="nil"/>
            </w:tcBorders>
          </w:tcPr>
          <w:p w14:paraId="73F60513"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402DA0E4"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35FF4" w:rsidRPr="00E076F1" w14:paraId="00C61E83" w14:textId="77777777" w:rsidTr="00E37AD1">
        <w:tc>
          <w:tcPr>
            <w:tcW w:w="3020" w:type="dxa"/>
            <w:tcBorders>
              <w:top w:val="nil"/>
              <w:left w:val="nil"/>
              <w:bottom w:val="nil"/>
              <w:right w:val="nil"/>
            </w:tcBorders>
          </w:tcPr>
          <w:p w14:paraId="65952A85"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268D1D30" w14:textId="375E3650"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88,</w:t>
            </w:r>
            <w:r w:rsidR="00EC68FC" w:rsidRPr="00E076F1">
              <w:rPr>
                <w:snapToGrid/>
                <w:lang w:val="hu-HU" w:eastAsia="en-GB"/>
              </w:rPr>
              <w:t>57</w:t>
            </w:r>
          </w:p>
        </w:tc>
        <w:tc>
          <w:tcPr>
            <w:tcW w:w="3021" w:type="dxa"/>
            <w:tcBorders>
              <w:top w:val="nil"/>
              <w:left w:val="nil"/>
              <w:bottom w:val="nil"/>
              <w:right w:val="nil"/>
            </w:tcBorders>
          </w:tcPr>
          <w:p w14:paraId="0EA5915C" w14:textId="0B1C669D" w:rsidR="00E35FF4"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w:t>
            </w:r>
            <w:r w:rsidR="005A058D" w:rsidRPr="00E076F1">
              <w:rPr>
                <w:rFonts w:eastAsia="TimesNewRoman,Bold"/>
                <w:snapToGrid/>
                <w:lang w:val="hu-HU" w:eastAsia="en-GB"/>
              </w:rPr>
              <w:t>0</w:t>
            </w:r>
            <w:r w:rsidRPr="00E076F1">
              <w:rPr>
                <w:rFonts w:eastAsia="TimesNewRoman,Bold"/>
                <w:snapToGrid/>
                <w:lang w:val="hu-HU" w:eastAsia="en-GB"/>
              </w:rPr>
              <w:t>,07</w:t>
            </w:r>
          </w:p>
        </w:tc>
      </w:tr>
      <w:tr w:rsidR="00E35FF4" w:rsidRPr="00E076F1" w14:paraId="4EEFF999" w14:textId="77777777" w:rsidTr="00E37AD1">
        <w:tc>
          <w:tcPr>
            <w:tcW w:w="3020" w:type="dxa"/>
            <w:tcBorders>
              <w:top w:val="nil"/>
              <w:left w:val="nil"/>
              <w:bottom w:val="nil"/>
              <w:right w:val="nil"/>
            </w:tcBorders>
          </w:tcPr>
          <w:p w14:paraId="4B8D41E2" w14:textId="686465FB" w:rsidR="00E35FF4"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Változás a kiindulási értékhez képest</w:t>
            </w:r>
            <w:r w:rsidRPr="00E076F1">
              <w:rPr>
                <w:snapToGrid/>
                <w:vertAlign w:val="superscript"/>
                <w:lang w:val="hu-HU" w:eastAsia="en-GB"/>
              </w:rPr>
              <w:t>c</w:t>
            </w:r>
          </w:p>
        </w:tc>
        <w:tc>
          <w:tcPr>
            <w:tcW w:w="3020" w:type="dxa"/>
            <w:tcBorders>
              <w:top w:val="nil"/>
              <w:left w:val="nil"/>
              <w:bottom w:val="nil"/>
              <w:right w:val="nil"/>
            </w:tcBorders>
          </w:tcPr>
          <w:p w14:paraId="05256116" w14:textId="5B995D6A" w:rsidR="00EC68FC"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-2,65</w:t>
            </w:r>
          </w:p>
        </w:tc>
        <w:tc>
          <w:tcPr>
            <w:tcW w:w="3021" w:type="dxa"/>
            <w:tcBorders>
              <w:top w:val="nil"/>
              <w:left w:val="nil"/>
              <w:bottom w:val="nil"/>
              <w:right w:val="nil"/>
            </w:tcBorders>
          </w:tcPr>
          <w:p w14:paraId="060A29BD" w14:textId="43319A39" w:rsidR="00EC68FC"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-0,58</w:t>
            </w:r>
          </w:p>
        </w:tc>
      </w:tr>
      <w:tr w:rsidR="00E35FF4" w:rsidRPr="00E076F1" w14:paraId="56F0B97D" w14:textId="77777777" w:rsidTr="00E37AD1">
        <w:tc>
          <w:tcPr>
            <w:tcW w:w="3020" w:type="dxa"/>
            <w:tcBorders>
              <w:top w:val="nil"/>
              <w:left w:val="nil"/>
              <w:bottom w:val="nil"/>
              <w:right w:val="nil"/>
            </w:tcBorders>
          </w:tcPr>
          <w:p w14:paraId="6747366D" w14:textId="148263A0" w:rsidR="00E35FF4"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w:t>
            </w:r>
            <w:r w:rsidR="00E35FF4" w:rsidRPr="00E076F1">
              <w:rPr>
                <w:snapToGrid/>
                <w:lang w:val="hu-HU" w:eastAsia="en-GB"/>
              </w:rPr>
              <w:t xml:space="preserve"> viszonyított különbség</w:t>
            </w:r>
            <w:r w:rsidR="00E35FF4" w:rsidRPr="00E076F1">
              <w:rPr>
                <w:snapToGrid/>
                <w:vertAlign w:val="superscript"/>
                <w:lang w:val="hu-HU" w:eastAsia="en-GB"/>
              </w:rPr>
              <w:t>c</w:t>
            </w:r>
          </w:p>
        </w:tc>
        <w:tc>
          <w:tcPr>
            <w:tcW w:w="3020" w:type="dxa"/>
            <w:tcBorders>
              <w:top w:val="nil"/>
              <w:left w:val="nil"/>
              <w:bottom w:val="nil"/>
              <w:right w:val="nil"/>
            </w:tcBorders>
          </w:tcPr>
          <w:p w14:paraId="31FFD741" w14:textId="5B0E16AC"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5A058D" w:rsidRPr="00E076F1">
              <w:rPr>
                <w:snapToGrid/>
                <w:lang w:val="hu-HU" w:eastAsia="en-GB"/>
              </w:rPr>
              <w:t>2,07</w:t>
            </w:r>
            <w:r w:rsidRPr="00E076F1">
              <w:rPr>
                <w:snapToGrid/>
                <w:lang w:val="hu-HU" w:eastAsia="en-GB"/>
              </w:rPr>
              <w:t>*</w:t>
            </w:r>
          </w:p>
        </w:tc>
        <w:tc>
          <w:tcPr>
            <w:tcW w:w="3021" w:type="dxa"/>
            <w:tcBorders>
              <w:top w:val="nil"/>
              <w:left w:val="nil"/>
              <w:bottom w:val="nil"/>
              <w:right w:val="nil"/>
            </w:tcBorders>
          </w:tcPr>
          <w:p w14:paraId="3EF1A26B"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35FF4" w:rsidRPr="00E076F1" w14:paraId="5B8D2C28" w14:textId="77777777" w:rsidTr="00E37AD1">
        <w:tc>
          <w:tcPr>
            <w:tcW w:w="3020" w:type="dxa"/>
            <w:tcBorders>
              <w:top w:val="nil"/>
              <w:left w:val="nil"/>
              <w:bottom w:val="single" w:sz="4" w:space="0" w:color="auto"/>
              <w:right w:val="nil"/>
            </w:tcBorders>
          </w:tcPr>
          <w:p w14:paraId="6C08C959" w14:textId="44ADAC59"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en-US" w:eastAsia="en-GB"/>
              </w:rPr>
              <w:t>(95% CI)</w:t>
            </w:r>
          </w:p>
        </w:tc>
        <w:tc>
          <w:tcPr>
            <w:tcW w:w="3020" w:type="dxa"/>
            <w:tcBorders>
              <w:top w:val="nil"/>
              <w:left w:val="nil"/>
              <w:bottom w:val="single" w:sz="4" w:space="0" w:color="auto"/>
              <w:right w:val="nil"/>
            </w:tcBorders>
          </w:tcPr>
          <w:p w14:paraId="28214C7A" w14:textId="6FF6770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w:t>
            </w:r>
            <w:r w:rsidR="00EC68FC" w:rsidRPr="00E076F1">
              <w:rPr>
                <w:snapToGrid/>
                <w:lang w:val="en-US" w:eastAsia="en-GB"/>
              </w:rPr>
              <w:t>2,97;</w:t>
            </w:r>
            <w:r w:rsidRPr="00E076F1">
              <w:rPr>
                <w:snapToGrid/>
                <w:lang w:val="en-US" w:eastAsia="en-GB"/>
              </w:rPr>
              <w:t xml:space="preserve"> -</w:t>
            </w:r>
            <w:r w:rsidR="00EC68FC" w:rsidRPr="00E076F1">
              <w:rPr>
                <w:snapToGrid/>
                <w:lang w:val="en-US" w:eastAsia="en-GB"/>
              </w:rPr>
              <w:t>1,35</w:t>
            </w:r>
            <w:r w:rsidRPr="00E076F1">
              <w:rPr>
                <w:snapToGrid/>
                <w:lang w:val="en-US" w:eastAsia="en-GB"/>
              </w:rPr>
              <w:t>)</w:t>
            </w:r>
          </w:p>
        </w:tc>
        <w:tc>
          <w:tcPr>
            <w:tcW w:w="3021" w:type="dxa"/>
            <w:tcBorders>
              <w:top w:val="nil"/>
              <w:left w:val="nil"/>
              <w:bottom w:val="single" w:sz="4" w:space="0" w:color="auto"/>
              <w:right w:val="nil"/>
            </w:tcBorders>
          </w:tcPr>
          <w:p w14:paraId="207FA297"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bl>
    <w:p w14:paraId="7C34EFD5" w14:textId="28CEF38D"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1</w:t>
      </w:r>
      <w:r w:rsidRPr="00E076F1">
        <w:rPr>
          <w:snapToGrid/>
          <w:lang w:val="hu-HU" w:eastAsia="en-GB"/>
        </w:rPr>
        <w:t xml:space="preserve"> Metformin (azonnali vagy nyújtott hatóanyag-leadású formák) ≥ 1500</w:t>
      </w:r>
      <w:r w:rsidR="00122450" w:rsidRPr="00E076F1">
        <w:rPr>
          <w:snapToGrid/>
          <w:lang w:val="hu-HU" w:eastAsia="en-GB"/>
        </w:rPr>
        <w:t> mg</w:t>
      </w:r>
      <w:r w:rsidRPr="00E076F1">
        <w:rPr>
          <w:snapToGrid/>
          <w:lang w:val="hu-HU" w:eastAsia="en-GB"/>
        </w:rPr>
        <w:t>/nap plusz a szulfonilurea maximálisan tolerált dózisa a beválogatást megelőzően legalább 8 hétig, amelynek legalább a maximális adag felének kell lennie.</w:t>
      </w:r>
    </w:p>
    <w:p w14:paraId="0CC71501" w14:textId="1B4437A5"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a</w:t>
      </w:r>
      <w:r w:rsidRPr="00E076F1">
        <w:rPr>
          <w:snapToGrid/>
          <w:lang w:val="hu-HU" w:eastAsia="en-GB"/>
        </w:rPr>
        <w:t xml:space="preserve"> Olyan randomizált és kezelt betegek, akiknek a vizsgálat megkezdésekor és a vizsgálat megkezdése után legalább 1 hatásossági vizsgálati eredményük volt.</w:t>
      </w:r>
    </w:p>
    <w:p w14:paraId="4C7D8780" w14:textId="23176DD0"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HbA1c elemzése LRM analízissel (Longitudinális ismételt méréseken alapuló analízis)</w:t>
      </w:r>
    </w:p>
    <w:p w14:paraId="06C425ED" w14:textId="54DC993B"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átlaga</w:t>
      </w:r>
    </w:p>
    <w:p w14:paraId="44CEFA1A" w14:textId="26623F37" w:rsidR="00E35FF4"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*p-érték &lt; 0,0001 versus placebo + </w:t>
      </w:r>
      <w:r w:rsidRPr="00E076F1">
        <w:rPr>
          <w:rFonts w:eastAsia="TimesNewRoman,Italic"/>
          <w:i/>
          <w:iCs/>
          <w:snapToGrid/>
          <w:lang w:val="hu-HU" w:eastAsia="en-GB"/>
        </w:rPr>
        <w:t xml:space="preserve">per os </w:t>
      </w:r>
      <w:r w:rsidRPr="00E076F1">
        <w:rPr>
          <w:snapToGrid/>
          <w:lang w:val="hu-HU" w:eastAsia="en-GB"/>
        </w:rPr>
        <w:t>glükózszintcsökkentő gyógyszer(ek)</w:t>
      </w:r>
    </w:p>
    <w:p w14:paraId="2CDF897A" w14:textId="696692FB"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hu-HU" w:eastAsia="en-GB"/>
        </w:rPr>
        <w:br w:type="page"/>
      </w:r>
    </w:p>
    <w:p w14:paraId="1F219F85" w14:textId="77777777" w:rsidR="00E35FF4" w:rsidRPr="00E076F1" w:rsidRDefault="00E35FF4" w:rsidP="00E076F1">
      <w:pPr>
        <w:tabs>
          <w:tab w:val="clear" w:pos="567"/>
        </w:tabs>
        <w:autoSpaceDE w:val="0"/>
        <w:autoSpaceDN w:val="0"/>
        <w:adjustRightInd w:val="0"/>
        <w:spacing w:line="240" w:lineRule="auto"/>
        <w:rPr>
          <w:snapToGrid/>
          <w:lang w:val="hu-HU" w:eastAsia="en-GB"/>
        </w:rPr>
      </w:pPr>
    </w:p>
    <w:p w14:paraId="0EA2E6BE" w14:textId="221FF667" w:rsidR="00E35FF4" w:rsidRPr="00E076F1" w:rsidRDefault="005A058D"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 xml:space="preserve">6. táblázat A dapagliflozin (önmagában vagy </w:t>
      </w:r>
      <w:r w:rsidRPr="00E076F1">
        <w:rPr>
          <w:rFonts w:eastAsia="TimesNewRoman,Bold"/>
          <w:b/>
          <w:bCs/>
          <w:i/>
          <w:iCs/>
          <w:snapToGrid/>
          <w:szCs w:val="22"/>
          <w:lang w:val="hu-HU" w:eastAsia="en-GB"/>
        </w:rPr>
        <w:t xml:space="preserve">per os </w:t>
      </w:r>
      <w:r w:rsidRPr="00E076F1">
        <w:rPr>
          <w:rFonts w:eastAsia="TimesNewRoman,Bold"/>
          <w:b/>
          <w:bCs/>
          <w:snapToGrid/>
          <w:szCs w:val="22"/>
          <w:lang w:val="hu-HU" w:eastAsia="en-GB"/>
        </w:rPr>
        <w:t>glükózszintcsökkentő gyógyszerrel együtt, beleértve a metformint is) inzulinnal történő kombinációjának placebokontrollos vizsgálati eredményei a 24. héten (LOCF</w:t>
      </w:r>
      <w:r w:rsidRPr="00E076F1">
        <w:rPr>
          <w:rFonts w:eastAsia="TimesNewRoman,Bold"/>
          <w:b/>
          <w:bCs/>
          <w:snapToGrid/>
          <w:szCs w:val="22"/>
          <w:vertAlign w:val="superscript"/>
          <w:lang w:val="hu-HU" w:eastAsia="en-GB"/>
        </w:rPr>
        <w:t>a</w:t>
      </w:r>
      <w:r w:rsidRPr="00E076F1">
        <w:rPr>
          <w:rFonts w:eastAsia="TimesNewRoman,Bold"/>
          <w:b/>
          <w:bCs/>
          <w:snapToGrid/>
          <w:szCs w:val="22"/>
          <w:lang w:val="hu-HU" w:eastAsia="en-GB"/>
        </w:rPr>
        <w:t>)</w:t>
      </w:r>
    </w:p>
    <w:tbl>
      <w:tblPr>
        <w:tblStyle w:val="Rcsostblzat"/>
        <w:tblW w:w="0" w:type="auto"/>
        <w:tblLook w:val="0420" w:firstRow="1" w:lastRow="0" w:firstColumn="0" w:lastColumn="0" w:noHBand="0" w:noVBand="1"/>
      </w:tblPr>
      <w:tblGrid>
        <w:gridCol w:w="3020"/>
        <w:gridCol w:w="3020"/>
        <w:gridCol w:w="3021"/>
      </w:tblGrid>
      <w:tr w:rsidR="005A058D" w:rsidRPr="0030763D" w14:paraId="302BA88B" w14:textId="77777777" w:rsidTr="00E37AD1">
        <w:tc>
          <w:tcPr>
            <w:tcW w:w="3020" w:type="dxa"/>
            <w:tcBorders>
              <w:top w:val="single" w:sz="4" w:space="0" w:color="auto"/>
              <w:left w:val="nil"/>
              <w:bottom w:val="single" w:sz="4" w:space="0" w:color="auto"/>
              <w:right w:val="nil"/>
            </w:tcBorders>
          </w:tcPr>
          <w:p w14:paraId="0D8ABB86"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c>
          <w:tcPr>
            <w:tcW w:w="3020" w:type="dxa"/>
            <w:tcBorders>
              <w:top w:val="single" w:sz="4" w:space="0" w:color="auto"/>
              <w:left w:val="nil"/>
              <w:bottom w:val="single" w:sz="4" w:space="0" w:color="auto"/>
              <w:right w:val="nil"/>
            </w:tcBorders>
          </w:tcPr>
          <w:p w14:paraId="1912E5AE" w14:textId="3F3C8397"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10</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dapagliflozin</w:t>
            </w:r>
          </w:p>
          <w:p w14:paraId="0501F1C5" w14:textId="77777777"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inzulin</w:t>
            </w:r>
          </w:p>
          <w:p w14:paraId="68EED0F3" w14:textId="08235CCC"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xml:space="preserve">± </w:t>
            </w:r>
            <w:r w:rsidRPr="00E076F1">
              <w:rPr>
                <w:rFonts w:eastAsia="TimesNewRoman,Bold"/>
                <w:b/>
                <w:bCs/>
                <w:i/>
                <w:iCs/>
                <w:snapToGrid/>
                <w:lang w:val="hu-HU" w:eastAsia="en-GB"/>
              </w:rPr>
              <w:t xml:space="preserve">per os </w:t>
            </w:r>
            <w:r w:rsidRPr="00E076F1">
              <w:rPr>
                <w:rFonts w:eastAsia="TimesNewRoman,Bold"/>
                <w:b/>
                <w:bCs/>
                <w:snapToGrid/>
                <w:lang w:val="hu-HU" w:eastAsia="en-GB"/>
              </w:rPr>
              <w:t>glükózszint-csökkentő gyógyszerek</w:t>
            </w:r>
            <w:r w:rsidRPr="00E076F1">
              <w:rPr>
                <w:rFonts w:eastAsia="TimesNewRoman,Bold"/>
                <w:snapToGrid/>
                <w:vertAlign w:val="superscript"/>
                <w:lang w:val="hu-HU" w:eastAsia="en-GB"/>
              </w:rPr>
              <w:t>2</w:t>
            </w:r>
          </w:p>
        </w:tc>
        <w:tc>
          <w:tcPr>
            <w:tcW w:w="3021" w:type="dxa"/>
            <w:tcBorders>
              <w:top w:val="single" w:sz="4" w:space="0" w:color="auto"/>
              <w:left w:val="nil"/>
              <w:bottom w:val="single" w:sz="4" w:space="0" w:color="auto"/>
              <w:right w:val="nil"/>
            </w:tcBorders>
          </w:tcPr>
          <w:p w14:paraId="3E9FCD61" w14:textId="77777777"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w:t>
            </w:r>
          </w:p>
          <w:p w14:paraId="1396E9B8" w14:textId="77777777"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inzulin</w:t>
            </w:r>
          </w:p>
          <w:p w14:paraId="2CD2DB16" w14:textId="081C20ED"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xml:space="preserve">± </w:t>
            </w:r>
            <w:r w:rsidRPr="00E076F1">
              <w:rPr>
                <w:rFonts w:eastAsia="TimesNewRoman,Bold"/>
                <w:b/>
                <w:bCs/>
                <w:i/>
                <w:iCs/>
                <w:snapToGrid/>
                <w:lang w:val="hu-HU" w:eastAsia="en-GB"/>
              </w:rPr>
              <w:t xml:space="preserve">per os </w:t>
            </w:r>
            <w:r w:rsidRPr="00E076F1">
              <w:rPr>
                <w:rFonts w:eastAsia="TimesNewRoman,Bold"/>
                <w:b/>
                <w:bCs/>
                <w:snapToGrid/>
                <w:lang w:val="hu-HU" w:eastAsia="en-GB"/>
              </w:rPr>
              <w:t>glükózszint-csökkentő gyógyszerek</w:t>
            </w:r>
            <w:r w:rsidRPr="00E076F1">
              <w:rPr>
                <w:rFonts w:eastAsia="TimesNewRoman,Bold"/>
                <w:snapToGrid/>
                <w:vertAlign w:val="superscript"/>
                <w:lang w:val="hu-HU" w:eastAsia="en-GB"/>
              </w:rPr>
              <w:t>2</w:t>
            </w:r>
          </w:p>
        </w:tc>
      </w:tr>
      <w:tr w:rsidR="005A058D" w:rsidRPr="00E076F1" w14:paraId="47DAAB14" w14:textId="77777777" w:rsidTr="00E37AD1">
        <w:tc>
          <w:tcPr>
            <w:tcW w:w="3020" w:type="dxa"/>
            <w:tcBorders>
              <w:top w:val="single" w:sz="4" w:space="0" w:color="auto"/>
              <w:left w:val="nil"/>
              <w:bottom w:val="single" w:sz="4" w:space="0" w:color="auto"/>
              <w:right w:val="nil"/>
            </w:tcBorders>
          </w:tcPr>
          <w:p w14:paraId="15EDB643" w14:textId="77777777"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a</w:t>
            </w:r>
          </w:p>
        </w:tc>
        <w:tc>
          <w:tcPr>
            <w:tcW w:w="3020" w:type="dxa"/>
            <w:tcBorders>
              <w:top w:val="single" w:sz="4" w:space="0" w:color="auto"/>
              <w:left w:val="nil"/>
              <w:bottom w:val="single" w:sz="4" w:space="0" w:color="auto"/>
              <w:right w:val="nil"/>
            </w:tcBorders>
          </w:tcPr>
          <w:p w14:paraId="5B75F30B" w14:textId="18268154"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194</w:t>
            </w:r>
          </w:p>
        </w:tc>
        <w:tc>
          <w:tcPr>
            <w:tcW w:w="3021" w:type="dxa"/>
            <w:tcBorders>
              <w:top w:val="single" w:sz="4" w:space="0" w:color="auto"/>
              <w:left w:val="nil"/>
              <w:bottom w:val="single" w:sz="4" w:space="0" w:color="auto"/>
              <w:right w:val="nil"/>
            </w:tcBorders>
          </w:tcPr>
          <w:p w14:paraId="56F9CA81" w14:textId="00BE3100"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193</w:t>
            </w:r>
          </w:p>
        </w:tc>
      </w:tr>
      <w:tr w:rsidR="005A058D" w:rsidRPr="00E076F1" w14:paraId="27A4FF8A" w14:textId="77777777" w:rsidTr="00E37AD1">
        <w:tc>
          <w:tcPr>
            <w:tcW w:w="3020" w:type="dxa"/>
            <w:tcBorders>
              <w:top w:val="single" w:sz="4" w:space="0" w:color="auto"/>
              <w:left w:val="nil"/>
              <w:bottom w:val="nil"/>
              <w:right w:val="nil"/>
            </w:tcBorders>
          </w:tcPr>
          <w:p w14:paraId="2AE1ED8B" w14:textId="4F0F8EB6"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3020" w:type="dxa"/>
            <w:tcBorders>
              <w:top w:val="single" w:sz="4" w:space="0" w:color="auto"/>
              <w:left w:val="nil"/>
              <w:bottom w:val="nil"/>
              <w:right w:val="nil"/>
            </w:tcBorders>
          </w:tcPr>
          <w:p w14:paraId="3862A7B7"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3BC8F67D"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22EA7E56" w14:textId="77777777" w:rsidTr="00E37AD1">
        <w:tc>
          <w:tcPr>
            <w:tcW w:w="3020" w:type="dxa"/>
            <w:tcBorders>
              <w:top w:val="nil"/>
              <w:left w:val="nil"/>
              <w:bottom w:val="nil"/>
              <w:right w:val="nil"/>
            </w:tcBorders>
          </w:tcPr>
          <w:p w14:paraId="7FEC1AB5"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1FC9A032" w14:textId="5D1DB908"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8,58</w:t>
            </w:r>
          </w:p>
        </w:tc>
        <w:tc>
          <w:tcPr>
            <w:tcW w:w="3021" w:type="dxa"/>
            <w:tcBorders>
              <w:top w:val="nil"/>
              <w:left w:val="nil"/>
              <w:bottom w:val="nil"/>
              <w:right w:val="nil"/>
            </w:tcBorders>
          </w:tcPr>
          <w:p w14:paraId="15135D2F" w14:textId="53C11079"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8,46</w:t>
            </w:r>
          </w:p>
        </w:tc>
      </w:tr>
      <w:tr w:rsidR="005A058D" w:rsidRPr="00E076F1" w14:paraId="3F2F396D" w14:textId="77777777" w:rsidTr="00E37AD1">
        <w:tc>
          <w:tcPr>
            <w:tcW w:w="3020" w:type="dxa"/>
            <w:tcBorders>
              <w:top w:val="nil"/>
              <w:left w:val="nil"/>
              <w:bottom w:val="nil"/>
              <w:right w:val="nil"/>
            </w:tcBorders>
          </w:tcPr>
          <w:p w14:paraId="18FD6DCE" w14:textId="5A5AA298" w:rsidR="005A058D"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változásc</w:t>
            </w:r>
            <w:r w:rsidR="005A058D" w:rsidRPr="00E076F1">
              <w:rPr>
                <w:snapToGrid/>
                <w:vertAlign w:val="superscript"/>
                <w:lang w:val="hu-HU" w:eastAsia="en-GB"/>
              </w:rPr>
              <w:t>c</w:t>
            </w:r>
          </w:p>
        </w:tc>
        <w:tc>
          <w:tcPr>
            <w:tcW w:w="3020" w:type="dxa"/>
            <w:tcBorders>
              <w:top w:val="nil"/>
              <w:left w:val="nil"/>
              <w:bottom w:val="nil"/>
              <w:right w:val="nil"/>
            </w:tcBorders>
          </w:tcPr>
          <w:p w14:paraId="4D6A3307" w14:textId="68C5F4D8"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695916" w:rsidRPr="00E076F1">
              <w:rPr>
                <w:rFonts w:eastAsia="TimesNewRoman,Bold"/>
                <w:snapToGrid/>
                <w:lang w:val="hu-HU" w:eastAsia="en-GB"/>
              </w:rPr>
              <w:t>90</w:t>
            </w:r>
          </w:p>
        </w:tc>
        <w:tc>
          <w:tcPr>
            <w:tcW w:w="3021" w:type="dxa"/>
            <w:tcBorders>
              <w:top w:val="nil"/>
              <w:left w:val="nil"/>
              <w:bottom w:val="nil"/>
              <w:right w:val="nil"/>
            </w:tcBorders>
          </w:tcPr>
          <w:p w14:paraId="7E348069" w14:textId="0820F856"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695916" w:rsidRPr="00E076F1">
              <w:rPr>
                <w:rFonts w:eastAsia="TimesNewRoman,Bold"/>
                <w:snapToGrid/>
                <w:lang w:val="hu-HU" w:eastAsia="en-GB"/>
              </w:rPr>
              <w:t>30</w:t>
            </w:r>
          </w:p>
        </w:tc>
      </w:tr>
      <w:tr w:rsidR="005A058D" w:rsidRPr="00E076F1" w14:paraId="444B92F8" w14:textId="77777777" w:rsidTr="00E37AD1">
        <w:tc>
          <w:tcPr>
            <w:tcW w:w="3020" w:type="dxa"/>
            <w:tcBorders>
              <w:top w:val="nil"/>
              <w:left w:val="nil"/>
              <w:bottom w:val="nil"/>
              <w:right w:val="nil"/>
            </w:tcBorders>
          </w:tcPr>
          <w:p w14:paraId="11BAD90D" w14:textId="77777777"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Pr="00E076F1">
              <w:rPr>
                <w:snapToGrid/>
                <w:vertAlign w:val="superscript"/>
                <w:lang w:val="hu-HU" w:eastAsia="en-GB"/>
              </w:rPr>
              <w:t>c</w:t>
            </w:r>
          </w:p>
        </w:tc>
        <w:tc>
          <w:tcPr>
            <w:tcW w:w="3020" w:type="dxa"/>
            <w:tcBorders>
              <w:top w:val="nil"/>
              <w:left w:val="nil"/>
              <w:bottom w:val="nil"/>
              <w:right w:val="nil"/>
            </w:tcBorders>
          </w:tcPr>
          <w:p w14:paraId="48258204" w14:textId="14331D62"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-0,6</w:t>
            </w:r>
            <w:r w:rsidR="00695916" w:rsidRPr="00E076F1">
              <w:rPr>
                <w:rFonts w:eastAsia="TimesNewRoman,Bold"/>
                <w:snapToGrid/>
                <w:lang w:val="hu-HU" w:eastAsia="en-GB"/>
              </w:rPr>
              <w:t>0</w:t>
            </w:r>
            <w:r w:rsidR="00695916" w:rsidRPr="00E076F1">
              <w:rPr>
                <w:snapToGrid/>
                <w:lang w:val="hu-HU" w:eastAsia="en-GB"/>
              </w:rPr>
              <w:t>*</w:t>
            </w:r>
          </w:p>
        </w:tc>
        <w:tc>
          <w:tcPr>
            <w:tcW w:w="3021" w:type="dxa"/>
            <w:tcBorders>
              <w:top w:val="nil"/>
              <w:left w:val="nil"/>
              <w:bottom w:val="nil"/>
              <w:right w:val="nil"/>
            </w:tcBorders>
          </w:tcPr>
          <w:p w14:paraId="61F9B96E"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1174CE49" w14:textId="77777777" w:rsidTr="00E37AD1">
        <w:tc>
          <w:tcPr>
            <w:tcW w:w="3020" w:type="dxa"/>
            <w:tcBorders>
              <w:top w:val="nil"/>
              <w:left w:val="nil"/>
              <w:bottom w:val="single" w:sz="4" w:space="0" w:color="auto"/>
              <w:right w:val="nil"/>
            </w:tcBorders>
          </w:tcPr>
          <w:p w14:paraId="2251FE0D"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3020" w:type="dxa"/>
            <w:tcBorders>
              <w:top w:val="nil"/>
              <w:left w:val="nil"/>
              <w:bottom w:val="single" w:sz="4" w:space="0" w:color="auto"/>
              <w:right w:val="nil"/>
            </w:tcBorders>
          </w:tcPr>
          <w:p w14:paraId="3E8BF6EA" w14:textId="2D4BC69F"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w:t>
            </w:r>
            <w:r w:rsidR="00695916" w:rsidRPr="00E076F1">
              <w:rPr>
                <w:snapToGrid/>
                <w:lang w:val="hu-HU" w:eastAsia="en-GB"/>
              </w:rPr>
              <w:t>74</w:t>
            </w:r>
            <w:r w:rsidRPr="00E076F1">
              <w:rPr>
                <w:snapToGrid/>
                <w:lang w:val="hu-HU" w:eastAsia="en-GB"/>
              </w:rPr>
              <w:t>; -0,4</w:t>
            </w:r>
            <w:r w:rsidR="00695916" w:rsidRPr="00E076F1">
              <w:rPr>
                <w:snapToGrid/>
                <w:lang w:val="hu-HU" w:eastAsia="en-GB"/>
              </w:rPr>
              <w:t>5</w:t>
            </w:r>
            <w:r w:rsidRPr="00E076F1">
              <w:rPr>
                <w:snapToGrid/>
                <w:lang w:val="hu-HU" w:eastAsia="en-GB"/>
              </w:rPr>
              <w:t>)</w:t>
            </w:r>
          </w:p>
        </w:tc>
        <w:tc>
          <w:tcPr>
            <w:tcW w:w="3021" w:type="dxa"/>
            <w:tcBorders>
              <w:top w:val="nil"/>
              <w:left w:val="nil"/>
              <w:bottom w:val="single" w:sz="4" w:space="0" w:color="auto"/>
              <w:right w:val="nil"/>
            </w:tcBorders>
          </w:tcPr>
          <w:p w14:paraId="1A8C3FB5"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2B112774" w14:textId="77777777" w:rsidTr="00E37AD1">
        <w:tc>
          <w:tcPr>
            <w:tcW w:w="3020" w:type="dxa"/>
            <w:tcBorders>
              <w:top w:val="single" w:sz="4" w:space="0" w:color="auto"/>
              <w:left w:val="nil"/>
              <w:bottom w:val="nil"/>
              <w:right w:val="nil"/>
            </w:tcBorders>
          </w:tcPr>
          <w:p w14:paraId="55E6A515"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Testtömeg (kg)</w:t>
            </w:r>
          </w:p>
        </w:tc>
        <w:tc>
          <w:tcPr>
            <w:tcW w:w="3020" w:type="dxa"/>
            <w:tcBorders>
              <w:top w:val="single" w:sz="4" w:space="0" w:color="auto"/>
              <w:left w:val="nil"/>
              <w:bottom w:val="nil"/>
              <w:right w:val="nil"/>
            </w:tcBorders>
          </w:tcPr>
          <w:p w14:paraId="0C57F198"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24DC1B54"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185A4649" w14:textId="77777777" w:rsidTr="00E37AD1">
        <w:tc>
          <w:tcPr>
            <w:tcW w:w="3020" w:type="dxa"/>
            <w:tcBorders>
              <w:top w:val="nil"/>
              <w:left w:val="nil"/>
              <w:bottom w:val="nil"/>
              <w:right w:val="nil"/>
            </w:tcBorders>
          </w:tcPr>
          <w:p w14:paraId="4C2360FC"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044C8735" w14:textId="3DAD7DF2" w:rsidR="005A058D" w:rsidRPr="00E076F1" w:rsidRDefault="00695916"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94,63</w:t>
            </w:r>
          </w:p>
        </w:tc>
        <w:tc>
          <w:tcPr>
            <w:tcW w:w="3021" w:type="dxa"/>
            <w:tcBorders>
              <w:top w:val="nil"/>
              <w:left w:val="nil"/>
              <w:bottom w:val="nil"/>
              <w:right w:val="nil"/>
            </w:tcBorders>
          </w:tcPr>
          <w:p w14:paraId="06EB9FB3" w14:textId="3978323C"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w:t>
            </w:r>
            <w:r w:rsidR="00695916" w:rsidRPr="00E076F1">
              <w:rPr>
                <w:rFonts w:eastAsia="TimesNewRoman,Bold"/>
                <w:snapToGrid/>
                <w:lang w:val="hu-HU" w:eastAsia="en-GB"/>
              </w:rPr>
              <w:t>4,21</w:t>
            </w:r>
          </w:p>
        </w:tc>
      </w:tr>
      <w:tr w:rsidR="005A058D" w:rsidRPr="00E076F1" w14:paraId="262F08F7" w14:textId="77777777" w:rsidTr="00E37AD1">
        <w:tc>
          <w:tcPr>
            <w:tcW w:w="3020" w:type="dxa"/>
            <w:tcBorders>
              <w:top w:val="nil"/>
              <w:left w:val="nil"/>
              <w:bottom w:val="nil"/>
              <w:right w:val="nil"/>
            </w:tcBorders>
          </w:tcPr>
          <w:p w14:paraId="5A471118" w14:textId="04731C40" w:rsidR="005A058D"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c</w:t>
            </w:r>
          </w:p>
        </w:tc>
        <w:tc>
          <w:tcPr>
            <w:tcW w:w="3020" w:type="dxa"/>
            <w:tcBorders>
              <w:top w:val="nil"/>
              <w:left w:val="nil"/>
              <w:bottom w:val="nil"/>
              <w:right w:val="nil"/>
            </w:tcBorders>
          </w:tcPr>
          <w:p w14:paraId="6CDEFA66" w14:textId="777A1689"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695916" w:rsidRPr="00E076F1">
              <w:rPr>
                <w:snapToGrid/>
                <w:lang w:val="hu-HU" w:eastAsia="en-GB"/>
              </w:rPr>
              <w:t>1,67</w:t>
            </w:r>
          </w:p>
        </w:tc>
        <w:tc>
          <w:tcPr>
            <w:tcW w:w="3021" w:type="dxa"/>
            <w:tcBorders>
              <w:top w:val="nil"/>
              <w:left w:val="nil"/>
              <w:bottom w:val="nil"/>
              <w:right w:val="nil"/>
            </w:tcBorders>
          </w:tcPr>
          <w:p w14:paraId="44706066" w14:textId="686380BC"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695916" w:rsidRPr="00E076F1">
              <w:rPr>
                <w:rFonts w:eastAsia="TimesNewRoman,Bold"/>
                <w:snapToGrid/>
                <w:lang w:val="hu-HU" w:eastAsia="en-GB"/>
              </w:rPr>
              <w:t>02</w:t>
            </w:r>
          </w:p>
        </w:tc>
      </w:tr>
      <w:tr w:rsidR="005A058D" w:rsidRPr="00E076F1" w14:paraId="16E9B34A" w14:textId="77777777" w:rsidTr="00695916">
        <w:tc>
          <w:tcPr>
            <w:tcW w:w="3020" w:type="dxa"/>
            <w:tcBorders>
              <w:top w:val="nil"/>
              <w:left w:val="nil"/>
              <w:bottom w:val="nil"/>
              <w:right w:val="nil"/>
            </w:tcBorders>
          </w:tcPr>
          <w:p w14:paraId="7577B263" w14:textId="77777777"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Pr="00E076F1">
              <w:rPr>
                <w:snapToGrid/>
                <w:vertAlign w:val="superscript"/>
                <w:lang w:val="hu-HU" w:eastAsia="en-GB"/>
              </w:rPr>
              <w:t>c</w:t>
            </w:r>
          </w:p>
        </w:tc>
        <w:tc>
          <w:tcPr>
            <w:tcW w:w="3020" w:type="dxa"/>
            <w:tcBorders>
              <w:top w:val="nil"/>
              <w:left w:val="nil"/>
              <w:bottom w:val="nil"/>
              <w:right w:val="nil"/>
            </w:tcBorders>
          </w:tcPr>
          <w:p w14:paraId="0C0364D2" w14:textId="351D8E9B"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695916" w:rsidRPr="00E076F1">
              <w:rPr>
                <w:snapToGrid/>
                <w:lang w:val="hu-HU" w:eastAsia="en-GB"/>
              </w:rPr>
              <w:t>1,68</w:t>
            </w:r>
            <w:r w:rsidRPr="00E076F1">
              <w:rPr>
                <w:snapToGrid/>
                <w:lang w:val="hu-HU" w:eastAsia="en-GB"/>
              </w:rPr>
              <w:t>*</w:t>
            </w:r>
          </w:p>
        </w:tc>
        <w:tc>
          <w:tcPr>
            <w:tcW w:w="3021" w:type="dxa"/>
            <w:tcBorders>
              <w:top w:val="nil"/>
              <w:left w:val="nil"/>
              <w:bottom w:val="nil"/>
              <w:right w:val="nil"/>
            </w:tcBorders>
          </w:tcPr>
          <w:p w14:paraId="793F92A5"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2573AA4A" w14:textId="77777777" w:rsidTr="00695916">
        <w:tc>
          <w:tcPr>
            <w:tcW w:w="3020" w:type="dxa"/>
            <w:tcBorders>
              <w:top w:val="nil"/>
              <w:left w:val="nil"/>
              <w:bottom w:val="single" w:sz="4" w:space="0" w:color="auto"/>
              <w:right w:val="nil"/>
            </w:tcBorders>
          </w:tcPr>
          <w:p w14:paraId="1E8FCE5D" w14:textId="77777777"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en-US" w:eastAsia="en-GB"/>
              </w:rPr>
              <w:t>(95% CI)</w:t>
            </w:r>
          </w:p>
        </w:tc>
        <w:tc>
          <w:tcPr>
            <w:tcW w:w="3020" w:type="dxa"/>
            <w:tcBorders>
              <w:top w:val="nil"/>
              <w:left w:val="nil"/>
              <w:bottom w:val="single" w:sz="4" w:space="0" w:color="auto"/>
              <w:right w:val="nil"/>
            </w:tcBorders>
          </w:tcPr>
          <w:p w14:paraId="0DEC8D45" w14:textId="72CE765A"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(-2,</w:t>
            </w:r>
            <w:r w:rsidR="00695916" w:rsidRPr="00E076F1">
              <w:rPr>
                <w:snapToGrid/>
                <w:lang w:val="en-US" w:eastAsia="en-GB"/>
              </w:rPr>
              <w:t>1</w:t>
            </w:r>
            <w:r w:rsidRPr="00E076F1">
              <w:rPr>
                <w:snapToGrid/>
                <w:lang w:val="en-US" w:eastAsia="en-GB"/>
              </w:rPr>
              <w:t>9; -1,</w:t>
            </w:r>
            <w:r w:rsidR="00695916" w:rsidRPr="00E076F1">
              <w:rPr>
                <w:snapToGrid/>
                <w:lang w:val="en-US" w:eastAsia="en-GB"/>
              </w:rPr>
              <w:t>18</w:t>
            </w:r>
            <w:r w:rsidRPr="00E076F1">
              <w:rPr>
                <w:snapToGrid/>
                <w:lang w:val="en-US" w:eastAsia="en-GB"/>
              </w:rPr>
              <w:t>)</w:t>
            </w:r>
          </w:p>
        </w:tc>
        <w:tc>
          <w:tcPr>
            <w:tcW w:w="3021" w:type="dxa"/>
            <w:tcBorders>
              <w:top w:val="nil"/>
              <w:left w:val="nil"/>
              <w:bottom w:val="single" w:sz="4" w:space="0" w:color="auto"/>
              <w:right w:val="nil"/>
            </w:tcBorders>
          </w:tcPr>
          <w:p w14:paraId="46F44E7B"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695916" w:rsidRPr="00E076F1" w14:paraId="60F3FF75" w14:textId="77777777" w:rsidTr="00695916">
        <w:tc>
          <w:tcPr>
            <w:tcW w:w="3020" w:type="dxa"/>
            <w:tcBorders>
              <w:top w:val="single" w:sz="4" w:space="0" w:color="auto"/>
              <w:left w:val="nil"/>
              <w:bottom w:val="nil"/>
              <w:right w:val="nil"/>
            </w:tcBorders>
          </w:tcPr>
          <w:p w14:paraId="590F8825" w14:textId="0BA390F0" w:rsidR="00695916" w:rsidRPr="00E076F1" w:rsidRDefault="00695916"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Átlagos napi inzulin dózis (NE)</w:t>
            </w:r>
            <w:r w:rsidRPr="00E076F1">
              <w:rPr>
                <w:rFonts w:eastAsia="TimesNewRoman,Bold"/>
                <w:b/>
                <w:bCs/>
                <w:snapToGrid/>
                <w:vertAlign w:val="superscript"/>
                <w:lang w:val="hu-HU" w:eastAsia="en-GB"/>
              </w:rPr>
              <w:t>1</w:t>
            </w:r>
          </w:p>
        </w:tc>
        <w:tc>
          <w:tcPr>
            <w:tcW w:w="3020" w:type="dxa"/>
            <w:tcBorders>
              <w:top w:val="single" w:sz="4" w:space="0" w:color="auto"/>
              <w:left w:val="nil"/>
              <w:bottom w:val="nil"/>
              <w:right w:val="nil"/>
            </w:tcBorders>
          </w:tcPr>
          <w:p w14:paraId="43E6D8E5" w14:textId="77777777" w:rsidR="00695916" w:rsidRPr="00E076F1" w:rsidRDefault="00695916" w:rsidP="00E076F1">
            <w:pPr>
              <w:tabs>
                <w:tab w:val="clear" w:pos="567"/>
              </w:tabs>
              <w:autoSpaceDE w:val="0"/>
              <w:autoSpaceDN w:val="0"/>
              <w:adjustRightInd w:val="0"/>
              <w:spacing w:line="240" w:lineRule="auto"/>
              <w:rPr>
                <w:snapToGrid/>
                <w:lang w:val="hu-HU" w:eastAsia="en-GB"/>
              </w:rPr>
            </w:pPr>
          </w:p>
        </w:tc>
        <w:tc>
          <w:tcPr>
            <w:tcW w:w="3021" w:type="dxa"/>
            <w:tcBorders>
              <w:top w:val="single" w:sz="4" w:space="0" w:color="auto"/>
              <w:left w:val="nil"/>
              <w:bottom w:val="nil"/>
              <w:right w:val="nil"/>
            </w:tcBorders>
          </w:tcPr>
          <w:p w14:paraId="0A1BA0C9" w14:textId="77777777"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p>
        </w:tc>
      </w:tr>
      <w:tr w:rsidR="00695916" w:rsidRPr="00E076F1" w14:paraId="692C6EB9" w14:textId="77777777" w:rsidTr="00695916">
        <w:tc>
          <w:tcPr>
            <w:tcW w:w="3020" w:type="dxa"/>
            <w:tcBorders>
              <w:top w:val="nil"/>
              <w:left w:val="nil"/>
              <w:bottom w:val="nil"/>
              <w:right w:val="nil"/>
            </w:tcBorders>
          </w:tcPr>
          <w:p w14:paraId="601FEC4A" w14:textId="7878C269"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43B8CF44" w14:textId="1A2A84A9"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77,96</w:t>
            </w:r>
          </w:p>
        </w:tc>
        <w:tc>
          <w:tcPr>
            <w:tcW w:w="3021" w:type="dxa"/>
            <w:tcBorders>
              <w:top w:val="nil"/>
              <w:left w:val="nil"/>
              <w:bottom w:val="nil"/>
              <w:right w:val="nil"/>
            </w:tcBorders>
          </w:tcPr>
          <w:p w14:paraId="23F42B43" w14:textId="175F5AD1"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73,96</w:t>
            </w:r>
          </w:p>
        </w:tc>
      </w:tr>
      <w:tr w:rsidR="00695916" w:rsidRPr="00E076F1" w14:paraId="11ED7445" w14:textId="77777777" w:rsidTr="00695916">
        <w:tc>
          <w:tcPr>
            <w:tcW w:w="3020" w:type="dxa"/>
            <w:tcBorders>
              <w:top w:val="nil"/>
              <w:left w:val="nil"/>
              <w:bottom w:val="nil"/>
              <w:right w:val="nil"/>
            </w:tcBorders>
          </w:tcPr>
          <w:p w14:paraId="21AD3D98" w14:textId="19A88272"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c</w:t>
            </w:r>
          </w:p>
        </w:tc>
        <w:tc>
          <w:tcPr>
            <w:tcW w:w="3020" w:type="dxa"/>
            <w:tcBorders>
              <w:top w:val="nil"/>
              <w:left w:val="nil"/>
              <w:bottom w:val="nil"/>
              <w:right w:val="nil"/>
            </w:tcBorders>
          </w:tcPr>
          <w:p w14:paraId="0E20B515" w14:textId="093F4B93"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-1,16</w:t>
            </w:r>
          </w:p>
        </w:tc>
        <w:tc>
          <w:tcPr>
            <w:tcW w:w="3021" w:type="dxa"/>
            <w:tcBorders>
              <w:top w:val="nil"/>
              <w:left w:val="nil"/>
              <w:bottom w:val="nil"/>
              <w:right w:val="nil"/>
            </w:tcBorders>
          </w:tcPr>
          <w:p w14:paraId="17CF9756" w14:textId="2F7239EC"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5,08</w:t>
            </w:r>
          </w:p>
        </w:tc>
      </w:tr>
      <w:tr w:rsidR="00695916" w:rsidRPr="00E076F1" w14:paraId="52DDB929" w14:textId="77777777" w:rsidTr="00695916">
        <w:tc>
          <w:tcPr>
            <w:tcW w:w="3020" w:type="dxa"/>
            <w:tcBorders>
              <w:top w:val="nil"/>
              <w:left w:val="nil"/>
              <w:bottom w:val="nil"/>
              <w:right w:val="nil"/>
            </w:tcBorders>
          </w:tcPr>
          <w:p w14:paraId="004BC877" w14:textId="62268D19"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Pr="00E076F1">
              <w:rPr>
                <w:snapToGrid/>
                <w:vertAlign w:val="superscript"/>
                <w:lang w:val="hu-HU" w:eastAsia="en-GB"/>
              </w:rPr>
              <w:t>c</w:t>
            </w:r>
          </w:p>
        </w:tc>
        <w:tc>
          <w:tcPr>
            <w:tcW w:w="3020" w:type="dxa"/>
            <w:tcBorders>
              <w:top w:val="nil"/>
              <w:left w:val="nil"/>
              <w:bottom w:val="nil"/>
              <w:right w:val="nil"/>
            </w:tcBorders>
          </w:tcPr>
          <w:p w14:paraId="76563F3D" w14:textId="0EF388B7"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-6,23</w:t>
            </w:r>
            <w:r w:rsidR="001D6FB8" w:rsidRPr="00E076F1">
              <w:rPr>
                <w:snapToGrid/>
                <w:lang w:val="hu-HU" w:eastAsia="en-GB"/>
              </w:rPr>
              <w:t>*</w:t>
            </w:r>
          </w:p>
        </w:tc>
        <w:tc>
          <w:tcPr>
            <w:tcW w:w="3021" w:type="dxa"/>
            <w:tcBorders>
              <w:top w:val="nil"/>
              <w:left w:val="nil"/>
              <w:bottom w:val="nil"/>
              <w:right w:val="nil"/>
            </w:tcBorders>
          </w:tcPr>
          <w:p w14:paraId="65C50856" w14:textId="77777777"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p>
        </w:tc>
      </w:tr>
      <w:tr w:rsidR="00695916" w:rsidRPr="00E076F1" w14:paraId="07F93A86" w14:textId="77777777" w:rsidTr="00695916">
        <w:tc>
          <w:tcPr>
            <w:tcW w:w="3020" w:type="dxa"/>
            <w:tcBorders>
              <w:top w:val="nil"/>
              <w:left w:val="nil"/>
              <w:bottom w:val="nil"/>
              <w:right w:val="nil"/>
            </w:tcBorders>
          </w:tcPr>
          <w:p w14:paraId="0A34FEBD" w14:textId="23E53137"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(95%-os CI)</w:t>
            </w:r>
          </w:p>
        </w:tc>
        <w:tc>
          <w:tcPr>
            <w:tcW w:w="3020" w:type="dxa"/>
            <w:tcBorders>
              <w:top w:val="nil"/>
              <w:left w:val="nil"/>
              <w:bottom w:val="nil"/>
              <w:right w:val="nil"/>
            </w:tcBorders>
          </w:tcPr>
          <w:p w14:paraId="2E1D4060" w14:textId="738E1D05"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(-8,84</w:t>
            </w:r>
            <w:r w:rsidR="00C73DD7" w:rsidRPr="00E076F1">
              <w:rPr>
                <w:snapToGrid/>
                <w:lang w:val="hu-HU" w:eastAsia="en-GB"/>
              </w:rPr>
              <w:t>;</w:t>
            </w:r>
            <w:r w:rsidRPr="00E076F1">
              <w:rPr>
                <w:snapToGrid/>
                <w:lang w:val="hu-HU" w:eastAsia="en-GB"/>
              </w:rPr>
              <w:t xml:space="preserve"> -3,63)</w:t>
            </w:r>
          </w:p>
        </w:tc>
        <w:tc>
          <w:tcPr>
            <w:tcW w:w="3021" w:type="dxa"/>
            <w:tcBorders>
              <w:top w:val="nil"/>
              <w:left w:val="nil"/>
              <w:bottom w:val="nil"/>
              <w:right w:val="nil"/>
            </w:tcBorders>
          </w:tcPr>
          <w:p w14:paraId="333B60B1" w14:textId="0CCAB9A6"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p>
        </w:tc>
      </w:tr>
      <w:tr w:rsidR="00695916" w:rsidRPr="00E076F1" w14:paraId="51DA71BC" w14:textId="77777777" w:rsidTr="00695916">
        <w:tc>
          <w:tcPr>
            <w:tcW w:w="3020" w:type="dxa"/>
            <w:tcBorders>
              <w:top w:val="nil"/>
              <w:left w:val="nil"/>
              <w:bottom w:val="nil"/>
              <w:right w:val="nil"/>
            </w:tcBorders>
          </w:tcPr>
          <w:p w14:paraId="7106CF27" w14:textId="5E955251"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Azok a betegek, akiknél az</w:t>
            </w:r>
            <w:r w:rsidR="001D6FB8" w:rsidRPr="00E076F1">
              <w:rPr>
                <w:snapToGrid/>
                <w:lang w:val="hu-HU" w:eastAsia="en-GB"/>
              </w:rPr>
              <w:t xml:space="preserve"> </w:t>
            </w:r>
            <w:r w:rsidRPr="00E076F1">
              <w:rPr>
                <w:snapToGrid/>
                <w:lang w:val="hu-HU" w:eastAsia="en-GB"/>
              </w:rPr>
              <w:t>átlagos napi inzulin dózis</w:t>
            </w:r>
            <w:r w:rsidR="001D6FB8" w:rsidRPr="00E076F1">
              <w:rPr>
                <w:snapToGrid/>
                <w:lang w:val="hu-HU" w:eastAsia="en-GB"/>
              </w:rPr>
              <w:t xml:space="preserve"> </w:t>
            </w:r>
            <w:r w:rsidRPr="00E076F1">
              <w:rPr>
                <w:snapToGrid/>
                <w:lang w:val="hu-HU" w:eastAsia="en-GB"/>
              </w:rPr>
              <w:t>csökkenése legalább 10%</w:t>
            </w:r>
            <w:r w:rsidR="00D5452F" w:rsidRPr="00E076F1">
              <w:rPr>
                <w:snapToGrid/>
                <w:lang w:val="hu-HU" w:eastAsia="en-GB"/>
              </w:rPr>
              <w:t xml:space="preserve"> </w:t>
            </w:r>
            <w:r w:rsidRPr="00E076F1">
              <w:rPr>
                <w:snapToGrid/>
                <w:lang w:val="hu-HU" w:eastAsia="en-GB"/>
              </w:rPr>
              <w:t>(%)</w:t>
            </w:r>
          </w:p>
        </w:tc>
        <w:tc>
          <w:tcPr>
            <w:tcW w:w="3020" w:type="dxa"/>
            <w:tcBorders>
              <w:top w:val="nil"/>
              <w:left w:val="nil"/>
              <w:bottom w:val="nil"/>
              <w:right w:val="nil"/>
            </w:tcBorders>
          </w:tcPr>
          <w:p w14:paraId="2D460022" w14:textId="065115BB" w:rsidR="00695916"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lang w:val="hu-HU" w:eastAsia="en-GB"/>
              </w:rPr>
              <w:t>19,7</w:t>
            </w:r>
            <w:r w:rsidR="00D5452F" w:rsidRPr="00E076F1">
              <w:rPr>
                <w:rStyle w:val="Tekstpodstawowy3"/>
                <w:rFonts w:eastAsia="SimSun"/>
                <w:color w:val="auto"/>
                <w:sz w:val="22"/>
              </w:rPr>
              <w:t>**</w:t>
            </w:r>
          </w:p>
        </w:tc>
        <w:tc>
          <w:tcPr>
            <w:tcW w:w="3021" w:type="dxa"/>
            <w:tcBorders>
              <w:top w:val="nil"/>
              <w:left w:val="nil"/>
              <w:bottom w:val="nil"/>
              <w:right w:val="nil"/>
            </w:tcBorders>
          </w:tcPr>
          <w:p w14:paraId="717FE0A8" w14:textId="51E43AC3" w:rsidR="00695916"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11,0</w:t>
            </w:r>
          </w:p>
        </w:tc>
      </w:tr>
    </w:tbl>
    <w:p w14:paraId="7BCF10B5" w14:textId="6D973A29"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a </w:t>
      </w:r>
      <w:r w:rsidRPr="00E076F1">
        <w:rPr>
          <w:snapToGrid/>
          <w:lang w:val="hu-HU" w:eastAsia="en-GB"/>
        </w:rPr>
        <w:t>LOCF: az utolsó észlelt (ha szükség volt az inzulin adag emelésére, akkor az első emelés előtti vagy aznapi) adat alapján végzett elemzés</w:t>
      </w:r>
    </w:p>
    <w:p w14:paraId="729CD1EB" w14:textId="3BF29B38"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Minden oyan randomizált beteg, aki a rövid távú kettős-vak periódus alatt legalább egy adagot bevett a kettős-vak vizsgálati gyógyszerből.</w:t>
      </w:r>
    </w:p>
    <w:p w14:paraId="56468CD6" w14:textId="0F911E36"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átlaga és </w:t>
      </w:r>
      <w:r w:rsidRPr="00E076F1">
        <w:rPr>
          <w:rFonts w:eastAsia="TimesNewRoman,Italic"/>
          <w:i/>
          <w:iCs/>
          <w:snapToGrid/>
          <w:lang w:val="hu-HU" w:eastAsia="en-GB"/>
        </w:rPr>
        <w:t xml:space="preserve">per os </w:t>
      </w:r>
      <w:r w:rsidRPr="00E076F1">
        <w:rPr>
          <w:snapToGrid/>
          <w:lang w:val="hu-HU" w:eastAsia="en-GB"/>
        </w:rPr>
        <w:t>glükózszintcsökkentő gyógyszer alkalmazásának előfordulása</w:t>
      </w:r>
    </w:p>
    <w:p w14:paraId="6B95C8B4" w14:textId="4D40B5BD"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**p-érték &lt; 0,0001 versus placebo + inzulin ± </w:t>
      </w:r>
      <w:r w:rsidRPr="00E076F1">
        <w:rPr>
          <w:rFonts w:eastAsia="TimesNewRoman,Italic"/>
          <w:i/>
          <w:iCs/>
          <w:snapToGrid/>
          <w:lang w:val="hu-HU" w:eastAsia="en-GB"/>
        </w:rPr>
        <w:t xml:space="preserve">per os </w:t>
      </w:r>
      <w:r w:rsidRPr="00E076F1">
        <w:rPr>
          <w:snapToGrid/>
          <w:lang w:val="hu-HU" w:eastAsia="en-GB"/>
        </w:rPr>
        <w:t>glükózszintcsökkentő gyógyszer</w:t>
      </w:r>
    </w:p>
    <w:p w14:paraId="6C418EDC" w14:textId="4688EF5F"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**p-érték &lt; 0,05 versus placebo + inzulin ± </w:t>
      </w:r>
      <w:r w:rsidRPr="00E076F1">
        <w:rPr>
          <w:rFonts w:eastAsia="TimesNewRoman,Italic"/>
          <w:i/>
          <w:iCs/>
          <w:snapToGrid/>
          <w:lang w:val="hu-HU" w:eastAsia="en-GB"/>
        </w:rPr>
        <w:t xml:space="preserve">per os </w:t>
      </w:r>
      <w:r w:rsidRPr="00E076F1">
        <w:rPr>
          <w:snapToGrid/>
          <w:lang w:val="hu-HU" w:eastAsia="en-GB"/>
        </w:rPr>
        <w:t>glükózszintcsökkentő gyógyszer</w:t>
      </w:r>
    </w:p>
    <w:p w14:paraId="3FBF1AA4" w14:textId="0E53F5F1"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1</w:t>
      </w:r>
      <w:r w:rsidRPr="00E076F1">
        <w:rPr>
          <w:snapToGrid/>
          <w:lang w:val="hu-HU" w:eastAsia="en-GB"/>
        </w:rPr>
        <w:t>Az inzulin adagolási rendek (beleértve a rövid hatású, az intermedier és a bazális inzulinokat) emelése csak akkor volt megengedett, ha a betegek megfeleltek az előre meghatározott éhomi plazmaglükóz kritériumoknak.</w:t>
      </w:r>
    </w:p>
    <w:p w14:paraId="4947067B" w14:textId="460EDDA4" w:rsidR="005A058D" w:rsidRPr="00E076F1" w:rsidRDefault="001D6FB8" w:rsidP="00E076F1">
      <w:pPr>
        <w:tabs>
          <w:tab w:val="clear" w:pos="567"/>
        </w:tabs>
        <w:autoSpaceDE w:val="0"/>
        <w:autoSpaceDN w:val="0"/>
        <w:adjustRightInd w:val="0"/>
        <w:spacing w:line="240" w:lineRule="auto"/>
        <w:rPr>
          <w:rFonts w:eastAsia="TimesNewRoman,Italic"/>
          <w:i/>
          <w:iCs/>
          <w:snapToGrid/>
          <w:lang w:val="hu-HU" w:eastAsia="en-GB"/>
        </w:rPr>
      </w:pPr>
      <w:r w:rsidRPr="00E076F1">
        <w:rPr>
          <w:snapToGrid/>
          <w:vertAlign w:val="superscript"/>
          <w:lang w:val="hu-HU" w:eastAsia="en-GB"/>
        </w:rPr>
        <w:t>2</w:t>
      </w:r>
      <w:r w:rsidRPr="00E076F1">
        <w:rPr>
          <w:snapToGrid/>
          <w:lang w:val="hu-HU" w:eastAsia="en-GB"/>
        </w:rPr>
        <w:t xml:space="preserve">A vizsgálat megkezdésekor a betegek 50%-a volt inzulin monoterápián, 50%-a kapott 1 vagy 2 </w:t>
      </w:r>
      <w:r w:rsidRPr="00E076F1">
        <w:rPr>
          <w:rFonts w:eastAsia="TimesNewRoman,Italic"/>
          <w:i/>
          <w:iCs/>
          <w:snapToGrid/>
          <w:lang w:val="hu-HU" w:eastAsia="en-GB"/>
        </w:rPr>
        <w:t xml:space="preserve">per os </w:t>
      </w:r>
      <w:r w:rsidRPr="00E076F1">
        <w:rPr>
          <w:snapToGrid/>
          <w:lang w:val="hu-HU" w:eastAsia="en-GB"/>
        </w:rPr>
        <w:t>glükózszint-csökkentő gyógyszert az inzulin mellé: ebből az utóbbi csoportból 80% kapott csak metformint,</w:t>
      </w:r>
      <w:r w:rsidRPr="00E076F1">
        <w:rPr>
          <w:rFonts w:eastAsia="TimesNewRoman,Italic"/>
          <w:i/>
          <w:iCs/>
          <w:snapToGrid/>
          <w:lang w:val="hu-HU" w:eastAsia="en-GB"/>
        </w:rPr>
        <w:t xml:space="preserve"> </w:t>
      </w:r>
      <w:r w:rsidRPr="00E076F1">
        <w:rPr>
          <w:snapToGrid/>
          <w:lang w:val="hu-HU" w:eastAsia="en-GB"/>
        </w:rPr>
        <w:t xml:space="preserve">12% kapott metformint és szulfonilurea-kezelést, és a többi kapott más </w:t>
      </w:r>
      <w:r w:rsidRPr="00E076F1">
        <w:rPr>
          <w:rFonts w:eastAsia="TimesNewRoman,Italic"/>
          <w:i/>
          <w:iCs/>
          <w:snapToGrid/>
          <w:lang w:val="hu-HU" w:eastAsia="en-GB"/>
        </w:rPr>
        <w:t xml:space="preserve">per os </w:t>
      </w:r>
      <w:r w:rsidRPr="00E076F1">
        <w:rPr>
          <w:snapToGrid/>
          <w:lang w:val="hu-HU" w:eastAsia="en-GB"/>
        </w:rPr>
        <w:t>glükózszintcsökkentő</w:t>
      </w:r>
      <w:r w:rsidRPr="00E076F1">
        <w:rPr>
          <w:rFonts w:eastAsia="TimesNewRoman,Italic"/>
          <w:i/>
          <w:iCs/>
          <w:snapToGrid/>
          <w:lang w:val="hu-HU" w:eastAsia="en-GB"/>
        </w:rPr>
        <w:t xml:space="preserve"> </w:t>
      </w:r>
      <w:r w:rsidRPr="00E076F1">
        <w:rPr>
          <w:snapToGrid/>
          <w:lang w:val="hu-HU" w:eastAsia="en-GB"/>
        </w:rPr>
        <w:t>gyógyszert.</w:t>
      </w:r>
    </w:p>
    <w:p w14:paraId="0B2F1210" w14:textId="77777777" w:rsidR="005A058D" w:rsidRPr="00E076F1" w:rsidRDefault="005A058D" w:rsidP="00E076F1">
      <w:pPr>
        <w:tabs>
          <w:tab w:val="clear" w:pos="567"/>
        </w:tabs>
        <w:autoSpaceDE w:val="0"/>
        <w:autoSpaceDN w:val="0"/>
        <w:adjustRightInd w:val="0"/>
        <w:spacing w:line="240" w:lineRule="auto"/>
        <w:rPr>
          <w:snapToGrid/>
          <w:szCs w:val="22"/>
          <w:lang w:val="hu-HU" w:eastAsia="en-GB"/>
        </w:rPr>
      </w:pPr>
    </w:p>
    <w:p w14:paraId="3C9A4C7E" w14:textId="77777777" w:rsidR="001D6FB8" w:rsidRPr="00E076F1" w:rsidRDefault="001D6FB8"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Metforminnal kombinációban adva, gyógyszeres kezelésben korábban nem részesült betegeknél</w:t>
      </w:r>
    </w:p>
    <w:p w14:paraId="15F195AB" w14:textId="6361BC6C" w:rsidR="001D6FB8" w:rsidRPr="00E076F1" w:rsidRDefault="001D6FB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Összesen 1236, gyógyszeres kezelésben korábban nem részesült, nem megfelelően beállított, 2-es típusú diabetesben szenvedő beteg (HbA1c ≥ 7,5% és ≤ 12%) vett részt két, aktív-kontrollos, 24 hetes vizsgálatban, a dapagliflozin (5</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és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és a metformin kombináció hatásosságágának és</w:t>
      </w:r>
      <w:r w:rsidR="00711986">
        <w:rPr>
          <w:rFonts w:eastAsia="TimesNewRoman,Italic"/>
          <w:snapToGrid/>
          <w:szCs w:val="22"/>
          <w:lang w:val="hu-HU" w:eastAsia="en-GB"/>
        </w:rPr>
        <w:t xml:space="preserve"> </w:t>
      </w:r>
      <w:r w:rsidRPr="00E076F1">
        <w:rPr>
          <w:snapToGrid/>
          <w:szCs w:val="22"/>
          <w:lang w:val="hu-HU" w:eastAsia="en-GB"/>
        </w:rPr>
        <w:t>biztonságosságának értékelésére a gyógyszeres kezelésben korábban nem részesült betegeknél, az</w:t>
      </w:r>
      <w:r w:rsidRPr="00E076F1">
        <w:rPr>
          <w:rFonts w:eastAsia="TimesNewRoman,Italic"/>
          <w:snapToGrid/>
          <w:szCs w:val="22"/>
          <w:lang w:val="hu-HU" w:eastAsia="en-GB"/>
        </w:rPr>
        <w:t xml:space="preserve"> </w:t>
      </w:r>
      <w:r w:rsidRPr="00E076F1">
        <w:rPr>
          <w:snapToGrid/>
          <w:szCs w:val="22"/>
          <w:lang w:val="hu-HU" w:eastAsia="en-GB"/>
        </w:rPr>
        <w:t>önállóan adott készítményekhez viszonyítva.</w:t>
      </w:r>
    </w:p>
    <w:p w14:paraId="586EE2A4" w14:textId="77777777" w:rsidR="00D5452F" w:rsidRPr="00E076F1" w:rsidRDefault="00D5452F" w:rsidP="00E076F1">
      <w:pPr>
        <w:tabs>
          <w:tab w:val="clear" w:pos="567"/>
        </w:tabs>
        <w:autoSpaceDE w:val="0"/>
        <w:autoSpaceDN w:val="0"/>
        <w:adjustRightInd w:val="0"/>
        <w:spacing w:line="240" w:lineRule="auto"/>
        <w:rPr>
          <w:snapToGrid/>
          <w:szCs w:val="22"/>
          <w:lang w:val="hu-HU" w:eastAsia="en-GB"/>
        </w:rPr>
      </w:pPr>
    </w:p>
    <w:p w14:paraId="512FCFB9" w14:textId="78FE0BFB" w:rsidR="001D6FB8" w:rsidRPr="00E076F1" w:rsidRDefault="001D6FB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10</w:t>
      </w:r>
      <w:r w:rsidR="00122450" w:rsidRPr="00E076F1">
        <w:rPr>
          <w:snapToGrid/>
          <w:szCs w:val="22"/>
          <w:lang w:val="hu-HU" w:eastAsia="en-GB"/>
        </w:rPr>
        <w:t> mg</w:t>
      </w:r>
      <w:r w:rsidRPr="00E076F1">
        <w:rPr>
          <w:snapToGrid/>
          <w:szCs w:val="22"/>
          <w:lang w:val="hu-HU" w:eastAsia="en-GB"/>
        </w:rPr>
        <w:t xml:space="preserve"> dapagliflozin és a metformin (legfeljebb 2000</w:t>
      </w:r>
      <w:r w:rsidR="00122450" w:rsidRPr="00E076F1">
        <w:rPr>
          <w:snapToGrid/>
          <w:szCs w:val="22"/>
          <w:lang w:val="hu-HU" w:eastAsia="en-GB"/>
        </w:rPr>
        <w:t> mg</w:t>
      </w:r>
      <w:r w:rsidRPr="00E076F1">
        <w:rPr>
          <w:snapToGrid/>
          <w:szCs w:val="22"/>
          <w:lang w:val="hu-HU" w:eastAsia="en-GB"/>
        </w:rPr>
        <w:t>/nap) kombinációjával végzett kezelés a HbA1c-érték statisztikailag szignifikáns mértékű javulását eredményezte (lásd 7. táblázat), valamint az éhomi plazmaglükózszint (az önállóan adott készítményekhez képest) és a testtömeg (metforminhoz képest) nagyobb mértékű csökkenéséhez vezetett.</w:t>
      </w:r>
    </w:p>
    <w:p w14:paraId="1DC6B8C5" w14:textId="77777777" w:rsidR="001D6FB8" w:rsidRPr="00E076F1" w:rsidRDefault="001D6FB8" w:rsidP="00E076F1">
      <w:pPr>
        <w:tabs>
          <w:tab w:val="clear" w:pos="567"/>
        </w:tabs>
        <w:autoSpaceDE w:val="0"/>
        <w:autoSpaceDN w:val="0"/>
        <w:adjustRightInd w:val="0"/>
        <w:spacing w:line="240" w:lineRule="auto"/>
        <w:rPr>
          <w:snapToGrid/>
          <w:szCs w:val="22"/>
          <w:lang w:val="hu-HU" w:eastAsia="en-GB"/>
        </w:rPr>
      </w:pPr>
    </w:p>
    <w:p w14:paraId="1F57668A" w14:textId="3B73F19C" w:rsidR="001D6FB8" w:rsidRPr="00E076F1" w:rsidRDefault="001D6FB8"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7. táblázat A dapagliflozin és a metformin kombinációs kezelés eredményei egy aktív-kontrollos vizsgálatban a 24. héten (LOCF</w:t>
      </w:r>
      <w:r w:rsidRPr="00E076F1">
        <w:rPr>
          <w:rFonts w:eastAsia="TimesNewRoman,Bold"/>
          <w:b/>
          <w:bCs/>
          <w:snapToGrid/>
          <w:szCs w:val="22"/>
          <w:vertAlign w:val="superscript"/>
          <w:lang w:val="hu-HU" w:eastAsia="en-GB"/>
        </w:rPr>
        <w:t>a</w:t>
      </w:r>
      <w:r w:rsidRPr="00E076F1">
        <w:rPr>
          <w:rFonts w:eastAsia="TimesNewRoman,Bold"/>
          <w:b/>
          <w:bCs/>
          <w:snapToGrid/>
          <w:szCs w:val="22"/>
          <w:lang w:val="hu-HU" w:eastAsia="en-GB"/>
        </w:rPr>
        <w:t>), a gyógyszeres kezelésben korábban nem részesült betegeknél</w:t>
      </w:r>
    </w:p>
    <w:tbl>
      <w:tblPr>
        <w:tblStyle w:val="Rcsostblzat"/>
        <w:tblW w:w="0" w:type="auto"/>
        <w:tblLook w:val="0420" w:firstRow="1" w:lastRow="0" w:firstColumn="0" w:lastColumn="0" w:noHBand="0" w:noVBand="1"/>
      </w:tblPr>
      <w:tblGrid>
        <w:gridCol w:w="2396"/>
        <w:gridCol w:w="2367"/>
        <w:gridCol w:w="1941"/>
        <w:gridCol w:w="2367"/>
      </w:tblGrid>
      <w:tr w:rsidR="001D6FB8" w:rsidRPr="00E076F1" w14:paraId="6DBB4037" w14:textId="77777777" w:rsidTr="001D6FB8">
        <w:tc>
          <w:tcPr>
            <w:tcW w:w="2396" w:type="dxa"/>
            <w:tcBorders>
              <w:top w:val="single" w:sz="4" w:space="0" w:color="auto"/>
              <w:left w:val="nil"/>
              <w:bottom w:val="single" w:sz="4" w:space="0" w:color="auto"/>
              <w:right w:val="nil"/>
            </w:tcBorders>
          </w:tcPr>
          <w:p w14:paraId="265DE0E6"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single" w:sz="4" w:space="0" w:color="auto"/>
              <w:left w:val="nil"/>
              <w:bottom w:val="single" w:sz="4" w:space="0" w:color="auto"/>
              <w:right w:val="nil"/>
            </w:tcBorders>
          </w:tcPr>
          <w:p w14:paraId="6D13FDBF" w14:textId="451E92DF"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 10</w:t>
            </w:r>
            <w:r w:rsidR="00122450" w:rsidRPr="00E076F1">
              <w:rPr>
                <w:rFonts w:eastAsia="TimesNewRoman,Bold"/>
                <w:b/>
                <w:bCs/>
                <w:snapToGrid/>
                <w:lang w:val="hu-HU" w:eastAsia="en-GB"/>
              </w:rPr>
              <w:t> mg</w:t>
            </w:r>
          </w:p>
          <w:p w14:paraId="56B46731" w14:textId="61E7B4EA"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w:t>
            </w:r>
          </w:p>
          <w:p w14:paraId="0A9618D9" w14:textId="7D418C68"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metformin</w:t>
            </w:r>
          </w:p>
          <w:p w14:paraId="3B43F328" w14:textId="58A6ACA3"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p>
        </w:tc>
        <w:tc>
          <w:tcPr>
            <w:tcW w:w="1941" w:type="dxa"/>
            <w:tcBorders>
              <w:top w:val="single" w:sz="4" w:space="0" w:color="auto"/>
              <w:left w:val="nil"/>
              <w:bottom w:val="single" w:sz="4" w:space="0" w:color="auto"/>
              <w:right w:val="nil"/>
            </w:tcBorders>
          </w:tcPr>
          <w:p w14:paraId="56CDA237" w14:textId="40F54410"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 10</w:t>
            </w:r>
            <w:r w:rsidR="00122450" w:rsidRPr="00E076F1">
              <w:rPr>
                <w:rFonts w:eastAsia="TimesNewRoman,Bold"/>
                <w:b/>
                <w:bCs/>
                <w:snapToGrid/>
                <w:lang w:val="hu-HU" w:eastAsia="en-GB"/>
              </w:rPr>
              <w:t> mg</w:t>
            </w:r>
          </w:p>
          <w:p w14:paraId="1C96F0CF" w14:textId="77777777"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p>
        </w:tc>
        <w:tc>
          <w:tcPr>
            <w:tcW w:w="2367" w:type="dxa"/>
            <w:tcBorders>
              <w:top w:val="single" w:sz="4" w:space="0" w:color="auto"/>
              <w:left w:val="nil"/>
              <w:bottom w:val="single" w:sz="4" w:space="0" w:color="auto"/>
              <w:right w:val="nil"/>
            </w:tcBorders>
          </w:tcPr>
          <w:p w14:paraId="54B51685" w14:textId="711D7DF1"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Metformin</w:t>
            </w:r>
          </w:p>
          <w:p w14:paraId="54AF8CD9" w14:textId="29D4EC80"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p>
        </w:tc>
      </w:tr>
      <w:tr w:rsidR="001D6FB8" w:rsidRPr="00E076F1" w14:paraId="40C8AA6D" w14:textId="77777777" w:rsidTr="001D6FB8">
        <w:tc>
          <w:tcPr>
            <w:tcW w:w="2396" w:type="dxa"/>
            <w:tcBorders>
              <w:top w:val="single" w:sz="4" w:space="0" w:color="auto"/>
              <w:left w:val="nil"/>
              <w:bottom w:val="single" w:sz="4" w:space="0" w:color="auto"/>
              <w:right w:val="nil"/>
            </w:tcBorders>
          </w:tcPr>
          <w:p w14:paraId="439B6096" w14:textId="1D71FADD"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b</w:t>
            </w:r>
          </w:p>
        </w:tc>
        <w:tc>
          <w:tcPr>
            <w:tcW w:w="2367" w:type="dxa"/>
            <w:tcBorders>
              <w:top w:val="single" w:sz="4" w:space="0" w:color="auto"/>
              <w:left w:val="nil"/>
              <w:bottom w:val="single" w:sz="4" w:space="0" w:color="auto"/>
              <w:right w:val="nil"/>
            </w:tcBorders>
          </w:tcPr>
          <w:p w14:paraId="3AD535D5" w14:textId="4DB7F3A4"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211</w:t>
            </w:r>
            <w:r w:rsidRPr="00E076F1">
              <w:rPr>
                <w:rFonts w:eastAsia="TimesNewRoman,Bold"/>
                <w:snapToGrid/>
                <w:vertAlign w:val="superscript"/>
                <w:lang w:val="hu-HU" w:eastAsia="en-GB"/>
              </w:rPr>
              <w:t>b</w:t>
            </w:r>
          </w:p>
        </w:tc>
        <w:tc>
          <w:tcPr>
            <w:tcW w:w="1941" w:type="dxa"/>
            <w:tcBorders>
              <w:top w:val="single" w:sz="4" w:space="0" w:color="auto"/>
              <w:left w:val="nil"/>
              <w:bottom w:val="single" w:sz="4" w:space="0" w:color="auto"/>
              <w:right w:val="nil"/>
            </w:tcBorders>
          </w:tcPr>
          <w:p w14:paraId="68DFE875" w14:textId="4BEFE376"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219</w:t>
            </w:r>
            <w:r w:rsidRPr="00E076F1">
              <w:rPr>
                <w:rFonts w:eastAsia="TimesNewRoman,Bold"/>
                <w:snapToGrid/>
                <w:vertAlign w:val="superscript"/>
                <w:lang w:val="hu-HU" w:eastAsia="en-GB"/>
              </w:rPr>
              <w:t>b</w:t>
            </w:r>
          </w:p>
        </w:tc>
        <w:tc>
          <w:tcPr>
            <w:tcW w:w="2367" w:type="dxa"/>
            <w:tcBorders>
              <w:top w:val="single" w:sz="4" w:space="0" w:color="auto"/>
              <w:left w:val="nil"/>
              <w:bottom w:val="single" w:sz="4" w:space="0" w:color="auto"/>
              <w:right w:val="nil"/>
            </w:tcBorders>
          </w:tcPr>
          <w:p w14:paraId="207EEFF7" w14:textId="5F255ADC"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208</w:t>
            </w:r>
            <w:r w:rsidRPr="00E076F1">
              <w:rPr>
                <w:rFonts w:eastAsia="TimesNewRoman,Bold"/>
                <w:snapToGrid/>
                <w:vertAlign w:val="superscript"/>
                <w:lang w:val="hu-HU" w:eastAsia="en-GB"/>
              </w:rPr>
              <w:t>b</w:t>
            </w:r>
          </w:p>
        </w:tc>
      </w:tr>
      <w:tr w:rsidR="001D6FB8" w:rsidRPr="00E076F1" w14:paraId="2EF51782" w14:textId="77777777" w:rsidTr="001D6FB8">
        <w:tc>
          <w:tcPr>
            <w:tcW w:w="2396" w:type="dxa"/>
            <w:tcBorders>
              <w:top w:val="single" w:sz="4" w:space="0" w:color="auto"/>
              <w:left w:val="nil"/>
              <w:bottom w:val="nil"/>
              <w:right w:val="nil"/>
            </w:tcBorders>
          </w:tcPr>
          <w:p w14:paraId="6D3EED50" w14:textId="77777777"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2367" w:type="dxa"/>
            <w:tcBorders>
              <w:top w:val="single" w:sz="4" w:space="0" w:color="auto"/>
              <w:left w:val="nil"/>
              <w:bottom w:val="nil"/>
              <w:right w:val="nil"/>
            </w:tcBorders>
          </w:tcPr>
          <w:p w14:paraId="22230E79"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1941" w:type="dxa"/>
            <w:tcBorders>
              <w:top w:val="single" w:sz="4" w:space="0" w:color="auto"/>
              <w:left w:val="nil"/>
              <w:bottom w:val="nil"/>
              <w:right w:val="nil"/>
            </w:tcBorders>
          </w:tcPr>
          <w:p w14:paraId="39373BF0"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single" w:sz="4" w:space="0" w:color="auto"/>
              <w:left w:val="nil"/>
              <w:bottom w:val="nil"/>
              <w:right w:val="nil"/>
            </w:tcBorders>
          </w:tcPr>
          <w:p w14:paraId="35EF0DE7" w14:textId="70E5C158"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r>
      <w:tr w:rsidR="001D6FB8" w:rsidRPr="00E076F1" w14:paraId="0CA3A7BC" w14:textId="77777777" w:rsidTr="001D6FB8">
        <w:tc>
          <w:tcPr>
            <w:tcW w:w="2396" w:type="dxa"/>
            <w:tcBorders>
              <w:top w:val="nil"/>
              <w:left w:val="nil"/>
              <w:bottom w:val="nil"/>
              <w:right w:val="nil"/>
            </w:tcBorders>
          </w:tcPr>
          <w:p w14:paraId="0B939FBC"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2367" w:type="dxa"/>
            <w:tcBorders>
              <w:top w:val="nil"/>
              <w:left w:val="nil"/>
              <w:bottom w:val="nil"/>
              <w:right w:val="nil"/>
            </w:tcBorders>
          </w:tcPr>
          <w:p w14:paraId="3963AA0B" w14:textId="36CAFB9D"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9,10</w:t>
            </w:r>
          </w:p>
        </w:tc>
        <w:tc>
          <w:tcPr>
            <w:tcW w:w="1941" w:type="dxa"/>
            <w:tcBorders>
              <w:top w:val="nil"/>
              <w:left w:val="nil"/>
              <w:bottom w:val="nil"/>
              <w:right w:val="nil"/>
            </w:tcBorders>
          </w:tcPr>
          <w:p w14:paraId="72CD5D70" w14:textId="76E2BC5B"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9,03</w:t>
            </w:r>
          </w:p>
        </w:tc>
        <w:tc>
          <w:tcPr>
            <w:tcW w:w="2367" w:type="dxa"/>
            <w:tcBorders>
              <w:top w:val="nil"/>
              <w:left w:val="nil"/>
              <w:bottom w:val="nil"/>
              <w:right w:val="nil"/>
            </w:tcBorders>
          </w:tcPr>
          <w:p w14:paraId="3F7F2B0F" w14:textId="6E345A7F"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9,03</w:t>
            </w:r>
          </w:p>
        </w:tc>
      </w:tr>
      <w:tr w:rsidR="001D6FB8" w:rsidRPr="00E076F1" w14:paraId="36899C91" w14:textId="77777777" w:rsidTr="00BA3A41">
        <w:tc>
          <w:tcPr>
            <w:tcW w:w="2396" w:type="dxa"/>
            <w:tcBorders>
              <w:top w:val="nil"/>
              <w:left w:val="nil"/>
              <w:bottom w:val="nil"/>
              <w:right w:val="nil"/>
            </w:tcBorders>
          </w:tcPr>
          <w:p w14:paraId="7D667D22" w14:textId="09A6987B"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c</w:t>
            </w:r>
          </w:p>
        </w:tc>
        <w:tc>
          <w:tcPr>
            <w:tcW w:w="2367" w:type="dxa"/>
            <w:tcBorders>
              <w:top w:val="nil"/>
              <w:left w:val="nil"/>
              <w:bottom w:val="nil"/>
              <w:right w:val="nil"/>
            </w:tcBorders>
          </w:tcPr>
          <w:p w14:paraId="5FDB7723" w14:textId="11E0748C"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w:t>
            </w:r>
            <w:r w:rsidR="00890810" w:rsidRPr="00E076F1">
              <w:rPr>
                <w:rFonts w:eastAsia="TimesNewRoman,Bold"/>
                <w:snapToGrid/>
                <w:lang w:val="hu-HU" w:eastAsia="en-GB"/>
              </w:rPr>
              <w:t>1</w:t>
            </w:r>
            <w:r w:rsidRPr="00E076F1">
              <w:rPr>
                <w:rFonts w:eastAsia="TimesNewRoman,Bold"/>
                <w:snapToGrid/>
                <w:lang w:val="hu-HU" w:eastAsia="en-GB"/>
              </w:rPr>
              <w:t>,9</w:t>
            </w:r>
            <w:r w:rsidR="00890810" w:rsidRPr="00E076F1">
              <w:rPr>
                <w:rFonts w:eastAsia="TimesNewRoman,Bold"/>
                <w:snapToGrid/>
                <w:lang w:val="hu-HU" w:eastAsia="en-GB"/>
              </w:rPr>
              <w:t>8</w:t>
            </w:r>
          </w:p>
        </w:tc>
        <w:tc>
          <w:tcPr>
            <w:tcW w:w="1941" w:type="dxa"/>
            <w:tcBorders>
              <w:top w:val="nil"/>
              <w:left w:val="nil"/>
              <w:bottom w:val="nil"/>
              <w:right w:val="nil"/>
            </w:tcBorders>
          </w:tcPr>
          <w:p w14:paraId="00D1D508" w14:textId="59775CCD" w:rsidR="001D6FB8" w:rsidRPr="00E076F1" w:rsidRDefault="00890810"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-1,45</w:t>
            </w:r>
          </w:p>
        </w:tc>
        <w:tc>
          <w:tcPr>
            <w:tcW w:w="2367" w:type="dxa"/>
            <w:tcBorders>
              <w:top w:val="nil"/>
              <w:left w:val="nil"/>
              <w:bottom w:val="nil"/>
              <w:right w:val="nil"/>
            </w:tcBorders>
          </w:tcPr>
          <w:p w14:paraId="0176683D" w14:textId="0CADFBEE"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w:t>
            </w:r>
            <w:r w:rsidR="00890810" w:rsidRPr="00E076F1">
              <w:rPr>
                <w:rFonts w:eastAsia="TimesNewRoman,Bold"/>
                <w:snapToGrid/>
                <w:lang w:val="hu-HU" w:eastAsia="en-GB"/>
              </w:rPr>
              <w:t>1</w:t>
            </w:r>
            <w:r w:rsidRPr="00E076F1">
              <w:rPr>
                <w:rFonts w:eastAsia="TimesNewRoman,Bold"/>
                <w:snapToGrid/>
                <w:lang w:val="hu-HU" w:eastAsia="en-GB"/>
              </w:rPr>
              <w:t>,</w:t>
            </w:r>
            <w:r w:rsidR="00890810" w:rsidRPr="00E076F1">
              <w:rPr>
                <w:rFonts w:eastAsia="TimesNewRoman,Bold"/>
                <w:snapToGrid/>
                <w:lang w:val="hu-HU" w:eastAsia="en-GB"/>
              </w:rPr>
              <w:t>44</w:t>
            </w:r>
          </w:p>
        </w:tc>
      </w:tr>
      <w:tr w:rsidR="001D6FB8" w:rsidRPr="00E076F1" w14:paraId="6C1D02EA" w14:textId="77777777" w:rsidTr="001D6FB8">
        <w:tc>
          <w:tcPr>
            <w:tcW w:w="2396" w:type="dxa"/>
            <w:tcBorders>
              <w:top w:val="nil"/>
              <w:left w:val="nil"/>
              <w:bottom w:val="nil"/>
              <w:right w:val="nil"/>
            </w:tcBorders>
          </w:tcPr>
          <w:p w14:paraId="58482730" w14:textId="4192DF13" w:rsidR="001D6FB8" w:rsidRPr="00E076F1" w:rsidRDefault="00890810" w:rsidP="00E076F1">
            <w:pPr>
              <w:tabs>
                <w:tab w:val="clear" w:pos="567"/>
              </w:tabs>
              <w:autoSpaceDE w:val="0"/>
              <w:autoSpaceDN w:val="0"/>
              <w:adjustRightInd w:val="0"/>
              <w:spacing w:line="240" w:lineRule="auto"/>
              <w:rPr>
                <w:snapToGrid/>
                <w:lang w:val="hu-HU" w:eastAsia="en-GB"/>
              </w:rPr>
            </w:pPr>
            <w:r w:rsidRPr="00E076F1">
              <w:rPr>
                <w:snapToGrid/>
                <w:lang w:val="hu-HU" w:eastAsia="en-GB"/>
              </w:rPr>
              <w:t>A dapagliflozinhoz viszonyított különbség</w:t>
            </w:r>
            <w:r w:rsidRPr="00E076F1">
              <w:rPr>
                <w:snapToGrid/>
                <w:vertAlign w:val="superscript"/>
                <w:lang w:val="hu-HU" w:eastAsia="en-GB"/>
              </w:rPr>
              <w:t>c</w:t>
            </w:r>
          </w:p>
        </w:tc>
        <w:tc>
          <w:tcPr>
            <w:tcW w:w="2367" w:type="dxa"/>
            <w:tcBorders>
              <w:top w:val="nil"/>
              <w:left w:val="nil"/>
              <w:bottom w:val="nil"/>
              <w:right w:val="nil"/>
            </w:tcBorders>
          </w:tcPr>
          <w:p w14:paraId="631450CD" w14:textId="37230B55"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890810" w:rsidRPr="00E076F1">
              <w:rPr>
                <w:rFonts w:eastAsia="TimesNewRoman,Bold"/>
                <w:snapToGrid/>
                <w:lang w:val="hu-HU" w:eastAsia="en-GB"/>
              </w:rPr>
              <w:t>53</w:t>
            </w:r>
            <w:r w:rsidRPr="00E076F1">
              <w:rPr>
                <w:snapToGrid/>
                <w:lang w:val="hu-HU" w:eastAsia="en-GB"/>
              </w:rPr>
              <w:t>*</w:t>
            </w:r>
          </w:p>
        </w:tc>
        <w:tc>
          <w:tcPr>
            <w:tcW w:w="1941" w:type="dxa"/>
            <w:tcBorders>
              <w:top w:val="nil"/>
              <w:left w:val="nil"/>
              <w:bottom w:val="nil"/>
              <w:right w:val="nil"/>
            </w:tcBorders>
          </w:tcPr>
          <w:p w14:paraId="7AD15AD0"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nil"/>
              <w:left w:val="nil"/>
              <w:bottom w:val="nil"/>
              <w:right w:val="nil"/>
            </w:tcBorders>
          </w:tcPr>
          <w:p w14:paraId="1D6CA5B0" w14:textId="0CE65180"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r>
      <w:tr w:rsidR="001D6FB8" w:rsidRPr="00E076F1" w14:paraId="1B078FA4" w14:textId="77777777" w:rsidTr="00BA3A41">
        <w:tc>
          <w:tcPr>
            <w:tcW w:w="2396" w:type="dxa"/>
            <w:tcBorders>
              <w:top w:val="nil"/>
              <w:left w:val="nil"/>
              <w:bottom w:val="nil"/>
              <w:right w:val="nil"/>
            </w:tcBorders>
          </w:tcPr>
          <w:p w14:paraId="3005AAC4"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2367" w:type="dxa"/>
            <w:tcBorders>
              <w:top w:val="nil"/>
              <w:left w:val="nil"/>
              <w:bottom w:val="nil"/>
              <w:right w:val="nil"/>
            </w:tcBorders>
          </w:tcPr>
          <w:p w14:paraId="6475006F" w14:textId="6C3B1C0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(-0,74; -0,</w:t>
            </w:r>
            <w:r w:rsidR="00890810" w:rsidRPr="00E076F1">
              <w:rPr>
                <w:snapToGrid/>
                <w:lang w:val="hu-HU" w:eastAsia="en-GB"/>
              </w:rPr>
              <w:t>32</w:t>
            </w:r>
            <w:r w:rsidRPr="00E076F1">
              <w:rPr>
                <w:snapToGrid/>
                <w:lang w:val="hu-HU" w:eastAsia="en-GB"/>
              </w:rPr>
              <w:t>)</w:t>
            </w:r>
          </w:p>
        </w:tc>
        <w:tc>
          <w:tcPr>
            <w:tcW w:w="1941" w:type="dxa"/>
            <w:tcBorders>
              <w:top w:val="nil"/>
              <w:left w:val="nil"/>
              <w:bottom w:val="nil"/>
              <w:right w:val="nil"/>
            </w:tcBorders>
          </w:tcPr>
          <w:p w14:paraId="2B2EB813"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nil"/>
              <w:left w:val="nil"/>
              <w:bottom w:val="nil"/>
              <w:right w:val="nil"/>
            </w:tcBorders>
          </w:tcPr>
          <w:p w14:paraId="779E9D5A" w14:textId="4C95D58F"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r>
      <w:tr w:rsidR="00890810" w:rsidRPr="00E076F1" w14:paraId="5ECD10C2" w14:textId="77777777" w:rsidTr="00BA3A41">
        <w:tc>
          <w:tcPr>
            <w:tcW w:w="2396" w:type="dxa"/>
            <w:tcBorders>
              <w:top w:val="nil"/>
              <w:left w:val="nil"/>
              <w:bottom w:val="nil"/>
              <w:right w:val="nil"/>
            </w:tcBorders>
          </w:tcPr>
          <w:p w14:paraId="6FD2EBB9" w14:textId="5467991C" w:rsidR="00890810" w:rsidRPr="00E076F1" w:rsidRDefault="00890810" w:rsidP="00E076F1">
            <w:pPr>
              <w:tabs>
                <w:tab w:val="clear" w:pos="567"/>
              </w:tabs>
              <w:autoSpaceDE w:val="0"/>
              <w:autoSpaceDN w:val="0"/>
              <w:adjustRightInd w:val="0"/>
              <w:spacing w:line="240" w:lineRule="auto"/>
              <w:rPr>
                <w:snapToGrid/>
                <w:lang w:val="hu-HU" w:eastAsia="en-GB"/>
              </w:rPr>
            </w:pPr>
            <w:r w:rsidRPr="00E076F1">
              <w:rPr>
                <w:snapToGrid/>
                <w:lang w:val="hu-HU" w:eastAsia="en-GB"/>
              </w:rPr>
              <w:t>A metforminhoz viszonyított különbség</w:t>
            </w:r>
            <w:r w:rsidRPr="00E076F1">
              <w:rPr>
                <w:snapToGrid/>
                <w:vertAlign w:val="superscript"/>
                <w:lang w:val="hu-HU" w:eastAsia="en-GB"/>
              </w:rPr>
              <w:t>c</w:t>
            </w:r>
          </w:p>
        </w:tc>
        <w:tc>
          <w:tcPr>
            <w:tcW w:w="2367" w:type="dxa"/>
            <w:tcBorders>
              <w:top w:val="nil"/>
              <w:left w:val="nil"/>
              <w:bottom w:val="nil"/>
              <w:right w:val="nil"/>
            </w:tcBorders>
          </w:tcPr>
          <w:p w14:paraId="09A9F858" w14:textId="09EE61B2" w:rsidR="00890810" w:rsidRPr="00E076F1" w:rsidRDefault="00890810" w:rsidP="00E076F1">
            <w:pPr>
              <w:tabs>
                <w:tab w:val="clear" w:pos="567"/>
              </w:tabs>
              <w:autoSpaceDE w:val="0"/>
              <w:autoSpaceDN w:val="0"/>
              <w:adjustRightInd w:val="0"/>
              <w:spacing w:line="240" w:lineRule="auto"/>
              <w:rPr>
                <w:snapToGrid/>
                <w:lang w:val="hu-HU" w:eastAsia="en-GB"/>
              </w:rPr>
            </w:pPr>
            <w:r w:rsidRPr="00E076F1">
              <w:rPr>
                <w:snapToGrid/>
                <w:lang w:val="hu-HU" w:eastAsia="en-GB"/>
              </w:rPr>
              <w:t>-0,54</w:t>
            </w:r>
            <w:r w:rsidR="00BA3A41" w:rsidRPr="00E076F1">
              <w:rPr>
                <w:snapToGrid/>
                <w:lang w:val="hu-HU" w:eastAsia="en-GB"/>
              </w:rPr>
              <w:t>*</w:t>
            </w:r>
          </w:p>
        </w:tc>
        <w:tc>
          <w:tcPr>
            <w:tcW w:w="1941" w:type="dxa"/>
            <w:tcBorders>
              <w:top w:val="nil"/>
              <w:left w:val="nil"/>
              <w:bottom w:val="nil"/>
              <w:right w:val="nil"/>
            </w:tcBorders>
          </w:tcPr>
          <w:p w14:paraId="58A8FD3E" w14:textId="4F4D88F3" w:rsidR="00890810" w:rsidRPr="00E076F1" w:rsidRDefault="00890810"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-0,01</w:t>
            </w:r>
          </w:p>
        </w:tc>
        <w:tc>
          <w:tcPr>
            <w:tcW w:w="2367" w:type="dxa"/>
            <w:tcBorders>
              <w:top w:val="nil"/>
              <w:left w:val="nil"/>
              <w:bottom w:val="nil"/>
              <w:right w:val="nil"/>
            </w:tcBorders>
          </w:tcPr>
          <w:p w14:paraId="660812FB" w14:textId="77777777" w:rsidR="00890810" w:rsidRPr="00E076F1" w:rsidRDefault="00890810" w:rsidP="00E076F1">
            <w:pPr>
              <w:tabs>
                <w:tab w:val="clear" w:pos="567"/>
              </w:tabs>
              <w:autoSpaceDE w:val="0"/>
              <w:autoSpaceDN w:val="0"/>
              <w:adjustRightInd w:val="0"/>
              <w:spacing w:line="240" w:lineRule="auto"/>
              <w:rPr>
                <w:rFonts w:eastAsia="TimesNewRoman,Bold"/>
                <w:snapToGrid/>
                <w:lang w:val="hu-HU" w:eastAsia="en-GB"/>
              </w:rPr>
            </w:pPr>
          </w:p>
        </w:tc>
      </w:tr>
      <w:tr w:rsidR="00BA3A41" w:rsidRPr="00E076F1" w14:paraId="08C181A9" w14:textId="77777777" w:rsidTr="001D6FB8">
        <w:tc>
          <w:tcPr>
            <w:tcW w:w="2396" w:type="dxa"/>
            <w:tcBorders>
              <w:top w:val="nil"/>
              <w:left w:val="nil"/>
              <w:bottom w:val="single" w:sz="4" w:space="0" w:color="auto"/>
              <w:right w:val="nil"/>
            </w:tcBorders>
          </w:tcPr>
          <w:p w14:paraId="6B54E43C" w14:textId="1A4F79B1"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lang w:val="en-US" w:eastAsia="en-GB"/>
              </w:rPr>
              <w:t>(95%-os CI)</w:t>
            </w:r>
          </w:p>
        </w:tc>
        <w:tc>
          <w:tcPr>
            <w:tcW w:w="2367" w:type="dxa"/>
            <w:tcBorders>
              <w:top w:val="nil"/>
              <w:left w:val="nil"/>
              <w:bottom w:val="single" w:sz="4" w:space="0" w:color="auto"/>
              <w:right w:val="nil"/>
            </w:tcBorders>
          </w:tcPr>
          <w:p w14:paraId="32C4C93C" w14:textId="2D26C741"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lang w:val="en-US" w:eastAsia="en-GB"/>
              </w:rPr>
              <w:t>(</w:t>
            </w:r>
            <w:r w:rsidR="00C73DD7" w:rsidRPr="00E076F1">
              <w:rPr>
                <w:snapToGrid/>
                <w:lang w:val="en-US" w:eastAsia="en-GB"/>
              </w:rPr>
              <w:t>-</w:t>
            </w:r>
            <w:r w:rsidRPr="00E076F1">
              <w:rPr>
                <w:snapToGrid/>
                <w:lang w:val="en-US" w:eastAsia="en-GB"/>
              </w:rPr>
              <w:t>0,75</w:t>
            </w:r>
            <w:r w:rsidR="00C73DD7" w:rsidRPr="00E076F1">
              <w:rPr>
                <w:snapToGrid/>
                <w:lang w:val="en-US" w:eastAsia="en-GB"/>
              </w:rPr>
              <w:t>;</w:t>
            </w:r>
            <w:r w:rsidRPr="00E076F1">
              <w:rPr>
                <w:snapToGrid/>
                <w:lang w:val="en-US" w:eastAsia="en-GB"/>
              </w:rPr>
              <w:t xml:space="preserve"> </w:t>
            </w:r>
            <w:r w:rsidR="00C73DD7" w:rsidRPr="00E076F1">
              <w:rPr>
                <w:snapToGrid/>
                <w:lang w:val="en-US" w:eastAsia="en-GB"/>
              </w:rPr>
              <w:t>-</w:t>
            </w:r>
            <w:r w:rsidRPr="00E076F1">
              <w:rPr>
                <w:snapToGrid/>
                <w:lang w:val="en-US" w:eastAsia="en-GB"/>
              </w:rPr>
              <w:t>0,33)</w:t>
            </w:r>
          </w:p>
        </w:tc>
        <w:tc>
          <w:tcPr>
            <w:tcW w:w="1941" w:type="dxa"/>
            <w:tcBorders>
              <w:top w:val="nil"/>
              <w:left w:val="nil"/>
              <w:bottom w:val="single" w:sz="4" w:space="0" w:color="auto"/>
              <w:right w:val="nil"/>
            </w:tcBorders>
          </w:tcPr>
          <w:p w14:paraId="4268CAF4" w14:textId="41381321"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w:t>
            </w:r>
            <w:r w:rsidR="00C73DD7" w:rsidRPr="00E076F1">
              <w:rPr>
                <w:snapToGrid/>
                <w:lang w:val="en-US" w:eastAsia="en-GB"/>
              </w:rPr>
              <w:t>-</w:t>
            </w:r>
            <w:r w:rsidRPr="00E076F1">
              <w:rPr>
                <w:snapToGrid/>
                <w:lang w:val="en-US" w:eastAsia="en-GB"/>
              </w:rPr>
              <w:t>0,22</w:t>
            </w:r>
            <w:r w:rsidR="00C73DD7" w:rsidRPr="00E076F1">
              <w:rPr>
                <w:snapToGrid/>
                <w:lang w:val="en-US" w:eastAsia="en-GB"/>
              </w:rPr>
              <w:t>;</w:t>
            </w:r>
            <w:r w:rsidRPr="00E076F1">
              <w:rPr>
                <w:snapToGrid/>
                <w:lang w:val="en-US" w:eastAsia="en-GB"/>
              </w:rPr>
              <w:t xml:space="preserve"> 0,20)</w:t>
            </w:r>
          </w:p>
        </w:tc>
        <w:tc>
          <w:tcPr>
            <w:tcW w:w="2367" w:type="dxa"/>
            <w:tcBorders>
              <w:top w:val="nil"/>
              <w:left w:val="nil"/>
              <w:bottom w:val="single" w:sz="4" w:space="0" w:color="auto"/>
              <w:right w:val="nil"/>
            </w:tcBorders>
          </w:tcPr>
          <w:p w14:paraId="493EC968"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p>
        </w:tc>
      </w:tr>
    </w:tbl>
    <w:p w14:paraId="7DC3155F" w14:textId="5E347DD1"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a</w:t>
      </w:r>
      <w:r w:rsidRPr="00E076F1">
        <w:rPr>
          <w:snapToGrid/>
          <w:lang w:val="hu-HU" w:eastAsia="en-GB"/>
        </w:rPr>
        <w:t xml:space="preserve"> LOCF: az utolsó észlelt (a vizsgálatból kiemelt betegek kiemelése előtti) adat alapján végzett elemzés.</w:t>
      </w:r>
    </w:p>
    <w:p w14:paraId="6F1761D9" w14:textId="04A1376C"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Minden olyan randomizált beteg, aki a rövid távú kettős-vak periódus alatt legalább egy adagot bevett a kettős-vak vizsgálati gyógyszerből.</w:t>
      </w:r>
    </w:p>
    <w:p w14:paraId="6F11B212" w14:textId="37D7D146"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átlaga.</w:t>
      </w:r>
    </w:p>
    <w:p w14:paraId="6C67EEF1" w14:textId="14E960A4" w:rsidR="001D6FB8"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*p-érték &lt;0,0001.</w:t>
      </w:r>
    </w:p>
    <w:p w14:paraId="2FBC0F01" w14:textId="77777777" w:rsidR="001D6FB8" w:rsidRPr="00E076F1" w:rsidRDefault="001D6FB8" w:rsidP="00E076F1">
      <w:pPr>
        <w:tabs>
          <w:tab w:val="clear" w:pos="567"/>
        </w:tabs>
        <w:autoSpaceDE w:val="0"/>
        <w:autoSpaceDN w:val="0"/>
        <w:adjustRightInd w:val="0"/>
        <w:spacing w:line="240" w:lineRule="auto"/>
        <w:rPr>
          <w:rFonts w:eastAsia="TimesNewRoman,Bold"/>
          <w:snapToGrid/>
          <w:szCs w:val="22"/>
          <w:lang w:val="hu-HU" w:eastAsia="en-GB"/>
        </w:rPr>
      </w:pPr>
    </w:p>
    <w:p w14:paraId="37BB5C48" w14:textId="77777777" w:rsidR="00BA3A41" w:rsidRPr="00E076F1" w:rsidRDefault="00BA3A41"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Elnyújtott hatóanyagleadású exenatiddal kombinált kezelés</w:t>
      </w:r>
    </w:p>
    <w:p w14:paraId="5C83265A" w14:textId="1C40E57E" w:rsidR="001D6FB8" w:rsidRPr="00E076F1" w:rsidRDefault="00BA3A4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28 hetes, kettős-vak, aktív komparátor-kontrollos vizsgálatban a dapagliflozin és az elnyújtott hatóanyagleadású exenatid (egy GLP-1-receptor agonista) kombinációt hasonlították össze az önmagában adott dapagliflozinnal és az önmagában adott elnyújtott hatóanyagleadású exenatiddal olyan betegeknél, akiknél a metformin monoterápia inadekvát glikémiás kontrollt eredményezett (HbA1c ≥ 8% és ≤ 12%).</w:t>
      </w:r>
      <w:r w:rsidR="006300B2" w:rsidRPr="00E076F1">
        <w:rPr>
          <w:rFonts w:eastAsia="TimesNewRoman,Italic"/>
          <w:snapToGrid/>
          <w:szCs w:val="22"/>
          <w:lang w:val="hu-HU" w:eastAsia="en-GB"/>
        </w:rPr>
        <w:t xml:space="preserve"> </w:t>
      </w:r>
      <w:r w:rsidRPr="00E076F1">
        <w:rPr>
          <w:rFonts w:eastAsia="TimesNewRoman,Italic"/>
          <w:snapToGrid/>
          <w:szCs w:val="22"/>
          <w:lang w:val="hu-HU" w:eastAsia="en-GB"/>
        </w:rPr>
        <w:t>A kiindulási értékhez képest az összes terápiás csoportban csökkent a HbA1c-szint.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és az elnyújtott hatóanyagleadású exenatid kombinációjával kezelt betegek csoportjában a kiindulási értékhez képest nagyobb mértékben csökkent a HbA1c-szint, mint az önmagában adott dapagliflozin vagy az önmagában adott elnyújtott hatóanyagleadású exenatid esetén (8. táblázat).</w:t>
      </w:r>
    </w:p>
    <w:p w14:paraId="2BD3D513" w14:textId="5B66311C" w:rsidR="00C73DD7" w:rsidRPr="00E076F1" w:rsidRDefault="00C73DD7" w:rsidP="00E076F1">
      <w:pPr>
        <w:tabs>
          <w:tab w:val="clear" w:pos="567"/>
        </w:tabs>
        <w:autoSpaceDE w:val="0"/>
        <w:autoSpaceDN w:val="0"/>
        <w:adjustRightInd w:val="0"/>
        <w:spacing w:line="240" w:lineRule="auto"/>
        <w:rPr>
          <w:rFonts w:eastAsia="TimesNewRoman,Bold"/>
          <w:snapToGrid/>
          <w:szCs w:val="22"/>
          <w:lang w:val="hu-HU" w:eastAsia="en-GB"/>
        </w:rPr>
      </w:pPr>
      <w:r w:rsidRPr="00E076F1">
        <w:rPr>
          <w:rFonts w:eastAsia="TimesNewRoman,Bold"/>
          <w:snapToGrid/>
          <w:szCs w:val="22"/>
          <w:lang w:val="hu-HU" w:eastAsia="en-GB"/>
        </w:rPr>
        <w:br w:type="page"/>
      </w:r>
    </w:p>
    <w:p w14:paraId="7A76F136" w14:textId="77777777" w:rsidR="001D6FB8" w:rsidRPr="00E076F1" w:rsidRDefault="001D6FB8" w:rsidP="00E076F1">
      <w:pPr>
        <w:tabs>
          <w:tab w:val="clear" w:pos="567"/>
        </w:tabs>
        <w:autoSpaceDE w:val="0"/>
        <w:autoSpaceDN w:val="0"/>
        <w:adjustRightInd w:val="0"/>
        <w:spacing w:line="240" w:lineRule="auto"/>
        <w:rPr>
          <w:rFonts w:eastAsia="TimesNewRoman,Bold"/>
          <w:snapToGrid/>
          <w:szCs w:val="22"/>
          <w:lang w:val="hu-HU" w:eastAsia="en-GB"/>
        </w:rPr>
      </w:pPr>
    </w:p>
    <w:p w14:paraId="19B54C85" w14:textId="1670F66A" w:rsidR="00BA3A41" w:rsidRPr="00E076F1" w:rsidRDefault="00BA3A41"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8. táblázat A dapagliflozin és az elnyújtott hatóanyagleadású exenatid kombinációval, illetve a metforminnal kombinált, önmagában adott dapagliflozinnal és a metforminnal kombinált, önmagában adott elnyújtott hatóanyagleadású exenatiddal végzett 28 hetes vizsgálat eredményei (szándékolt kezelés szerinti; „intent to treat” betegek)</w:t>
      </w:r>
    </w:p>
    <w:tbl>
      <w:tblPr>
        <w:tblStyle w:val="Rcsostblzat"/>
        <w:tblW w:w="0" w:type="auto"/>
        <w:tblLook w:val="0420" w:firstRow="1" w:lastRow="0" w:firstColumn="0" w:lastColumn="0" w:noHBand="0" w:noVBand="1"/>
      </w:tblPr>
      <w:tblGrid>
        <w:gridCol w:w="2396"/>
        <w:gridCol w:w="2367"/>
        <w:gridCol w:w="1941"/>
        <w:gridCol w:w="2367"/>
      </w:tblGrid>
      <w:tr w:rsidR="00634000" w:rsidRPr="00E076F1" w14:paraId="57CAD770" w14:textId="77777777" w:rsidTr="00822CB0">
        <w:tc>
          <w:tcPr>
            <w:tcW w:w="2396" w:type="dxa"/>
            <w:tcBorders>
              <w:top w:val="single" w:sz="4" w:space="0" w:color="auto"/>
              <w:left w:val="nil"/>
              <w:bottom w:val="nil"/>
              <w:right w:val="nil"/>
            </w:tcBorders>
          </w:tcPr>
          <w:p w14:paraId="07462520" w14:textId="4308183E" w:rsidR="00BA3A41" w:rsidRPr="00E076F1" w:rsidRDefault="006300B2"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Paraméter</w:t>
            </w:r>
          </w:p>
        </w:tc>
        <w:tc>
          <w:tcPr>
            <w:tcW w:w="2367" w:type="dxa"/>
            <w:tcBorders>
              <w:top w:val="single" w:sz="4" w:space="0" w:color="auto"/>
              <w:left w:val="nil"/>
              <w:bottom w:val="nil"/>
              <w:right w:val="nil"/>
            </w:tcBorders>
          </w:tcPr>
          <w:p w14:paraId="400A1C48"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Naponta egyszer</w:t>
            </w:r>
          </w:p>
          <w:p w14:paraId="5EEBC0C9" w14:textId="00B0D7C9"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10</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dapagliflozin</w:t>
            </w:r>
          </w:p>
          <w:p w14:paraId="154FB591"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w:t>
            </w:r>
          </w:p>
          <w:p w14:paraId="4B9ACB89" w14:textId="1B52F8AA"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hetente egyszer 2</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elnyújtott hatóanyagleadású exenatid</w:t>
            </w:r>
          </w:p>
        </w:tc>
        <w:tc>
          <w:tcPr>
            <w:tcW w:w="1941" w:type="dxa"/>
            <w:tcBorders>
              <w:top w:val="single" w:sz="4" w:space="0" w:color="auto"/>
              <w:left w:val="nil"/>
              <w:bottom w:val="nil"/>
              <w:right w:val="nil"/>
            </w:tcBorders>
          </w:tcPr>
          <w:p w14:paraId="48EBE00D" w14:textId="591A3F8A"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Naponta egyszer 10</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dapagliflozin</w:t>
            </w:r>
          </w:p>
          <w:p w14:paraId="1BFF1D47"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w:t>
            </w:r>
          </w:p>
          <w:p w14:paraId="0C7F301F" w14:textId="54D72EAA"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hetente egyszer placebo</w:t>
            </w:r>
          </w:p>
          <w:p w14:paraId="0665D794"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p>
        </w:tc>
        <w:tc>
          <w:tcPr>
            <w:tcW w:w="2367" w:type="dxa"/>
            <w:tcBorders>
              <w:top w:val="single" w:sz="4" w:space="0" w:color="auto"/>
              <w:left w:val="nil"/>
              <w:bottom w:val="nil"/>
              <w:right w:val="nil"/>
            </w:tcBorders>
          </w:tcPr>
          <w:p w14:paraId="704B2E08" w14:textId="5F0475CC"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Hetente egyszer 2</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elnyújtott hatóanyagleadású exenatid</w:t>
            </w:r>
          </w:p>
          <w:p w14:paraId="0F31DABA"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w:t>
            </w:r>
          </w:p>
          <w:p w14:paraId="06A0C1C1"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naponta egyszer</w:t>
            </w:r>
          </w:p>
          <w:p w14:paraId="416B989F" w14:textId="6035B4B8"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w:t>
            </w:r>
          </w:p>
        </w:tc>
      </w:tr>
      <w:tr w:rsidR="00634000" w:rsidRPr="00E076F1" w14:paraId="693B7645" w14:textId="77777777" w:rsidTr="00822CB0">
        <w:tc>
          <w:tcPr>
            <w:tcW w:w="2396" w:type="dxa"/>
            <w:tcBorders>
              <w:top w:val="nil"/>
              <w:left w:val="nil"/>
              <w:bottom w:val="single" w:sz="4" w:space="0" w:color="auto"/>
              <w:right w:val="nil"/>
            </w:tcBorders>
          </w:tcPr>
          <w:p w14:paraId="5ADF57E6" w14:textId="7A5B32BD" w:rsidR="00634000" w:rsidRPr="00E076F1" w:rsidRDefault="00634000" w:rsidP="00E076F1">
            <w:pPr>
              <w:tabs>
                <w:tab w:val="clear" w:pos="567"/>
              </w:tabs>
              <w:autoSpaceDE w:val="0"/>
              <w:autoSpaceDN w:val="0"/>
              <w:adjustRightInd w:val="0"/>
              <w:spacing w:line="240" w:lineRule="auto"/>
              <w:rPr>
                <w:rFonts w:eastAsia="TimesNewRoman,Bold"/>
                <w:b/>
                <w:bCs/>
                <w:snapToGrid/>
                <w:lang w:val="hu-HU" w:eastAsia="en-GB"/>
              </w:rPr>
            </w:pPr>
          </w:p>
        </w:tc>
        <w:tc>
          <w:tcPr>
            <w:tcW w:w="2367" w:type="dxa"/>
            <w:tcBorders>
              <w:top w:val="nil"/>
              <w:left w:val="nil"/>
              <w:bottom w:val="single" w:sz="4" w:space="0" w:color="auto"/>
              <w:right w:val="nil"/>
            </w:tcBorders>
          </w:tcPr>
          <w:p w14:paraId="453BF9F5" w14:textId="77777777" w:rsidR="00634000" w:rsidRPr="00E076F1" w:rsidRDefault="00634000" w:rsidP="00E076F1">
            <w:pPr>
              <w:tabs>
                <w:tab w:val="clear" w:pos="567"/>
              </w:tabs>
              <w:autoSpaceDE w:val="0"/>
              <w:autoSpaceDN w:val="0"/>
              <w:adjustRightInd w:val="0"/>
              <w:spacing w:line="240" w:lineRule="auto"/>
              <w:rPr>
                <w:rFonts w:eastAsia="TimesNewRoman,Bold"/>
                <w:b/>
                <w:bCs/>
                <w:snapToGrid/>
                <w:lang w:val="hu-HU" w:eastAsia="en-GB"/>
              </w:rPr>
            </w:pPr>
          </w:p>
        </w:tc>
        <w:tc>
          <w:tcPr>
            <w:tcW w:w="1941" w:type="dxa"/>
            <w:tcBorders>
              <w:top w:val="nil"/>
              <w:left w:val="nil"/>
              <w:bottom w:val="single" w:sz="4" w:space="0" w:color="auto"/>
              <w:right w:val="nil"/>
            </w:tcBorders>
          </w:tcPr>
          <w:p w14:paraId="28F0F8F5" w14:textId="77777777" w:rsidR="00634000" w:rsidRPr="00E076F1" w:rsidRDefault="00634000" w:rsidP="00E076F1">
            <w:pPr>
              <w:tabs>
                <w:tab w:val="clear" w:pos="567"/>
              </w:tabs>
              <w:autoSpaceDE w:val="0"/>
              <w:autoSpaceDN w:val="0"/>
              <w:adjustRightInd w:val="0"/>
              <w:spacing w:line="240" w:lineRule="auto"/>
              <w:rPr>
                <w:rFonts w:eastAsia="TimesNewRoman,Bold"/>
                <w:b/>
                <w:bCs/>
                <w:snapToGrid/>
                <w:lang w:val="hu-HU" w:eastAsia="en-GB"/>
              </w:rPr>
            </w:pPr>
          </w:p>
        </w:tc>
        <w:tc>
          <w:tcPr>
            <w:tcW w:w="2367" w:type="dxa"/>
            <w:tcBorders>
              <w:top w:val="nil"/>
              <w:left w:val="nil"/>
              <w:bottom w:val="single" w:sz="4" w:space="0" w:color="auto"/>
              <w:right w:val="nil"/>
            </w:tcBorders>
          </w:tcPr>
          <w:p w14:paraId="3F8B9763" w14:textId="77777777" w:rsidR="00634000" w:rsidRPr="00E076F1" w:rsidRDefault="00634000" w:rsidP="00E076F1">
            <w:pPr>
              <w:tabs>
                <w:tab w:val="clear" w:pos="567"/>
              </w:tabs>
              <w:autoSpaceDE w:val="0"/>
              <w:autoSpaceDN w:val="0"/>
              <w:adjustRightInd w:val="0"/>
              <w:spacing w:line="240" w:lineRule="auto"/>
              <w:rPr>
                <w:rFonts w:eastAsia="TimesNewRoman,Bold"/>
                <w:b/>
                <w:bCs/>
                <w:snapToGrid/>
                <w:lang w:val="hu-HU" w:eastAsia="en-GB"/>
              </w:rPr>
            </w:pPr>
          </w:p>
        </w:tc>
      </w:tr>
      <w:tr w:rsidR="00634000" w:rsidRPr="00E076F1" w14:paraId="59FF1721" w14:textId="77777777" w:rsidTr="00E37AD1">
        <w:tc>
          <w:tcPr>
            <w:tcW w:w="2396" w:type="dxa"/>
            <w:tcBorders>
              <w:top w:val="single" w:sz="4" w:space="0" w:color="auto"/>
              <w:left w:val="nil"/>
              <w:bottom w:val="single" w:sz="4" w:space="0" w:color="auto"/>
              <w:right w:val="nil"/>
            </w:tcBorders>
          </w:tcPr>
          <w:p w14:paraId="1BB7CF10" w14:textId="12BC2CD8"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N</w:t>
            </w:r>
            <w:r w:rsidR="00D5452F" w:rsidRPr="00E076F1">
              <w:rPr>
                <w:rStyle w:val="Tekstpodstawowy3"/>
                <w:rFonts w:eastAsia="SimSun"/>
                <w:b/>
                <w:bCs/>
                <w:color w:val="auto"/>
                <w:sz w:val="22"/>
                <w:vertAlign w:val="superscript"/>
              </w:rPr>
              <w:t>b</w:t>
            </w:r>
          </w:p>
        </w:tc>
        <w:tc>
          <w:tcPr>
            <w:tcW w:w="2367" w:type="dxa"/>
            <w:tcBorders>
              <w:top w:val="single" w:sz="4" w:space="0" w:color="auto"/>
              <w:left w:val="nil"/>
              <w:bottom w:val="single" w:sz="4" w:space="0" w:color="auto"/>
              <w:right w:val="nil"/>
            </w:tcBorders>
          </w:tcPr>
          <w:p w14:paraId="758F5773" w14:textId="424FE721"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228</w:t>
            </w:r>
          </w:p>
        </w:tc>
        <w:tc>
          <w:tcPr>
            <w:tcW w:w="1941" w:type="dxa"/>
            <w:tcBorders>
              <w:top w:val="single" w:sz="4" w:space="0" w:color="auto"/>
              <w:left w:val="nil"/>
              <w:bottom w:val="single" w:sz="4" w:space="0" w:color="auto"/>
              <w:right w:val="nil"/>
            </w:tcBorders>
          </w:tcPr>
          <w:p w14:paraId="171AD14A" w14:textId="23B8D16C"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230</w:t>
            </w:r>
          </w:p>
        </w:tc>
        <w:tc>
          <w:tcPr>
            <w:tcW w:w="2367" w:type="dxa"/>
            <w:tcBorders>
              <w:top w:val="single" w:sz="4" w:space="0" w:color="auto"/>
              <w:left w:val="nil"/>
              <w:bottom w:val="single" w:sz="4" w:space="0" w:color="auto"/>
              <w:right w:val="nil"/>
            </w:tcBorders>
          </w:tcPr>
          <w:p w14:paraId="7ADBB6C2" w14:textId="20CE4A24"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227</w:t>
            </w:r>
          </w:p>
        </w:tc>
      </w:tr>
      <w:tr w:rsidR="00634000" w:rsidRPr="00E076F1" w14:paraId="77AA5DBB" w14:textId="77777777" w:rsidTr="00E37AD1">
        <w:tc>
          <w:tcPr>
            <w:tcW w:w="2396" w:type="dxa"/>
            <w:tcBorders>
              <w:top w:val="single" w:sz="4" w:space="0" w:color="auto"/>
              <w:left w:val="nil"/>
              <w:bottom w:val="nil"/>
              <w:right w:val="nil"/>
            </w:tcBorders>
          </w:tcPr>
          <w:p w14:paraId="2A272122"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2367" w:type="dxa"/>
            <w:tcBorders>
              <w:top w:val="single" w:sz="4" w:space="0" w:color="auto"/>
              <w:left w:val="nil"/>
              <w:bottom w:val="nil"/>
              <w:right w:val="nil"/>
            </w:tcBorders>
          </w:tcPr>
          <w:p w14:paraId="3A2EEE84"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p>
        </w:tc>
        <w:tc>
          <w:tcPr>
            <w:tcW w:w="1941" w:type="dxa"/>
            <w:tcBorders>
              <w:top w:val="single" w:sz="4" w:space="0" w:color="auto"/>
              <w:left w:val="nil"/>
              <w:bottom w:val="nil"/>
              <w:right w:val="nil"/>
            </w:tcBorders>
          </w:tcPr>
          <w:p w14:paraId="35811DA3"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single" w:sz="4" w:space="0" w:color="auto"/>
              <w:left w:val="nil"/>
              <w:bottom w:val="nil"/>
              <w:right w:val="nil"/>
            </w:tcBorders>
          </w:tcPr>
          <w:p w14:paraId="355ACE55"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p>
        </w:tc>
      </w:tr>
      <w:tr w:rsidR="00634000" w:rsidRPr="00E076F1" w14:paraId="61BE168A" w14:textId="77777777" w:rsidTr="00E37AD1">
        <w:tc>
          <w:tcPr>
            <w:tcW w:w="2396" w:type="dxa"/>
            <w:tcBorders>
              <w:top w:val="nil"/>
              <w:left w:val="nil"/>
              <w:bottom w:val="nil"/>
              <w:right w:val="nil"/>
            </w:tcBorders>
          </w:tcPr>
          <w:p w14:paraId="5DDABA61"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2367" w:type="dxa"/>
            <w:tcBorders>
              <w:top w:val="nil"/>
              <w:left w:val="nil"/>
              <w:bottom w:val="nil"/>
              <w:right w:val="nil"/>
            </w:tcBorders>
          </w:tcPr>
          <w:p w14:paraId="2B2D075D" w14:textId="3127C43F"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9,29</w:t>
            </w:r>
          </w:p>
        </w:tc>
        <w:tc>
          <w:tcPr>
            <w:tcW w:w="1941" w:type="dxa"/>
            <w:tcBorders>
              <w:top w:val="nil"/>
              <w:left w:val="nil"/>
              <w:bottom w:val="nil"/>
              <w:right w:val="nil"/>
            </w:tcBorders>
          </w:tcPr>
          <w:p w14:paraId="79803261" w14:textId="532CBF98"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9,25</w:t>
            </w:r>
          </w:p>
        </w:tc>
        <w:tc>
          <w:tcPr>
            <w:tcW w:w="2367" w:type="dxa"/>
            <w:tcBorders>
              <w:top w:val="nil"/>
              <w:left w:val="nil"/>
              <w:bottom w:val="nil"/>
              <w:right w:val="nil"/>
            </w:tcBorders>
          </w:tcPr>
          <w:p w14:paraId="4619AAE6" w14:textId="33760C35"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9,26</w:t>
            </w:r>
          </w:p>
        </w:tc>
      </w:tr>
      <w:tr w:rsidR="003571CF" w:rsidRPr="00E076F1" w14:paraId="2504CF53" w14:textId="77777777" w:rsidTr="00E37AD1">
        <w:tc>
          <w:tcPr>
            <w:tcW w:w="2396" w:type="dxa"/>
            <w:tcBorders>
              <w:top w:val="nil"/>
              <w:left w:val="nil"/>
              <w:bottom w:val="nil"/>
              <w:right w:val="nil"/>
            </w:tcBorders>
          </w:tcPr>
          <w:p w14:paraId="547395EE" w14:textId="258A6105"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003571CF" w:rsidRPr="00E076F1">
              <w:rPr>
                <w:snapToGrid/>
                <w:lang w:val="hu-HU" w:eastAsia="en-GB"/>
              </w:rPr>
              <w:t>a</w:t>
            </w:r>
            <w:r w:rsidR="00D5452F" w:rsidRPr="00E076F1">
              <w:rPr>
                <w:vertAlign w:val="superscript"/>
              </w:rPr>
              <w:t xml:space="preserve"> </w:t>
            </w:r>
            <w:r w:rsidR="00D5452F" w:rsidRPr="00E076F1">
              <w:rPr>
                <w:rStyle w:val="Tekstpodstawowy3"/>
                <w:rFonts w:eastAsia="SimSun"/>
                <w:color w:val="auto"/>
                <w:sz w:val="22"/>
                <w:vertAlign w:val="superscript"/>
              </w:rPr>
              <w:t>c</w:t>
            </w:r>
          </w:p>
        </w:tc>
        <w:tc>
          <w:tcPr>
            <w:tcW w:w="2367" w:type="dxa"/>
            <w:tcBorders>
              <w:top w:val="nil"/>
              <w:left w:val="nil"/>
              <w:bottom w:val="nil"/>
              <w:right w:val="nil"/>
            </w:tcBorders>
          </w:tcPr>
          <w:p w14:paraId="714BB794"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-1,98</w:t>
            </w:r>
          </w:p>
        </w:tc>
        <w:tc>
          <w:tcPr>
            <w:tcW w:w="1941" w:type="dxa"/>
            <w:tcBorders>
              <w:top w:val="nil"/>
              <w:left w:val="nil"/>
              <w:bottom w:val="nil"/>
              <w:right w:val="nil"/>
            </w:tcBorders>
          </w:tcPr>
          <w:p w14:paraId="6F6D27BD"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w:t>
            </w:r>
            <w:r w:rsidR="003571CF" w:rsidRPr="00E076F1">
              <w:rPr>
                <w:rFonts w:eastAsia="TimesNewRoman,Bold"/>
                <w:snapToGrid/>
                <w:lang w:val="hu-HU" w:eastAsia="en-GB"/>
              </w:rPr>
              <w:t>39</w:t>
            </w:r>
          </w:p>
          <w:p w14:paraId="00CEAD18" w14:textId="4F5DA1F9"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nil"/>
              <w:left w:val="nil"/>
              <w:bottom w:val="nil"/>
              <w:right w:val="nil"/>
            </w:tcBorders>
          </w:tcPr>
          <w:p w14:paraId="5ACB38C4"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w:t>
            </w:r>
            <w:r w:rsidR="003571CF" w:rsidRPr="00E076F1">
              <w:rPr>
                <w:rFonts w:eastAsia="TimesNewRoman,Bold"/>
                <w:snapToGrid/>
                <w:lang w:val="hu-HU" w:eastAsia="en-GB"/>
              </w:rPr>
              <w:t>60</w:t>
            </w:r>
          </w:p>
          <w:p w14:paraId="13D31CCE" w14:textId="69A291C9"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-0,38**</w:t>
            </w:r>
          </w:p>
        </w:tc>
      </w:tr>
      <w:tr w:rsidR="00D5452F" w:rsidRPr="00E076F1" w14:paraId="3DDE271A" w14:textId="77777777" w:rsidTr="00E37AD1">
        <w:trPr>
          <w:trHeight w:val="1370"/>
        </w:trPr>
        <w:tc>
          <w:tcPr>
            <w:tcW w:w="2396" w:type="dxa"/>
            <w:tcBorders>
              <w:top w:val="nil"/>
              <w:left w:val="nil"/>
              <w:right w:val="nil"/>
            </w:tcBorders>
          </w:tcPr>
          <w:p w14:paraId="254448D7" w14:textId="77777777" w:rsidR="00D5452F" w:rsidRPr="00E076F1" w:rsidRDefault="00D5452F"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 átlagos különbsége a kombináció és az önmagában adott</w:t>
            </w:r>
          </w:p>
          <w:p w14:paraId="449262E1" w14:textId="47AB306E" w:rsidR="00D5452F" w:rsidRPr="00E076F1" w:rsidRDefault="00D5452F" w:rsidP="00E076F1">
            <w:pPr>
              <w:autoSpaceDE w:val="0"/>
              <w:autoSpaceDN w:val="0"/>
              <w:adjustRightInd w:val="0"/>
              <w:spacing w:line="240" w:lineRule="auto"/>
              <w:rPr>
                <w:snapToGrid/>
                <w:lang w:val="hu-HU" w:eastAsia="en-GB"/>
              </w:rPr>
            </w:pPr>
            <w:r w:rsidRPr="00E076F1">
              <w:rPr>
                <w:snapToGrid/>
                <w:lang w:val="hu-HU" w:eastAsia="en-GB"/>
              </w:rPr>
              <w:t>(95%-os CI)</w:t>
            </w:r>
          </w:p>
        </w:tc>
        <w:tc>
          <w:tcPr>
            <w:tcW w:w="2367" w:type="dxa"/>
            <w:tcBorders>
              <w:top w:val="nil"/>
              <w:left w:val="nil"/>
              <w:right w:val="nil"/>
            </w:tcBorders>
          </w:tcPr>
          <w:p w14:paraId="3EE82B04" w14:textId="5763ABEC" w:rsidR="00D5452F" w:rsidRPr="00E076F1" w:rsidRDefault="00D5452F" w:rsidP="00E076F1">
            <w:pPr>
              <w:tabs>
                <w:tab w:val="clear" w:pos="567"/>
              </w:tabs>
              <w:autoSpaceDE w:val="0"/>
              <w:autoSpaceDN w:val="0"/>
              <w:adjustRightInd w:val="0"/>
              <w:spacing w:line="240" w:lineRule="auto"/>
              <w:rPr>
                <w:rFonts w:eastAsia="TimesNewRoman,Bold"/>
                <w:snapToGrid/>
                <w:lang w:val="hu-HU" w:eastAsia="en-GB"/>
              </w:rPr>
            </w:pPr>
          </w:p>
        </w:tc>
        <w:tc>
          <w:tcPr>
            <w:tcW w:w="1941" w:type="dxa"/>
            <w:tcBorders>
              <w:top w:val="nil"/>
              <w:left w:val="nil"/>
              <w:right w:val="nil"/>
            </w:tcBorders>
          </w:tcPr>
          <w:p w14:paraId="28BC7C58" w14:textId="77777777" w:rsidR="00D5452F" w:rsidRPr="00E076F1" w:rsidRDefault="00D5452F" w:rsidP="00E076F1">
            <w:pPr>
              <w:tabs>
                <w:tab w:val="clear" w:pos="567"/>
              </w:tabs>
              <w:autoSpaceDE w:val="0"/>
              <w:autoSpaceDN w:val="0"/>
              <w:adjustRightInd w:val="0"/>
              <w:spacing w:line="240" w:lineRule="auto"/>
              <w:ind w:left="230" w:firstLine="142"/>
              <w:rPr>
                <w:rFonts w:eastAsia="TimesNewRoman,Bold"/>
                <w:snapToGrid/>
                <w:lang w:val="hu-HU" w:eastAsia="en-GB"/>
              </w:rPr>
            </w:pPr>
          </w:p>
          <w:p w14:paraId="4047FDF9" w14:textId="7C38C3CD" w:rsidR="00D5452F" w:rsidRPr="00E076F1" w:rsidRDefault="00D5452F" w:rsidP="00E076F1">
            <w:pPr>
              <w:tabs>
                <w:tab w:val="clear" w:pos="567"/>
              </w:tabs>
              <w:autoSpaceDE w:val="0"/>
              <w:autoSpaceDN w:val="0"/>
              <w:adjustRightInd w:val="0"/>
              <w:spacing w:line="240" w:lineRule="auto"/>
              <w:ind w:left="230" w:firstLine="142"/>
              <w:rPr>
                <w:rFonts w:eastAsia="TimesNewRoman,Bold"/>
                <w:snapToGrid/>
                <w:lang w:val="hu-HU" w:eastAsia="en-GB"/>
              </w:rPr>
            </w:pPr>
            <w:r w:rsidRPr="00E076F1">
              <w:rPr>
                <w:rFonts w:eastAsia="TimesNewRoman,Bold"/>
                <w:snapToGrid/>
                <w:lang w:val="hu-HU" w:eastAsia="en-GB"/>
              </w:rPr>
              <w:t>-0,59</w:t>
            </w:r>
            <w:r w:rsidRPr="00E076F1">
              <w:rPr>
                <w:snapToGrid/>
                <w:lang w:val="hu-HU" w:eastAsia="en-GB"/>
              </w:rPr>
              <w:t>*</w:t>
            </w:r>
          </w:p>
          <w:p w14:paraId="6BC70F5E" w14:textId="65531B37" w:rsidR="00D5452F" w:rsidRPr="00E076F1" w:rsidRDefault="00D5452F" w:rsidP="00E076F1">
            <w:pPr>
              <w:tabs>
                <w:tab w:val="clear" w:pos="567"/>
              </w:tabs>
              <w:autoSpaceDE w:val="0"/>
              <w:autoSpaceDN w:val="0"/>
              <w:adjustRightInd w:val="0"/>
              <w:spacing w:line="240" w:lineRule="auto"/>
              <w:ind w:left="230" w:firstLine="142"/>
              <w:rPr>
                <w:rFonts w:eastAsia="TimesNewRoman,Bold"/>
                <w:snapToGrid/>
                <w:lang w:val="hu-HU" w:eastAsia="en-GB"/>
              </w:rPr>
            </w:pPr>
            <w:r w:rsidRPr="00E076F1">
              <w:rPr>
                <w:rFonts w:eastAsia="TimesNewRoman,Bold"/>
                <w:snapToGrid/>
                <w:lang w:val="hu-HU" w:eastAsia="en-GB"/>
              </w:rPr>
              <w:t>(-0,84; -0,34)</w:t>
            </w:r>
          </w:p>
        </w:tc>
        <w:tc>
          <w:tcPr>
            <w:tcW w:w="2367" w:type="dxa"/>
            <w:tcBorders>
              <w:top w:val="nil"/>
              <w:left w:val="nil"/>
              <w:right w:val="nil"/>
            </w:tcBorders>
          </w:tcPr>
          <w:p w14:paraId="78133CC8" w14:textId="77777777" w:rsidR="00D5452F" w:rsidRPr="00E076F1" w:rsidRDefault="00D5452F" w:rsidP="00E076F1">
            <w:pPr>
              <w:tabs>
                <w:tab w:val="clear" w:pos="567"/>
              </w:tabs>
              <w:autoSpaceDE w:val="0"/>
              <w:autoSpaceDN w:val="0"/>
              <w:adjustRightInd w:val="0"/>
              <w:spacing w:line="240" w:lineRule="auto"/>
              <w:ind w:firstLine="561"/>
              <w:rPr>
                <w:rFonts w:eastAsia="TimesNewRoman,Bold"/>
                <w:snapToGrid/>
                <w:lang w:val="hu-HU" w:eastAsia="en-GB"/>
              </w:rPr>
            </w:pPr>
          </w:p>
          <w:p w14:paraId="19B4B98A" w14:textId="61FB12F5" w:rsidR="00D5452F" w:rsidRPr="00E076F1" w:rsidRDefault="00D5452F" w:rsidP="00E076F1">
            <w:pPr>
              <w:tabs>
                <w:tab w:val="clear" w:pos="567"/>
              </w:tabs>
              <w:autoSpaceDE w:val="0"/>
              <w:autoSpaceDN w:val="0"/>
              <w:adjustRightInd w:val="0"/>
              <w:spacing w:line="240" w:lineRule="auto"/>
              <w:ind w:firstLine="561"/>
              <w:rPr>
                <w:rFonts w:eastAsia="TimesNewRoman,Bold"/>
                <w:snapToGrid/>
                <w:lang w:val="hu-HU" w:eastAsia="en-GB"/>
              </w:rPr>
            </w:pPr>
            <w:r w:rsidRPr="00E076F1">
              <w:rPr>
                <w:rFonts w:eastAsia="TimesNewRoman,Bold"/>
                <w:snapToGrid/>
                <w:lang w:val="hu-HU" w:eastAsia="en-GB"/>
              </w:rPr>
              <w:t>-0,38**</w:t>
            </w:r>
          </w:p>
          <w:p w14:paraId="4EA57DF6" w14:textId="7C88731A" w:rsidR="00D5452F" w:rsidRPr="00E076F1" w:rsidRDefault="00D5452F" w:rsidP="00E076F1">
            <w:pPr>
              <w:tabs>
                <w:tab w:val="clear" w:pos="567"/>
              </w:tabs>
              <w:autoSpaceDE w:val="0"/>
              <w:autoSpaceDN w:val="0"/>
              <w:adjustRightInd w:val="0"/>
              <w:spacing w:line="240" w:lineRule="auto"/>
              <w:ind w:firstLine="561"/>
              <w:rPr>
                <w:rFonts w:eastAsia="TimesNewRoman,Bold"/>
                <w:snapToGrid/>
                <w:lang w:val="hu-HU" w:eastAsia="en-GB"/>
              </w:rPr>
            </w:pPr>
            <w:r w:rsidRPr="00E076F1">
              <w:rPr>
                <w:rFonts w:eastAsia="TimesNewRoman,Bold"/>
                <w:snapToGrid/>
                <w:lang w:val="hu-HU" w:eastAsia="en-GB"/>
              </w:rPr>
              <w:t>(-0,63;-0,13)</w:t>
            </w:r>
          </w:p>
        </w:tc>
      </w:tr>
      <w:tr w:rsidR="003571CF" w:rsidRPr="00E076F1" w14:paraId="557C75AE" w14:textId="77777777" w:rsidTr="00634000">
        <w:tc>
          <w:tcPr>
            <w:tcW w:w="2396" w:type="dxa"/>
            <w:tcBorders>
              <w:top w:val="single" w:sz="4" w:space="0" w:color="auto"/>
              <w:left w:val="nil"/>
              <w:bottom w:val="single" w:sz="4" w:space="0" w:color="auto"/>
              <w:right w:val="nil"/>
            </w:tcBorders>
          </w:tcPr>
          <w:p w14:paraId="176D0BE0" w14:textId="1BB867E2" w:rsidR="003571CF" w:rsidRPr="00E076F1" w:rsidRDefault="003571C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A &lt; 7%-os HbA1c-t elérő betegek (%)</w:t>
            </w:r>
          </w:p>
        </w:tc>
        <w:tc>
          <w:tcPr>
            <w:tcW w:w="2367" w:type="dxa"/>
            <w:tcBorders>
              <w:top w:val="single" w:sz="4" w:space="0" w:color="auto"/>
              <w:left w:val="nil"/>
              <w:bottom w:val="single" w:sz="4" w:space="0" w:color="auto"/>
              <w:right w:val="nil"/>
            </w:tcBorders>
          </w:tcPr>
          <w:p w14:paraId="4D6D5815" w14:textId="2FF0D7DB" w:rsidR="003571CF" w:rsidRPr="00E076F1" w:rsidRDefault="003571CF" w:rsidP="00E076F1">
            <w:pPr>
              <w:tabs>
                <w:tab w:val="clear" w:pos="567"/>
              </w:tabs>
              <w:autoSpaceDE w:val="0"/>
              <w:autoSpaceDN w:val="0"/>
              <w:adjustRightInd w:val="0"/>
              <w:spacing w:line="240" w:lineRule="auto"/>
              <w:rPr>
                <w:snapToGrid/>
                <w:lang w:val="hu-HU" w:eastAsia="en-GB"/>
              </w:rPr>
            </w:pPr>
            <w:r w:rsidRPr="00E076F1">
              <w:rPr>
                <w:snapToGrid/>
                <w:lang w:val="hu-HU" w:eastAsia="en-GB"/>
              </w:rPr>
              <w:t>44,7</w:t>
            </w:r>
          </w:p>
        </w:tc>
        <w:tc>
          <w:tcPr>
            <w:tcW w:w="1941" w:type="dxa"/>
            <w:tcBorders>
              <w:top w:val="single" w:sz="4" w:space="0" w:color="auto"/>
              <w:left w:val="nil"/>
              <w:bottom w:val="single" w:sz="4" w:space="0" w:color="auto"/>
              <w:right w:val="nil"/>
            </w:tcBorders>
          </w:tcPr>
          <w:p w14:paraId="76D8F0F2" w14:textId="68F482A2" w:rsidR="003571CF" w:rsidRPr="00E076F1" w:rsidRDefault="003571CF" w:rsidP="00E076F1">
            <w:pPr>
              <w:tabs>
                <w:tab w:val="clear" w:pos="567"/>
              </w:tabs>
              <w:autoSpaceDE w:val="0"/>
              <w:autoSpaceDN w:val="0"/>
              <w:adjustRightInd w:val="0"/>
              <w:spacing w:line="240" w:lineRule="auto"/>
              <w:rPr>
                <w:snapToGrid/>
                <w:lang w:val="hu-HU" w:eastAsia="en-GB"/>
              </w:rPr>
            </w:pPr>
            <w:r w:rsidRPr="00E076F1">
              <w:rPr>
                <w:snapToGrid/>
                <w:lang w:val="hu-HU" w:eastAsia="en-GB"/>
              </w:rPr>
              <w:t>19,1</w:t>
            </w:r>
          </w:p>
        </w:tc>
        <w:tc>
          <w:tcPr>
            <w:tcW w:w="2367" w:type="dxa"/>
            <w:tcBorders>
              <w:top w:val="single" w:sz="4" w:space="0" w:color="auto"/>
              <w:left w:val="nil"/>
              <w:bottom w:val="single" w:sz="4" w:space="0" w:color="auto"/>
              <w:right w:val="nil"/>
            </w:tcBorders>
          </w:tcPr>
          <w:p w14:paraId="7BA07383" w14:textId="537F6C72" w:rsidR="003571CF" w:rsidRPr="00E076F1" w:rsidRDefault="003571C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26,9</w:t>
            </w:r>
          </w:p>
        </w:tc>
      </w:tr>
      <w:tr w:rsidR="003571CF" w:rsidRPr="00E076F1" w14:paraId="4E5B0AF1" w14:textId="77777777" w:rsidTr="00634000">
        <w:tc>
          <w:tcPr>
            <w:tcW w:w="2396" w:type="dxa"/>
            <w:tcBorders>
              <w:top w:val="single" w:sz="4" w:space="0" w:color="auto"/>
              <w:left w:val="nil"/>
              <w:bottom w:val="nil"/>
              <w:right w:val="nil"/>
            </w:tcBorders>
          </w:tcPr>
          <w:p w14:paraId="0F6C481F" w14:textId="30B9AB72" w:rsidR="003571CF" w:rsidRPr="00E076F1" w:rsidRDefault="003571C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Testtömeg (kg)</w:t>
            </w:r>
          </w:p>
        </w:tc>
        <w:tc>
          <w:tcPr>
            <w:tcW w:w="2367" w:type="dxa"/>
            <w:tcBorders>
              <w:top w:val="single" w:sz="4" w:space="0" w:color="auto"/>
              <w:left w:val="nil"/>
              <w:bottom w:val="nil"/>
              <w:right w:val="nil"/>
            </w:tcBorders>
          </w:tcPr>
          <w:p w14:paraId="48178216" w14:textId="438C7EC6" w:rsidR="003571CF" w:rsidRPr="00E076F1" w:rsidRDefault="003571CF" w:rsidP="00E076F1">
            <w:pPr>
              <w:tabs>
                <w:tab w:val="clear" w:pos="567"/>
              </w:tabs>
              <w:autoSpaceDE w:val="0"/>
              <w:autoSpaceDN w:val="0"/>
              <w:adjustRightInd w:val="0"/>
              <w:spacing w:line="240" w:lineRule="auto"/>
              <w:rPr>
                <w:snapToGrid/>
                <w:lang w:val="hu-HU" w:eastAsia="en-GB"/>
              </w:rPr>
            </w:pPr>
          </w:p>
        </w:tc>
        <w:tc>
          <w:tcPr>
            <w:tcW w:w="1941" w:type="dxa"/>
            <w:tcBorders>
              <w:top w:val="single" w:sz="4" w:space="0" w:color="auto"/>
              <w:left w:val="nil"/>
              <w:bottom w:val="nil"/>
              <w:right w:val="nil"/>
            </w:tcBorders>
          </w:tcPr>
          <w:p w14:paraId="48E66201" w14:textId="5144480A" w:rsidR="003571CF" w:rsidRPr="00E076F1" w:rsidRDefault="003571CF" w:rsidP="00E076F1">
            <w:pPr>
              <w:tabs>
                <w:tab w:val="clear" w:pos="567"/>
              </w:tabs>
              <w:autoSpaceDE w:val="0"/>
              <w:autoSpaceDN w:val="0"/>
              <w:adjustRightInd w:val="0"/>
              <w:spacing w:line="240" w:lineRule="auto"/>
              <w:rPr>
                <w:snapToGrid/>
                <w:lang w:val="hu-HU" w:eastAsia="en-GB"/>
              </w:rPr>
            </w:pPr>
          </w:p>
        </w:tc>
        <w:tc>
          <w:tcPr>
            <w:tcW w:w="2367" w:type="dxa"/>
            <w:tcBorders>
              <w:top w:val="single" w:sz="4" w:space="0" w:color="auto"/>
              <w:left w:val="nil"/>
              <w:bottom w:val="nil"/>
              <w:right w:val="nil"/>
            </w:tcBorders>
          </w:tcPr>
          <w:p w14:paraId="494A9C4D" w14:textId="27F731F5" w:rsidR="003571CF" w:rsidRPr="00E076F1" w:rsidRDefault="003571CF" w:rsidP="00E076F1">
            <w:pPr>
              <w:tabs>
                <w:tab w:val="clear" w:pos="567"/>
              </w:tabs>
              <w:autoSpaceDE w:val="0"/>
              <w:autoSpaceDN w:val="0"/>
              <w:adjustRightInd w:val="0"/>
              <w:spacing w:line="240" w:lineRule="auto"/>
              <w:rPr>
                <w:rFonts w:eastAsia="TimesNewRoman,Bold"/>
                <w:snapToGrid/>
                <w:lang w:val="hu-HU" w:eastAsia="en-GB"/>
              </w:rPr>
            </w:pPr>
          </w:p>
        </w:tc>
      </w:tr>
      <w:tr w:rsidR="00B128BB" w:rsidRPr="00E076F1" w14:paraId="01B656A8" w14:textId="77777777" w:rsidTr="00634000">
        <w:tc>
          <w:tcPr>
            <w:tcW w:w="2396" w:type="dxa"/>
            <w:tcBorders>
              <w:top w:val="nil"/>
              <w:left w:val="nil"/>
              <w:bottom w:val="nil"/>
              <w:right w:val="nil"/>
            </w:tcBorders>
          </w:tcPr>
          <w:p w14:paraId="74B23B97" w14:textId="3453576B" w:rsidR="00B128BB" w:rsidRPr="00E076F1" w:rsidRDefault="00B128BB" w:rsidP="00E076F1">
            <w:pPr>
              <w:tabs>
                <w:tab w:val="clear" w:pos="567"/>
              </w:tabs>
              <w:autoSpaceDE w:val="0"/>
              <w:autoSpaceDN w:val="0"/>
              <w:adjustRightInd w:val="0"/>
              <w:spacing w:line="240" w:lineRule="auto"/>
              <w:rPr>
                <w:rFonts w:eastAsia="TimesNewRoman,Bold"/>
                <w:b/>
                <w:bCs/>
                <w:snapToGrid/>
                <w:lang w:val="hu-HU" w:eastAsia="en-GB"/>
              </w:rPr>
            </w:pPr>
            <w:r w:rsidRPr="00E076F1">
              <w:rPr>
                <w:snapToGrid/>
                <w:lang w:val="hu-HU" w:eastAsia="en-GB"/>
              </w:rPr>
              <w:t>Kiindulási érték (átlag)</w:t>
            </w:r>
          </w:p>
        </w:tc>
        <w:tc>
          <w:tcPr>
            <w:tcW w:w="2367" w:type="dxa"/>
            <w:tcBorders>
              <w:top w:val="nil"/>
              <w:left w:val="nil"/>
              <w:bottom w:val="nil"/>
              <w:right w:val="nil"/>
            </w:tcBorders>
          </w:tcPr>
          <w:p w14:paraId="74A5135A" w14:textId="35A3B7C8"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92,13</w:t>
            </w:r>
          </w:p>
        </w:tc>
        <w:tc>
          <w:tcPr>
            <w:tcW w:w="1941" w:type="dxa"/>
            <w:tcBorders>
              <w:top w:val="nil"/>
              <w:left w:val="nil"/>
              <w:bottom w:val="nil"/>
              <w:right w:val="nil"/>
            </w:tcBorders>
          </w:tcPr>
          <w:p w14:paraId="7BE45B81" w14:textId="64CE3C1C"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90,87</w:t>
            </w:r>
          </w:p>
        </w:tc>
        <w:tc>
          <w:tcPr>
            <w:tcW w:w="2367" w:type="dxa"/>
            <w:tcBorders>
              <w:top w:val="nil"/>
              <w:left w:val="nil"/>
              <w:bottom w:val="nil"/>
              <w:right w:val="nil"/>
            </w:tcBorders>
          </w:tcPr>
          <w:p w14:paraId="02974ECA" w14:textId="56E4F0D0"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89,12</w:t>
            </w:r>
          </w:p>
        </w:tc>
      </w:tr>
      <w:tr w:rsidR="00B128BB" w:rsidRPr="00E076F1" w14:paraId="28BC0819" w14:textId="77777777" w:rsidTr="00634000">
        <w:tc>
          <w:tcPr>
            <w:tcW w:w="2396" w:type="dxa"/>
            <w:tcBorders>
              <w:top w:val="nil"/>
              <w:left w:val="nil"/>
              <w:bottom w:val="nil"/>
              <w:right w:val="nil"/>
            </w:tcBorders>
          </w:tcPr>
          <w:p w14:paraId="2BC1EA54" w14:textId="33026027"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a</w:t>
            </w:r>
          </w:p>
        </w:tc>
        <w:tc>
          <w:tcPr>
            <w:tcW w:w="2367" w:type="dxa"/>
            <w:tcBorders>
              <w:top w:val="nil"/>
              <w:left w:val="nil"/>
              <w:bottom w:val="nil"/>
              <w:right w:val="nil"/>
            </w:tcBorders>
          </w:tcPr>
          <w:p w14:paraId="49477594" w14:textId="4A293511"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-3,55</w:t>
            </w:r>
          </w:p>
        </w:tc>
        <w:tc>
          <w:tcPr>
            <w:tcW w:w="1941" w:type="dxa"/>
            <w:tcBorders>
              <w:top w:val="nil"/>
              <w:left w:val="nil"/>
              <w:bottom w:val="nil"/>
              <w:right w:val="nil"/>
            </w:tcBorders>
          </w:tcPr>
          <w:p w14:paraId="5576792B" w14:textId="7B037592"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-2,22</w:t>
            </w:r>
          </w:p>
        </w:tc>
        <w:tc>
          <w:tcPr>
            <w:tcW w:w="2367" w:type="dxa"/>
            <w:tcBorders>
              <w:top w:val="nil"/>
              <w:left w:val="nil"/>
              <w:bottom w:val="nil"/>
              <w:right w:val="nil"/>
            </w:tcBorders>
          </w:tcPr>
          <w:p w14:paraId="3D134E9F" w14:textId="5F676B4A"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-1,56</w:t>
            </w:r>
          </w:p>
        </w:tc>
      </w:tr>
      <w:tr w:rsidR="00B128BB" w:rsidRPr="00E076F1" w14:paraId="47524AC4" w14:textId="77777777" w:rsidTr="00634000">
        <w:tc>
          <w:tcPr>
            <w:tcW w:w="2396" w:type="dxa"/>
            <w:tcBorders>
              <w:top w:val="nil"/>
              <w:left w:val="nil"/>
              <w:bottom w:val="nil"/>
              <w:right w:val="nil"/>
            </w:tcBorders>
          </w:tcPr>
          <w:p w14:paraId="2AB4110A" w14:textId="35332E8F"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 átlagos különbsége a kombináció és az önmagában adott</w:t>
            </w:r>
          </w:p>
        </w:tc>
        <w:tc>
          <w:tcPr>
            <w:tcW w:w="2367" w:type="dxa"/>
            <w:tcBorders>
              <w:top w:val="nil"/>
              <w:left w:val="nil"/>
              <w:bottom w:val="nil"/>
              <w:right w:val="nil"/>
            </w:tcBorders>
          </w:tcPr>
          <w:p w14:paraId="58FE6B6C" w14:textId="77777777" w:rsidR="00B128BB" w:rsidRPr="00E076F1" w:rsidRDefault="00B128BB" w:rsidP="00E076F1">
            <w:pPr>
              <w:tabs>
                <w:tab w:val="clear" w:pos="567"/>
              </w:tabs>
              <w:autoSpaceDE w:val="0"/>
              <w:autoSpaceDN w:val="0"/>
              <w:adjustRightInd w:val="0"/>
              <w:spacing w:line="240" w:lineRule="auto"/>
              <w:rPr>
                <w:snapToGrid/>
                <w:lang w:val="hu-HU" w:eastAsia="en-GB"/>
              </w:rPr>
            </w:pPr>
          </w:p>
        </w:tc>
        <w:tc>
          <w:tcPr>
            <w:tcW w:w="1941" w:type="dxa"/>
            <w:tcBorders>
              <w:top w:val="nil"/>
              <w:left w:val="nil"/>
              <w:bottom w:val="nil"/>
              <w:right w:val="nil"/>
            </w:tcBorders>
          </w:tcPr>
          <w:p w14:paraId="336BF051" w14:textId="04C971DA"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-1,33*</w:t>
            </w:r>
          </w:p>
        </w:tc>
        <w:tc>
          <w:tcPr>
            <w:tcW w:w="2367" w:type="dxa"/>
            <w:tcBorders>
              <w:top w:val="nil"/>
              <w:left w:val="nil"/>
              <w:bottom w:val="nil"/>
              <w:right w:val="nil"/>
            </w:tcBorders>
          </w:tcPr>
          <w:p w14:paraId="4EEF2459" w14:textId="71EF0FE6"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-2,00</w:t>
            </w:r>
          </w:p>
        </w:tc>
      </w:tr>
      <w:tr w:rsidR="00B128BB" w:rsidRPr="00E076F1" w14:paraId="0ECEA868" w14:textId="77777777" w:rsidTr="00634000">
        <w:tc>
          <w:tcPr>
            <w:tcW w:w="2396" w:type="dxa"/>
            <w:tcBorders>
              <w:top w:val="nil"/>
              <w:left w:val="nil"/>
              <w:bottom w:val="single" w:sz="4" w:space="0" w:color="auto"/>
              <w:right w:val="nil"/>
            </w:tcBorders>
          </w:tcPr>
          <w:p w14:paraId="0523F11C" w14:textId="77777777" w:rsidR="006A5B06"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hatóanyag között </w:t>
            </w:r>
          </w:p>
          <w:p w14:paraId="33A46182" w14:textId="3DB9349B" w:rsidR="00B128BB" w:rsidRPr="00E076F1" w:rsidRDefault="00B128BB" w:rsidP="00E076F1">
            <w:pPr>
              <w:tabs>
                <w:tab w:val="clear" w:pos="567"/>
              </w:tabs>
              <w:autoSpaceDE w:val="0"/>
              <w:autoSpaceDN w:val="0"/>
              <w:adjustRightInd w:val="0"/>
              <w:spacing w:line="240" w:lineRule="auto"/>
              <w:rPr>
                <w:rFonts w:eastAsia="TimesNewRoman,Bold"/>
                <w:b/>
                <w:bCs/>
                <w:snapToGrid/>
                <w:lang w:val="hu-HU" w:eastAsia="en-GB"/>
              </w:rPr>
            </w:pPr>
            <w:r w:rsidRPr="00E076F1">
              <w:rPr>
                <w:snapToGrid/>
                <w:lang w:val="hu-HU" w:eastAsia="en-GB"/>
              </w:rPr>
              <w:t>(95%-os CI)</w:t>
            </w:r>
          </w:p>
        </w:tc>
        <w:tc>
          <w:tcPr>
            <w:tcW w:w="2367" w:type="dxa"/>
            <w:tcBorders>
              <w:top w:val="nil"/>
              <w:left w:val="nil"/>
              <w:bottom w:val="single" w:sz="4" w:space="0" w:color="auto"/>
              <w:right w:val="nil"/>
            </w:tcBorders>
          </w:tcPr>
          <w:p w14:paraId="443D7E49" w14:textId="77777777" w:rsidR="00B128BB" w:rsidRPr="00E076F1" w:rsidRDefault="00B128BB" w:rsidP="00E076F1">
            <w:pPr>
              <w:tabs>
                <w:tab w:val="clear" w:pos="567"/>
              </w:tabs>
              <w:autoSpaceDE w:val="0"/>
              <w:autoSpaceDN w:val="0"/>
              <w:adjustRightInd w:val="0"/>
              <w:spacing w:line="240" w:lineRule="auto"/>
              <w:rPr>
                <w:snapToGrid/>
                <w:lang w:val="hu-HU" w:eastAsia="en-GB"/>
              </w:rPr>
            </w:pPr>
          </w:p>
        </w:tc>
        <w:tc>
          <w:tcPr>
            <w:tcW w:w="1941" w:type="dxa"/>
            <w:tcBorders>
              <w:top w:val="nil"/>
              <w:left w:val="nil"/>
              <w:bottom w:val="single" w:sz="4" w:space="0" w:color="auto"/>
              <w:right w:val="nil"/>
            </w:tcBorders>
          </w:tcPr>
          <w:p w14:paraId="062289FE" w14:textId="4EF8B8CD"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(-2,12; -0,55)</w:t>
            </w:r>
          </w:p>
        </w:tc>
        <w:tc>
          <w:tcPr>
            <w:tcW w:w="2367" w:type="dxa"/>
            <w:tcBorders>
              <w:top w:val="nil"/>
              <w:left w:val="nil"/>
              <w:bottom w:val="single" w:sz="4" w:space="0" w:color="auto"/>
              <w:right w:val="nil"/>
            </w:tcBorders>
          </w:tcPr>
          <w:p w14:paraId="76149615" w14:textId="60A3BA38"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(-2,79; -1,20)</w:t>
            </w:r>
          </w:p>
        </w:tc>
      </w:tr>
    </w:tbl>
    <w:p w14:paraId="142E8325" w14:textId="77777777" w:rsidR="00822CB0" w:rsidRPr="00E076F1" w:rsidRDefault="00822CB0" w:rsidP="00E076F1">
      <w:pPr>
        <w:tabs>
          <w:tab w:val="clear" w:pos="567"/>
        </w:tabs>
        <w:autoSpaceDE w:val="0"/>
        <w:autoSpaceDN w:val="0"/>
        <w:adjustRightInd w:val="0"/>
        <w:spacing w:line="240" w:lineRule="auto"/>
        <w:rPr>
          <w:snapToGrid/>
          <w:lang w:val="it-IT" w:eastAsia="en-GB"/>
        </w:rPr>
      </w:pPr>
      <w:r w:rsidRPr="00E076F1">
        <w:rPr>
          <w:snapToGrid/>
          <w:lang w:val="it-IT" w:eastAsia="en-GB"/>
        </w:rPr>
        <w:t>N = a betegek száma, CI = konfidencia intervallum.</w:t>
      </w:r>
    </w:p>
    <w:p w14:paraId="1A45FE31" w14:textId="5A38B0B7" w:rsidR="00822CB0" w:rsidRPr="00E076F1" w:rsidRDefault="00822CB0" w:rsidP="00E076F1">
      <w:pPr>
        <w:tabs>
          <w:tab w:val="clear" w:pos="567"/>
        </w:tabs>
        <w:autoSpaceDE w:val="0"/>
        <w:autoSpaceDN w:val="0"/>
        <w:adjustRightInd w:val="0"/>
        <w:spacing w:line="240" w:lineRule="auto"/>
        <w:rPr>
          <w:snapToGrid/>
          <w:lang w:val="it-IT" w:eastAsia="en-GB"/>
        </w:rPr>
      </w:pPr>
      <w:r w:rsidRPr="00E076F1">
        <w:rPr>
          <w:snapToGrid/>
          <w:vertAlign w:val="superscript"/>
          <w:lang w:val="it-IT" w:eastAsia="en-GB"/>
        </w:rPr>
        <w:t>a</w:t>
      </w:r>
      <w:r w:rsidRPr="00E076F1">
        <w:rPr>
          <w:snapToGrid/>
          <w:lang w:val="it-IT" w:eastAsia="en-GB"/>
        </w:rPr>
        <w:t xml:space="preserve"> A korrigált legkisebb négyzetes becslés átlagát (LS átlagát - LS Means) és a kiindulási értékekhez képest a 28. hétre bekövetkezett változások terápiás csoportok közötti különbségé(ei)t az ismételt mérések kevert modelljének (mixed model with repeated measures – mmRM) alkalmazásával modellezték, ezen belül is a kezelést, a régiót, a kiindulási HbA1c-strátumot (&lt; 9,0% vagy ≥ 9,0%), a hetet és a kezelés hetenkénti kölcsönhatását fix faktorokként, és a kiindulási értéket kovariánsként figyelembe véve.</w:t>
      </w:r>
    </w:p>
    <w:p w14:paraId="0A355CAB" w14:textId="77777777" w:rsidR="00822CB0" w:rsidRPr="00E076F1" w:rsidRDefault="00822CB0" w:rsidP="00E076F1">
      <w:pPr>
        <w:tabs>
          <w:tab w:val="clear" w:pos="567"/>
        </w:tabs>
        <w:autoSpaceDE w:val="0"/>
        <w:autoSpaceDN w:val="0"/>
        <w:adjustRightInd w:val="0"/>
        <w:spacing w:line="240" w:lineRule="auto"/>
        <w:rPr>
          <w:snapToGrid/>
          <w:lang w:val="it-IT" w:eastAsia="en-GB"/>
        </w:rPr>
      </w:pPr>
      <w:r w:rsidRPr="00E076F1">
        <w:rPr>
          <w:snapToGrid/>
          <w:lang w:val="it-IT" w:eastAsia="en-GB"/>
        </w:rPr>
        <w:t>*p &lt; 0,001, **p &lt; 0,01.</w:t>
      </w:r>
    </w:p>
    <w:p w14:paraId="3C30CECF" w14:textId="77777777" w:rsidR="00822CB0" w:rsidRPr="00E076F1" w:rsidRDefault="00822CB0" w:rsidP="00E076F1">
      <w:pPr>
        <w:tabs>
          <w:tab w:val="clear" w:pos="567"/>
        </w:tabs>
        <w:autoSpaceDE w:val="0"/>
        <w:autoSpaceDN w:val="0"/>
        <w:adjustRightInd w:val="0"/>
        <w:spacing w:line="240" w:lineRule="auto"/>
        <w:rPr>
          <w:snapToGrid/>
          <w:lang w:val="it-IT" w:eastAsia="en-GB"/>
        </w:rPr>
      </w:pPr>
      <w:r w:rsidRPr="00E076F1">
        <w:rPr>
          <w:snapToGrid/>
          <w:lang w:val="it-IT" w:eastAsia="en-GB"/>
        </w:rPr>
        <w:t>Az összes p-értéket korrigálták a multiplicitására.</w:t>
      </w:r>
    </w:p>
    <w:p w14:paraId="5FC89F1B" w14:textId="73517C4E" w:rsidR="00BA3A41" w:rsidRPr="00E076F1" w:rsidRDefault="00822CB0" w:rsidP="00E076F1">
      <w:pPr>
        <w:tabs>
          <w:tab w:val="clear" w:pos="567"/>
        </w:tabs>
        <w:autoSpaceDE w:val="0"/>
        <w:autoSpaceDN w:val="0"/>
        <w:adjustRightInd w:val="0"/>
        <w:spacing w:line="240" w:lineRule="auto"/>
        <w:rPr>
          <w:snapToGrid/>
          <w:szCs w:val="22"/>
          <w:lang w:val="it-IT" w:eastAsia="en-GB"/>
        </w:rPr>
      </w:pPr>
      <w:r w:rsidRPr="00E076F1">
        <w:rPr>
          <w:snapToGrid/>
          <w:lang w:val="it-IT" w:eastAsia="en-GB"/>
        </w:rPr>
        <w:t xml:space="preserve">Az elemzésekből kizárták a „mentő” kezelés utáni mérési eredményeket, valamint a vizsgálati készítménynek a </w:t>
      </w:r>
      <w:r w:rsidRPr="00E076F1">
        <w:rPr>
          <w:snapToGrid/>
          <w:szCs w:val="22"/>
          <w:lang w:val="it-IT" w:eastAsia="en-GB"/>
        </w:rPr>
        <w:t>kezelés idő előtti abbahagyását követő mérési eredményeket.</w:t>
      </w:r>
    </w:p>
    <w:p w14:paraId="68A6F203" w14:textId="77777777" w:rsidR="00BA3A41" w:rsidRPr="00E076F1" w:rsidRDefault="00BA3A41" w:rsidP="00E076F1">
      <w:pPr>
        <w:tabs>
          <w:tab w:val="clear" w:pos="567"/>
        </w:tabs>
        <w:autoSpaceDE w:val="0"/>
        <w:autoSpaceDN w:val="0"/>
        <w:adjustRightInd w:val="0"/>
        <w:spacing w:line="240" w:lineRule="auto"/>
        <w:rPr>
          <w:rFonts w:eastAsia="TimesNewRoman,Bold"/>
          <w:snapToGrid/>
          <w:szCs w:val="22"/>
          <w:lang w:val="hu-HU" w:eastAsia="en-GB"/>
        </w:rPr>
      </w:pPr>
    </w:p>
    <w:p w14:paraId="5EB1A4C0" w14:textId="49280167" w:rsidR="00C73DD7" w:rsidRPr="00E076F1" w:rsidRDefault="00C73DD7" w:rsidP="00CE5342">
      <w:pPr>
        <w:keepNext/>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Éhomi plazmaglükózszint</w:t>
      </w:r>
    </w:p>
    <w:p w14:paraId="5957A3A4" w14:textId="5E8C1F6D" w:rsidR="00C73DD7" w:rsidRPr="00E076F1" w:rsidRDefault="00C73DD7" w:rsidP="00CE5342">
      <w:pPr>
        <w:keepNext/>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dapagliflozinnal végzett kiegészítő kezelés, akár önmagában metforminhoz (naponta egyszer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vagy naponta kétszer 5</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vagy a szitagliptinnel kombinált metformin, a</w:t>
      </w:r>
      <w:r w:rsidR="00145B48" w:rsidRPr="00E076F1">
        <w:rPr>
          <w:rFonts w:eastAsia="TimesNewRoman,Italic"/>
          <w:snapToGrid/>
          <w:szCs w:val="22"/>
          <w:lang w:val="hu-HU" w:eastAsia="en-GB"/>
        </w:rPr>
        <w:t> </w:t>
      </w:r>
      <w:r w:rsidRPr="00E076F1">
        <w:rPr>
          <w:rFonts w:eastAsia="TimesNewRoman,Italic"/>
          <w:snapToGrid/>
          <w:szCs w:val="22"/>
          <w:lang w:val="hu-HU" w:eastAsia="en-GB"/>
        </w:rPr>
        <w:t>szulfonilurea illetve az inzulin mellé kiegészítésként adva az éhomi plazma glükózszint statisztikailag szignifikáns csökkenését eredményezte (-1,90 – -1,20 mmol/l [-34,2 – -21,7</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w:t>
      </w:r>
      <w:r w:rsidR="00145B48" w:rsidRPr="00E076F1">
        <w:rPr>
          <w:rFonts w:eastAsia="TimesNewRoman,Italic"/>
          <w:snapToGrid/>
          <w:szCs w:val="22"/>
          <w:lang w:val="hu-HU" w:eastAsia="en-GB"/>
        </w:rPr>
        <w:t> </w:t>
      </w:r>
      <w:r w:rsidRPr="00E076F1">
        <w:rPr>
          <w:rFonts w:eastAsia="TimesNewRoman,Italic"/>
          <w:snapToGrid/>
          <w:szCs w:val="22"/>
          <w:lang w:val="hu-HU" w:eastAsia="en-GB"/>
        </w:rPr>
        <w:t>placebóhoz képest</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(-0,58 – 0,18 mmol/l [-10,4 – 3,3</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 16. héten (naponta kétszer 5</w:t>
      </w:r>
      <w:r w:rsidR="00122450" w:rsidRPr="00E076F1">
        <w:rPr>
          <w:rFonts w:eastAsia="TimesNewRoman,Italic"/>
          <w:snapToGrid/>
          <w:szCs w:val="22"/>
          <w:lang w:val="hu-HU" w:eastAsia="en-GB"/>
        </w:rPr>
        <w:t> mg</w:t>
      </w:r>
      <w:r w:rsidRPr="00E076F1">
        <w:rPr>
          <w:rFonts w:eastAsia="TimesNewRoman,Italic"/>
          <w:snapToGrid/>
          <w:szCs w:val="22"/>
          <w:lang w:val="hu-HU" w:eastAsia="en-GB"/>
        </w:rPr>
        <w:t>) vagy a 24. héten. Ezt a hatást</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a kezelés 1. hetében észlelték, és a 104 hétre kiterjesztett vizsgálatokban is fennmaradt.</w:t>
      </w:r>
    </w:p>
    <w:p w14:paraId="4BA5F4F1"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4E6127B8" w14:textId="58635D1D" w:rsidR="00C73DD7" w:rsidRPr="00E076F1" w:rsidRDefault="00C73DD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és az elnyújtott hatóanyagleadású exenatiddal kombinált kezelés a 28. hétre az</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 xml:space="preserve">éhomi plazma glükózszint szignifikánsan nagyobb mértékű csökkenését eredményezte: </w:t>
      </w:r>
      <w:r w:rsidR="00145B48" w:rsidRPr="00E076F1">
        <w:rPr>
          <w:rFonts w:eastAsia="TimesNewRoman,Italic"/>
          <w:snapToGrid/>
          <w:szCs w:val="22"/>
          <w:lang w:val="hu-HU" w:eastAsia="en-GB"/>
        </w:rPr>
        <w:noBreakHyphen/>
      </w:r>
      <w:r w:rsidRPr="00E076F1">
        <w:rPr>
          <w:rFonts w:eastAsia="TimesNewRoman,Italic"/>
          <w:snapToGrid/>
          <w:szCs w:val="22"/>
          <w:lang w:val="hu-HU" w:eastAsia="en-GB"/>
        </w:rPr>
        <w:t>3,66</w:t>
      </w:r>
      <w:r w:rsidR="00145B48" w:rsidRPr="00E076F1">
        <w:rPr>
          <w:rFonts w:eastAsia="TimesNewRoman,Italic"/>
          <w:snapToGrid/>
          <w:szCs w:val="22"/>
          <w:lang w:val="hu-HU" w:eastAsia="en-GB"/>
        </w:rPr>
        <w:t> </w:t>
      </w:r>
      <w:r w:rsidRPr="00E076F1">
        <w:rPr>
          <w:rFonts w:eastAsia="TimesNewRoman,Italic"/>
          <w:snapToGrid/>
          <w:szCs w:val="22"/>
          <w:lang w:val="hu-HU" w:eastAsia="en-GB"/>
        </w:rPr>
        <w:t>mmol/l</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(-65,8</w:t>
      </w:r>
      <w:r w:rsidR="00122450" w:rsidRPr="00E076F1">
        <w:rPr>
          <w:rFonts w:eastAsia="TimesNewRoman,Italic"/>
          <w:snapToGrid/>
          <w:szCs w:val="22"/>
          <w:lang w:val="hu-HU" w:eastAsia="en-GB"/>
        </w:rPr>
        <w:t> mg</w:t>
      </w:r>
      <w:r w:rsidRPr="00E076F1">
        <w:rPr>
          <w:rFonts w:eastAsia="TimesNewRoman,Italic"/>
          <w:snapToGrid/>
          <w:szCs w:val="22"/>
          <w:lang w:val="hu-HU" w:eastAsia="en-GB"/>
        </w:rPr>
        <w:t>/dl), szemben a -2,73 mmol/l-rel (-49,2</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az önmagában adott dapagliflozin esetén</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(p &lt; 0,001), és szemben a -2,54 mmol/l-rel (-45,8</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az önmagában adott exenatid esetén (p &lt; 0,001).</w:t>
      </w:r>
    </w:p>
    <w:p w14:paraId="2D4E217B"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5AFDBA61" w14:textId="5EC89DE1" w:rsidR="00C73DD7" w:rsidRPr="00E076F1" w:rsidRDefault="00C73DD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diabeteses betegek körében végzett, célzott vizsgálat, eGFR ≥ 45 - &lt;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érték mellett,</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azt igazolta, hogy a dapagliflozinnal végzett kezelés során az éhomi plazma glükózszint csökkent a</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24. hétre: -1,19 mmol/l (-21,46</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 placebóhoz viszonyított 0,27 mmol/l (</w:t>
      </w:r>
      <w:r w:rsidR="00145B48" w:rsidRPr="00E076F1">
        <w:rPr>
          <w:rFonts w:eastAsia="TimesNewRoman,Italic"/>
          <w:snapToGrid/>
          <w:szCs w:val="22"/>
          <w:lang w:val="hu-HU" w:eastAsia="en-GB"/>
        </w:rPr>
        <w:noBreakHyphen/>
      </w:r>
      <w:r w:rsidRPr="00E076F1">
        <w:rPr>
          <w:rFonts w:eastAsia="TimesNewRoman,Italic"/>
          <w:snapToGrid/>
          <w:szCs w:val="22"/>
          <w:lang w:val="hu-HU" w:eastAsia="en-GB"/>
        </w:rPr>
        <w:t>4,87</w:t>
      </w:r>
      <w:r w:rsidR="00122450" w:rsidRPr="00E076F1">
        <w:rPr>
          <w:rFonts w:eastAsia="TimesNewRoman,Italic"/>
          <w:snapToGrid/>
          <w:szCs w:val="22"/>
          <w:lang w:val="hu-HU" w:eastAsia="en-GB"/>
        </w:rPr>
        <w:t> mg</w:t>
      </w:r>
      <w:r w:rsidRPr="00E076F1">
        <w:rPr>
          <w:rFonts w:eastAsia="TimesNewRoman,Italic"/>
          <w:snapToGrid/>
          <w:szCs w:val="22"/>
          <w:lang w:val="hu-HU" w:eastAsia="en-GB"/>
        </w:rPr>
        <w:t>/dl) értékhez</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képest (p &lt; 0,001).</w:t>
      </w:r>
    </w:p>
    <w:p w14:paraId="44EA9C60"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00CD71C9" w14:textId="77777777" w:rsidR="00145B48" w:rsidRPr="00E076F1" w:rsidRDefault="00145B4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Posztprandiális glükózszint</w:t>
      </w:r>
    </w:p>
    <w:p w14:paraId="707B297B" w14:textId="515DA73D"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szitagliptinhez és metforminhoz kiegészítésként adott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végzett kezelés a 2 órás posztprandiális glükózszint csökkenését eredményezte a 24. héten, ami akár a 48. hétig fennmaradt.</w:t>
      </w:r>
    </w:p>
    <w:p w14:paraId="4A0BB57E" w14:textId="10E5BB96"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és az elnyújtott hatóanyagleadású exenatiddal kombinált kezelés a 28. hétre a 2 órás posztprandiális glükózszint szignifikánsan nagyobb mértékű csökkenését eredményezte, mint bármelyik, monoterápiában adott gyógyszer.</w:t>
      </w:r>
    </w:p>
    <w:p w14:paraId="5A6EC083"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3E3E73EC" w14:textId="77777777" w:rsidR="00145B48" w:rsidRPr="00E076F1" w:rsidRDefault="00145B4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Testtömeg</w:t>
      </w:r>
    </w:p>
    <w:p w14:paraId="3283DB1B" w14:textId="4CE6D0F8"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dapagliflozin az önmagában adott metforminhoz vagy a metformin plusz szitagliptinhez, a szulfonilureához vagy az inzulinhoz (kiegészítő </w:t>
      </w:r>
      <w:r w:rsidRPr="00E076F1">
        <w:rPr>
          <w:rFonts w:eastAsia="TimesNewRoman,Italic"/>
          <w:i/>
          <w:iCs/>
          <w:snapToGrid/>
          <w:szCs w:val="22"/>
          <w:lang w:val="hu-HU" w:eastAsia="en-GB"/>
        </w:rPr>
        <w:t xml:space="preserve">per os </w:t>
      </w:r>
      <w:r w:rsidRPr="00E076F1">
        <w:rPr>
          <w:rFonts w:eastAsia="TimesNewRoman,Italic"/>
          <w:snapToGrid/>
          <w:szCs w:val="22"/>
          <w:lang w:val="hu-HU" w:eastAsia="en-GB"/>
        </w:rPr>
        <w:t>glükózszint-csökkentő gyógyszerekkel vagy azok nélkül, beleértve a metformint is) kiegészítő kezelésként adva a 24. héten a testtömeg statisztikailag szignifikáns csökkenését eredményezte (p &lt; 0,0001, 4., 5. és 6. táblázat). Ezek a hatások a hosszabb távú vizsgálatokban is fennmaradtak. A 48. héten a metformin plusz szitagliptinhez kiegészítésként adott dapagliflozin-kezelés esetén a placebóhoz viszonyított különbség -2,07 kg volt. A 102. héten a metformin mellé kiegészítésként adott dapagliflozin-kezelés esetén a különbség placebóhoz viszonyítva -2,14 kg, míg az inzulin mellé kiegészítésként adva -2,88 kg volt.</w:t>
      </w:r>
    </w:p>
    <w:p w14:paraId="76634B55"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0A322C9E" w14:textId="585A1699" w:rsidR="00145B48" w:rsidRPr="00E076F1" w:rsidRDefault="00145B4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 aktív-kontrollos, non-inferioritási vizsgálatban, a metforminhoz kiegészítő kezelésként adott dapagliflozin a glipizidhez viszonyítva az 52. héten egy statisztikailag szignifikáns, -4,65 kg-os testtömegváltozást eredményezett (p &lt; 0,0001, 3. táblázat), ami a 104. és a 208. hétre is fennmaradt (sorrendben -5,06 kg és –4,38 kg).</w:t>
      </w:r>
    </w:p>
    <w:p w14:paraId="78A25D80" w14:textId="77777777" w:rsidR="00145B48" w:rsidRPr="00E076F1" w:rsidRDefault="00145B48" w:rsidP="00E076F1">
      <w:pPr>
        <w:tabs>
          <w:tab w:val="clear" w:pos="567"/>
        </w:tabs>
        <w:autoSpaceDE w:val="0"/>
        <w:autoSpaceDN w:val="0"/>
        <w:adjustRightInd w:val="0"/>
        <w:spacing w:line="240" w:lineRule="auto"/>
        <w:rPr>
          <w:snapToGrid/>
          <w:szCs w:val="22"/>
          <w:lang w:val="hu-HU" w:eastAsia="en-GB"/>
        </w:rPr>
      </w:pPr>
    </w:p>
    <w:p w14:paraId="3EDEBF87" w14:textId="1321D2C3" w:rsidR="00145B48" w:rsidRPr="00E076F1" w:rsidRDefault="00145B4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10</w:t>
      </w:r>
      <w:r w:rsidR="00122450" w:rsidRPr="00E076F1">
        <w:rPr>
          <w:snapToGrid/>
          <w:szCs w:val="22"/>
          <w:lang w:val="hu-HU" w:eastAsia="en-GB"/>
        </w:rPr>
        <w:t> mg</w:t>
      </w:r>
      <w:r w:rsidRPr="00E076F1">
        <w:rPr>
          <w:snapToGrid/>
          <w:szCs w:val="22"/>
          <w:lang w:val="hu-HU" w:eastAsia="en-GB"/>
        </w:rPr>
        <w:t xml:space="preserve"> dapagliflozin és az elnyújtott hatóanyagleadású exenatid kombináció mellett szignifikánsan nagyobb testtömegcsökkenést igazoltak, mint bármelyik, monoterápiában adott gyógyszerrel (8. táblázat).</w:t>
      </w:r>
    </w:p>
    <w:p w14:paraId="1B7533F5" w14:textId="77777777" w:rsidR="00145B48" w:rsidRPr="00E076F1" w:rsidRDefault="00145B48" w:rsidP="00E076F1">
      <w:pPr>
        <w:tabs>
          <w:tab w:val="clear" w:pos="567"/>
        </w:tabs>
        <w:autoSpaceDE w:val="0"/>
        <w:autoSpaceDN w:val="0"/>
        <w:adjustRightInd w:val="0"/>
        <w:spacing w:line="240" w:lineRule="auto"/>
        <w:rPr>
          <w:snapToGrid/>
          <w:szCs w:val="22"/>
          <w:lang w:val="hu-HU" w:eastAsia="en-GB"/>
        </w:rPr>
      </w:pPr>
    </w:p>
    <w:p w14:paraId="5FBF9EB4" w14:textId="5EA2EB35" w:rsidR="00145B48" w:rsidRPr="00E076F1" w:rsidRDefault="00145B4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 24 hetes, 182 cukorbeteggel folytatott vizsgálat, melyet a testszövetek kettős energiaszintű röntgen-abszorpciometriával (DXA) mért összetételének értékelésére végeztek, a metforminhoz adott 10</w:t>
      </w:r>
      <w:r w:rsidR="00122450" w:rsidRPr="00E076F1">
        <w:rPr>
          <w:snapToGrid/>
          <w:szCs w:val="22"/>
          <w:lang w:val="hu-HU" w:eastAsia="en-GB"/>
        </w:rPr>
        <w:t> mg</w:t>
      </w:r>
      <w:r w:rsidRPr="00E076F1">
        <w:rPr>
          <w:snapToGrid/>
          <w:szCs w:val="22"/>
          <w:lang w:val="hu-HU" w:eastAsia="en-GB"/>
        </w:rPr>
        <w:t xml:space="preserve"> dapagliflozin esetén a metforminhoz adott placebóhoz képest a testtömegben, valamint a test DXA-val mért zsírtömegében bekövetkezett csökkenést igazolt inkább, mintsem a támasztószövet mennyiségének a csökkenését vagy folyadékvesztést. A mágneses rezonancia vizsgálat egy alvizsgálatában a 10</w:t>
      </w:r>
      <w:r w:rsidR="00122450" w:rsidRPr="00E076F1">
        <w:rPr>
          <w:snapToGrid/>
          <w:szCs w:val="22"/>
          <w:lang w:val="hu-HU" w:eastAsia="en-GB"/>
        </w:rPr>
        <w:t> mg</w:t>
      </w:r>
      <w:r w:rsidRPr="00E076F1">
        <w:rPr>
          <w:snapToGrid/>
          <w:szCs w:val="22"/>
          <w:lang w:val="hu-HU" w:eastAsia="en-GB"/>
        </w:rPr>
        <w:t xml:space="preserve"> dapagliflozin plusz metformin-kezelés a viscerális zsírszövet mennyiségének számszerű csökkenését mutatta a placebo plusz metformin-kezeléshez képest (a vizsgálat megkezdésétől bekövetkezett változás.</w:t>
      </w:r>
    </w:p>
    <w:p w14:paraId="6C737603"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130787EC" w14:textId="77777777" w:rsidR="00145B48" w:rsidRPr="00E076F1" w:rsidRDefault="00145B48" w:rsidP="00CE5342">
      <w:pPr>
        <w:keepNext/>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Vérnyomás</w:t>
      </w:r>
    </w:p>
    <w:p w14:paraId="57296609" w14:textId="2B263ACE" w:rsidR="00145B48" w:rsidRPr="00E076F1" w:rsidRDefault="00145B48" w:rsidP="00CE5342">
      <w:pPr>
        <w:keepNext/>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Tizenhárom placebokontrollos vizsgálat előre meghatározott összesített analízise szerint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dapagliflozin-kezelés a vizsgálat megkezdésétől a 24. héten a szisztolés vérnyomás -3,7 Hgmm-es és a diasztolés vérnyomás -1,8 Hgmm-es változását eredményezte, szemben a vérnyomás placebocsoportban észlelt -0,5 Hgmm-es szisztolés és -0,5 Hgmm-es diasztolés változásával. Hasonló csökkenéseket figyeltek meg a 104. hétig.</w:t>
      </w:r>
    </w:p>
    <w:p w14:paraId="614070B9"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6BC738A1" w14:textId="74AAAF8C"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és az elnyújtott hatóanyagleadású exenatiddal kombinált kezelés a 28. hétre a szisztolés vérnyomás szignifikánsan nagyobb mértékű csökkenését eredményezte (-4,3 Hgmm), mint az önmagában adott dapagliflozin (-1,8 Hgmm, p &lt; 0,05) és az önmagában adott elnyújtott hatóanyagleadású exenatid (-1,2 Hgmm, p &lt; 0,01).</w:t>
      </w:r>
    </w:p>
    <w:p w14:paraId="7DEE6921"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5605F7C9" w14:textId="3010AB49"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Két 12 hetes, placebokontrollos vizsgálatban 1062, nem megfelelően kontrollált 2-es típusú diabetesben és (az egyik vizsgálatbanACE-I vagy ARB szerrel, a másik vizsgálatban pedig ACE-I vagy ARB, és egy további antihipertenzív szerrel végzett stabil kezelés ellenére) hypertoniában szenvedő beteget kezeltek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vagy placebóval. A 12. hétre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és a szokásos antidiabetikus kezelés mindkét vizsgálatban a HbA1c szintjének javulását eredményezte, és átlagosan 3,1 Hgmm-rel, illetve 4,3 Hgmm-rel csökkentette a placebóval korrigált szisztolés vérnyomást.</w:t>
      </w:r>
    </w:p>
    <w:p w14:paraId="157012ED"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1987B0CD" w14:textId="477F549F" w:rsidR="00145B48" w:rsidRPr="00E076F1" w:rsidRDefault="00145B4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 diabeteses betegek körében végzett, célzott vizsgálat, eGFR ≥ 45 - &lt; 60 ml/perc/1,73 m</w:t>
      </w:r>
      <w:r w:rsidRPr="00E076F1">
        <w:rPr>
          <w:snapToGrid/>
          <w:szCs w:val="22"/>
          <w:vertAlign w:val="superscript"/>
          <w:lang w:val="hu-HU" w:eastAsia="en-GB"/>
        </w:rPr>
        <w:t>2</w:t>
      </w:r>
      <w:r w:rsidRPr="00E076F1">
        <w:rPr>
          <w:snapToGrid/>
          <w:szCs w:val="22"/>
          <w:lang w:val="hu-HU" w:eastAsia="en-GB"/>
        </w:rPr>
        <w:t xml:space="preserve"> érték mellett, azt igazolta, hogy a dapagliflozinnal végzett kezelés során az ülő helyzetben mért szisztolés vérnyomás csökkent a 24. hétre: -4,8 Hgmm, a placebóhoz viszonyított -1,7 Hgmm értékhez képest (p &lt; 0,05).</w:t>
      </w:r>
    </w:p>
    <w:p w14:paraId="7529E13F"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1664180B" w14:textId="77777777" w:rsidR="00145B48" w:rsidRPr="00E076F1" w:rsidRDefault="00145B4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Betegek, akiknek a kiindulási HbA1c-je ≥ 9%</w:t>
      </w:r>
    </w:p>
    <w:p w14:paraId="463386B5" w14:textId="0A87EF95"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Azoknak a betegeknek egy előre meghatározott analízisében, akiknél a vizsgálat megkezdésekor a HbA1c-érték ≥ 9,0% volt, a metformin mellé kiegészítésként adott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dapagliflozin-kezelés a 24. héten a HbA1c statisztikailag szignifikáns csökkenését eredményezte (a vizsgálat megkezdésétől számított korrigált átlagos változás: a dapagliflozin esetén -1,32%, és a placebo esetén -0,53%).</w:t>
      </w:r>
    </w:p>
    <w:p w14:paraId="063C1AC5" w14:textId="77777777" w:rsidR="00145B48" w:rsidRPr="00E076F1" w:rsidRDefault="00145B48" w:rsidP="00E076F1">
      <w:pPr>
        <w:tabs>
          <w:tab w:val="clear" w:pos="567"/>
        </w:tabs>
        <w:autoSpaceDE w:val="0"/>
        <w:autoSpaceDN w:val="0"/>
        <w:adjustRightInd w:val="0"/>
        <w:spacing w:line="240" w:lineRule="auto"/>
        <w:rPr>
          <w:rFonts w:eastAsia="TimesNewRoman,Italic"/>
          <w:i/>
          <w:iCs/>
          <w:snapToGrid/>
          <w:szCs w:val="22"/>
          <w:lang w:val="hu-HU" w:eastAsia="en-GB"/>
        </w:rPr>
      </w:pPr>
    </w:p>
    <w:p w14:paraId="077A80FE" w14:textId="1BFED55D" w:rsidR="00145B48" w:rsidRPr="00E076F1" w:rsidRDefault="00145B4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Szénhidrátanyagcsere-egyensúly a közepes</w:t>
      </w:r>
      <w:r w:rsidR="00B47022">
        <w:rPr>
          <w:rFonts w:eastAsia="TimesNewRoman,Italic"/>
          <w:i/>
          <w:iCs/>
          <w:snapToGrid/>
          <w:szCs w:val="22"/>
          <w:u w:val="single"/>
          <w:lang w:val="hu-HU" w:eastAsia="en-GB"/>
        </w:rPr>
        <w:t xml:space="preserve">en súlyos vesekárosodásban szenvedő </w:t>
      </w:r>
      <w:r w:rsidRPr="00E076F1">
        <w:rPr>
          <w:rFonts w:eastAsia="TimesNewRoman,Italic"/>
          <w:i/>
          <w:iCs/>
          <w:snapToGrid/>
          <w:szCs w:val="22"/>
          <w:u w:val="single"/>
          <w:lang w:val="hu-HU" w:eastAsia="en-GB"/>
        </w:rPr>
        <w:t>betegeknél CKD 3A (eGFR ≥ 45 - &lt; 60 ml/perc/1,73 m</w:t>
      </w:r>
      <w:r w:rsidRPr="00E076F1">
        <w:rPr>
          <w:rFonts w:eastAsia="TimesNewRoman,Italic"/>
          <w:i/>
          <w:iCs/>
          <w:snapToGrid/>
          <w:szCs w:val="22"/>
          <w:u w:val="single"/>
          <w:vertAlign w:val="superscript"/>
          <w:lang w:val="hu-HU" w:eastAsia="en-GB"/>
        </w:rPr>
        <w:t>2</w:t>
      </w:r>
      <w:r w:rsidRPr="00E076F1">
        <w:rPr>
          <w:rFonts w:eastAsia="TimesNewRoman,Italic"/>
          <w:i/>
          <w:iCs/>
          <w:snapToGrid/>
          <w:szCs w:val="22"/>
          <w:u w:val="single"/>
          <w:lang w:val="hu-HU" w:eastAsia="en-GB"/>
        </w:rPr>
        <w:t>)</w:t>
      </w:r>
    </w:p>
    <w:p w14:paraId="39AE8C48" w14:textId="07CFD430"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hatásosságát egy olyan, diabeteses betegek körében végzett, célzott vizsgálat során értékelték, eGFR ≥ 45 - &lt;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érték mellett, akiknél a szokásos kezelés inadekvát glikémiás kontrollhoz vezetett. A dapagliflozin-kezelés, a placebóhoz képest, a HbA1c-szint és a testtömeg csökkenését eredményezte (lásd 9. táblázat).</w:t>
      </w:r>
    </w:p>
    <w:p w14:paraId="0ED0BD6B"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26010781" w14:textId="435A7E78" w:rsidR="00145B48" w:rsidRPr="00E076F1" w:rsidRDefault="00145B48"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9. táblázat Diabeteses betegek körében végzett dapagliflozin-kezelés, placebokontrollos vizsgálati eredményei a 24. héten, eGFR ≥ 45 - &lt; 60 ml/perc/1,73 m</w:t>
      </w:r>
      <w:r w:rsidRPr="00E076F1">
        <w:rPr>
          <w:rFonts w:eastAsia="TimesNewRoman,Bold"/>
          <w:b/>
          <w:bCs/>
          <w:snapToGrid/>
          <w:szCs w:val="22"/>
          <w:vertAlign w:val="superscript"/>
          <w:lang w:val="hu-HU" w:eastAsia="en-GB"/>
        </w:rPr>
        <w:t>2</w:t>
      </w:r>
      <w:r w:rsidRPr="00E076F1">
        <w:rPr>
          <w:rFonts w:eastAsia="TimesNewRoman,Bold"/>
          <w:b/>
          <w:bCs/>
          <w:snapToGrid/>
          <w:szCs w:val="22"/>
          <w:lang w:val="hu-HU" w:eastAsia="en-GB"/>
        </w:rPr>
        <w:t xml:space="preserve"> érték mellett</w:t>
      </w:r>
    </w:p>
    <w:tbl>
      <w:tblPr>
        <w:tblStyle w:val="Rcsostblzat"/>
        <w:tblW w:w="0" w:type="auto"/>
        <w:tblLook w:val="0420" w:firstRow="1" w:lastRow="0" w:firstColumn="0" w:lastColumn="0" w:noHBand="0" w:noVBand="1"/>
      </w:tblPr>
      <w:tblGrid>
        <w:gridCol w:w="3020"/>
        <w:gridCol w:w="3020"/>
        <w:gridCol w:w="3021"/>
      </w:tblGrid>
      <w:tr w:rsidR="00145B48" w:rsidRPr="00E076F1" w14:paraId="44CDCB46" w14:textId="77777777" w:rsidTr="00E37AD1">
        <w:tc>
          <w:tcPr>
            <w:tcW w:w="3020" w:type="dxa"/>
            <w:tcBorders>
              <w:top w:val="single" w:sz="4" w:space="0" w:color="auto"/>
              <w:left w:val="nil"/>
              <w:bottom w:val="single" w:sz="4" w:space="0" w:color="auto"/>
              <w:right w:val="nil"/>
            </w:tcBorders>
          </w:tcPr>
          <w:p w14:paraId="3643114A" w14:textId="77777777"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p>
        </w:tc>
        <w:tc>
          <w:tcPr>
            <w:tcW w:w="3020" w:type="dxa"/>
            <w:tcBorders>
              <w:top w:val="single" w:sz="4" w:space="0" w:color="auto"/>
              <w:left w:val="nil"/>
              <w:bottom w:val="single" w:sz="4" w:space="0" w:color="auto"/>
              <w:right w:val="nil"/>
            </w:tcBorders>
          </w:tcPr>
          <w:p w14:paraId="45FB24C4" w14:textId="42A96F01"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w:t>
            </w:r>
            <w:r w:rsidR="00471AEB" w:rsidRPr="00E076F1">
              <w:rPr>
                <w:rFonts w:eastAsia="TimesNewRoman,Bold"/>
                <w:b/>
                <w:bCs/>
                <w:snapToGrid/>
                <w:vertAlign w:val="superscript"/>
                <w:lang w:val="hu-HU" w:eastAsia="en-GB"/>
              </w:rPr>
              <w:t>a</w:t>
            </w:r>
          </w:p>
          <w:p w14:paraId="4EBE47B9" w14:textId="1A4C0709"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10</w:t>
            </w:r>
            <w:r w:rsidR="00122450" w:rsidRPr="00E076F1">
              <w:rPr>
                <w:rFonts w:eastAsia="TimesNewRoman,Bold"/>
                <w:b/>
                <w:bCs/>
                <w:snapToGrid/>
                <w:lang w:val="hu-HU" w:eastAsia="en-GB"/>
              </w:rPr>
              <w:t> mg</w:t>
            </w:r>
          </w:p>
        </w:tc>
        <w:tc>
          <w:tcPr>
            <w:tcW w:w="3021" w:type="dxa"/>
            <w:tcBorders>
              <w:top w:val="single" w:sz="4" w:space="0" w:color="auto"/>
              <w:left w:val="nil"/>
              <w:bottom w:val="single" w:sz="4" w:space="0" w:color="auto"/>
              <w:right w:val="nil"/>
            </w:tcBorders>
          </w:tcPr>
          <w:p w14:paraId="74D259D9" w14:textId="66FDD590"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w:t>
            </w:r>
            <w:r w:rsidR="00471AEB" w:rsidRPr="00E076F1">
              <w:rPr>
                <w:rFonts w:eastAsia="TimesNewRoman,Bold"/>
                <w:b/>
                <w:bCs/>
                <w:snapToGrid/>
                <w:vertAlign w:val="superscript"/>
                <w:lang w:val="hu-HU" w:eastAsia="en-GB"/>
              </w:rPr>
              <w:t>a</w:t>
            </w:r>
          </w:p>
        </w:tc>
      </w:tr>
      <w:tr w:rsidR="00145B48" w:rsidRPr="00E076F1" w14:paraId="298FD3C3" w14:textId="77777777" w:rsidTr="00E37AD1">
        <w:tc>
          <w:tcPr>
            <w:tcW w:w="3020" w:type="dxa"/>
            <w:tcBorders>
              <w:top w:val="single" w:sz="4" w:space="0" w:color="auto"/>
              <w:left w:val="nil"/>
              <w:bottom w:val="single" w:sz="4" w:space="0" w:color="auto"/>
              <w:right w:val="nil"/>
            </w:tcBorders>
          </w:tcPr>
          <w:p w14:paraId="25FC1692" w14:textId="18E04510"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00471AEB" w:rsidRPr="00E076F1">
              <w:rPr>
                <w:rFonts w:eastAsia="TimesNewRoman,Bold"/>
                <w:b/>
                <w:bCs/>
                <w:snapToGrid/>
                <w:vertAlign w:val="superscript"/>
                <w:lang w:val="hu-HU" w:eastAsia="en-GB"/>
              </w:rPr>
              <w:t>b</w:t>
            </w:r>
          </w:p>
        </w:tc>
        <w:tc>
          <w:tcPr>
            <w:tcW w:w="3020" w:type="dxa"/>
            <w:tcBorders>
              <w:top w:val="single" w:sz="4" w:space="0" w:color="auto"/>
              <w:left w:val="nil"/>
              <w:bottom w:val="single" w:sz="4" w:space="0" w:color="auto"/>
              <w:right w:val="nil"/>
            </w:tcBorders>
          </w:tcPr>
          <w:p w14:paraId="52FAA638" w14:textId="677B8B52"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w:t>
            </w:r>
            <w:r w:rsidR="00471AEB" w:rsidRPr="00E076F1">
              <w:rPr>
                <w:rFonts w:eastAsia="TimesNewRoman,Bold"/>
                <w:b/>
                <w:bCs/>
                <w:snapToGrid/>
                <w:lang w:val="hu-HU" w:eastAsia="en-GB"/>
              </w:rPr>
              <w:t>59</w:t>
            </w:r>
          </w:p>
        </w:tc>
        <w:tc>
          <w:tcPr>
            <w:tcW w:w="3021" w:type="dxa"/>
            <w:tcBorders>
              <w:top w:val="single" w:sz="4" w:space="0" w:color="auto"/>
              <w:left w:val="nil"/>
              <w:bottom w:val="single" w:sz="4" w:space="0" w:color="auto"/>
              <w:right w:val="nil"/>
            </w:tcBorders>
          </w:tcPr>
          <w:p w14:paraId="74C7A19C" w14:textId="012A28AD"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w:t>
            </w:r>
            <w:r w:rsidR="00471AEB" w:rsidRPr="00E076F1">
              <w:rPr>
                <w:rFonts w:eastAsia="TimesNewRoman,Bold"/>
                <w:b/>
                <w:bCs/>
                <w:snapToGrid/>
                <w:lang w:val="hu-HU" w:eastAsia="en-GB"/>
              </w:rPr>
              <w:t>61</w:t>
            </w:r>
          </w:p>
        </w:tc>
      </w:tr>
      <w:tr w:rsidR="00145B48" w:rsidRPr="00E076F1" w14:paraId="1E3BFFD6" w14:textId="77777777" w:rsidTr="00E37AD1">
        <w:tc>
          <w:tcPr>
            <w:tcW w:w="3020" w:type="dxa"/>
            <w:tcBorders>
              <w:top w:val="single" w:sz="4" w:space="0" w:color="auto"/>
              <w:left w:val="nil"/>
              <w:bottom w:val="nil"/>
              <w:right w:val="nil"/>
            </w:tcBorders>
          </w:tcPr>
          <w:p w14:paraId="0DBB9D82" w14:textId="496720AE"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3020" w:type="dxa"/>
            <w:tcBorders>
              <w:top w:val="single" w:sz="4" w:space="0" w:color="auto"/>
              <w:left w:val="nil"/>
              <w:bottom w:val="nil"/>
              <w:right w:val="nil"/>
            </w:tcBorders>
          </w:tcPr>
          <w:p w14:paraId="71964A82"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2DB5459A"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6540D6E8" w14:textId="77777777" w:rsidTr="00E37AD1">
        <w:tc>
          <w:tcPr>
            <w:tcW w:w="3020" w:type="dxa"/>
            <w:tcBorders>
              <w:top w:val="nil"/>
              <w:left w:val="nil"/>
              <w:bottom w:val="nil"/>
              <w:right w:val="nil"/>
            </w:tcBorders>
          </w:tcPr>
          <w:p w14:paraId="7ED274E1"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6ADAC828" w14:textId="4EA51918"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w:t>
            </w:r>
            <w:r w:rsidR="00471AEB" w:rsidRPr="00E076F1">
              <w:rPr>
                <w:rFonts w:eastAsia="TimesNewRoman,Bold"/>
                <w:snapToGrid/>
                <w:lang w:val="hu-HU" w:eastAsia="en-GB"/>
              </w:rPr>
              <w:t>35</w:t>
            </w:r>
          </w:p>
        </w:tc>
        <w:tc>
          <w:tcPr>
            <w:tcW w:w="3021" w:type="dxa"/>
            <w:tcBorders>
              <w:top w:val="nil"/>
              <w:left w:val="nil"/>
              <w:bottom w:val="nil"/>
              <w:right w:val="nil"/>
            </w:tcBorders>
          </w:tcPr>
          <w:p w14:paraId="663DA070" w14:textId="0E2F70E1"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w:t>
            </w:r>
            <w:r w:rsidR="00471AEB" w:rsidRPr="00E076F1">
              <w:rPr>
                <w:rFonts w:eastAsia="TimesNewRoman,Bold"/>
                <w:snapToGrid/>
                <w:lang w:val="hu-HU" w:eastAsia="en-GB"/>
              </w:rPr>
              <w:t>03</w:t>
            </w:r>
          </w:p>
        </w:tc>
      </w:tr>
      <w:tr w:rsidR="00145B48" w:rsidRPr="00E076F1" w14:paraId="1FBC4448" w14:textId="77777777" w:rsidTr="00E37AD1">
        <w:tc>
          <w:tcPr>
            <w:tcW w:w="3020" w:type="dxa"/>
            <w:tcBorders>
              <w:top w:val="nil"/>
              <w:left w:val="nil"/>
              <w:bottom w:val="nil"/>
              <w:right w:val="nil"/>
            </w:tcBorders>
          </w:tcPr>
          <w:p w14:paraId="0381638B" w14:textId="07DC72A7" w:rsidR="00145B48" w:rsidRPr="00E076F1" w:rsidRDefault="00145B48"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Változás </w:t>
            </w:r>
            <w:r w:rsidR="00471AEB" w:rsidRPr="00E076F1">
              <w:rPr>
                <w:snapToGrid/>
                <w:lang w:val="hu-HU" w:eastAsia="en-GB"/>
              </w:rPr>
              <w:t>megkezdésétől bekövetkezett változás</w:t>
            </w:r>
            <w:r w:rsidR="00471AEB" w:rsidRPr="00E076F1">
              <w:rPr>
                <w:snapToGrid/>
                <w:vertAlign w:val="superscript"/>
                <w:lang w:val="hu-HU" w:eastAsia="en-GB"/>
              </w:rPr>
              <w:t>b</w:t>
            </w:r>
          </w:p>
        </w:tc>
        <w:tc>
          <w:tcPr>
            <w:tcW w:w="3020" w:type="dxa"/>
            <w:tcBorders>
              <w:top w:val="nil"/>
              <w:left w:val="nil"/>
              <w:bottom w:val="nil"/>
              <w:right w:val="nil"/>
            </w:tcBorders>
          </w:tcPr>
          <w:p w14:paraId="15D47622" w14:textId="344DA552"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471AEB" w:rsidRPr="00E076F1">
              <w:rPr>
                <w:rFonts w:eastAsia="TimesNewRoman,Bold"/>
                <w:snapToGrid/>
                <w:lang w:val="hu-HU" w:eastAsia="en-GB"/>
              </w:rPr>
              <w:t>37</w:t>
            </w:r>
          </w:p>
        </w:tc>
        <w:tc>
          <w:tcPr>
            <w:tcW w:w="3021" w:type="dxa"/>
            <w:tcBorders>
              <w:top w:val="nil"/>
              <w:left w:val="nil"/>
              <w:bottom w:val="nil"/>
              <w:right w:val="nil"/>
            </w:tcBorders>
          </w:tcPr>
          <w:p w14:paraId="12C4B764" w14:textId="398F2772"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471AEB" w:rsidRPr="00E076F1">
              <w:rPr>
                <w:rFonts w:eastAsia="TimesNewRoman,Bold"/>
                <w:snapToGrid/>
                <w:lang w:val="hu-HU" w:eastAsia="en-GB"/>
              </w:rPr>
              <w:t>03</w:t>
            </w:r>
          </w:p>
        </w:tc>
      </w:tr>
      <w:tr w:rsidR="00145B48" w:rsidRPr="00E076F1" w14:paraId="1C8A2C57" w14:textId="77777777" w:rsidTr="00E37AD1">
        <w:tc>
          <w:tcPr>
            <w:tcW w:w="3020" w:type="dxa"/>
            <w:tcBorders>
              <w:top w:val="nil"/>
              <w:left w:val="nil"/>
              <w:bottom w:val="nil"/>
              <w:right w:val="nil"/>
            </w:tcBorders>
          </w:tcPr>
          <w:p w14:paraId="1494468A" w14:textId="1F75EB03" w:rsidR="00145B48" w:rsidRPr="00E076F1" w:rsidRDefault="00145B48"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00471AEB" w:rsidRPr="00E076F1">
              <w:rPr>
                <w:snapToGrid/>
                <w:vertAlign w:val="superscript"/>
                <w:lang w:val="hu-HU" w:eastAsia="en-GB"/>
              </w:rPr>
              <w:t>b</w:t>
            </w:r>
          </w:p>
        </w:tc>
        <w:tc>
          <w:tcPr>
            <w:tcW w:w="3020" w:type="dxa"/>
            <w:tcBorders>
              <w:top w:val="nil"/>
              <w:left w:val="nil"/>
              <w:bottom w:val="nil"/>
              <w:right w:val="nil"/>
            </w:tcBorders>
          </w:tcPr>
          <w:p w14:paraId="1762E172" w14:textId="52B0BFFC"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471AEB" w:rsidRPr="00E076F1">
              <w:rPr>
                <w:rFonts w:eastAsia="TimesNewRoman,Bold"/>
                <w:snapToGrid/>
                <w:lang w:val="hu-HU" w:eastAsia="en-GB"/>
              </w:rPr>
              <w:t>34</w:t>
            </w:r>
          </w:p>
        </w:tc>
        <w:tc>
          <w:tcPr>
            <w:tcW w:w="3021" w:type="dxa"/>
            <w:tcBorders>
              <w:top w:val="nil"/>
              <w:left w:val="nil"/>
              <w:bottom w:val="nil"/>
              <w:right w:val="nil"/>
            </w:tcBorders>
          </w:tcPr>
          <w:p w14:paraId="476F8690"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5681931C" w14:textId="77777777" w:rsidTr="00E37AD1">
        <w:tc>
          <w:tcPr>
            <w:tcW w:w="3020" w:type="dxa"/>
            <w:tcBorders>
              <w:top w:val="nil"/>
              <w:left w:val="nil"/>
              <w:bottom w:val="single" w:sz="4" w:space="0" w:color="auto"/>
              <w:right w:val="nil"/>
            </w:tcBorders>
          </w:tcPr>
          <w:p w14:paraId="7BD3B9E7"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3020" w:type="dxa"/>
            <w:tcBorders>
              <w:top w:val="nil"/>
              <w:left w:val="nil"/>
              <w:bottom w:val="single" w:sz="4" w:space="0" w:color="auto"/>
              <w:right w:val="nil"/>
            </w:tcBorders>
          </w:tcPr>
          <w:p w14:paraId="048FCAE2" w14:textId="554D8D46"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w:t>
            </w:r>
            <w:r w:rsidR="00471AEB" w:rsidRPr="00E076F1">
              <w:rPr>
                <w:snapToGrid/>
                <w:lang w:val="hu-HU" w:eastAsia="en-GB"/>
              </w:rPr>
              <w:t>53</w:t>
            </w:r>
            <w:r w:rsidRPr="00E076F1">
              <w:rPr>
                <w:snapToGrid/>
                <w:lang w:val="hu-HU" w:eastAsia="en-GB"/>
              </w:rPr>
              <w:t>; -0,</w:t>
            </w:r>
            <w:r w:rsidR="00471AEB" w:rsidRPr="00E076F1">
              <w:rPr>
                <w:snapToGrid/>
                <w:lang w:val="hu-HU" w:eastAsia="en-GB"/>
              </w:rPr>
              <w:t>15</w:t>
            </w:r>
            <w:r w:rsidRPr="00E076F1">
              <w:rPr>
                <w:snapToGrid/>
                <w:lang w:val="hu-HU" w:eastAsia="en-GB"/>
              </w:rPr>
              <w:t>)</w:t>
            </w:r>
          </w:p>
        </w:tc>
        <w:tc>
          <w:tcPr>
            <w:tcW w:w="3021" w:type="dxa"/>
            <w:tcBorders>
              <w:top w:val="nil"/>
              <w:left w:val="nil"/>
              <w:bottom w:val="single" w:sz="4" w:space="0" w:color="auto"/>
              <w:right w:val="nil"/>
            </w:tcBorders>
          </w:tcPr>
          <w:p w14:paraId="1B66EC3D"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7FEB2AB3" w14:textId="77777777" w:rsidTr="00E37AD1">
        <w:tc>
          <w:tcPr>
            <w:tcW w:w="3020" w:type="dxa"/>
            <w:tcBorders>
              <w:top w:val="single" w:sz="4" w:space="0" w:color="auto"/>
              <w:left w:val="nil"/>
              <w:bottom w:val="nil"/>
              <w:right w:val="nil"/>
            </w:tcBorders>
          </w:tcPr>
          <w:p w14:paraId="724D22A5"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Testtömeg (kg)</w:t>
            </w:r>
          </w:p>
        </w:tc>
        <w:tc>
          <w:tcPr>
            <w:tcW w:w="3020" w:type="dxa"/>
            <w:tcBorders>
              <w:top w:val="single" w:sz="4" w:space="0" w:color="auto"/>
              <w:left w:val="nil"/>
              <w:bottom w:val="nil"/>
              <w:right w:val="nil"/>
            </w:tcBorders>
          </w:tcPr>
          <w:p w14:paraId="143719B1"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20E1579F"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237A27F5" w14:textId="77777777" w:rsidTr="00E37AD1">
        <w:tc>
          <w:tcPr>
            <w:tcW w:w="3020" w:type="dxa"/>
            <w:tcBorders>
              <w:top w:val="nil"/>
              <w:left w:val="nil"/>
              <w:bottom w:val="nil"/>
              <w:right w:val="nil"/>
            </w:tcBorders>
          </w:tcPr>
          <w:p w14:paraId="7BD22137"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4751357D" w14:textId="2854BD85" w:rsidR="00145B48" w:rsidRPr="00E076F1" w:rsidRDefault="00A04E05"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92</w:t>
            </w:r>
            <w:r w:rsidR="00145B48" w:rsidRPr="00E076F1">
              <w:rPr>
                <w:snapToGrid/>
                <w:lang w:val="hu-HU" w:eastAsia="en-GB"/>
              </w:rPr>
              <w:t>,5</w:t>
            </w:r>
            <w:r w:rsidR="00471AEB" w:rsidRPr="00E076F1">
              <w:rPr>
                <w:snapToGrid/>
                <w:lang w:val="hu-HU" w:eastAsia="en-GB"/>
              </w:rPr>
              <w:t>1</w:t>
            </w:r>
          </w:p>
        </w:tc>
        <w:tc>
          <w:tcPr>
            <w:tcW w:w="3021" w:type="dxa"/>
            <w:tcBorders>
              <w:top w:val="nil"/>
              <w:left w:val="nil"/>
              <w:bottom w:val="nil"/>
              <w:right w:val="nil"/>
            </w:tcBorders>
          </w:tcPr>
          <w:p w14:paraId="117DD5A7" w14:textId="3FD3268D" w:rsidR="00145B48" w:rsidRPr="00E076F1" w:rsidRDefault="00A04E05"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88,30</w:t>
            </w:r>
          </w:p>
        </w:tc>
      </w:tr>
      <w:tr w:rsidR="00145B48" w:rsidRPr="00E076F1" w14:paraId="14803715" w14:textId="77777777" w:rsidTr="00E37AD1">
        <w:tc>
          <w:tcPr>
            <w:tcW w:w="3020" w:type="dxa"/>
            <w:tcBorders>
              <w:top w:val="nil"/>
              <w:left w:val="nil"/>
              <w:bottom w:val="nil"/>
              <w:right w:val="nil"/>
            </w:tcBorders>
          </w:tcPr>
          <w:p w14:paraId="205BB600" w14:textId="3804F813" w:rsidR="00145B48" w:rsidRPr="00E076F1" w:rsidRDefault="00A04E05"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százalékos változás</w:t>
            </w:r>
            <w:r w:rsidRPr="00E076F1">
              <w:rPr>
                <w:snapToGrid/>
                <w:vertAlign w:val="superscript"/>
                <w:lang w:val="hu-HU" w:eastAsia="en-GB"/>
              </w:rPr>
              <w:t>c</w:t>
            </w:r>
          </w:p>
        </w:tc>
        <w:tc>
          <w:tcPr>
            <w:tcW w:w="3020" w:type="dxa"/>
            <w:tcBorders>
              <w:top w:val="nil"/>
              <w:left w:val="nil"/>
              <w:bottom w:val="nil"/>
              <w:right w:val="nil"/>
            </w:tcBorders>
          </w:tcPr>
          <w:p w14:paraId="7961E93A" w14:textId="608B49DD"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A04E05" w:rsidRPr="00E076F1">
              <w:rPr>
                <w:snapToGrid/>
                <w:lang w:val="hu-HU" w:eastAsia="en-GB"/>
              </w:rPr>
              <w:t>3,42</w:t>
            </w:r>
          </w:p>
        </w:tc>
        <w:tc>
          <w:tcPr>
            <w:tcW w:w="3021" w:type="dxa"/>
            <w:tcBorders>
              <w:top w:val="nil"/>
              <w:left w:val="nil"/>
              <w:bottom w:val="nil"/>
              <w:right w:val="nil"/>
            </w:tcBorders>
          </w:tcPr>
          <w:p w14:paraId="3C3D3DFF" w14:textId="710EF391"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w:t>
            </w:r>
            <w:r w:rsidR="00A04E05" w:rsidRPr="00E076F1">
              <w:rPr>
                <w:rFonts w:eastAsia="TimesNewRoman,Bold"/>
                <w:snapToGrid/>
                <w:lang w:val="hu-HU" w:eastAsia="en-GB"/>
              </w:rPr>
              <w:t>2,02</w:t>
            </w:r>
          </w:p>
        </w:tc>
      </w:tr>
      <w:tr w:rsidR="00145B48" w:rsidRPr="00E076F1" w14:paraId="7C48657D" w14:textId="77777777" w:rsidTr="00E37AD1">
        <w:tc>
          <w:tcPr>
            <w:tcW w:w="3020" w:type="dxa"/>
            <w:tcBorders>
              <w:top w:val="nil"/>
              <w:left w:val="nil"/>
              <w:bottom w:val="nil"/>
              <w:right w:val="nil"/>
            </w:tcBorders>
          </w:tcPr>
          <w:p w14:paraId="15CDD322" w14:textId="6550B4D6" w:rsidR="00145B48" w:rsidRPr="00E076F1" w:rsidRDefault="00145B48"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Placebóhoz viszonyított </w:t>
            </w:r>
            <w:r w:rsidR="00A04E05" w:rsidRPr="00E076F1">
              <w:rPr>
                <w:snapToGrid/>
                <w:lang w:val="hu-HU" w:eastAsia="en-GB"/>
              </w:rPr>
              <w:t xml:space="preserve">százalékos </w:t>
            </w:r>
            <w:r w:rsidRPr="00E076F1">
              <w:rPr>
                <w:snapToGrid/>
                <w:lang w:val="hu-HU" w:eastAsia="en-GB"/>
              </w:rPr>
              <w:t>különbség</w:t>
            </w:r>
            <w:r w:rsidRPr="00E076F1">
              <w:rPr>
                <w:snapToGrid/>
                <w:vertAlign w:val="superscript"/>
                <w:lang w:val="hu-HU" w:eastAsia="en-GB"/>
              </w:rPr>
              <w:t>c</w:t>
            </w:r>
          </w:p>
        </w:tc>
        <w:tc>
          <w:tcPr>
            <w:tcW w:w="3020" w:type="dxa"/>
            <w:tcBorders>
              <w:top w:val="nil"/>
              <w:left w:val="nil"/>
              <w:bottom w:val="nil"/>
              <w:right w:val="nil"/>
            </w:tcBorders>
          </w:tcPr>
          <w:p w14:paraId="1429832A" w14:textId="3D236CE2"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A04E05" w:rsidRPr="00E076F1">
              <w:rPr>
                <w:snapToGrid/>
                <w:lang w:val="hu-HU" w:eastAsia="en-GB"/>
              </w:rPr>
              <w:t>1,43</w:t>
            </w:r>
            <w:r w:rsidRPr="00E076F1">
              <w:rPr>
                <w:snapToGrid/>
                <w:lang w:val="hu-HU" w:eastAsia="en-GB"/>
              </w:rPr>
              <w:t>*</w:t>
            </w:r>
          </w:p>
        </w:tc>
        <w:tc>
          <w:tcPr>
            <w:tcW w:w="3021" w:type="dxa"/>
            <w:tcBorders>
              <w:top w:val="nil"/>
              <w:left w:val="nil"/>
              <w:bottom w:val="nil"/>
              <w:right w:val="nil"/>
            </w:tcBorders>
          </w:tcPr>
          <w:p w14:paraId="1799A47F"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1587FFE8" w14:textId="77777777" w:rsidTr="00E37AD1">
        <w:tc>
          <w:tcPr>
            <w:tcW w:w="3020" w:type="dxa"/>
            <w:tcBorders>
              <w:top w:val="nil"/>
              <w:left w:val="nil"/>
              <w:bottom w:val="single" w:sz="4" w:space="0" w:color="auto"/>
              <w:right w:val="nil"/>
            </w:tcBorders>
          </w:tcPr>
          <w:p w14:paraId="006A65F3" w14:textId="01249FDE" w:rsidR="00145B48" w:rsidRPr="00E076F1" w:rsidRDefault="00145B48" w:rsidP="00E076F1">
            <w:pPr>
              <w:tabs>
                <w:tab w:val="clear" w:pos="567"/>
              </w:tabs>
              <w:autoSpaceDE w:val="0"/>
              <w:autoSpaceDN w:val="0"/>
              <w:adjustRightInd w:val="0"/>
              <w:spacing w:line="240" w:lineRule="auto"/>
              <w:rPr>
                <w:snapToGrid/>
                <w:lang w:val="hu-HU" w:eastAsia="en-GB"/>
              </w:rPr>
            </w:pPr>
            <w:r w:rsidRPr="00E076F1">
              <w:rPr>
                <w:snapToGrid/>
                <w:lang w:val="hu-HU" w:eastAsia="en-GB"/>
              </w:rPr>
              <w:t>(95%</w:t>
            </w:r>
            <w:r w:rsidR="00A04E05" w:rsidRPr="00E076F1">
              <w:rPr>
                <w:snapToGrid/>
                <w:lang w:val="hu-HU" w:eastAsia="en-GB"/>
              </w:rPr>
              <w:t>-os</w:t>
            </w:r>
            <w:r w:rsidRPr="00E076F1">
              <w:rPr>
                <w:snapToGrid/>
                <w:lang w:val="hu-HU" w:eastAsia="en-GB"/>
              </w:rPr>
              <w:t xml:space="preserve"> CI)</w:t>
            </w:r>
          </w:p>
        </w:tc>
        <w:tc>
          <w:tcPr>
            <w:tcW w:w="3020" w:type="dxa"/>
            <w:tcBorders>
              <w:top w:val="nil"/>
              <w:left w:val="nil"/>
              <w:bottom w:val="single" w:sz="4" w:space="0" w:color="auto"/>
              <w:right w:val="nil"/>
            </w:tcBorders>
          </w:tcPr>
          <w:p w14:paraId="0CD5C05F" w14:textId="79A51B54"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w:t>
            </w:r>
            <w:r w:rsidR="00A04E05" w:rsidRPr="00E076F1">
              <w:rPr>
                <w:snapToGrid/>
                <w:lang w:val="hu-HU" w:eastAsia="en-GB"/>
              </w:rPr>
              <w:t>15</w:t>
            </w:r>
            <w:r w:rsidRPr="00E076F1">
              <w:rPr>
                <w:snapToGrid/>
                <w:lang w:val="hu-HU" w:eastAsia="en-GB"/>
              </w:rPr>
              <w:t>; -</w:t>
            </w:r>
            <w:r w:rsidR="00A04E05" w:rsidRPr="00E076F1">
              <w:rPr>
                <w:snapToGrid/>
                <w:lang w:val="hu-HU" w:eastAsia="en-GB"/>
              </w:rPr>
              <w:t>0,69</w:t>
            </w:r>
            <w:r w:rsidRPr="00E076F1">
              <w:rPr>
                <w:snapToGrid/>
                <w:lang w:val="hu-HU" w:eastAsia="en-GB"/>
              </w:rPr>
              <w:t>)</w:t>
            </w:r>
          </w:p>
        </w:tc>
        <w:tc>
          <w:tcPr>
            <w:tcW w:w="3021" w:type="dxa"/>
            <w:tcBorders>
              <w:top w:val="nil"/>
              <w:left w:val="nil"/>
              <w:bottom w:val="single" w:sz="4" w:space="0" w:color="auto"/>
              <w:right w:val="nil"/>
            </w:tcBorders>
          </w:tcPr>
          <w:p w14:paraId="7F41AC9D"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bl>
    <w:p w14:paraId="52E5A983" w14:textId="13285031" w:rsidR="00A04E05" w:rsidRPr="00E076F1" w:rsidRDefault="00A04E05"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a</w:t>
      </w:r>
      <w:r w:rsidRPr="00E076F1">
        <w:rPr>
          <w:snapToGrid/>
          <w:lang w:val="hu-HU" w:eastAsia="en-GB"/>
        </w:rPr>
        <w:t xml:space="preserve"> Metformin vagy metformin-hidroklorid volt a szokásos kezelés része, sorrendben a betegek 69,4%-ánál a dapagliflozin-csoportban és 64,0%-ánál a placebocsoportban.</w:t>
      </w:r>
    </w:p>
    <w:p w14:paraId="4FA4F9E7" w14:textId="77777777" w:rsidR="00A04E05" w:rsidRPr="00E076F1" w:rsidRDefault="00A04E05"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A kiindulási értékre korrigált legkisebb négyzetes becslés átlaga</w:t>
      </w:r>
    </w:p>
    <w:p w14:paraId="071401AA" w14:textId="77777777" w:rsidR="00A04E05" w:rsidRPr="00E076F1" w:rsidRDefault="00A04E05"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átlagából származó adat.</w:t>
      </w:r>
    </w:p>
    <w:p w14:paraId="0D52CF54" w14:textId="25909C12" w:rsidR="00145B48" w:rsidRPr="00E076F1" w:rsidRDefault="00A04E05" w:rsidP="00E076F1">
      <w:pPr>
        <w:tabs>
          <w:tab w:val="clear" w:pos="567"/>
        </w:tabs>
        <w:autoSpaceDE w:val="0"/>
        <w:autoSpaceDN w:val="0"/>
        <w:adjustRightInd w:val="0"/>
        <w:spacing w:line="240" w:lineRule="auto"/>
        <w:rPr>
          <w:rFonts w:eastAsia="TimesNewRoman,Italic"/>
          <w:snapToGrid/>
          <w:lang w:val="hu-HU" w:eastAsia="en-GB"/>
        </w:rPr>
      </w:pPr>
      <w:r w:rsidRPr="00E076F1">
        <w:rPr>
          <w:snapToGrid/>
          <w:lang w:val="hu-HU" w:eastAsia="en-GB"/>
        </w:rPr>
        <w:t>* p &lt; 0,001</w:t>
      </w:r>
    </w:p>
    <w:p w14:paraId="77D65741"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7DBFDD95" w14:textId="77777777" w:rsidR="00A04E05" w:rsidRPr="00E076F1" w:rsidRDefault="00A04E0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Cardiovascularis és renalis végpontok</w:t>
      </w:r>
    </w:p>
    <w:p w14:paraId="4F0C270D" w14:textId="2BE40DE9"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hatása a cardiovascularis eseményekre (</w:t>
      </w:r>
      <w:r w:rsidRPr="00E076F1">
        <w:rPr>
          <w:rFonts w:eastAsia="TimesNewRoman,Italic"/>
          <w:i/>
          <w:iCs/>
          <w:snapToGrid/>
          <w:szCs w:val="22"/>
          <w:lang w:val="hu-HU" w:eastAsia="en-GB"/>
        </w:rPr>
        <w:t xml:space="preserve">Dapagliflozin Effect on Cardiovascular Events </w:t>
      </w:r>
      <w:r w:rsidRPr="00E076F1">
        <w:rPr>
          <w:rFonts w:eastAsia="TimesNewRoman,Italic"/>
          <w:snapToGrid/>
          <w:szCs w:val="22"/>
          <w:lang w:val="hu-HU" w:eastAsia="en-GB"/>
        </w:rPr>
        <w:t>– DECLARE) olyan nemzetközi, multicentrikus, randomizált, kettős vak, placebokontrollos klinikai vizsgálat volt, amit azért végeztek, hogy meghatározzák a dapagliflozinnak a placebóhoz viszonyított, cardiovascularis eseményekre gyakorolt hatását, amikor azt az aktuálisan alkalmazott, háttérkezeléshez adták. Minden betegnél a 2-es típusú diabetes mellitus mellé legalább 2 további cardiovascularis kockázati tényező járult (életkor ≥ 55 év férfiaknál vagy ≥ 60 év nőknél, és egy vagy több a következők közül:</w:t>
      </w:r>
      <w:r w:rsidR="00037597" w:rsidRPr="00E076F1">
        <w:rPr>
          <w:rFonts w:eastAsia="TimesNewRoman,Italic"/>
          <w:snapToGrid/>
          <w:szCs w:val="22"/>
          <w:lang w:val="hu-HU" w:eastAsia="en-GB"/>
        </w:rPr>
        <w:t xml:space="preserve"> </w:t>
      </w:r>
      <w:r w:rsidRPr="00E076F1">
        <w:rPr>
          <w:rFonts w:eastAsia="TimesNewRoman,Italic"/>
          <w:snapToGrid/>
          <w:szCs w:val="22"/>
          <w:lang w:val="hu-HU" w:eastAsia="en-GB"/>
        </w:rPr>
        <w:t>dyslipidaemia, hypertonia vagy aktuális dohányzás), vagy igazolt cardiovascularis betegség.</w:t>
      </w:r>
    </w:p>
    <w:p w14:paraId="4345AAD0"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6995BCCB" w14:textId="71B6AB39"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17 160, randomizált beteg közül 6974-nek (40,6%) volt igazolt cardiovascularis betegsége, és 10 186-nak (59,4%) nem volt igazolt cardiovascularis betegsége. 8582 beteget randomizáltak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dapagliflozinra, és 8578-at placebóra, majd 4,2 évig (medián időtartam) követték őket.</w:t>
      </w:r>
    </w:p>
    <w:p w14:paraId="2ADB6B38"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15B6332A" w14:textId="7E85BD59"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vizsgálati populáció átlagéletkora 63,9 év volt, és megközelítőleg 37,4%-uk nő volt. Összesen 22,4%-uknak volt diabetese ≤ 5 éve, és a cukorbetegség átlagos időtartama 11,9 év volt. Az átlagos HbA1c 8,3%, és az átlagos BMI 32,1 kg/m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volt.</w:t>
      </w:r>
    </w:p>
    <w:p w14:paraId="63F7F5D8"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45595643" w14:textId="5E3E408F"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vizsgálat megkezdésekor a betegek 10,0%-ának szerepelt a kórelőzményében szívelégtelenség. Az átlagos eGFR 85,2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volt, a betegek 7,4%-ánál az eGFR &lt;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volt, és a</w:t>
      </w:r>
      <w:r w:rsidR="00722F99" w:rsidRPr="00E076F1">
        <w:rPr>
          <w:rFonts w:eastAsia="TimesNewRoman,Italic"/>
          <w:snapToGrid/>
          <w:szCs w:val="22"/>
          <w:lang w:val="hu-HU" w:eastAsia="en-GB"/>
        </w:rPr>
        <w:t> </w:t>
      </w:r>
      <w:r w:rsidRPr="00E076F1">
        <w:rPr>
          <w:rFonts w:eastAsia="TimesNewRoman,Italic"/>
          <w:snapToGrid/>
          <w:szCs w:val="22"/>
          <w:lang w:val="hu-HU" w:eastAsia="en-GB"/>
        </w:rPr>
        <w:t>betegek 30,3%-ánál volt micro- vagy macroalbuminuria (a vizelet albumin – kreatinin arány [</w:t>
      </w:r>
      <w:r w:rsidRPr="00E076F1">
        <w:rPr>
          <w:rFonts w:eastAsia="TimesNewRoman,Italic"/>
          <w:i/>
          <w:iCs/>
          <w:snapToGrid/>
          <w:szCs w:val="22"/>
          <w:lang w:val="hu-HU" w:eastAsia="en-GB"/>
        </w:rPr>
        <w:t>urine</w:t>
      </w:r>
      <w:r w:rsidRPr="00E076F1">
        <w:rPr>
          <w:rFonts w:eastAsia="TimesNewRoman,Italic"/>
          <w:snapToGrid/>
          <w:szCs w:val="22"/>
          <w:lang w:val="hu-HU" w:eastAsia="en-GB"/>
        </w:rPr>
        <w:t xml:space="preserve"> </w:t>
      </w:r>
      <w:r w:rsidRPr="00E076F1">
        <w:rPr>
          <w:rFonts w:eastAsia="TimesNewRoman,Italic"/>
          <w:i/>
          <w:iCs/>
          <w:snapToGrid/>
          <w:szCs w:val="22"/>
          <w:lang w:val="hu-HU" w:eastAsia="en-GB"/>
        </w:rPr>
        <w:t xml:space="preserve">albumin to creatinine ratio </w:t>
      </w:r>
      <w:r w:rsidRPr="00E076F1">
        <w:rPr>
          <w:rFonts w:eastAsia="TimesNewRoman,Italic"/>
          <w:snapToGrid/>
          <w:szCs w:val="22"/>
          <w:lang w:val="hu-HU" w:eastAsia="en-GB"/>
        </w:rPr>
        <w:t>– UACR] sorrendben ≥ 30 – ≤ 300</w:t>
      </w:r>
      <w:r w:rsidR="00122450" w:rsidRPr="00E076F1">
        <w:rPr>
          <w:rFonts w:eastAsia="TimesNewRoman,Italic"/>
          <w:snapToGrid/>
          <w:szCs w:val="22"/>
          <w:lang w:val="hu-HU" w:eastAsia="en-GB"/>
        </w:rPr>
        <w:t> mg</w:t>
      </w:r>
      <w:r w:rsidRPr="00E076F1">
        <w:rPr>
          <w:rFonts w:eastAsia="TimesNewRoman,Italic"/>
          <w:snapToGrid/>
          <w:szCs w:val="22"/>
          <w:lang w:val="hu-HU" w:eastAsia="en-GB"/>
        </w:rPr>
        <w:t>/g vagy &gt; 300</w:t>
      </w:r>
      <w:r w:rsidR="00122450" w:rsidRPr="00E076F1">
        <w:rPr>
          <w:rFonts w:eastAsia="TimesNewRoman,Italic"/>
          <w:snapToGrid/>
          <w:szCs w:val="22"/>
          <w:lang w:val="hu-HU" w:eastAsia="en-GB"/>
        </w:rPr>
        <w:t> mg</w:t>
      </w:r>
      <w:r w:rsidRPr="00E076F1">
        <w:rPr>
          <w:rFonts w:eastAsia="TimesNewRoman,Italic"/>
          <w:snapToGrid/>
          <w:szCs w:val="22"/>
          <w:lang w:val="hu-HU" w:eastAsia="en-GB"/>
        </w:rPr>
        <w:t>/g).</w:t>
      </w:r>
    </w:p>
    <w:p w14:paraId="0ABC7973"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6B96DC98" w14:textId="40BAA38B"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vizsgálat megkezdésekor a legtöbb beteg (98%) alkalmazott egy vagy több, cukorbetegség elleni gyógyszert, beleértve a metformint (82%), az inzulint (41%) és a szulfonilureát (43%).</w:t>
      </w:r>
    </w:p>
    <w:p w14:paraId="3135D877"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51DBD7B4" w14:textId="6F382D1F"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rFonts w:eastAsia="TimesNewRoman,Italic"/>
          <w:snapToGrid/>
          <w:szCs w:val="22"/>
          <w:lang w:val="hu-HU" w:eastAsia="en-GB"/>
        </w:rPr>
        <w:t>Az elsődleges végpont a következők közül az első eseményig eltelt idő volt: cardiovascularis eredetű halálozás, myocardialis infarctus vagy ischaemiás stroke (jelentős cardiovascularis nemkívánatos esemény, Major Adverse Cardiovascular Event –MACE), valamint a következők közül az első eseményig</w:t>
      </w:r>
      <w:r w:rsidRPr="00E076F1">
        <w:rPr>
          <w:snapToGrid/>
          <w:szCs w:val="22"/>
          <w:lang w:val="hu-HU" w:eastAsia="en-GB"/>
        </w:rPr>
        <w:t>eltelt idő: szívelégtelenség miatti hospitalizáció vagy cardiovascularis eredetű halál. A</w:t>
      </w:r>
      <w:r w:rsidR="00722F99" w:rsidRPr="00E076F1">
        <w:rPr>
          <w:snapToGrid/>
          <w:szCs w:val="22"/>
          <w:lang w:val="hu-HU" w:eastAsia="en-GB"/>
        </w:rPr>
        <w:t> </w:t>
      </w:r>
      <w:r w:rsidRPr="00E076F1">
        <w:rPr>
          <w:snapToGrid/>
          <w:szCs w:val="22"/>
          <w:lang w:val="hu-HU" w:eastAsia="en-GB"/>
        </w:rPr>
        <w:t>másodlagos végpontok a renalis összetett végpontok és az összmortalitás voltak.</w:t>
      </w:r>
    </w:p>
    <w:p w14:paraId="7C27713F" w14:textId="77777777" w:rsidR="00A04E05" w:rsidRPr="00E076F1" w:rsidRDefault="00A04E05" w:rsidP="00E076F1">
      <w:pPr>
        <w:tabs>
          <w:tab w:val="clear" w:pos="567"/>
        </w:tabs>
        <w:autoSpaceDE w:val="0"/>
        <w:autoSpaceDN w:val="0"/>
        <w:adjustRightInd w:val="0"/>
        <w:spacing w:line="240" w:lineRule="auto"/>
        <w:rPr>
          <w:rFonts w:eastAsia="TimesNewRoman,Italic"/>
          <w:i/>
          <w:iCs/>
          <w:snapToGrid/>
          <w:szCs w:val="22"/>
          <w:lang w:val="hu-HU" w:eastAsia="en-GB"/>
        </w:rPr>
      </w:pPr>
    </w:p>
    <w:p w14:paraId="79EEF2CC" w14:textId="0EC6D008" w:rsidR="00A04E05" w:rsidRPr="00E076F1" w:rsidRDefault="00A04E05"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Jelentős cardiovascularis nemkívánatos események</w:t>
      </w:r>
    </w:p>
    <w:p w14:paraId="49C8F6FE" w14:textId="153F9ECB"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10</w:t>
      </w:r>
      <w:r w:rsidR="00122450" w:rsidRPr="00E076F1">
        <w:rPr>
          <w:snapToGrid/>
          <w:szCs w:val="22"/>
          <w:lang w:val="hu-HU" w:eastAsia="en-GB"/>
        </w:rPr>
        <w:t> mg</w:t>
      </w:r>
      <w:r w:rsidRPr="00E076F1">
        <w:rPr>
          <w:snapToGrid/>
          <w:szCs w:val="22"/>
          <w:lang w:val="hu-HU" w:eastAsia="en-GB"/>
        </w:rPr>
        <w:t xml:space="preserve"> dapagliflozin-kezelés non-inferioritását igazolták a placebóhoz képest a cardiovascularis eredetű halálozás, myocardialis infarctus vagy ischaemiás stroke összetett végpont esetén (egyoldalas próbával p &lt; 0,001).</w:t>
      </w:r>
    </w:p>
    <w:p w14:paraId="090A3913" w14:textId="77777777" w:rsidR="00A04E05" w:rsidRPr="00E076F1" w:rsidRDefault="00A04E05" w:rsidP="00E076F1">
      <w:pPr>
        <w:tabs>
          <w:tab w:val="clear" w:pos="567"/>
        </w:tabs>
        <w:autoSpaceDE w:val="0"/>
        <w:autoSpaceDN w:val="0"/>
        <w:adjustRightInd w:val="0"/>
        <w:spacing w:line="240" w:lineRule="auto"/>
        <w:rPr>
          <w:rFonts w:eastAsia="TimesNewRoman,Italic"/>
          <w:i/>
          <w:iCs/>
          <w:snapToGrid/>
          <w:szCs w:val="22"/>
          <w:lang w:val="hu-HU" w:eastAsia="en-GB"/>
        </w:rPr>
      </w:pPr>
    </w:p>
    <w:p w14:paraId="3DB84544" w14:textId="03B9C6BF" w:rsidR="00A04E05" w:rsidRPr="00E076F1" w:rsidRDefault="00A04E05"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Szívelégtelenség vagy cardiovascularis eredetű halálozás</w:t>
      </w:r>
    </w:p>
    <w:p w14:paraId="6ACEEC68" w14:textId="44BB9A5A"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10</w:t>
      </w:r>
      <w:r w:rsidR="00122450" w:rsidRPr="00E076F1">
        <w:rPr>
          <w:snapToGrid/>
          <w:szCs w:val="22"/>
          <w:lang w:val="hu-HU" w:eastAsia="en-GB"/>
        </w:rPr>
        <w:t> mg</w:t>
      </w:r>
      <w:r w:rsidRPr="00E076F1">
        <w:rPr>
          <w:snapToGrid/>
          <w:szCs w:val="22"/>
          <w:lang w:val="hu-HU" w:eastAsia="en-GB"/>
        </w:rPr>
        <w:t xml:space="preserve"> dapagliflozin-kezelés igazoltan jobb volt a placebónál a szívelégtelenség vagy cardiovascularis eredetű halálozás miatti hospitalizáció megelőzése tekintetében (1. ábra). A terápiás hatásban mutatkozó különbséget a szívelégtelenség miatti hospitalizáció adta, de nem volt különbség a cardiovascularis eredetű halálozásban (2. ábra).</w:t>
      </w:r>
    </w:p>
    <w:p w14:paraId="5836A6F2" w14:textId="77777777" w:rsidR="00A04E05" w:rsidRPr="00E076F1" w:rsidRDefault="00A04E05" w:rsidP="00E076F1">
      <w:pPr>
        <w:tabs>
          <w:tab w:val="clear" w:pos="567"/>
        </w:tabs>
        <w:autoSpaceDE w:val="0"/>
        <w:autoSpaceDN w:val="0"/>
        <w:adjustRightInd w:val="0"/>
        <w:spacing w:line="240" w:lineRule="auto"/>
        <w:rPr>
          <w:snapToGrid/>
          <w:szCs w:val="22"/>
          <w:lang w:val="hu-HU" w:eastAsia="en-GB"/>
        </w:rPr>
      </w:pPr>
    </w:p>
    <w:p w14:paraId="054C2DBF" w14:textId="3A3BCCD8"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dapagliflozin-kezelés placebóhoz viszonyított kedvező hatását mind az igazolt cardiovascularis betegséggel rendelkező, mind az igazolt cardiovascularis betegség nélküli betegeknél megfigyelték, akár volt a vizsgálat megkezdésekor szívelégtelenségük, akár nem. Ez konzisztens volt a legfontosabb alcsoportokban, beleértve az életkort, a nemi hovatartozást, a vesefunkciót (eGFR) és a régiót is.</w:t>
      </w:r>
    </w:p>
    <w:p w14:paraId="450039E1" w14:textId="1EEB2CF2"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br w:type="page"/>
      </w:r>
    </w:p>
    <w:p w14:paraId="3F27F796" w14:textId="77777777" w:rsidR="00A04E05" w:rsidRPr="00E076F1" w:rsidRDefault="00A04E05" w:rsidP="00E076F1">
      <w:pPr>
        <w:tabs>
          <w:tab w:val="clear" w:pos="567"/>
        </w:tabs>
        <w:autoSpaceDE w:val="0"/>
        <w:autoSpaceDN w:val="0"/>
        <w:adjustRightInd w:val="0"/>
        <w:spacing w:line="240" w:lineRule="auto"/>
        <w:rPr>
          <w:snapToGrid/>
          <w:szCs w:val="22"/>
          <w:lang w:val="hu-HU" w:eastAsia="en-GB"/>
        </w:rPr>
      </w:pPr>
    </w:p>
    <w:p w14:paraId="3C5B1610" w14:textId="450310E4" w:rsidR="00A04E05" w:rsidRPr="00E076F1" w:rsidRDefault="00A04E05"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1. ábra: A szívelégtelenség vagy a cardiovascularis eredetű halálozás miatti hospitalizáció első megjelenéséig eltelt idő</w:t>
      </w:r>
    </w:p>
    <w:p w14:paraId="40B06624" w14:textId="2236659E" w:rsidR="00A04E05" w:rsidRPr="00E076F1" w:rsidRDefault="00A04E05"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noProof/>
          <w:snapToGrid/>
          <w:szCs w:val="22"/>
          <w:lang w:val="hu-HU" w:eastAsia="hu-HU"/>
        </w:rPr>
        <w:drawing>
          <wp:inline distT="0" distB="0" distL="0" distR="0" wp14:anchorId="18DC1C24" wp14:editId="4941D190">
            <wp:extent cx="5760085" cy="38328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3832860"/>
                    </a:xfrm>
                    <a:prstGeom prst="rect">
                      <a:avLst/>
                    </a:prstGeom>
                    <a:noFill/>
                    <a:ln>
                      <a:noFill/>
                    </a:ln>
                  </pic:spPr>
                </pic:pic>
              </a:graphicData>
            </a:graphic>
          </wp:inline>
        </w:drawing>
      </w:r>
    </w:p>
    <w:p w14:paraId="54990748" w14:textId="77777777" w:rsidR="00B25F44" w:rsidRPr="00E076F1" w:rsidRDefault="00B25F44"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veszélyeztetett betegeket a veszélyeztetett betegek száma a periódus kezdetén jelenti.</w:t>
      </w:r>
    </w:p>
    <w:p w14:paraId="42FB65C3" w14:textId="0DB9301F" w:rsidR="00A04E05" w:rsidRPr="00E076F1" w:rsidRDefault="00B25F44" w:rsidP="00E076F1">
      <w:pPr>
        <w:tabs>
          <w:tab w:val="clear" w:pos="567"/>
        </w:tabs>
        <w:autoSpaceDE w:val="0"/>
        <w:autoSpaceDN w:val="0"/>
        <w:adjustRightInd w:val="0"/>
        <w:spacing w:line="240" w:lineRule="auto"/>
        <w:rPr>
          <w:snapToGrid/>
          <w:lang w:val="it-IT" w:eastAsia="en-GB"/>
        </w:rPr>
      </w:pPr>
      <w:r w:rsidRPr="00E076F1">
        <w:rPr>
          <w:snapToGrid/>
          <w:lang w:val="it-IT" w:eastAsia="en-GB"/>
        </w:rPr>
        <w:t>HR = relatív hazárd; CI = konfidencia intervallum.</w:t>
      </w:r>
    </w:p>
    <w:p w14:paraId="3E59BDDD" w14:textId="77777777" w:rsidR="00B25F44" w:rsidRPr="00E076F1" w:rsidRDefault="00B25F44" w:rsidP="00E076F1">
      <w:pPr>
        <w:tabs>
          <w:tab w:val="clear" w:pos="567"/>
        </w:tabs>
        <w:autoSpaceDE w:val="0"/>
        <w:autoSpaceDN w:val="0"/>
        <w:adjustRightInd w:val="0"/>
        <w:spacing w:line="240" w:lineRule="auto"/>
        <w:rPr>
          <w:snapToGrid/>
          <w:lang w:val="it-IT" w:eastAsia="en-GB"/>
        </w:rPr>
      </w:pPr>
    </w:p>
    <w:p w14:paraId="0F307BF2" w14:textId="6D2F2BA7" w:rsidR="00B25F44" w:rsidRPr="00E076F1" w:rsidRDefault="00B25F44" w:rsidP="00E076F1">
      <w:pPr>
        <w:tabs>
          <w:tab w:val="clear" w:pos="567"/>
        </w:tabs>
        <w:autoSpaceDE w:val="0"/>
        <w:autoSpaceDN w:val="0"/>
        <w:adjustRightInd w:val="0"/>
        <w:spacing w:line="240" w:lineRule="auto"/>
        <w:rPr>
          <w:snapToGrid/>
          <w:szCs w:val="22"/>
          <w:lang w:val="it-IT" w:eastAsia="en-GB"/>
        </w:rPr>
      </w:pPr>
      <w:r w:rsidRPr="00E076F1">
        <w:rPr>
          <w:snapToGrid/>
          <w:szCs w:val="22"/>
          <w:lang w:val="it-IT" w:eastAsia="en-GB"/>
        </w:rPr>
        <w:t>Az elsődleges és másodlagos végpontok eredményeit a 2. ábra mutatja. A dapagliflozin-kezelés placebóhoz viszonyított kedvező hatása nem igazolódott a jelentős cardiovascularis nemkívánatos események tekintetében (p = 0,172). Ezért a megerősítő vizsgálati eljárás részeként a renalis összetett végpontot és az összmortalitást nem vizsgálták.</w:t>
      </w:r>
    </w:p>
    <w:p w14:paraId="39F5C3DF" w14:textId="435E06E8" w:rsidR="007C21A3" w:rsidRDefault="007C21A3" w:rsidP="00E076F1">
      <w:pPr>
        <w:tabs>
          <w:tab w:val="clear" w:pos="567"/>
        </w:tabs>
        <w:autoSpaceDE w:val="0"/>
        <w:autoSpaceDN w:val="0"/>
        <w:adjustRightInd w:val="0"/>
        <w:spacing w:line="240" w:lineRule="auto"/>
        <w:rPr>
          <w:snapToGrid/>
          <w:szCs w:val="22"/>
          <w:lang w:val="it-IT" w:eastAsia="en-GB"/>
        </w:rPr>
      </w:pPr>
      <w:r>
        <w:rPr>
          <w:snapToGrid/>
          <w:szCs w:val="22"/>
          <w:lang w:val="it-IT" w:eastAsia="en-GB"/>
        </w:rPr>
        <w:br w:type="page"/>
      </w:r>
    </w:p>
    <w:p w14:paraId="093BD351" w14:textId="77777777" w:rsidR="00B25F44" w:rsidRPr="00E076F1" w:rsidRDefault="00B25F44" w:rsidP="00E076F1">
      <w:pPr>
        <w:tabs>
          <w:tab w:val="clear" w:pos="567"/>
        </w:tabs>
        <w:autoSpaceDE w:val="0"/>
        <w:autoSpaceDN w:val="0"/>
        <w:adjustRightInd w:val="0"/>
        <w:spacing w:line="240" w:lineRule="auto"/>
        <w:rPr>
          <w:snapToGrid/>
          <w:szCs w:val="22"/>
          <w:lang w:val="it-IT" w:eastAsia="en-GB"/>
        </w:rPr>
      </w:pPr>
    </w:p>
    <w:p w14:paraId="02C75A81" w14:textId="48FE6BFF" w:rsidR="00B25F44" w:rsidRPr="00E076F1" w:rsidRDefault="00B25F44" w:rsidP="00E076F1">
      <w:pPr>
        <w:tabs>
          <w:tab w:val="clear" w:pos="567"/>
        </w:tabs>
        <w:autoSpaceDE w:val="0"/>
        <w:autoSpaceDN w:val="0"/>
        <w:adjustRightInd w:val="0"/>
        <w:spacing w:line="240" w:lineRule="auto"/>
        <w:rPr>
          <w:rFonts w:eastAsia="TimesNewRoman,Bold"/>
          <w:b/>
          <w:bCs/>
          <w:snapToGrid/>
          <w:szCs w:val="22"/>
          <w:lang w:val="it-IT" w:eastAsia="en-GB"/>
        </w:rPr>
      </w:pPr>
      <w:r w:rsidRPr="00E076F1">
        <w:rPr>
          <w:rFonts w:eastAsia="TimesNewRoman,Bold"/>
          <w:b/>
          <w:bCs/>
          <w:snapToGrid/>
          <w:szCs w:val="22"/>
          <w:lang w:val="it-IT" w:eastAsia="en-GB"/>
        </w:rPr>
        <w:t>2. ábra: Terápiás hatás az elsődleges összetett végpontok és összetevőik, valamint a másodlagos végpontok és összetevőik esetén</w:t>
      </w:r>
    </w:p>
    <w:p w14:paraId="0B59C6A9" w14:textId="6C26745D" w:rsidR="00B25F44" w:rsidRPr="00E076F1" w:rsidRDefault="00B25F44" w:rsidP="00E076F1">
      <w:pPr>
        <w:tabs>
          <w:tab w:val="clear" w:pos="567"/>
        </w:tabs>
        <w:autoSpaceDE w:val="0"/>
        <w:autoSpaceDN w:val="0"/>
        <w:adjustRightInd w:val="0"/>
        <w:spacing w:line="240" w:lineRule="auto"/>
        <w:rPr>
          <w:rFonts w:eastAsia="TimesNewRoman,Bold"/>
          <w:b/>
          <w:bCs/>
          <w:snapToGrid/>
          <w:szCs w:val="22"/>
          <w:lang w:val="it-IT" w:eastAsia="en-GB"/>
        </w:rPr>
      </w:pPr>
      <w:r w:rsidRPr="00E076F1">
        <w:rPr>
          <w:rFonts w:eastAsia="TimesNewRoman,Bold"/>
          <w:b/>
          <w:bCs/>
          <w:noProof/>
          <w:snapToGrid/>
          <w:szCs w:val="22"/>
          <w:lang w:val="hu-HU" w:eastAsia="hu-HU"/>
        </w:rPr>
        <w:drawing>
          <wp:inline distT="0" distB="0" distL="0" distR="0" wp14:anchorId="209E6008" wp14:editId="7A71B024">
            <wp:extent cx="5760085" cy="332359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085" cy="3323590"/>
                    </a:xfrm>
                    <a:prstGeom prst="rect">
                      <a:avLst/>
                    </a:prstGeom>
                    <a:noFill/>
                    <a:ln>
                      <a:noFill/>
                    </a:ln>
                  </pic:spPr>
                </pic:pic>
              </a:graphicData>
            </a:graphic>
          </wp:inline>
        </w:drawing>
      </w:r>
    </w:p>
    <w:p w14:paraId="69F00EAF" w14:textId="3CD2BB83" w:rsidR="00B25F44" w:rsidRPr="00E076F1" w:rsidRDefault="00B25F44" w:rsidP="00E076F1">
      <w:pPr>
        <w:tabs>
          <w:tab w:val="clear" w:pos="567"/>
        </w:tabs>
        <w:autoSpaceDE w:val="0"/>
        <w:autoSpaceDN w:val="0"/>
        <w:adjustRightInd w:val="0"/>
        <w:spacing w:line="240" w:lineRule="auto"/>
        <w:rPr>
          <w:snapToGrid/>
          <w:lang w:val="it-IT" w:eastAsia="en-GB"/>
        </w:rPr>
      </w:pPr>
      <w:r w:rsidRPr="00E076F1">
        <w:rPr>
          <w:snapToGrid/>
          <w:lang w:val="it-IT" w:eastAsia="en-GB"/>
        </w:rPr>
        <w:t>A renalis összetett végpont a meghatározása szerint: az eGFR tartós, igazolt, ≥ 40%-os csökkenése,</w:t>
      </w:r>
      <w:r w:rsidR="00037597" w:rsidRPr="00E076F1">
        <w:rPr>
          <w:snapToGrid/>
          <w:lang w:val="it-IT" w:eastAsia="en-GB"/>
        </w:rPr>
        <w:t xml:space="preserve"> </w:t>
      </w:r>
      <w:r w:rsidRPr="00E076F1">
        <w:rPr>
          <w:snapToGrid/>
          <w:lang w:val="it-IT" w:eastAsia="en-GB"/>
        </w:rPr>
        <w:t>eGFR</w:t>
      </w:r>
      <w:r w:rsidR="00037597" w:rsidRPr="00E076F1">
        <w:rPr>
          <w:snapToGrid/>
          <w:lang w:val="it-IT" w:eastAsia="en-GB"/>
        </w:rPr>
        <w:t> </w:t>
      </w:r>
      <w:r w:rsidRPr="00E076F1">
        <w:rPr>
          <w:snapToGrid/>
          <w:lang w:val="it-IT" w:eastAsia="en-GB"/>
        </w:rPr>
        <w:t>&lt;</w:t>
      </w:r>
      <w:r w:rsidR="00037597" w:rsidRPr="00E076F1">
        <w:rPr>
          <w:snapToGrid/>
          <w:lang w:val="it-IT" w:eastAsia="en-GB"/>
        </w:rPr>
        <w:t> </w:t>
      </w:r>
      <w:r w:rsidRPr="00E076F1">
        <w:rPr>
          <w:snapToGrid/>
          <w:lang w:val="it-IT" w:eastAsia="en-GB"/>
        </w:rPr>
        <w:t>60</w:t>
      </w:r>
      <w:r w:rsidR="00037597" w:rsidRPr="00E076F1">
        <w:rPr>
          <w:snapToGrid/>
          <w:lang w:val="it-IT" w:eastAsia="en-GB"/>
        </w:rPr>
        <w:t> </w:t>
      </w:r>
      <w:r w:rsidRPr="00E076F1">
        <w:rPr>
          <w:snapToGrid/>
          <w:lang w:val="it-IT" w:eastAsia="en-GB"/>
        </w:rPr>
        <w:t>ml/perc/1,73 m</w:t>
      </w:r>
      <w:r w:rsidRPr="00E076F1">
        <w:rPr>
          <w:snapToGrid/>
          <w:vertAlign w:val="superscript"/>
          <w:lang w:val="it-IT" w:eastAsia="en-GB"/>
        </w:rPr>
        <w:t>2</w:t>
      </w:r>
      <w:r w:rsidRPr="00E076F1">
        <w:rPr>
          <w:snapToGrid/>
          <w:lang w:val="it-IT" w:eastAsia="en-GB"/>
        </w:rPr>
        <w:t>-re, és/vagy végstádiumú vesebetegség (dialysis ≥ 90 nap vagy vesetranszplantáció, tartós, igazolt eGFR &lt; 15 ml/perc/1,73 m</w:t>
      </w:r>
      <w:r w:rsidRPr="00E076F1">
        <w:rPr>
          <w:snapToGrid/>
          <w:vertAlign w:val="superscript"/>
          <w:lang w:val="it-IT" w:eastAsia="en-GB"/>
        </w:rPr>
        <w:t>2</w:t>
      </w:r>
      <w:r w:rsidRPr="00E076F1">
        <w:rPr>
          <w:snapToGrid/>
          <w:lang w:val="it-IT" w:eastAsia="en-GB"/>
        </w:rPr>
        <w:t>) és/vagy renalis vagy cardiovascularis eredetű halálozás.</w:t>
      </w:r>
    </w:p>
    <w:p w14:paraId="3C51723F" w14:textId="520149FE" w:rsidR="00B25F44" w:rsidRPr="00E076F1" w:rsidRDefault="00B25F44" w:rsidP="00E076F1">
      <w:pPr>
        <w:tabs>
          <w:tab w:val="clear" w:pos="567"/>
        </w:tabs>
        <w:autoSpaceDE w:val="0"/>
        <w:autoSpaceDN w:val="0"/>
        <w:adjustRightInd w:val="0"/>
        <w:spacing w:line="240" w:lineRule="auto"/>
        <w:rPr>
          <w:snapToGrid/>
          <w:lang w:val="it-IT" w:eastAsia="en-GB"/>
        </w:rPr>
      </w:pPr>
      <w:r w:rsidRPr="00E076F1">
        <w:rPr>
          <w:snapToGrid/>
          <w:lang w:val="it-IT" w:eastAsia="en-GB"/>
        </w:rPr>
        <w:t>A p-értékek kétoldalas próbával lettek meghatározva. A másodlagos végpontok és az egyes összetevők p-értékei nominálisak. Az első eseményig eltelt időt a Cox-féle arányos hazárd modellel elemezték. Az egyes összetevők esetén az első események száma minden egyes összetevő esetén az első esemény aktuális száma, és nem adódik hozzá az összetett végpontban lévő események számához.</w:t>
      </w:r>
    </w:p>
    <w:p w14:paraId="0D22C67A" w14:textId="1B98BD7F" w:rsidR="00B25F44" w:rsidRPr="00E076F1" w:rsidRDefault="00B25F44" w:rsidP="00E076F1">
      <w:pPr>
        <w:tabs>
          <w:tab w:val="clear" w:pos="567"/>
        </w:tabs>
        <w:autoSpaceDE w:val="0"/>
        <w:autoSpaceDN w:val="0"/>
        <w:adjustRightInd w:val="0"/>
        <w:spacing w:line="240" w:lineRule="auto"/>
        <w:rPr>
          <w:snapToGrid/>
          <w:lang w:val="it-IT" w:eastAsia="en-GB"/>
        </w:rPr>
      </w:pPr>
      <w:r w:rsidRPr="00E076F1">
        <w:rPr>
          <w:snapToGrid/>
          <w:lang w:val="it-IT" w:eastAsia="en-GB"/>
        </w:rPr>
        <w:t>CI = konfidencia intervallum.</w:t>
      </w:r>
    </w:p>
    <w:p w14:paraId="58393CF2" w14:textId="77777777" w:rsidR="00B25F44" w:rsidRPr="00E076F1" w:rsidRDefault="00B25F44" w:rsidP="00E076F1">
      <w:pPr>
        <w:tabs>
          <w:tab w:val="clear" w:pos="567"/>
        </w:tabs>
        <w:autoSpaceDE w:val="0"/>
        <w:autoSpaceDN w:val="0"/>
        <w:adjustRightInd w:val="0"/>
        <w:spacing w:line="240" w:lineRule="auto"/>
        <w:rPr>
          <w:snapToGrid/>
          <w:lang w:val="it-IT" w:eastAsia="en-GB"/>
        </w:rPr>
      </w:pPr>
    </w:p>
    <w:p w14:paraId="56D1DD13" w14:textId="77777777" w:rsidR="00B25F44" w:rsidRPr="00E076F1" w:rsidRDefault="00B25F44" w:rsidP="00E076F1">
      <w:pPr>
        <w:tabs>
          <w:tab w:val="clear" w:pos="567"/>
        </w:tabs>
        <w:autoSpaceDE w:val="0"/>
        <w:autoSpaceDN w:val="0"/>
        <w:adjustRightInd w:val="0"/>
        <w:spacing w:line="240" w:lineRule="auto"/>
        <w:rPr>
          <w:rFonts w:eastAsia="TimesNewRoman,Italic"/>
          <w:i/>
          <w:iCs/>
          <w:snapToGrid/>
          <w:szCs w:val="22"/>
          <w:lang w:val="it-IT" w:eastAsia="en-GB"/>
        </w:rPr>
      </w:pPr>
      <w:r w:rsidRPr="00E076F1">
        <w:rPr>
          <w:rFonts w:eastAsia="TimesNewRoman,Italic"/>
          <w:i/>
          <w:iCs/>
          <w:snapToGrid/>
          <w:szCs w:val="22"/>
          <w:lang w:val="it-IT" w:eastAsia="en-GB"/>
        </w:rPr>
        <w:t>Nephropathia</w:t>
      </w:r>
    </w:p>
    <w:p w14:paraId="456B4CAC" w14:textId="243EE562"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A dapagliflozin csökkentette az igazolt, tartós eGFR-csökkenésből, végstádiumú vesebetegségből, renalis vagy cardiovascularis eredetű halálozásból álló kompozit eseményeinek előfordulási gyakoriságát. A csoportok közötti különbséget a renalis összetevők eseményeinek csökkenése adta: tartós eGFR-csökkenés, végstádiumú vesebetegség és renalis eredetű halálozás (2. ábra).</w:t>
      </w:r>
    </w:p>
    <w:p w14:paraId="1C91687D" w14:textId="77777777"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p>
    <w:p w14:paraId="1EF73C71" w14:textId="5B530FC9"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A nephropathiáig eltelt idő relatív hazárdja (tartós eGFR-csökkenés, végstádiumú vesebetegség és renalis eredetű halálozás) 0,53 volt (95%-os CI 0,43, 0,66) a dapagliflozin-kezelésnél, a placebóhoz képest.</w:t>
      </w:r>
    </w:p>
    <w:p w14:paraId="03670B88" w14:textId="77777777"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p>
    <w:p w14:paraId="14FDAF93" w14:textId="11624E6B"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Továbbá, a dapagliflozin-kezelés csökkentette a tartós albuminuria újabb megjelenését (relatív hazárd 0,79 [95%-os CI 0,72, 0,87]), és a macroalbuminuria nagyobb regressziójához vezetett (relatív hazárd 1,82 [95%-os CI 1,51, 2,20]), a placebóhoz viszonyítva.</w:t>
      </w:r>
    </w:p>
    <w:p w14:paraId="775EA4AA" w14:textId="77777777" w:rsidR="00B25F44" w:rsidRPr="00BB10D9" w:rsidRDefault="00B25F44" w:rsidP="00E076F1">
      <w:pPr>
        <w:tabs>
          <w:tab w:val="clear" w:pos="567"/>
        </w:tabs>
        <w:autoSpaceDE w:val="0"/>
        <w:autoSpaceDN w:val="0"/>
        <w:adjustRightInd w:val="0"/>
        <w:spacing w:line="240" w:lineRule="auto"/>
        <w:rPr>
          <w:rFonts w:eastAsia="TimesNewRoman,Bold"/>
          <w:snapToGrid/>
          <w:lang w:val="it-IT" w:eastAsia="en-GB"/>
        </w:rPr>
      </w:pPr>
    </w:p>
    <w:p w14:paraId="4B27C949" w14:textId="77777777" w:rsidR="00B25F44" w:rsidRPr="00E076F1" w:rsidRDefault="00B25F44" w:rsidP="00E076F1">
      <w:pPr>
        <w:tabs>
          <w:tab w:val="clear" w:pos="567"/>
        </w:tabs>
        <w:autoSpaceDE w:val="0"/>
        <w:autoSpaceDN w:val="0"/>
        <w:adjustRightInd w:val="0"/>
        <w:spacing w:line="240" w:lineRule="auto"/>
        <w:rPr>
          <w:rFonts w:eastAsia="TimesNewRoman,Italic"/>
          <w:i/>
          <w:iCs/>
          <w:snapToGrid/>
          <w:szCs w:val="22"/>
          <w:lang w:val="it-IT" w:eastAsia="en-GB"/>
        </w:rPr>
      </w:pPr>
      <w:r w:rsidRPr="00E076F1">
        <w:rPr>
          <w:rFonts w:eastAsia="TimesNewRoman,Italic"/>
          <w:i/>
          <w:iCs/>
          <w:snapToGrid/>
          <w:szCs w:val="22"/>
          <w:lang w:val="it-IT" w:eastAsia="en-GB"/>
        </w:rPr>
        <w:t>Metformin</w:t>
      </w:r>
    </w:p>
    <w:p w14:paraId="43B06E79" w14:textId="6C1D48E8"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Egy prospektív randomizált (UKPDS) vizsgálat igazolta az intenzív vércukorszint</w:t>
      </w:r>
      <w:r w:rsidR="004631F1">
        <w:rPr>
          <w:rFonts w:eastAsia="TimesNewRoman,Italic"/>
          <w:snapToGrid/>
          <w:szCs w:val="22"/>
          <w:lang w:val="it-IT" w:eastAsia="en-GB"/>
        </w:rPr>
        <w:t>-</w:t>
      </w:r>
      <w:r w:rsidRPr="00E076F1">
        <w:rPr>
          <w:rFonts w:eastAsia="TimesNewRoman,Italic"/>
          <w:snapToGrid/>
          <w:szCs w:val="22"/>
          <w:lang w:val="it-IT" w:eastAsia="en-GB"/>
        </w:rPr>
        <w:t>beállítás hosszú távú kedvező hatásait 2-es típusú diabetesben. A csak diétás kezelése után metforminnal kezelt túlsúlyos betegek eredményeinek analízise azt mutatta, hogy:</w:t>
      </w:r>
    </w:p>
    <w:p w14:paraId="493E5E51" w14:textId="76A99465" w:rsidR="00B25F44" w:rsidRPr="00E076F1" w:rsidRDefault="00B25F44" w:rsidP="00E076F1">
      <w:pPr>
        <w:pStyle w:val="Listaszerbekezds"/>
        <w:numPr>
          <w:ilvl w:val="0"/>
          <w:numId w:val="44"/>
        </w:num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szignifikánsan csökken valamennyi, diabetesszel összefüggő szövődmény abszolút kockázata a metformin-csoportban (29,8 esemény/1000 betegév) a csak diétához képest (43,3 esemény/1000 betegév), p = 0,0023, valamint a kombinált szulfonilurea és inzulin monoterápiás csoportokhoz képest (40,1 esemény/1000 betegév), p = 0,0034.</w:t>
      </w:r>
    </w:p>
    <w:p w14:paraId="72BA6CBA" w14:textId="0FE383D3" w:rsidR="00B25F44" w:rsidRPr="00E076F1" w:rsidRDefault="00B25F44" w:rsidP="00E076F1">
      <w:pPr>
        <w:pStyle w:val="Listaszerbekezds"/>
        <w:numPr>
          <w:ilvl w:val="0"/>
          <w:numId w:val="44"/>
        </w:num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szignifikánsan csökken valamennyi, diabetesszel összefüggő mortalitás abszolút kockázata: a metformin esetén 7,5 esemény/1000 betegév, a csak diéta esetén 12,7 esemény/1000 betegév, p = 0,017.</w:t>
      </w:r>
    </w:p>
    <w:p w14:paraId="53B72E31" w14:textId="6AADF147" w:rsidR="00B25F44" w:rsidRPr="00E076F1" w:rsidRDefault="00B25F44" w:rsidP="00E076F1">
      <w:pPr>
        <w:pStyle w:val="Listaszerbekezds"/>
        <w:numPr>
          <w:ilvl w:val="0"/>
          <w:numId w:val="44"/>
        </w:num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szignifikánsan csökken az összmortalitás abszolút kockázata, ami a metformin esetén 13,5 esemény/1000 betegév, a csak diétához képest 20,6 esemény/1000 betegév (p = 0,011), valamint a kombinált szulfonilurea és inzulin monoterápiás csoportokhoz képest 18,9 esemény/1000 betegév (p = 0,021).</w:t>
      </w:r>
    </w:p>
    <w:p w14:paraId="54AD05B4" w14:textId="7DEA8A43" w:rsidR="00B25F44" w:rsidRPr="00E076F1" w:rsidRDefault="00B25F44" w:rsidP="00E076F1">
      <w:pPr>
        <w:pStyle w:val="Listaszerbekezds"/>
        <w:numPr>
          <w:ilvl w:val="0"/>
          <w:numId w:val="44"/>
        </w:num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szignifikánsan csökken a myocardialis infarctus abszolút kockázata: a metformin esetén 11 esemény/1000 betegév, a csak diéta esetén 18 esemény/1000 betegév (p = 0,01).</w:t>
      </w:r>
    </w:p>
    <w:p w14:paraId="544F89C7" w14:textId="77777777" w:rsidR="00B25F44" w:rsidRPr="00E076F1" w:rsidRDefault="00B25F44" w:rsidP="00E076F1">
      <w:pPr>
        <w:tabs>
          <w:tab w:val="clear" w:pos="567"/>
        </w:tabs>
        <w:autoSpaceDE w:val="0"/>
        <w:autoSpaceDN w:val="0"/>
        <w:adjustRightInd w:val="0"/>
        <w:spacing w:line="240" w:lineRule="auto"/>
        <w:rPr>
          <w:rFonts w:eastAsia="TimesNewRoman,Bold"/>
          <w:snapToGrid/>
          <w:lang w:val="it-IT" w:eastAsia="en-GB"/>
        </w:rPr>
      </w:pPr>
    </w:p>
    <w:p w14:paraId="640BDF64" w14:textId="77777777" w:rsidR="00B25F44" w:rsidRPr="00E076F1" w:rsidRDefault="00B25F44" w:rsidP="00E076F1">
      <w:pPr>
        <w:tabs>
          <w:tab w:val="clear" w:pos="567"/>
        </w:tabs>
        <w:autoSpaceDE w:val="0"/>
        <w:autoSpaceDN w:val="0"/>
        <w:adjustRightInd w:val="0"/>
        <w:spacing w:line="240" w:lineRule="auto"/>
        <w:rPr>
          <w:snapToGrid/>
          <w:szCs w:val="22"/>
          <w:u w:val="single"/>
          <w:lang w:val="it-IT" w:eastAsia="en-GB"/>
        </w:rPr>
      </w:pPr>
      <w:r w:rsidRPr="00E076F1">
        <w:rPr>
          <w:snapToGrid/>
          <w:szCs w:val="22"/>
          <w:u w:val="single"/>
          <w:lang w:val="it-IT" w:eastAsia="en-GB"/>
        </w:rPr>
        <w:t>Gyermekek és serdülők</w:t>
      </w:r>
    </w:p>
    <w:p w14:paraId="73A8D4E1" w14:textId="69764447" w:rsidR="00B25F44" w:rsidRPr="00E076F1" w:rsidRDefault="00B25F44" w:rsidP="00E076F1">
      <w:pPr>
        <w:tabs>
          <w:tab w:val="clear" w:pos="567"/>
        </w:tabs>
        <w:autoSpaceDE w:val="0"/>
        <w:autoSpaceDN w:val="0"/>
        <w:adjustRightInd w:val="0"/>
        <w:spacing w:line="240" w:lineRule="auto"/>
        <w:rPr>
          <w:snapToGrid/>
          <w:szCs w:val="22"/>
          <w:lang w:val="it-IT" w:eastAsia="en-GB"/>
        </w:rPr>
      </w:pPr>
      <w:r w:rsidRPr="00E076F1">
        <w:rPr>
          <w:snapToGrid/>
          <w:szCs w:val="22"/>
          <w:lang w:val="it-IT" w:eastAsia="en-GB"/>
        </w:rPr>
        <w:t xml:space="preserve">Az Európai Gyógyszerügynökség a gyermekek esetén minden korosztálynál eltekint a </w:t>
      </w:r>
      <w:r w:rsidR="006E6D48">
        <w:rPr>
          <w:snapToGrid/>
          <w:szCs w:val="22"/>
          <w:lang w:val="it-IT" w:eastAsia="en-GB"/>
        </w:rPr>
        <w:t>d</w:t>
      </w:r>
      <w:r w:rsidR="00AE4F87" w:rsidRPr="00E076F1">
        <w:rPr>
          <w:snapToGrid/>
          <w:szCs w:val="22"/>
          <w:lang w:val="it-IT" w:eastAsia="en-GB"/>
        </w:rPr>
        <w:t>apagliflozin/</w:t>
      </w:r>
      <w:r w:rsidR="006E6D48">
        <w:rPr>
          <w:snapToGrid/>
          <w:szCs w:val="22"/>
          <w:lang w:val="it-IT" w:eastAsia="en-GB"/>
        </w:rPr>
        <w:t>m</w:t>
      </w:r>
      <w:r w:rsidR="00AE4F87" w:rsidRPr="00E076F1">
        <w:rPr>
          <w:snapToGrid/>
          <w:szCs w:val="22"/>
          <w:lang w:val="it-IT" w:eastAsia="en-GB"/>
        </w:rPr>
        <w:t>etformin</w:t>
      </w:r>
      <w:r w:rsidRPr="00E076F1">
        <w:rPr>
          <w:snapToGrid/>
          <w:szCs w:val="22"/>
          <w:lang w:val="it-IT" w:eastAsia="en-GB"/>
        </w:rPr>
        <w:t xml:space="preserve"> vizsgálati eredményeinek benyújtási kötelezettségétől a 2-es típusú diabetes kezelésében (lásd 4.2 pont, gyermekgyógyászati információk).</w:t>
      </w:r>
    </w:p>
    <w:p w14:paraId="3B390015" w14:textId="77777777" w:rsidR="00B25F44" w:rsidRPr="00E076F1" w:rsidRDefault="00B25F44" w:rsidP="00E076F1">
      <w:pPr>
        <w:tabs>
          <w:tab w:val="clear" w:pos="567"/>
        </w:tabs>
        <w:autoSpaceDE w:val="0"/>
        <w:autoSpaceDN w:val="0"/>
        <w:adjustRightInd w:val="0"/>
        <w:spacing w:line="240" w:lineRule="auto"/>
        <w:rPr>
          <w:snapToGrid/>
          <w:szCs w:val="22"/>
          <w:lang w:val="it-IT" w:eastAsia="en-GB"/>
        </w:rPr>
      </w:pPr>
    </w:p>
    <w:p w14:paraId="1C30A6C2" w14:textId="77777777" w:rsidR="00F45C51" w:rsidRPr="00E076F1" w:rsidRDefault="00D05999" w:rsidP="00E076F1">
      <w:pPr>
        <w:spacing w:line="240" w:lineRule="auto"/>
        <w:ind w:left="567" w:hanging="567"/>
        <w:outlineLvl w:val="0"/>
        <w:rPr>
          <w:b/>
          <w:szCs w:val="22"/>
          <w:lang w:val="hu-HU"/>
        </w:rPr>
      </w:pPr>
      <w:r w:rsidRPr="00E076F1">
        <w:rPr>
          <w:b/>
          <w:szCs w:val="22"/>
          <w:lang w:val="hu-HU"/>
        </w:rPr>
        <w:t>5.2</w:t>
      </w:r>
      <w:r w:rsidRPr="00E076F1">
        <w:rPr>
          <w:b/>
          <w:szCs w:val="22"/>
          <w:lang w:val="hu-HU"/>
        </w:rPr>
        <w:tab/>
        <w:t>Farmakokinetikai tulajdonságok</w:t>
      </w:r>
    </w:p>
    <w:p w14:paraId="0D14D8EA" w14:textId="77777777" w:rsidR="00145B48" w:rsidRPr="00E076F1" w:rsidRDefault="00145B48" w:rsidP="00E076F1">
      <w:pPr>
        <w:spacing w:line="240" w:lineRule="auto"/>
        <w:ind w:left="567" w:hanging="567"/>
        <w:outlineLvl w:val="0"/>
        <w:rPr>
          <w:bCs/>
          <w:szCs w:val="22"/>
          <w:lang w:val="hu-HU"/>
        </w:rPr>
      </w:pPr>
    </w:p>
    <w:p w14:paraId="5AC054EB" w14:textId="67E85C09"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AE4F87" w:rsidRPr="00E076F1">
        <w:rPr>
          <w:snapToGrid/>
          <w:szCs w:val="22"/>
          <w:lang w:val="hu-HU" w:eastAsia="en-GB"/>
        </w:rPr>
        <w:t>Dapagliflozin/Metformin Polpharma</w:t>
      </w:r>
      <w:r w:rsidRPr="00E076F1">
        <w:rPr>
          <w:snapToGrid/>
          <w:szCs w:val="22"/>
          <w:lang w:val="hu-HU" w:eastAsia="en-GB"/>
        </w:rPr>
        <w:t xml:space="preserve"> kombinált tablettát bioekvivalensnek tartják a dapagliflozin és a metformin-hidroklorid megfelelő dózisainak önálló tablettákban történő egyidejű adásával.</w:t>
      </w:r>
    </w:p>
    <w:p w14:paraId="2114C221" w14:textId="77777777" w:rsidR="00037597" w:rsidRPr="00E076F1" w:rsidRDefault="00037597" w:rsidP="00E076F1">
      <w:pPr>
        <w:tabs>
          <w:tab w:val="clear" w:pos="567"/>
        </w:tabs>
        <w:autoSpaceDE w:val="0"/>
        <w:autoSpaceDN w:val="0"/>
        <w:adjustRightInd w:val="0"/>
        <w:spacing w:line="240" w:lineRule="auto"/>
        <w:rPr>
          <w:snapToGrid/>
          <w:szCs w:val="22"/>
          <w:lang w:val="hu-HU" w:eastAsia="en-GB"/>
        </w:rPr>
      </w:pPr>
    </w:p>
    <w:p w14:paraId="5D2A6B4D" w14:textId="4DC02CC3"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naponta kétszer 5</w:t>
      </w:r>
      <w:r w:rsidR="00122450" w:rsidRPr="00E076F1">
        <w:rPr>
          <w:snapToGrid/>
          <w:szCs w:val="22"/>
          <w:lang w:val="hu-HU" w:eastAsia="en-GB"/>
        </w:rPr>
        <w:t> mg</w:t>
      </w:r>
      <w:r w:rsidRPr="00E076F1">
        <w:rPr>
          <w:snapToGrid/>
          <w:szCs w:val="22"/>
          <w:lang w:val="hu-HU" w:eastAsia="en-GB"/>
        </w:rPr>
        <w:t xml:space="preserve"> dapagliflozin és a naponta egyszer 10</w:t>
      </w:r>
      <w:r w:rsidR="00122450" w:rsidRPr="00E076F1">
        <w:rPr>
          <w:snapToGrid/>
          <w:szCs w:val="22"/>
          <w:lang w:val="hu-HU" w:eastAsia="en-GB"/>
        </w:rPr>
        <w:t> mg</w:t>
      </w:r>
      <w:r w:rsidRPr="00E076F1">
        <w:rPr>
          <w:snapToGrid/>
          <w:szCs w:val="22"/>
          <w:lang w:val="hu-HU" w:eastAsia="en-GB"/>
        </w:rPr>
        <w:t xml:space="preserve"> dapagliflozin farmakokinetikai tulajdonságait egészséges alanyoknál hasonlították össze. A naponta kétszer 5</w:t>
      </w:r>
      <w:r w:rsidR="00122450" w:rsidRPr="00E076F1">
        <w:rPr>
          <w:snapToGrid/>
          <w:szCs w:val="22"/>
          <w:lang w:val="hu-HU" w:eastAsia="en-GB"/>
        </w:rPr>
        <w:t> mg</w:t>
      </w:r>
      <w:r w:rsidRPr="00E076F1">
        <w:rPr>
          <w:snapToGrid/>
          <w:szCs w:val="22"/>
          <w:lang w:val="hu-HU" w:eastAsia="en-GB"/>
        </w:rPr>
        <w:t xml:space="preserve"> dapagliflozin alkalmazása hasonló teljes expozíciót (AUC</w:t>
      </w:r>
      <w:r w:rsidRPr="00E076F1">
        <w:rPr>
          <w:snapToGrid/>
          <w:szCs w:val="22"/>
          <w:vertAlign w:val="subscript"/>
          <w:lang w:val="hu-HU" w:eastAsia="en-GB"/>
        </w:rPr>
        <w:t>ss</w:t>
      </w:r>
      <w:r w:rsidRPr="00E076F1">
        <w:rPr>
          <w:snapToGrid/>
          <w:szCs w:val="22"/>
          <w:lang w:val="hu-HU" w:eastAsia="en-GB"/>
        </w:rPr>
        <w:t>) eredményezett egy 24 órás időszak alatt, mint a naponta egyszer adott 10</w:t>
      </w:r>
      <w:r w:rsidR="00122450" w:rsidRPr="00E076F1">
        <w:rPr>
          <w:snapToGrid/>
          <w:szCs w:val="22"/>
          <w:lang w:val="hu-HU" w:eastAsia="en-GB"/>
        </w:rPr>
        <w:t> mg</w:t>
      </w:r>
      <w:r w:rsidRPr="00E076F1">
        <w:rPr>
          <w:snapToGrid/>
          <w:szCs w:val="22"/>
          <w:lang w:val="hu-HU" w:eastAsia="en-GB"/>
        </w:rPr>
        <w:t xml:space="preserve"> dapagliflozin. Amint az várható volt, a naponta kétszer adott 5 dapagliflozin a napi egyszeri 10</w:t>
      </w:r>
      <w:r w:rsidR="00122450" w:rsidRPr="00E076F1">
        <w:rPr>
          <w:snapToGrid/>
          <w:szCs w:val="22"/>
          <w:lang w:val="hu-HU" w:eastAsia="en-GB"/>
        </w:rPr>
        <w:t> mg</w:t>
      </w:r>
      <w:r w:rsidRPr="00E076F1">
        <w:rPr>
          <w:snapToGrid/>
          <w:szCs w:val="22"/>
          <w:lang w:val="hu-HU" w:eastAsia="en-GB"/>
        </w:rPr>
        <w:t xml:space="preserve"> dapagliflozinhoz képest alacsonyabb dapagliflozin plazma csúcskoncentrációt (C</w:t>
      </w:r>
      <w:r w:rsidRPr="00E076F1">
        <w:rPr>
          <w:snapToGrid/>
          <w:szCs w:val="22"/>
          <w:vertAlign w:val="subscript"/>
          <w:lang w:val="hu-HU" w:eastAsia="en-GB"/>
        </w:rPr>
        <w:t>max</w:t>
      </w:r>
      <w:r w:rsidRPr="00E076F1">
        <w:rPr>
          <w:snapToGrid/>
          <w:szCs w:val="22"/>
          <w:lang w:val="hu-HU" w:eastAsia="en-GB"/>
        </w:rPr>
        <w:t>) és magasabb dapagliflozin plazma mélyszintet (C</w:t>
      </w:r>
      <w:r w:rsidRPr="00E076F1">
        <w:rPr>
          <w:snapToGrid/>
          <w:szCs w:val="22"/>
          <w:vertAlign w:val="subscript"/>
          <w:lang w:val="hu-HU" w:eastAsia="en-GB"/>
        </w:rPr>
        <w:t>min</w:t>
      </w:r>
      <w:r w:rsidRPr="00E076F1">
        <w:rPr>
          <w:snapToGrid/>
          <w:szCs w:val="22"/>
          <w:lang w:val="hu-HU" w:eastAsia="en-GB"/>
        </w:rPr>
        <w:t>) eredményezett.</w:t>
      </w:r>
    </w:p>
    <w:p w14:paraId="03EAB937"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p>
    <w:p w14:paraId="3F634DD4" w14:textId="7A46A9BD" w:rsidR="00B25F44" w:rsidRPr="00E076F1" w:rsidRDefault="00B25F44" w:rsidP="00CE5342">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Kölcsönhatás az ételekkel</w:t>
      </w:r>
    </w:p>
    <w:p w14:paraId="6E75691F" w14:textId="6082090F" w:rsidR="00F45C51" w:rsidRPr="00E076F1" w:rsidRDefault="00B25F44" w:rsidP="00CE5342">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egészséges önkénteseknek nagy zsírtartalmú étel után történő adása, az éhomra történt adással összehasonlítva, ugyanolyan mértékű expozíciót eredményezett, mind a dapagliflozin, mind a metformin esetén. Az étkezés a csúcskoncentrációk 1</w:t>
      </w:r>
      <w:r w:rsidR="004631F1">
        <w:rPr>
          <w:snapToGrid/>
          <w:szCs w:val="22"/>
          <w:lang w:val="hu-HU" w:eastAsia="en-GB"/>
        </w:rPr>
        <w:t>-</w:t>
      </w:r>
      <w:r w:rsidRPr="00E076F1">
        <w:rPr>
          <w:snapToGrid/>
          <w:szCs w:val="22"/>
          <w:lang w:val="hu-HU" w:eastAsia="en-GB"/>
        </w:rPr>
        <w:t>2 órával későbbi kialakulását és a dapagliflozin maximális plazmakoncentrációjának 29%-os, a metformin maximális plazmakoncentrációjának 17%-os csökkenését eredményezte. Ezeket a változásokat nem tartják klinikailag jelentősnek.</w:t>
      </w:r>
    </w:p>
    <w:p w14:paraId="4B87B686"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p>
    <w:p w14:paraId="142FCA92" w14:textId="77777777" w:rsidR="00B25F44" w:rsidRPr="00E076F1" w:rsidRDefault="00B25F44"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Gyermekek és serdülők</w:t>
      </w:r>
    </w:p>
    <w:p w14:paraId="087AFF23"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Gyermekeknél a farmakokinetikát nem vizsgálták.</w:t>
      </w:r>
    </w:p>
    <w:p w14:paraId="2580B85A"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p>
    <w:p w14:paraId="241787D1" w14:textId="63A75550"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alábbi megállapítások a gyógyszer egyes hatóanyagaival kapcsolatban rendelkezésre álló farmakokinetikai tulajdonságokra vonatkoznak.</w:t>
      </w:r>
    </w:p>
    <w:p w14:paraId="724F41D4"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p>
    <w:p w14:paraId="383E4633" w14:textId="77777777" w:rsidR="00B25F44" w:rsidRPr="00E076F1" w:rsidRDefault="00B25F44"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1DDB510A"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4817F6B5" w14:textId="588267F7" w:rsidR="00B25F44" w:rsidRPr="00E076F1" w:rsidRDefault="00B25F44"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Felszívódás</w:t>
      </w:r>
    </w:p>
    <w:p w14:paraId="3A1AE131" w14:textId="045E2C10"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Szájon át történő alkalmazást követően a dapagliflozin gyorsan és jól felszívódott. A dapagliflozin maximális plazmakoncentrációi (C</w:t>
      </w:r>
      <w:r w:rsidRPr="00E076F1">
        <w:rPr>
          <w:snapToGrid/>
          <w:szCs w:val="22"/>
          <w:vertAlign w:val="subscript"/>
          <w:lang w:val="hu-HU" w:eastAsia="en-GB"/>
        </w:rPr>
        <w:t>max</w:t>
      </w:r>
      <w:r w:rsidRPr="00E076F1">
        <w:rPr>
          <w:snapToGrid/>
          <w:szCs w:val="22"/>
          <w:lang w:val="hu-HU" w:eastAsia="en-GB"/>
        </w:rPr>
        <w:t>) az éhomi alkalmazást követően rendszerint 2 órán belül kialakultak. A dapagliflozin napi egyszeri 10</w:t>
      </w:r>
      <w:r w:rsidR="00122450" w:rsidRPr="00E076F1">
        <w:rPr>
          <w:snapToGrid/>
          <w:szCs w:val="22"/>
          <w:lang w:val="hu-HU" w:eastAsia="en-GB"/>
        </w:rPr>
        <w:t> mg</w:t>
      </w:r>
      <w:r w:rsidRPr="00E076F1">
        <w:rPr>
          <w:snapToGrid/>
          <w:szCs w:val="22"/>
          <w:lang w:val="hu-HU" w:eastAsia="en-GB"/>
        </w:rPr>
        <w:t xml:space="preserve">-os dózisai után a dapagliflozin </w:t>
      </w:r>
      <w:r w:rsidR="00C445C2">
        <w:rPr>
          <w:snapToGrid/>
          <w:szCs w:val="22"/>
          <w:lang w:val="hu-HU" w:eastAsia="en-GB"/>
        </w:rPr>
        <w:t>mértani</w:t>
      </w:r>
      <w:r w:rsidRPr="00E076F1">
        <w:rPr>
          <w:snapToGrid/>
          <w:szCs w:val="22"/>
          <w:lang w:val="hu-HU" w:eastAsia="en-GB"/>
        </w:rPr>
        <w:t xml:space="preserve"> átlag </w:t>
      </w:r>
      <w:r w:rsidR="00C445C2">
        <w:rPr>
          <w:snapToGrid/>
          <w:szCs w:val="22"/>
          <w:lang w:val="hu-HU" w:eastAsia="en-GB"/>
        </w:rPr>
        <w:t xml:space="preserve">dinamikus egyensúlyi </w:t>
      </w:r>
      <w:r w:rsidRPr="00E076F1">
        <w:rPr>
          <w:snapToGrid/>
          <w:szCs w:val="22"/>
          <w:lang w:val="hu-HU" w:eastAsia="en-GB"/>
        </w:rPr>
        <w:t>C</w:t>
      </w:r>
      <w:r w:rsidRPr="00E076F1">
        <w:rPr>
          <w:snapToGrid/>
          <w:szCs w:val="22"/>
          <w:vertAlign w:val="subscript"/>
          <w:lang w:val="hu-HU" w:eastAsia="en-GB"/>
        </w:rPr>
        <w:t>max</w:t>
      </w:r>
      <w:r w:rsidRPr="00E076F1">
        <w:rPr>
          <w:snapToGrid/>
          <w:szCs w:val="22"/>
          <w:lang w:val="hu-HU" w:eastAsia="en-GB"/>
        </w:rPr>
        <w:t>- és AUC</w:t>
      </w:r>
      <w:r w:rsidRPr="00E076F1">
        <w:rPr>
          <w:snapToGrid/>
          <w:szCs w:val="22"/>
          <w:lang w:val="en-US" w:eastAsia="en-GB"/>
        </w:rPr>
        <w:t>τ</w:t>
      </w:r>
      <w:r w:rsidRPr="00E076F1">
        <w:rPr>
          <w:snapToGrid/>
          <w:szCs w:val="22"/>
          <w:lang w:val="hu-HU" w:eastAsia="en-GB"/>
        </w:rPr>
        <w:t>-értéke sorrendben 158 ng/ml és 628 ng•óra/ml volt. Egy 10</w:t>
      </w:r>
      <w:r w:rsidR="00122450" w:rsidRPr="00E076F1">
        <w:rPr>
          <w:snapToGrid/>
          <w:szCs w:val="22"/>
          <w:lang w:val="hu-HU" w:eastAsia="en-GB"/>
        </w:rPr>
        <w:t> mg</w:t>
      </w:r>
      <w:r w:rsidRPr="00E076F1">
        <w:rPr>
          <w:snapToGrid/>
          <w:szCs w:val="22"/>
          <w:lang w:val="hu-HU" w:eastAsia="en-GB"/>
        </w:rPr>
        <w:t>-os dózis alkalmazása</w:t>
      </w:r>
      <w:r w:rsidR="009B6837" w:rsidRPr="00E076F1">
        <w:rPr>
          <w:snapToGrid/>
          <w:szCs w:val="22"/>
          <w:lang w:val="hu-HU" w:eastAsia="en-GB"/>
        </w:rPr>
        <w:t xml:space="preserve"> </w:t>
      </w:r>
      <w:r w:rsidRPr="00E076F1">
        <w:rPr>
          <w:snapToGrid/>
          <w:szCs w:val="22"/>
          <w:lang w:val="hu-HU" w:eastAsia="en-GB"/>
        </w:rPr>
        <w:t>után a dapagliflozin abszolút orális biohasznosulása 78%.</w:t>
      </w:r>
    </w:p>
    <w:p w14:paraId="26FB8E0E"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343DF29D" w14:textId="771620F7" w:rsidR="00B25F44" w:rsidRPr="00E076F1" w:rsidRDefault="00B25F44"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Eloszlás</w:t>
      </w:r>
    </w:p>
    <w:p w14:paraId="4DCB9F8D" w14:textId="32CC7398"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megközelítőleg 91%-a kötődik a fehérjékhez. A fehérjekötődés nem változott a különböző</w:t>
      </w:r>
      <w:r w:rsidR="009B6837" w:rsidRPr="00E076F1">
        <w:rPr>
          <w:snapToGrid/>
          <w:szCs w:val="22"/>
          <w:lang w:val="hu-HU" w:eastAsia="en-GB"/>
        </w:rPr>
        <w:t xml:space="preserve"> </w:t>
      </w:r>
      <w:r w:rsidRPr="00E076F1">
        <w:rPr>
          <w:snapToGrid/>
          <w:szCs w:val="22"/>
          <w:lang w:val="hu-HU" w:eastAsia="en-GB"/>
        </w:rPr>
        <w:t xml:space="preserve">kórállapotokban (pl. </w:t>
      </w:r>
      <w:r w:rsidR="009B6837" w:rsidRPr="00E076F1">
        <w:rPr>
          <w:snapToGrid/>
          <w:szCs w:val="22"/>
          <w:lang w:val="hu-HU" w:eastAsia="en-GB"/>
        </w:rPr>
        <w:t>B</w:t>
      </w:r>
      <w:r w:rsidRPr="00E076F1">
        <w:rPr>
          <w:snapToGrid/>
          <w:szCs w:val="22"/>
          <w:lang w:val="hu-HU" w:eastAsia="en-GB"/>
        </w:rPr>
        <w:t>eszűkült vese- vagy májműködés). A dapagliflozin dinamikus egyensúlyi állapotú</w:t>
      </w:r>
      <w:r w:rsidR="009B6837" w:rsidRPr="00E076F1">
        <w:rPr>
          <w:snapToGrid/>
          <w:szCs w:val="22"/>
          <w:lang w:val="hu-HU" w:eastAsia="en-GB"/>
        </w:rPr>
        <w:t xml:space="preserve"> </w:t>
      </w:r>
      <w:r w:rsidRPr="00E076F1">
        <w:rPr>
          <w:snapToGrid/>
          <w:szCs w:val="22"/>
          <w:lang w:val="hu-HU" w:eastAsia="en-GB"/>
        </w:rPr>
        <w:t>átlagos megoszlási térfogata 118 liter volt.</w:t>
      </w:r>
    </w:p>
    <w:p w14:paraId="61C4BA48"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17B4B526" w14:textId="4E27A3D3" w:rsidR="00B25F44" w:rsidRPr="00E076F1" w:rsidRDefault="00B25F44" w:rsidP="00CE5342">
      <w:pPr>
        <w:keepNext/>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Biotranszformáció</w:t>
      </w:r>
    </w:p>
    <w:p w14:paraId="1DA9F797" w14:textId="2BCD1930" w:rsidR="00B25F44" w:rsidRPr="00E076F1" w:rsidRDefault="00B25F44" w:rsidP="00CE5342">
      <w:pPr>
        <w:keepNext/>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nagymértékben metabolizálódik, elsősorban dapagliflozin 3-O-glükuroniddá, ami egy</w:t>
      </w:r>
      <w:r w:rsidR="009B6837" w:rsidRPr="00E076F1">
        <w:rPr>
          <w:snapToGrid/>
          <w:szCs w:val="22"/>
          <w:lang w:val="hu-HU" w:eastAsia="en-GB"/>
        </w:rPr>
        <w:t xml:space="preserve"> </w:t>
      </w:r>
      <w:r w:rsidRPr="00E076F1">
        <w:rPr>
          <w:snapToGrid/>
          <w:szCs w:val="22"/>
          <w:lang w:val="hu-HU" w:eastAsia="en-GB"/>
        </w:rPr>
        <w:t>inaktív metabolit. Sem a dapagliflozin 3-O-glükuronid, sem más metabolitok nem járulnak hozzá a</w:t>
      </w:r>
      <w:r w:rsidR="009B6837" w:rsidRPr="00E076F1">
        <w:rPr>
          <w:snapToGrid/>
          <w:szCs w:val="22"/>
          <w:lang w:val="hu-HU" w:eastAsia="en-GB"/>
        </w:rPr>
        <w:t xml:space="preserve"> </w:t>
      </w:r>
      <w:r w:rsidRPr="00E076F1">
        <w:rPr>
          <w:snapToGrid/>
          <w:szCs w:val="22"/>
          <w:lang w:val="hu-HU" w:eastAsia="en-GB"/>
        </w:rPr>
        <w:t>glükózszintcsökkentő hatáshoz. A dapagliflozin 3-O-glükuronid kialakulását az UGT1A9 mediálja, ez az</w:t>
      </w:r>
      <w:r w:rsidR="009B6837" w:rsidRPr="00E076F1">
        <w:rPr>
          <w:snapToGrid/>
          <w:szCs w:val="22"/>
          <w:lang w:val="hu-HU" w:eastAsia="en-GB"/>
        </w:rPr>
        <w:t xml:space="preserve"> </w:t>
      </w:r>
      <w:r w:rsidRPr="00E076F1">
        <w:rPr>
          <w:snapToGrid/>
          <w:szCs w:val="22"/>
          <w:lang w:val="hu-HU" w:eastAsia="en-GB"/>
        </w:rPr>
        <w:t>enzim jelen van a májban és a vesékben is, és embernél a CYP-mediálta metabolizmus csak jelentéktelen</w:t>
      </w:r>
      <w:r w:rsidR="009B6837" w:rsidRPr="00E076F1">
        <w:rPr>
          <w:snapToGrid/>
          <w:szCs w:val="22"/>
          <w:lang w:val="hu-HU" w:eastAsia="en-GB"/>
        </w:rPr>
        <w:t xml:space="preserve"> </w:t>
      </w:r>
      <w:r w:rsidRPr="00E076F1">
        <w:rPr>
          <w:snapToGrid/>
          <w:szCs w:val="22"/>
          <w:lang w:val="hu-HU" w:eastAsia="en-GB"/>
        </w:rPr>
        <w:t>kiürülési útvonal volt.</w:t>
      </w:r>
    </w:p>
    <w:p w14:paraId="7A95F066" w14:textId="77777777" w:rsidR="009B6837" w:rsidRPr="00E076F1" w:rsidRDefault="009B6837" w:rsidP="00E076F1">
      <w:pPr>
        <w:tabs>
          <w:tab w:val="clear" w:pos="567"/>
        </w:tabs>
        <w:autoSpaceDE w:val="0"/>
        <w:autoSpaceDN w:val="0"/>
        <w:adjustRightInd w:val="0"/>
        <w:spacing w:line="240" w:lineRule="auto"/>
        <w:rPr>
          <w:snapToGrid/>
          <w:szCs w:val="22"/>
          <w:lang w:val="hu-HU" w:eastAsia="en-GB"/>
        </w:rPr>
      </w:pPr>
    </w:p>
    <w:p w14:paraId="15760EC2"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Elimináció</w:t>
      </w:r>
    </w:p>
    <w:p w14:paraId="15A76F53" w14:textId="5D15684A"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átlagos terminális felezési ideje (t</w:t>
      </w:r>
      <w:r w:rsidRPr="00E076F1">
        <w:rPr>
          <w:rFonts w:eastAsia="TimesNewRoman,Italic"/>
          <w:snapToGrid/>
          <w:szCs w:val="22"/>
          <w:vertAlign w:val="subscript"/>
          <w:lang w:val="hu-HU" w:eastAsia="en-GB"/>
        </w:rPr>
        <w:t>1/2</w:t>
      </w:r>
      <w:r w:rsidRPr="00E076F1">
        <w:rPr>
          <w:rFonts w:eastAsia="TimesNewRoman,Italic"/>
          <w:snapToGrid/>
          <w:szCs w:val="22"/>
          <w:lang w:val="hu-HU" w:eastAsia="en-GB"/>
        </w:rPr>
        <w:t>) a plazmában 12,9 óra volt egészséges alanyoknál a dapagliflozin egyszeri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-os </w:t>
      </w:r>
      <w:r w:rsidRPr="00E076F1">
        <w:rPr>
          <w:rFonts w:eastAsia="TimesNewRoman,Italic"/>
          <w:i/>
          <w:iCs/>
          <w:snapToGrid/>
          <w:szCs w:val="22"/>
          <w:lang w:val="hu-HU" w:eastAsia="en-GB"/>
        </w:rPr>
        <w:t xml:space="preserve">per os </w:t>
      </w:r>
      <w:r w:rsidRPr="00E076F1">
        <w:rPr>
          <w:rFonts w:eastAsia="TimesNewRoman,Italic"/>
          <w:snapToGrid/>
          <w:szCs w:val="22"/>
          <w:lang w:val="hu-HU" w:eastAsia="en-GB"/>
        </w:rPr>
        <w:t>dózisát követően. Az intravénásan adott dapagliflozin átlagos teljes szisztémás clearance-e 207 ml/perc volt. A dapagliflozin és annak metabolitjai elsősorban a vizeletbe történő excretión keresztül eliminálódnak, amelyben kevesebb mint 2% a változatlan formájú dapagliflozin. Egy 50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w:t>
      </w:r>
      <w:r w:rsidRPr="00E076F1">
        <w:rPr>
          <w:rFonts w:eastAsia="TimesNewRoman,Italic"/>
          <w:snapToGrid/>
          <w:szCs w:val="22"/>
          <w:vertAlign w:val="superscript"/>
          <w:lang w:val="hu-HU" w:eastAsia="en-GB"/>
        </w:rPr>
        <w:t>14</w:t>
      </w:r>
      <w:r w:rsidRPr="00E076F1">
        <w:rPr>
          <w:rFonts w:eastAsia="TimesNewRoman,Italic"/>
          <w:snapToGrid/>
          <w:szCs w:val="22"/>
          <w:lang w:val="hu-HU" w:eastAsia="en-GB"/>
        </w:rPr>
        <w:t>C]-dapagliflozin dózis alkalmazása után 96% volt visszanyerhető, 75% a vizeletből és 21% a székletből. A székletben a dózis megközelítőleg 15%-a volt az anyavegyület.</w:t>
      </w:r>
    </w:p>
    <w:p w14:paraId="651BCF1A"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53669233" w14:textId="5FC35EE1"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Linearitás</w:t>
      </w:r>
    </w:p>
    <w:p w14:paraId="26902802" w14:textId="194EC0AB"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dapagliflozin-expozíció a 0,1 – 500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dózistartományban a dapagliflozin dózis növekedésének mértékével arányosan nőtt, és a farmakokinetikája a legfeljebb 24 hétig tartó, ismételt naponkénti adagolás mellett az idő múlásával nem változott.</w:t>
      </w:r>
    </w:p>
    <w:p w14:paraId="5B543666" w14:textId="7777777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p>
    <w:p w14:paraId="73362D19"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Különleges betegcsoportok</w:t>
      </w:r>
    </w:p>
    <w:p w14:paraId="1B9152A0" w14:textId="77777777" w:rsidR="00037597" w:rsidRPr="00E076F1" w:rsidRDefault="00037597" w:rsidP="00E076F1">
      <w:pPr>
        <w:tabs>
          <w:tab w:val="clear" w:pos="567"/>
        </w:tabs>
        <w:autoSpaceDE w:val="0"/>
        <w:autoSpaceDN w:val="0"/>
        <w:adjustRightInd w:val="0"/>
        <w:spacing w:line="240" w:lineRule="auto"/>
        <w:rPr>
          <w:rFonts w:eastAsia="TimesNewRoman,Italic"/>
          <w:i/>
          <w:iCs/>
          <w:snapToGrid/>
          <w:szCs w:val="22"/>
          <w:lang w:val="hu-HU" w:eastAsia="en-GB"/>
        </w:rPr>
      </w:pPr>
    </w:p>
    <w:p w14:paraId="006D172A" w14:textId="7D42152B" w:rsidR="009B6837" w:rsidRPr="00E076F1" w:rsidRDefault="002D2F60" w:rsidP="00E076F1">
      <w:pPr>
        <w:tabs>
          <w:tab w:val="clear" w:pos="567"/>
        </w:tabs>
        <w:autoSpaceDE w:val="0"/>
        <w:autoSpaceDN w:val="0"/>
        <w:adjustRightInd w:val="0"/>
        <w:spacing w:line="240" w:lineRule="auto"/>
        <w:rPr>
          <w:rFonts w:eastAsia="TimesNewRoman,Italic"/>
          <w:i/>
          <w:iCs/>
          <w:snapToGrid/>
          <w:szCs w:val="22"/>
          <w:lang w:val="hu-HU" w:eastAsia="en-GB"/>
        </w:rPr>
      </w:pPr>
      <w:r>
        <w:rPr>
          <w:rFonts w:eastAsia="TimesNewRoman,Italic"/>
          <w:i/>
          <w:iCs/>
          <w:snapToGrid/>
          <w:szCs w:val="22"/>
          <w:lang w:val="hu-HU" w:eastAsia="en-GB"/>
        </w:rPr>
        <w:t>Vesekárosodás</w:t>
      </w:r>
    </w:p>
    <w:p w14:paraId="502A37ED" w14:textId="66E0ACC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Dinamikus egyensúlyi állapotban (naponta egyszer 20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7 napig) a 2-es típusú diabetes mellitusban és enyhe, közepesen súlyos vagy súlyos </w:t>
      </w:r>
      <w:r w:rsidR="00732F12">
        <w:rPr>
          <w:rFonts w:eastAsia="TimesNewRoman,Italic"/>
          <w:snapToGrid/>
          <w:szCs w:val="22"/>
          <w:lang w:val="hu-HU" w:eastAsia="en-GB"/>
        </w:rPr>
        <w:t>vesekárosodásban szenvedő betegeknél</w:t>
      </w:r>
      <w:r w:rsidRPr="00E076F1">
        <w:rPr>
          <w:rFonts w:eastAsia="TimesNewRoman,Italic"/>
          <w:snapToGrid/>
          <w:szCs w:val="22"/>
          <w:lang w:val="hu-HU" w:eastAsia="en-GB"/>
        </w:rPr>
        <w:t xml:space="preserve"> (iohexol plazma-clearance-szel meghatározva) a dapagliflozin átlagos szisztémás expozíciója sorrendben 32%-kal, 60%-kal és 87%-kal volt magasabb, mint az egészséges veseműködésű, 2-es típusú diabetes mellitusban szenvedő betegeknél. A 24 órás, vizelettel történő </w:t>
      </w:r>
      <w:r w:rsidR="00A37324">
        <w:rPr>
          <w:rFonts w:eastAsia="TimesNewRoman,Italic"/>
          <w:snapToGrid/>
          <w:szCs w:val="22"/>
          <w:lang w:val="hu-HU" w:eastAsia="en-GB"/>
        </w:rPr>
        <w:t>dinamikus egyensúlyi</w:t>
      </w:r>
      <w:r w:rsidRPr="00E076F1">
        <w:rPr>
          <w:rFonts w:eastAsia="TimesNewRoman,Italic"/>
          <w:snapToGrid/>
          <w:szCs w:val="22"/>
          <w:lang w:val="hu-HU" w:eastAsia="en-GB"/>
        </w:rPr>
        <w:t xml:space="preserve"> glükóz-excretio nagymértékben függött a veseműködéstől, és a 2-es típusú diabetes mellitusban szenvedő, egészséges veseműködésű, vagy enyhe, közepesen súlyos vagy súlyos </w:t>
      </w:r>
      <w:r w:rsidR="00F95171">
        <w:rPr>
          <w:rFonts w:eastAsia="TimesNewRoman,Italic"/>
          <w:snapToGrid/>
          <w:szCs w:val="22"/>
          <w:lang w:val="hu-HU" w:eastAsia="en-GB"/>
        </w:rPr>
        <w:t xml:space="preserve">vesekárosodásban szenvedő </w:t>
      </w:r>
      <w:r w:rsidRPr="00E076F1">
        <w:rPr>
          <w:rFonts w:eastAsia="TimesNewRoman,Italic"/>
          <w:snapToGrid/>
          <w:szCs w:val="22"/>
          <w:lang w:val="hu-HU" w:eastAsia="en-GB"/>
        </w:rPr>
        <w:t>betegeknél sorrendben 85, 52, 18 és 11 g glükóz választódott ki naponta. A haemodialysis dapagliflozin-expozícióra gyakorolt hatása nem ismert.</w:t>
      </w:r>
    </w:p>
    <w:p w14:paraId="502DEB64" w14:textId="7777777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p>
    <w:p w14:paraId="5B49D309" w14:textId="54513B61" w:rsidR="009B6837" w:rsidRPr="00E076F1" w:rsidRDefault="00732F12" w:rsidP="00E076F1">
      <w:pPr>
        <w:tabs>
          <w:tab w:val="clear" w:pos="567"/>
        </w:tabs>
        <w:autoSpaceDE w:val="0"/>
        <w:autoSpaceDN w:val="0"/>
        <w:adjustRightInd w:val="0"/>
        <w:spacing w:line="240" w:lineRule="auto"/>
        <w:rPr>
          <w:rFonts w:eastAsia="TimesNewRoman,Italic"/>
          <w:i/>
          <w:iCs/>
          <w:snapToGrid/>
          <w:szCs w:val="22"/>
          <w:lang w:val="hu-HU" w:eastAsia="en-GB"/>
        </w:rPr>
      </w:pPr>
      <w:r>
        <w:rPr>
          <w:rFonts w:eastAsia="TimesNewRoman,Italic"/>
          <w:i/>
          <w:iCs/>
          <w:snapToGrid/>
          <w:szCs w:val="22"/>
          <w:lang w:val="hu-HU" w:eastAsia="en-GB"/>
        </w:rPr>
        <w:t>Májkárosodás</w:t>
      </w:r>
    </w:p>
    <w:p w14:paraId="52083CD4" w14:textId="5233264F"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Az enyhe vagy közepesen súlyos </w:t>
      </w:r>
      <w:r w:rsidR="00732F12">
        <w:rPr>
          <w:rFonts w:eastAsia="TimesNewRoman,Italic"/>
          <w:snapToGrid/>
          <w:szCs w:val="22"/>
          <w:lang w:val="hu-HU" w:eastAsia="en-GB"/>
        </w:rPr>
        <w:t>májkárosodásban szenvedő betegeknél</w:t>
      </w:r>
      <w:r w:rsidRPr="00E076F1">
        <w:rPr>
          <w:rFonts w:eastAsia="TimesNewRoman,Italic"/>
          <w:snapToGrid/>
          <w:szCs w:val="22"/>
          <w:lang w:val="hu-HU" w:eastAsia="en-GB"/>
        </w:rPr>
        <w:t xml:space="preserve"> (Child-Pugh A és B stádiumú) a dapagliflozin átlagos C</w:t>
      </w:r>
      <w:r w:rsidRPr="00E076F1">
        <w:rPr>
          <w:rFonts w:eastAsia="TimesNewRoman,Italic"/>
          <w:snapToGrid/>
          <w:szCs w:val="22"/>
          <w:vertAlign w:val="subscript"/>
          <w:lang w:val="hu-HU" w:eastAsia="en-GB"/>
        </w:rPr>
        <w:t>max</w:t>
      </w:r>
      <w:r w:rsidRPr="00E076F1">
        <w:rPr>
          <w:rFonts w:eastAsia="TimesNewRoman,Italic"/>
          <w:snapToGrid/>
          <w:szCs w:val="22"/>
          <w:lang w:val="hu-HU" w:eastAsia="en-GB"/>
        </w:rPr>
        <w:t xml:space="preserve"> és AUC-értéke sorrendben legfeljebb 12%-kal és 36%-kal volt magasabb, mint az egészséges, megfelelően párosított kontroll alanyoknál. Ezeket a különbségeket nem tartották klinikailag jelentősnek. A súlyos</w:t>
      </w:r>
      <w:r w:rsidR="00732F12">
        <w:rPr>
          <w:rFonts w:eastAsia="TimesNewRoman,Italic"/>
          <w:snapToGrid/>
          <w:szCs w:val="22"/>
          <w:lang w:val="hu-HU" w:eastAsia="en-GB"/>
        </w:rPr>
        <w:t xml:space="preserve"> májkárosodásban szenvedő betegeknél</w:t>
      </w:r>
      <w:r w:rsidRPr="00E076F1">
        <w:rPr>
          <w:rFonts w:eastAsia="TimesNewRoman,Italic"/>
          <w:snapToGrid/>
          <w:szCs w:val="22"/>
          <w:lang w:val="hu-HU" w:eastAsia="en-GB"/>
        </w:rPr>
        <w:t xml:space="preserve"> (Child-Pugh C stádiumú) a dapagliflozin átlagos C</w:t>
      </w:r>
      <w:r w:rsidRPr="00BB10D9">
        <w:rPr>
          <w:rFonts w:eastAsia="TimesNewRoman,Italic"/>
          <w:snapToGrid/>
          <w:szCs w:val="22"/>
          <w:vertAlign w:val="subscript"/>
          <w:lang w:val="hu-HU" w:eastAsia="en-GB"/>
        </w:rPr>
        <w:t>max</w:t>
      </w:r>
      <w:r w:rsidRPr="00E076F1">
        <w:rPr>
          <w:rFonts w:eastAsia="TimesNewRoman,Italic"/>
          <w:snapToGrid/>
          <w:szCs w:val="22"/>
          <w:lang w:val="hu-HU" w:eastAsia="en-GB"/>
        </w:rPr>
        <w:t xml:space="preserve"> és AUC-értéke sorrendben 40%-kal és 67%-kal volt magasabb, mint az egészséges, megfelelően párosított kontroll alanyoknál.</w:t>
      </w:r>
    </w:p>
    <w:p w14:paraId="5D602549" w14:textId="7777777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p>
    <w:p w14:paraId="5017A505"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Idősek (≥ 65 év)</w:t>
      </w:r>
    </w:p>
    <w:p w14:paraId="6FE2E72A" w14:textId="0B4A1D59"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Csak az életkor alapján a legfeljebb 70 éves betegeknél nincs klinikailag jelentős expozíció-növekedés. Ugyanakkor a veseműködés életkorfüggő csökkenése miatt az expozíció növekedése várható. Nincs elegendő adat ahhoz, hogy a 70 évnél idősebb betegek expozícióját illetően következtetést lehessen levonni.</w:t>
      </w:r>
    </w:p>
    <w:p w14:paraId="08E43D20"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6ECB2E5E" w14:textId="355494FB"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Nemek</w:t>
      </w:r>
    </w:p>
    <w:p w14:paraId="44EFA147" w14:textId="07C7E78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becslések szerint nőknél az átlagos dapagliflozin-AUC</w:t>
      </w:r>
      <w:r w:rsidRPr="00E076F1">
        <w:rPr>
          <w:rFonts w:eastAsia="TimesNewRoman,Italic"/>
          <w:snapToGrid/>
          <w:szCs w:val="22"/>
          <w:vertAlign w:val="subscript"/>
          <w:lang w:val="hu-HU" w:eastAsia="en-GB"/>
        </w:rPr>
        <w:t>ss</w:t>
      </w:r>
      <w:r w:rsidRPr="00E076F1">
        <w:rPr>
          <w:rFonts w:eastAsia="TimesNewRoman,Italic"/>
          <w:snapToGrid/>
          <w:szCs w:val="22"/>
          <w:lang w:val="hu-HU" w:eastAsia="en-GB"/>
        </w:rPr>
        <w:t xml:space="preserve"> megközelítőleg 22%-kal magasabb volt, mint férfiaknál.</w:t>
      </w:r>
    </w:p>
    <w:p w14:paraId="63BF76ED"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380AEFC5" w14:textId="1B09D866"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Rassz</w:t>
      </w:r>
    </w:p>
    <w:p w14:paraId="2478F5ED" w14:textId="6274B028"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Nem volt klinikailag jelentős különbség a szisztémás expozícióban a fehér, a fekete bőrű vagy az ázsiai rasszok között.</w:t>
      </w:r>
    </w:p>
    <w:p w14:paraId="00A0158B"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4F7F435D" w14:textId="3196C8BF" w:rsidR="009B6837" w:rsidRPr="00E076F1" w:rsidRDefault="009B6837" w:rsidP="00CE5342">
      <w:pPr>
        <w:keepNext/>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Testtömeg</w:t>
      </w:r>
    </w:p>
    <w:p w14:paraId="7AFC5E63" w14:textId="541130FE" w:rsidR="009B6837" w:rsidRPr="00E076F1" w:rsidRDefault="009B6837" w:rsidP="00CE5342">
      <w:pPr>
        <w:keepNext/>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testtömeg növekedésével a dapagliflozin-expozíció csökkenését észlelték. Ennek következtében az alacsonyabb testtömegű betegeknél valamelyest magasabb lehet az expozíció, és a magasabb testtömegű betegeknél valamelyest alacsonyabb lehet az expozíció. Ugyanakkor az expozícióban mutatkozó különbségeket nem tartották klinikailag jelentősnek.</w:t>
      </w:r>
    </w:p>
    <w:p w14:paraId="0F5743E6" w14:textId="7777777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p>
    <w:p w14:paraId="294D2797"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Gyermekek és serdülők</w:t>
      </w:r>
    </w:p>
    <w:p w14:paraId="21D689B1" w14:textId="66D4E647" w:rsidR="001C3A9C" w:rsidRPr="00E076F1" w:rsidRDefault="001C3A9C" w:rsidP="00E076F1">
      <w:pPr>
        <w:tabs>
          <w:tab w:val="clear" w:pos="567"/>
        </w:tabs>
        <w:autoSpaceDE w:val="0"/>
        <w:autoSpaceDN w:val="0"/>
        <w:adjustRightInd w:val="0"/>
        <w:spacing w:line="240" w:lineRule="auto"/>
        <w:rPr>
          <w:rFonts w:eastAsia="TimesNewRoman,Italic"/>
          <w:snapToGrid/>
          <w:szCs w:val="22"/>
          <w:lang w:val="hu-HU" w:eastAsia="en-GB"/>
        </w:rPr>
      </w:pPr>
      <w:r w:rsidRPr="001C3A9C">
        <w:rPr>
          <w:rFonts w:eastAsia="TimesNewRoman,Italic"/>
          <w:snapToGrid/>
          <w:szCs w:val="22"/>
          <w:lang w:val="hu-HU" w:eastAsia="en-GB"/>
        </w:rPr>
        <w:t xml:space="preserve">Gyermekeknél </w:t>
      </w:r>
      <w:r>
        <w:rPr>
          <w:rFonts w:eastAsia="TimesNewRoman,Italic"/>
          <w:snapToGrid/>
          <w:szCs w:val="22"/>
          <w:lang w:val="hu-HU" w:eastAsia="en-GB"/>
        </w:rPr>
        <w:t xml:space="preserve">és serdülőknél </w:t>
      </w:r>
      <w:r w:rsidRPr="001C3A9C">
        <w:rPr>
          <w:rFonts w:eastAsia="TimesNewRoman,Italic"/>
          <w:snapToGrid/>
          <w:szCs w:val="22"/>
          <w:lang w:val="hu-HU" w:eastAsia="en-GB"/>
        </w:rPr>
        <w:t>a farmakokinetikát nem vizsgálták.</w:t>
      </w:r>
    </w:p>
    <w:p w14:paraId="15B193DE"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14655F7D" w14:textId="33B3D9A6"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Metformin</w:t>
      </w:r>
    </w:p>
    <w:p w14:paraId="57970F27"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100D04EC" w14:textId="01C0AC1A"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Felszívódás</w:t>
      </w:r>
    </w:p>
    <w:p w14:paraId="0B37E08A" w14:textId="7568898E"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szájon át alkalmazott metformin dózis után a tma 2,5 óra múlva kialakul. Egészséges alanyoknál egy 500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vagy egy 850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metformin tabletta abszolút biohasznosulása megközelítőleg 50</w:t>
      </w:r>
      <w:r w:rsidR="0098741F" w:rsidRPr="00E076F1">
        <w:rPr>
          <w:rFonts w:eastAsia="TimesNewRoman,Italic"/>
          <w:snapToGrid/>
          <w:szCs w:val="22"/>
          <w:lang w:val="hu-HU" w:eastAsia="en-GB"/>
        </w:rPr>
        <w:noBreakHyphen/>
      </w:r>
      <w:r w:rsidRPr="00E076F1">
        <w:rPr>
          <w:rFonts w:eastAsia="TimesNewRoman,Italic"/>
          <w:snapToGrid/>
          <w:szCs w:val="22"/>
          <w:lang w:val="hu-HU" w:eastAsia="en-GB"/>
        </w:rPr>
        <w:t>60%-os. Egy szájon át alkalmazott dózis után a székletből visszanyert frakció 20-30% volt.</w:t>
      </w:r>
    </w:p>
    <w:p w14:paraId="02F74125" w14:textId="77777777"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p>
    <w:p w14:paraId="6F5C8C49" w14:textId="159B5421"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i/>
          <w:iCs/>
          <w:snapToGrid/>
          <w:szCs w:val="22"/>
          <w:lang w:val="hu-HU" w:eastAsia="en-GB"/>
        </w:rPr>
        <w:t xml:space="preserve">Per os </w:t>
      </w:r>
      <w:r w:rsidRPr="00E076F1">
        <w:rPr>
          <w:rFonts w:eastAsia="TimesNewRoman,Italic"/>
          <w:snapToGrid/>
          <w:szCs w:val="22"/>
          <w:lang w:val="hu-HU" w:eastAsia="en-GB"/>
        </w:rPr>
        <w:t>alkalmazást követően a metformin felszívódása telíthető és inkomplett. A feltételezések szerint a</w:t>
      </w:r>
      <w:r w:rsidR="0098741F" w:rsidRPr="00E076F1">
        <w:rPr>
          <w:rFonts w:eastAsia="TimesNewRoman,Italic"/>
          <w:snapToGrid/>
          <w:szCs w:val="22"/>
          <w:lang w:val="hu-HU" w:eastAsia="en-GB"/>
        </w:rPr>
        <w:t xml:space="preserve"> </w:t>
      </w:r>
      <w:r w:rsidRPr="00E076F1">
        <w:rPr>
          <w:rFonts w:eastAsia="TimesNewRoman,Italic"/>
          <w:snapToGrid/>
          <w:szCs w:val="22"/>
          <w:lang w:val="hu-HU" w:eastAsia="en-GB"/>
        </w:rPr>
        <w:t>metformin felszívódás farmakokinetikája nem lineáris. A szokásos metformin adagok és adagolási rend</w:t>
      </w:r>
      <w:r w:rsidR="0098741F" w:rsidRPr="00E076F1">
        <w:rPr>
          <w:rFonts w:eastAsia="TimesNewRoman,Italic"/>
          <w:snapToGrid/>
          <w:szCs w:val="22"/>
          <w:lang w:val="hu-HU" w:eastAsia="en-GB"/>
        </w:rPr>
        <w:t xml:space="preserve"> </w:t>
      </w:r>
      <w:r w:rsidRPr="00E076F1">
        <w:rPr>
          <w:rFonts w:eastAsia="TimesNewRoman,Italic"/>
          <w:snapToGrid/>
          <w:szCs w:val="22"/>
          <w:lang w:val="hu-HU" w:eastAsia="en-GB"/>
        </w:rPr>
        <w:t>mellett a dinamikus egyensúlyi állapotú plazmakoncentrációk 24-48 órán belül kialakulnak, és azok</w:t>
      </w:r>
      <w:r w:rsidR="0098741F" w:rsidRPr="00E076F1">
        <w:rPr>
          <w:rFonts w:eastAsia="TimesNewRoman,Italic"/>
          <w:snapToGrid/>
          <w:szCs w:val="22"/>
          <w:lang w:val="hu-HU" w:eastAsia="en-GB"/>
        </w:rPr>
        <w:t xml:space="preserve"> </w:t>
      </w:r>
      <w:r w:rsidRPr="00E076F1">
        <w:rPr>
          <w:rFonts w:eastAsia="TimesNewRoman,Italic"/>
          <w:snapToGrid/>
          <w:szCs w:val="22"/>
          <w:lang w:val="hu-HU" w:eastAsia="en-GB"/>
        </w:rPr>
        <w:t xml:space="preserve">általában 1 </w:t>
      </w:r>
      <w:r w:rsidRPr="00E076F1">
        <w:rPr>
          <w:rFonts w:eastAsia="TimesNewRoman,Italic"/>
          <w:snapToGrid/>
          <w:szCs w:val="22"/>
          <w:lang w:val="en-US" w:eastAsia="en-GB"/>
        </w:rPr>
        <w:t>μ</w:t>
      </w:r>
      <w:r w:rsidRPr="00E076F1">
        <w:rPr>
          <w:rFonts w:eastAsia="TimesNewRoman,Italic"/>
          <w:snapToGrid/>
          <w:szCs w:val="22"/>
          <w:lang w:val="hu-HU" w:eastAsia="en-GB"/>
        </w:rPr>
        <w:t>g/ml alatt vannak. Kontrollos klinikai vizsgálatokban a metformin maximális plazmaszintjei</w:t>
      </w:r>
      <w:r w:rsidR="0098741F" w:rsidRPr="00E076F1">
        <w:rPr>
          <w:rFonts w:eastAsia="TimesNewRoman,Italic"/>
          <w:snapToGrid/>
          <w:szCs w:val="22"/>
          <w:lang w:val="hu-HU" w:eastAsia="en-GB"/>
        </w:rPr>
        <w:t xml:space="preserve"> </w:t>
      </w:r>
      <w:r w:rsidRPr="00E076F1">
        <w:rPr>
          <w:rFonts w:eastAsia="TimesNewRoman,Italic"/>
          <w:snapToGrid/>
          <w:szCs w:val="22"/>
          <w:lang w:val="hu-HU" w:eastAsia="en-GB"/>
        </w:rPr>
        <w:t>(C</w:t>
      </w:r>
      <w:r w:rsidRPr="00E076F1">
        <w:rPr>
          <w:rFonts w:eastAsia="TimesNewRoman,Italic"/>
          <w:snapToGrid/>
          <w:szCs w:val="22"/>
          <w:vertAlign w:val="subscript"/>
          <w:lang w:val="hu-HU" w:eastAsia="en-GB"/>
        </w:rPr>
        <w:t>max</w:t>
      </w:r>
      <w:r w:rsidRPr="00E076F1">
        <w:rPr>
          <w:rFonts w:eastAsia="TimesNewRoman,Italic"/>
          <w:snapToGrid/>
          <w:szCs w:val="22"/>
          <w:lang w:val="hu-HU" w:eastAsia="en-GB"/>
        </w:rPr>
        <w:t xml:space="preserve">) még a maximális dózisok mellett sem haladták meg az 5 </w:t>
      </w:r>
      <w:r w:rsidRPr="00E076F1">
        <w:rPr>
          <w:rFonts w:eastAsia="TimesNewRoman,Italic"/>
          <w:snapToGrid/>
          <w:szCs w:val="22"/>
          <w:lang w:val="en-US" w:eastAsia="en-GB"/>
        </w:rPr>
        <w:t>μ</w:t>
      </w:r>
      <w:r w:rsidRPr="00E076F1">
        <w:rPr>
          <w:rFonts w:eastAsia="TimesNewRoman,Italic"/>
          <w:snapToGrid/>
          <w:szCs w:val="22"/>
          <w:lang w:val="hu-HU" w:eastAsia="en-GB"/>
        </w:rPr>
        <w:t>g/ml-es szintet.</w:t>
      </w:r>
    </w:p>
    <w:p w14:paraId="2784F4E5" w14:textId="77777777" w:rsidR="0098741F" w:rsidRPr="00E076F1" w:rsidRDefault="0098741F" w:rsidP="00E076F1">
      <w:pPr>
        <w:tabs>
          <w:tab w:val="clear" w:pos="567"/>
        </w:tabs>
        <w:autoSpaceDE w:val="0"/>
        <w:autoSpaceDN w:val="0"/>
        <w:adjustRightInd w:val="0"/>
        <w:spacing w:line="240" w:lineRule="auto"/>
        <w:rPr>
          <w:rFonts w:eastAsia="TimesNewRoman,Italic"/>
          <w:snapToGrid/>
          <w:szCs w:val="22"/>
          <w:lang w:val="hu-HU" w:eastAsia="en-GB"/>
        </w:rPr>
      </w:pPr>
    </w:p>
    <w:p w14:paraId="53F651DC" w14:textId="77777777"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Eloszlás</w:t>
      </w:r>
    </w:p>
    <w:p w14:paraId="3CFD29D6" w14:textId="0A2AED9C" w:rsidR="0098741F" w:rsidRDefault="0098741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plazmafehérjéhez történő kötődés elhanyagolható. A metformin belép az erythrocytákba. A vér csúcskoncentráció alacsonyabb, mint a plazma csúcskoncentráció, és megközelítőleg ugyanabban az időben alakul ki. A vörösvértestek a legnagyobb valószínűséggel egy másodlagos megoszlási kompartmentet képviselnek. Az átlagos Vd 63-276 l között van.</w:t>
      </w:r>
    </w:p>
    <w:p w14:paraId="2BEA2223" w14:textId="77777777" w:rsidR="001901E3" w:rsidRPr="00E076F1" w:rsidRDefault="001901E3" w:rsidP="00E076F1">
      <w:pPr>
        <w:tabs>
          <w:tab w:val="clear" w:pos="567"/>
        </w:tabs>
        <w:autoSpaceDE w:val="0"/>
        <w:autoSpaceDN w:val="0"/>
        <w:adjustRightInd w:val="0"/>
        <w:spacing w:line="240" w:lineRule="auto"/>
        <w:rPr>
          <w:rFonts w:eastAsia="TimesNewRoman,Italic"/>
          <w:snapToGrid/>
          <w:szCs w:val="22"/>
          <w:lang w:val="hu-HU" w:eastAsia="en-GB"/>
        </w:rPr>
      </w:pPr>
    </w:p>
    <w:p w14:paraId="573ABC20" w14:textId="4B2BF743" w:rsidR="0098741F" w:rsidRPr="00E076F1" w:rsidRDefault="0098741F" w:rsidP="00CE5342">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Biotranszformáció</w:t>
      </w:r>
    </w:p>
    <w:p w14:paraId="034FF91C" w14:textId="77777777" w:rsidR="0098741F" w:rsidRPr="00E076F1" w:rsidRDefault="0098741F" w:rsidP="00CE5342">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metformin változatlan formában választódik ki a vizeletben. Embernél nem azonosítottak metabolitokat.</w:t>
      </w:r>
    </w:p>
    <w:p w14:paraId="4E6DC448" w14:textId="77777777"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p>
    <w:p w14:paraId="2E1466B6" w14:textId="54D36F9D"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Elimináció</w:t>
      </w:r>
    </w:p>
    <w:p w14:paraId="38A799C9" w14:textId="62DB8662" w:rsidR="0098741F" w:rsidRPr="00E076F1" w:rsidRDefault="0098741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metformin renális clearance-e &gt; 400 ml/perc, ami arra utal, hogy a metformin glomerulus filtrációval és tubuláris szekrécióval is eliminálódik. Egy </w:t>
      </w:r>
      <w:r w:rsidRPr="00E076F1">
        <w:rPr>
          <w:rFonts w:eastAsia="TimesNewRoman,Italic"/>
          <w:i/>
          <w:iCs/>
          <w:snapToGrid/>
          <w:szCs w:val="22"/>
          <w:lang w:val="hu-HU" w:eastAsia="en-GB"/>
        </w:rPr>
        <w:t xml:space="preserve">per os </w:t>
      </w:r>
      <w:r w:rsidRPr="00E076F1">
        <w:rPr>
          <w:rFonts w:eastAsia="TimesNewRoman,Italic"/>
          <w:snapToGrid/>
          <w:szCs w:val="22"/>
          <w:lang w:val="hu-HU" w:eastAsia="en-GB"/>
        </w:rPr>
        <w:t>dózis adását követően a látszólagos terminális eliminációs felezési idő megközelítőleg 6,5 óra.</w:t>
      </w:r>
    </w:p>
    <w:p w14:paraId="34CFFAF3" w14:textId="77777777"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p>
    <w:p w14:paraId="10C38911" w14:textId="1ABF37E5" w:rsidR="0098741F" w:rsidRPr="00E076F1" w:rsidRDefault="0098741F"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Különleges betegcsoportok</w:t>
      </w:r>
    </w:p>
    <w:p w14:paraId="0988356D" w14:textId="77777777" w:rsidR="00037597" w:rsidRPr="00E076F1" w:rsidRDefault="00037597" w:rsidP="00E076F1">
      <w:pPr>
        <w:tabs>
          <w:tab w:val="clear" w:pos="567"/>
        </w:tabs>
        <w:autoSpaceDE w:val="0"/>
        <w:autoSpaceDN w:val="0"/>
        <w:adjustRightInd w:val="0"/>
        <w:spacing w:line="240" w:lineRule="auto"/>
        <w:rPr>
          <w:rFonts w:eastAsia="TimesNewRoman,Italic"/>
          <w:i/>
          <w:iCs/>
          <w:snapToGrid/>
          <w:szCs w:val="22"/>
          <w:lang w:val="hu-HU" w:eastAsia="en-GB"/>
        </w:rPr>
      </w:pPr>
    </w:p>
    <w:p w14:paraId="343A58B0" w14:textId="4671F543" w:rsidR="0098741F" w:rsidRPr="00E076F1" w:rsidRDefault="001901E3" w:rsidP="00E076F1">
      <w:pPr>
        <w:tabs>
          <w:tab w:val="clear" w:pos="567"/>
        </w:tabs>
        <w:autoSpaceDE w:val="0"/>
        <w:autoSpaceDN w:val="0"/>
        <w:adjustRightInd w:val="0"/>
        <w:spacing w:line="240" w:lineRule="auto"/>
        <w:rPr>
          <w:rFonts w:eastAsia="TimesNewRoman,Italic"/>
          <w:i/>
          <w:iCs/>
          <w:snapToGrid/>
          <w:szCs w:val="22"/>
          <w:lang w:val="hu-HU" w:eastAsia="en-GB"/>
        </w:rPr>
      </w:pPr>
      <w:r>
        <w:rPr>
          <w:rFonts w:eastAsia="TimesNewRoman,Italic"/>
          <w:i/>
          <w:iCs/>
          <w:snapToGrid/>
          <w:szCs w:val="22"/>
          <w:lang w:val="hu-HU" w:eastAsia="en-GB"/>
        </w:rPr>
        <w:t>Vesekárosodás</w:t>
      </w:r>
    </w:p>
    <w:p w14:paraId="6BAF2087" w14:textId="132CB7AE" w:rsidR="0098741F" w:rsidRPr="00E076F1" w:rsidRDefault="0098741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8C17DE">
        <w:rPr>
          <w:snapToGrid/>
          <w:szCs w:val="22"/>
          <w:lang w:val="hu-HU" w:eastAsia="en-GB"/>
        </w:rPr>
        <w:t>vesekárosodásban szenvedő</w:t>
      </w:r>
      <w:r w:rsidRPr="00E076F1">
        <w:rPr>
          <w:snapToGrid/>
          <w:szCs w:val="22"/>
          <w:lang w:val="hu-HU" w:eastAsia="en-GB"/>
        </w:rPr>
        <w:t xml:space="preserve"> betegeknél (a mért kreatinin-clearance alapján) a metformin felezési ideje a plazmában és a vérben megnyúlt, és a renalis clearance a kreatinin-clearance csökkenésével arányosan csökkent, ami a metformin</w:t>
      </w:r>
      <w:r w:rsidR="008C17DE">
        <w:rPr>
          <w:snapToGrid/>
          <w:szCs w:val="22"/>
          <w:lang w:val="hu-HU" w:eastAsia="en-GB"/>
        </w:rPr>
        <w:t>-</w:t>
      </w:r>
      <w:r w:rsidRPr="00E076F1">
        <w:rPr>
          <w:snapToGrid/>
          <w:szCs w:val="22"/>
          <w:lang w:val="hu-HU" w:eastAsia="en-GB"/>
        </w:rPr>
        <w:t>plazmaszint emelkedéséhez vezet.</w:t>
      </w:r>
    </w:p>
    <w:p w14:paraId="51267A06" w14:textId="77777777" w:rsidR="0098741F" w:rsidRPr="00E076F1" w:rsidRDefault="0098741F" w:rsidP="00E076F1">
      <w:pPr>
        <w:tabs>
          <w:tab w:val="clear" w:pos="567"/>
        </w:tabs>
        <w:autoSpaceDE w:val="0"/>
        <w:autoSpaceDN w:val="0"/>
        <w:adjustRightInd w:val="0"/>
        <w:spacing w:line="240" w:lineRule="auto"/>
        <w:rPr>
          <w:rFonts w:eastAsia="TimesNewRoman,Italic"/>
          <w:snapToGrid/>
          <w:szCs w:val="22"/>
          <w:lang w:val="hu-HU" w:eastAsia="en-GB"/>
        </w:rPr>
      </w:pPr>
    </w:p>
    <w:p w14:paraId="294EAD05"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5.3</w:t>
      </w:r>
      <w:r w:rsidRPr="00E076F1">
        <w:rPr>
          <w:rFonts w:eastAsia="Times New Roman"/>
          <w:b/>
          <w:noProof/>
          <w:snapToGrid/>
          <w:szCs w:val="22"/>
          <w:lang w:val="hu-HU" w:eastAsia="en-US"/>
        </w:rPr>
        <w:tab/>
        <w:t>A preklinikai biztonságossági vizsgálatok eredményei</w:t>
      </w:r>
    </w:p>
    <w:p w14:paraId="4A505BE0" w14:textId="77777777" w:rsidR="00F45C51" w:rsidRPr="00E076F1" w:rsidRDefault="00F45C51" w:rsidP="00E076F1">
      <w:pPr>
        <w:spacing w:line="240" w:lineRule="auto"/>
        <w:ind w:left="567" w:hanging="567"/>
        <w:outlineLvl w:val="0"/>
        <w:rPr>
          <w:bCs/>
          <w:szCs w:val="22"/>
          <w:lang w:val="hu-HU"/>
        </w:rPr>
      </w:pPr>
    </w:p>
    <w:p w14:paraId="3C2B641F" w14:textId="77777777" w:rsidR="0098741F" w:rsidRPr="00E076F1" w:rsidRDefault="0098741F"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 dapagliflozin és a metformin egyidejű alkalmazása</w:t>
      </w:r>
    </w:p>
    <w:p w14:paraId="5AA58555" w14:textId="38C389E0" w:rsidR="00037597" w:rsidRPr="00E076F1" w:rsidRDefault="0098741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hagyományos – ismételt dózistoxicitási – vizsgálatokból származó nem klinikai jellegű adatok azt igazolták, hogy a készítmény alkalmazásakor humán vonatkozásban különleges kockázat nem várható.</w:t>
      </w:r>
    </w:p>
    <w:p w14:paraId="59B61153" w14:textId="77777777" w:rsidR="00037597" w:rsidRPr="00E076F1" w:rsidRDefault="00037597" w:rsidP="00E076F1">
      <w:pPr>
        <w:tabs>
          <w:tab w:val="clear" w:pos="567"/>
        </w:tabs>
        <w:autoSpaceDE w:val="0"/>
        <w:autoSpaceDN w:val="0"/>
        <w:adjustRightInd w:val="0"/>
        <w:spacing w:line="240" w:lineRule="auto"/>
        <w:rPr>
          <w:snapToGrid/>
          <w:szCs w:val="22"/>
          <w:lang w:val="hu-HU" w:eastAsia="en-GB"/>
        </w:rPr>
      </w:pPr>
    </w:p>
    <w:p w14:paraId="46140E06" w14:textId="54BC9214" w:rsidR="0098741F" w:rsidRPr="00E076F1" w:rsidRDefault="0098741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Az alábbi megállapítások a </w:t>
      </w:r>
      <w:r w:rsidR="00AE4F87" w:rsidRPr="00E076F1">
        <w:rPr>
          <w:snapToGrid/>
          <w:szCs w:val="22"/>
          <w:lang w:val="hu-HU" w:eastAsia="en-GB"/>
        </w:rPr>
        <w:t>Dapagliflozin/Metformin Polpharma</w:t>
      </w:r>
      <w:r w:rsidRPr="00E076F1">
        <w:rPr>
          <w:snapToGrid/>
          <w:szCs w:val="22"/>
          <w:lang w:val="hu-HU" w:eastAsia="en-GB"/>
        </w:rPr>
        <w:t xml:space="preserve"> egyes hatóanyagaival kapcsolatban rendelkezésre álló preklinikai biztonságossági adatokra vonatkoznak.</w:t>
      </w:r>
    </w:p>
    <w:p w14:paraId="328CA6EE" w14:textId="77777777" w:rsidR="0098741F" w:rsidRPr="00E076F1" w:rsidRDefault="0098741F" w:rsidP="00E076F1">
      <w:pPr>
        <w:tabs>
          <w:tab w:val="clear" w:pos="567"/>
        </w:tabs>
        <w:autoSpaceDE w:val="0"/>
        <w:autoSpaceDN w:val="0"/>
        <w:adjustRightInd w:val="0"/>
        <w:spacing w:line="240" w:lineRule="auto"/>
        <w:rPr>
          <w:snapToGrid/>
          <w:szCs w:val="22"/>
          <w:lang w:val="hu-HU" w:eastAsia="en-GB"/>
        </w:rPr>
      </w:pPr>
    </w:p>
    <w:p w14:paraId="0A6AC3F7" w14:textId="26AC141F" w:rsidR="0098741F" w:rsidRPr="00E076F1" w:rsidRDefault="0098741F"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5177BD8A" w14:textId="43A44C65" w:rsidR="00F45C51" w:rsidRPr="00E076F1" w:rsidRDefault="0098741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hagyományos – farmakológiai biztonságossági, ismételt dózistoxicitási, genotoxicitási, karcinogenitási és fertilitási – vizsgálatokból származó nem klinikai jellegű adatok azt igazolták, hogy a készítmény alkalmazásakor humán vonatkozásban különleges kockázat nem várható. A dapagliflozin a kétéves karcinogenitási vizsgálatokban egyetlen vizsgált dózisban sem indukált tumorokat, sem egereknél, sem patkányoknál.</w:t>
      </w:r>
    </w:p>
    <w:p w14:paraId="79AF402E" w14:textId="77777777" w:rsidR="00F45C51" w:rsidRPr="00E076F1" w:rsidRDefault="00F45C51" w:rsidP="00E076F1">
      <w:pPr>
        <w:spacing w:line="240" w:lineRule="auto"/>
        <w:rPr>
          <w:lang w:val="hu-HU"/>
        </w:rPr>
      </w:pPr>
    </w:p>
    <w:p w14:paraId="47DA2774" w14:textId="77777777" w:rsidR="004F0419" w:rsidRPr="00E076F1" w:rsidRDefault="004F0419"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Reproduktív és fejlődési toxicitás</w:t>
      </w:r>
    </w:p>
    <w:p w14:paraId="0C089813" w14:textId="05E57C1B"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elválasztott fiatal patkányoknak történő közvetlen adása, valamint a késői vemhesség (a humán terhesség második és harmadik trimeszterének megfelelő időszak, az emberi vesék érése) és szoptatás alatti indirekt alkalmazása mind az utódok vesemedencéi és renális tubulusai kitágulásának megnövekedett incidenciájával és/vagy annak súlyosbodásával járt.</w:t>
      </w:r>
    </w:p>
    <w:p w14:paraId="48F0AA96" w14:textId="77777777"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p>
    <w:p w14:paraId="2E323C91" w14:textId="34AF6CE0"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fiatalkori toxicitási vizsgálatban, ahol a dapagliflozint a posztnatális 21. naptól a posztnatális 90. napig közvetlenül adagolták fiatal patkányoknak, minden dózisszinten a vesemedencék és renális tubulusok dilatációjáról számoltak be. A kölyköknél vizsgált legalacsonyabb expozíciós dózis a maximális javasolt humán dózis ≥ 15-szöröse volt. Ezek az eltérések minden dózis mellett a vesék tömegének és a vesék makroszkóposan megfigyelhető méretének dózisfüggő megnövekedésével jártak. A megközelítőleg 1 hónapos regenerációs időszak alatt a vesemedencék és a renális tubulusok fiatal állatoknál észlelt dilatációja nem fejlődött vissza teljesen.</w:t>
      </w:r>
    </w:p>
    <w:p w14:paraId="2C9EF411" w14:textId="77777777"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p>
    <w:p w14:paraId="1D3D3E3A" w14:textId="358F55C5"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pre- és posztnatális fejlődés egy önálló vizsgálatában a vemhes patkányoknak a gesztáció 6. napjától a 21. posztnatális napig adták a szert, és a kölyköket </w:t>
      </w:r>
      <w:r w:rsidRPr="00E076F1">
        <w:rPr>
          <w:rFonts w:eastAsia="TimesNewRoman,Italic"/>
          <w:i/>
          <w:iCs/>
          <w:snapToGrid/>
          <w:szCs w:val="22"/>
          <w:lang w:val="hu-HU" w:eastAsia="en-GB"/>
        </w:rPr>
        <w:t>in utero</w:t>
      </w:r>
      <w:r w:rsidRPr="00E076F1">
        <w:rPr>
          <w:rFonts w:eastAsia="TimesNewRoman,Italic"/>
          <w:snapToGrid/>
          <w:szCs w:val="22"/>
          <w:lang w:val="hu-HU" w:eastAsia="en-GB"/>
        </w:rPr>
        <w:t>, valamint a szoptatáson keresztül indirekt expozíciónak tették ki. (A kölykök anyatejjel történő dapagliflozin-expozíciójának értékelésére egy kiegészítő vizsgálatot végeztek.) A kezelt anyaállatok felnőtt utódainál a vesemedence tágulat emelkedett előfordulási gyakoriságát vagy súlyosabb formáját észlelték, jóllehet, csak a legmagasabb vizsgált dózis mellett (az ehhez társuló dapagliflozin-expozíció az anyánál 1</w:t>
      </w:r>
      <w:r w:rsidR="003421BA" w:rsidRPr="00E076F1">
        <w:rPr>
          <w:rFonts w:eastAsia="TimesNewRoman,Italic"/>
          <w:snapToGrid/>
          <w:szCs w:val="22"/>
          <w:lang w:val="hu-HU" w:eastAsia="en-GB"/>
        </w:rPr>
        <w:t>,</w:t>
      </w:r>
      <w:r w:rsidRPr="00E076F1">
        <w:rPr>
          <w:rFonts w:eastAsia="TimesNewRoman,Italic"/>
          <w:snapToGrid/>
          <w:szCs w:val="22"/>
          <w:lang w:val="hu-HU" w:eastAsia="en-GB"/>
        </w:rPr>
        <w:t>415-ször és az utódoknál 137-szer magasabb, mint a maximális javasolt humán dózis melletti humán értékek). Egy kiegészítő fejlődési toxicitási vizsgálat csak a kölykök testtömegének dózisfüggő csökkenésére korlátozódott, amit csak a napi ≥ 15</w:t>
      </w:r>
      <w:r w:rsidR="00122450" w:rsidRPr="00E076F1">
        <w:rPr>
          <w:rFonts w:eastAsia="TimesNewRoman,Italic"/>
          <w:snapToGrid/>
          <w:szCs w:val="22"/>
          <w:lang w:val="hu-HU" w:eastAsia="en-GB"/>
        </w:rPr>
        <w:t> mg</w:t>
      </w:r>
      <w:r w:rsidRPr="00E076F1">
        <w:rPr>
          <w:rFonts w:eastAsia="TimesNewRoman,Italic"/>
          <w:snapToGrid/>
          <w:szCs w:val="22"/>
          <w:lang w:val="hu-HU" w:eastAsia="en-GB"/>
        </w:rPr>
        <w:t>/kg-os dózis mellett észleltek (az ehhez társuló expozíció az utódoknál ≥ 29-szer magasabb, mint a maximális javasolt humán dózis melletti humán értékek). Az anyai toxicitás csak a legmagasabb vizsgált dózis mellett volt nyilvánvaló, és csak a testtömeg és a táplálékfogyasztás átmeneti csökkenésére korlátozódott. A fejlődési toxicitásra vonatkozó, észlelhető mellékhatást még nem okozó szint (no observed adverse effect level – NOAEL), a legalacsonyabb vizsgált dózis, többszörös anyai szisztémás expozícióval járt, ami megközelítőleg 19-szer magasabb, mint a maximális javasolt humán dózis melletti humán értékek.</w:t>
      </w:r>
    </w:p>
    <w:p w14:paraId="23F81873" w14:textId="77777777"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p>
    <w:p w14:paraId="6F3E569B" w14:textId="6ABDB291" w:rsidR="004F0419" w:rsidRPr="00E076F1" w:rsidRDefault="004F0419" w:rsidP="00E076F1">
      <w:pPr>
        <w:tabs>
          <w:tab w:val="clear" w:pos="567"/>
        </w:tabs>
        <w:autoSpaceDE w:val="0"/>
        <w:autoSpaceDN w:val="0"/>
        <w:adjustRightInd w:val="0"/>
        <w:spacing w:line="240" w:lineRule="auto"/>
        <w:rPr>
          <w:snapToGrid/>
          <w:szCs w:val="22"/>
          <w:lang w:val="hu-HU" w:eastAsia="en-GB"/>
        </w:rPr>
      </w:pPr>
      <w:r w:rsidRPr="00E076F1">
        <w:rPr>
          <w:rFonts w:eastAsia="TimesNewRoman,Italic"/>
          <w:snapToGrid/>
          <w:szCs w:val="22"/>
          <w:lang w:val="hu-HU" w:eastAsia="en-GB"/>
        </w:rPr>
        <w:t xml:space="preserve">Egy patkányokkal és nyulakkal végzett kiegészítő embrio-foetális fejlődési vizsgálatban a dapagliflozint az egyes fajok organogenesisének legfontosabb periódusait lefedő időszakokban alkalmazták. Nyulaknál egyik vizsgált dózis mellett sem észleltek sem anyai, sem fejlődési toxicitást. A legmagasabb vizsgált </w:t>
      </w:r>
      <w:r w:rsidRPr="00E076F1">
        <w:rPr>
          <w:snapToGrid/>
          <w:szCs w:val="22"/>
          <w:lang w:val="hu-HU" w:eastAsia="en-GB"/>
        </w:rPr>
        <w:t>dózis többszörös szisztémás expozícióval járt, ami megközelítőleg 1191-szer magasabb, mint a maximális javasolt humán dózis melletti humán értékek. Patkányoknál a dapagliflozin a maximális javasolt humán dózis akár 1441-szeresét elérő expozícióban nem okozott sem embriolethalitást, és nem volt teratogén sem.</w:t>
      </w:r>
    </w:p>
    <w:p w14:paraId="42D7D60E" w14:textId="77777777" w:rsidR="004F0419" w:rsidRPr="00E076F1" w:rsidRDefault="004F0419" w:rsidP="00E076F1">
      <w:pPr>
        <w:tabs>
          <w:tab w:val="clear" w:pos="567"/>
        </w:tabs>
        <w:autoSpaceDE w:val="0"/>
        <w:autoSpaceDN w:val="0"/>
        <w:adjustRightInd w:val="0"/>
        <w:spacing w:line="240" w:lineRule="auto"/>
        <w:rPr>
          <w:snapToGrid/>
          <w:szCs w:val="22"/>
          <w:lang w:val="hu-HU" w:eastAsia="en-GB"/>
        </w:rPr>
      </w:pPr>
    </w:p>
    <w:p w14:paraId="458D6E52" w14:textId="0A784410" w:rsidR="004F0419" w:rsidRPr="00E076F1" w:rsidRDefault="004F0419"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Metformin</w:t>
      </w:r>
    </w:p>
    <w:p w14:paraId="38B110E4" w14:textId="4BE3DC06" w:rsidR="0098741F" w:rsidRPr="00E076F1" w:rsidRDefault="004F0419"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hagyományos – farmakológiai biztonságossági, ismételt dózistoxicitási, genotoxicitási, karcinogenitási, reprodukcióra-, és fejlődésre kifejtett toxicitási – vizsgálatokból származó nem klinikai jellegű adatok azt igazolták, hogy a készítmény alkalmazásakor humán vonatkozásban különleges kockázat nem várható.</w:t>
      </w:r>
    </w:p>
    <w:p w14:paraId="1E94D93B" w14:textId="77777777" w:rsidR="0098741F" w:rsidRPr="00E076F1" w:rsidRDefault="0098741F" w:rsidP="00E076F1">
      <w:pPr>
        <w:spacing w:line="240" w:lineRule="auto"/>
        <w:rPr>
          <w:lang w:val="hu-HU"/>
        </w:rPr>
      </w:pPr>
    </w:p>
    <w:p w14:paraId="7038A6F2" w14:textId="77777777" w:rsidR="004F0419" w:rsidRPr="00E076F1" w:rsidRDefault="004F0419" w:rsidP="00E076F1">
      <w:pPr>
        <w:spacing w:line="240" w:lineRule="auto"/>
        <w:rPr>
          <w:lang w:val="hu-HU"/>
        </w:rPr>
      </w:pPr>
    </w:p>
    <w:p w14:paraId="533E17E0"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w:t>
      </w:r>
      <w:r w:rsidRPr="00E076F1">
        <w:rPr>
          <w:rFonts w:eastAsia="Times New Roman"/>
          <w:b/>
          <w:noProof/>
          <w:snapToGrid/>
          <w:szCs w:val="22"/>
          <w:lang w:val="hu-HU" w:eastAsia="en-US"/>
        </w:rPr>
        <w:tab/>
        <w:t>GYÓGYSZERÉSZETI JELLEMZŐK</w:t>
      </w:r>
    </w:p>
    <w:p w14:paraId="1026CD43" w14:textId="77777777" w:rsidR="00F45C51" w:rsidRPr="00E076F1" w:rsidRDefault="00F45C51" w:rsidP="00E076F1">
      <w:pPr>
        <w:spacing w:line="240" w:lineRule="auto"/>
        <w:ind w:left="567" w:hanging="567"/>
        <w:outlineLvl w:val="0"/>
        <w:rPr>
          <w:bCs/>
          <w:lang w:val="hu-HU"/>
        </w:rPr>
      </w:pPr>
    </w:p>
    <w:p w14:paraId="3B9D317F"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6.1</w:t>
      </w:r>
      <w:r w:rsidRPr="00E076F1">
        <w:rPr>
          <w:rFonts w:eastAsia="Times New Roman"/>
          <w:b/>
          <w:noProof/>
          <w:snapToGrid/>
          <w:szCs w:val="22"/>
          <w:lang w:val="hu-HU" w:eastAsia="en-US"/>
        </w:rPr>
        <w:tab/>
        <w:t>Segédanyagok felsorolása</w:t>
      </w:r>
    </w:p>
    <w:p w14:paraId="1880AAC8" w14:textId="77777777" w:rsidR="00F45C51" w:rsidRPr="00E076F1" w:rsidRDefault="00F45C51" w:rsidP="00E076F1">
      <w:pPr>
        <w:spacing w:line="240" w:lineRule="auto"/>
        <w:rPr>
          <w:rFonts w:eastAsia="Times New Roman"/>
          <w:noProof/>
          <w:snapToGrid/>
          <w:szCs w:val="22"/>
          <w:lang w:val="hu-HU" w:eastAsia="en-US"/>
        </w:rPr>
      </w:pPr>
    </w:p>
    <w:p w14:paraId="4DE8CE82" w14:textId="77777777" w:rsidR="004F0419" w:rsidRPr="00E076F1" w:rsidRDefault="004F0419"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Tabletta mag</w:t>
      </w:r>
    </w:p>
    <w:p w14:paraId="01740F88" w14:textId="56DA2BF3" w:rsidR="004F0419" w:rsidRPr="00E076F1" w:rsidRDefault="00C3059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m</w:t>
      </w:r>
      <w:r w:rsidR="004F0419" w:rsidRPr="00E076F1">
        <w:rPr>
          <w:snapToGrid/>
          <w:szCs w:val="22"/>
          <w:lang w:val="hu-HU" w:eastAsia="en-GB"/>
        </w:rPr>
        <w:t>ikrokristályos cellulóz (</w:t>
      </w:r>
      <w:r w:rsidR="00722F99" w:rsidRPr="00E076F1">
        <w:rPr>
          <w:snapToGrid/>
          <w:szCs w:val="22"/>
          <w:lang w:val="hu-HU" w:eastAsia="en-GB"/>
        </w:rPr>
        <w:t>PH10</w:t>
      </w:r>
      <w:r w:rsidR="003421BA" w:rsidRPr="00E076F1">
        <w:rPr>
          <w:snapToGrid/>
          <w:szCs w:val="22"/>
          <w:lang w:val="hu-HU" w:eastAsia="en-GB"/>
        </w:rPr>
        <w:t>2</w:t>
      </w:r>
      <w:r w:rsidR="004F0419" w:rsidRPr="00E076F1">
        <w:rPr>
          <w:snapToGrid/>
          <w:szCs w:val="22"/>
          <w:lang w:val="hu-HU" w:eastAsia="en-GB"/>
        </w:rPr>
        <w:t>)</w:t>
      </w:r>
    </w:p>
    <w:p w14:paraId="66BDD4B0" w14:textId="0AD4EAC3" w:rsidR="00722F99" w:rsidRPr="00E076F1" w:rsidRDefault="00E85D2A"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m</w:t>
      </w:r>
      <w:r w:rsidR="00722F99" w:rsidRPr="00E076F1">
        <w:rPr>
          <w:snapToGrid/>
          <w:szCs w:val="22"/>
          <w:lang w:val="hu-HU" w:eastAsia="en-GB"/>
        </w:rPr>
        <w:t>ikrokristályos cellulóz (PH10</w:t>
      </w:r>
      <w:r w:rsidR="003421BA" w:rsidRPr="00E076F1">
        <w:rPr>
          <w:snapToGrid/>
          <w:szCs w:val="22"/>
          <w:lang w:val="hu-HU" w:eastAsia="en-GB"/>
        </w:rPr>
        <w:t>1</w:t>
      </w:r>
      <w:r w:rsidR="00722F99" w:rsidRPr="00E076F1">
        <w:rPr>
          <w:snapToGrid/>
          <w:szCs w:val="22"/>
          <w:lang w:val="hu-HU" w:eastAsia="en-GB"/>
        </w:rPr>
        <w:t>)</w:t>
      </w:r>
    </w:p>
    <w:p w14:paraId="49557627" w14:textId="7C183646" w:rsidR="00722F99" w:rsidRPr="00E076F1" w:rsidRDefault="00C3059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m</w:t>
      </w:r>
      <w:r w:rsidR="00722F99" w:rsidRPr="00E076F1">
        <w:rPr>
          <w:snapToGrid/>
          <w:szCs w:val="22"/>
          <w:lang w:val="hu-HU" w:eastAsia="en-GB"/>
        </w:rPr>
        <w:t>annit</w:t>
      </w:r>
    </w:p>
    <w:p w14:paraId="7107C989" w14:textId="47E70FDE" w:rsidR="00722F99" w:rsidRPr="00E076F1" w:rsidRDefault="00C3059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k</w:t>
      </w:r>
      <w:r w:rsidR="00722F99" w:rsidRPr="00E076F1">
        <w:rPr>
          <w:snapToGrid/>
          <w:szCs w:val="22"/>
          <w:lang w:val="hu-HU" w:eastAsia="en-GB"/>
        </w:rPr>
        <w:t>opovidon K</w:t>
      </w:r>
      <w:r w:rsidR="003421BA" w:rsidRPr="00E076F1">
        <w:rPr>
          <w:snapToGrid/>
          <w:szCs w:val="22"/>
          <w:lang w:val="hu-HU" w:eastAsia="en-GB"/>
        </w:rPr>
        <w:t>-</w:t>
      </w:r>
      <w:r w:rsidR="00722F99" w:rsidRPr="00E076F1">
        <w:rPr>
          <w:snapToGrid/>
          <w:szCs w:val="22"/>
          <w:lang w:val="hu-HU" w:eastAsia="en-GB"/>
        </w:rPr>
        <w:t>28</w:t>
      </w:r>
    </w:p>
    <w:p w14:paraId="50A2CF21" w14:textId="1064A7FB" w:rsidR="00C30591" w:rsidRPr="00E076F1" w:rsidRDefault="00C3059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vízmentes kolloid szilícium-dioxid</w:t>
      </w:r>
      <w:r w:rsidRPr="00E076F1" w:rsidDel="00C30591">
        <w:rPr>
          <w:snapToGrid/>
          <w:szCs w:val="22"/>
          <w:lang w:val="hu-HU" w:eastAsia="en-GB"/>
        </w:rPr>
        <w:t xml:space="preserve"> </w:t>
      </w:r>
    </w:p>
    <w:p w14:paraId="5C848509" w14:textId="008CF9B7" w:rsidR="004F0419" w:rsidRPr="00E076F1" w:rsidRDefault="00C3059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m</w:t>
      </w:r>
      <w:r w:rsidR="004F0419" w:rsidRPr="00E076F1">
        <w:rPr>
          <w:snapToGrid/>
          <w:szCs w:val="22"/>
          <w:lang w:val="hu-HU" w:eastAsia="en-GB"/>
        </w:rPr>
        <w:t>agnézium-sztearát</w:t>
      </w:r>
    </w:p>
    <w:p w14:paraId="6C7361AE" w14:textId="77777777" w:rsidR="004F0419" w:rsidRPr="00E076F1" w:rsidRDefault="004F0419" w:rsidP="00E076F1">
      <w:pPr>
        <w:tabs>
          <w:tab w:val="clear" w:pos="567"/>
        </w:tabs>
        <w:autoSpaceDE w:val="0"/>
        <w:autoSpaceDN w:val="0"/>
        <w:adjustRightInd w:val="0"/>
        <w:spacing w:line="240" w:lineRule="auto"/>
        <w:rPr>
          <w:snapToGrid/>
          <w:szCs w:val="22"/>
          <w:highlight w:val="yellow"/>
          <w:lang w:val="hu-HU" w:eastAsia="en-GB"/>
        </w:rPr>
      </w:pPr>
    </w:p>
    <w:p w14:paraId="3F5F6AF0" w14:textId="253E4957" w:rsidR="004F0419" w:rsidRPr="00BB10D9" w:rsidRDefault="009B3675" w:rsidP="00E076F1">
      <w:pPr>
        <w:tabs>
          <w:tab w:val="clear" w:pos="567"/>
        </w:tabs>
        <w:autoSpaceDE w:val="0"/>
        <w:autoSpaceDN w:val="0"/>
        <w:adjustRightInd w:val="0"/>
        <w:spacing w:line="240" w:lineRule="auto"/>
        <w:rPr>
          <w:rFonts w:eastAsia="TimesNewRoman"/>
          <w:snapToGrid/>
          <w:szCs w:val="22"/>
          <w:u w:val="single"/>
          <w:lang w:val="hu-HU" w:eastAsia="en-GB"/>
        </w:rPr>
      </w:pPr>
      <w:r w:rsidRPr="00E076F1">
        <w:rPr>
          <w:snapToGrid/>
          <w:szCs w:val="22"/>
          <w:u w:val="single"/>
          <w:lang w:val="hu-HU" w:eastAsia="en-GB"/>
        </w:rPr>
        <w:t>Bevonat</w:t>
      </w:r>
      <w:r w:rsidRPr="00BB10D9">
        <w:rPr>
          <w:rFonts w:eastAsia="TimesNewRoman"/>
          <w:snapToGrid/>
          <w:szCs w:val="22"/>
          <w:u w:val="single"/>
          <w:lang w:val="hu-HU" w:eastAsia="en-GB"/>
        </w:rPr>
        <w:t xml:space="preserve"> Dapagliflozin/Metformin Polpharma 5 mg/850 mg filmtabletta </w:t>
      </w:r>
    </w:p>
    <w:p w14:paraId="04A87D76" w14:textId="61904F7E" w:rsidR="004F0419" w:rsidRPr="00E076F1" w:rsidRDefault="002F4F3D"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p</w:t>
      </w:r>
      <w:r w:rsidR="004F0419" w:rsidRPr="00E076F1">
        <w:rPr>
          <w:snapToGrid/>
          <w:szCs w:val="22"/>
          <w:lang w:val="hu-HU" w:eastAsia="en-GB"/>
        </w:rPr>
        <w:t>oli</w:t>
      </w:r>
      <w:r w:rsidR="00CC76B2" w:rsidRPr="00E076F1">
        <w:rPr>
          <w:snapToGrid/>
          <w:szCs w:val="22"/>
          <w:lang w:val="hu-HU" w:eastAsia="en-GB"/>
        </w:rPr>
        <w:t>(</w:t>
      </w:r>
      <w:r w:rsidR="004F0419" w:rsidRPr="00E076F1">
        <w:rPr>
          <w:snapToGrid/>
          <w:szCs w:val="22"/>
          <w:lang w:val="hu-HU" w:eastAsia="en-GB"/>
        </w:rPr>
        <w:t>vinil-alkohol</w:t>
      </w:r>
      <w:r w:rsidR="00CC76B2" w:rsidRPr="00E076F1">
        <w:rPr>
          <w:snapToGrid/>
          <w:szCs w:val="22"/>
          <w:lang w:val="hu-HU" w:eastAsia="en-GB"/>
        </w:rPr>
        <w:t>)</w:t>
      </w:r>
    </w:p>
    <w:p w14:paraId="1343FD28" w14:textId="78467A26" w:rsidR="00722F99" w:rsidRPr="00E076F1" w:rsidRDefault="002F4F3D"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t</w:t>
      </w:r>
      <w:r w:rsidR="00722F99" w:rsidRPr="00E076F1">
        <w:rPr>
          <w:snapToGrid/>
          <w:szCs w:val="22"/>
          <w:lang w:val="hu-HU" w:eastAsia="en-GB"/>
        </w:rPr>
        <w:t>itán-dioxid (E171)</w:t>
      </w:r>
    </w:p>
    <w:p w14:paraId="4EE1B9CF" w14:textId="42C8FACA" w:rsidR="004F0419" w:rsidRPr="00E076F1" w:rsidRDefault="002F4F3D"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m</w:t>
      </w:r>
      <w:r w:rsidR="004F0419" w:rsidRPr="00E076F1">
        <w:rPr>
          <w:snapToGrid/>
          <w:szCs w:val="22"/>
          <w:lang w:val="hu-HU" w:eastAsia="en-GB"/>
        </w:rPr>
        <w:t>akrogol 3350</w:t>
      </w:r>
    </w:p>
    <w:p w14:paraId="44A21EE7" w14:textId="334A024E" w:rsidR="004F0419" w:rsidRPr="00E076F1" w:rsidRDefault="002F4F3D"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t</w:t>
      </w:r>
      <w:r w:rsidR="004F0419" w:rsidRPr="00E076F1">
        <w:rPr>
          <w:snapToGrid/>
          <w:szCs w:val="22"/>
          <w:lang w:val="hu-HU" w:eastAsia="en-GB"/>
        </w:rPr>
        <w:t>alkum</w:t>
      </w:r>
    </w:p>
    <w:p w14:paraId="7D39A4DE" w14:textId="39474BE5" w:rsidR="004F0419" w:rsidRPr="00E076F1" w:rsidRDefault="002F4F3D"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s</w:t>
      </w:r>
      <w:r w:rsidR="004F0419" w:rsidRPr="00E076F1">
        <w:rPr>
          <w:snapToGrid/>
          <w:szCs w:val="22"/>
          <w:lang w:val="hu-HU" w:eastAsia="en-GB"/>
        </w:rPr>
        <w:t>árga vas-oxid (E172)</w:t>
      </w:r>
    </w:p>
    <w:p w14:paraId="2776DD33" w14:textId="7F3756B2" w:rsidR="004F0419" w:rsidRPr="00E076F1" w:rsidRDefault="002F4F3D"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v</w:t>
      </w:r>
      <w:r w:rsidR="004F0419" w:rsidRPr="00E076F1">
        <w:rPr>
          <w:snapToGrid/>
          <w:szCs w:val="22"/>
          <w:lang w:val="hu-HU" w:eastAsia="en-GB"/>
        </w:rPr>
        <w:t>örös vas-oxid (E172)</w:t>
      </w:r>
    </w:p>
    <w:p w14:paraId="79D8FE4D" w14:textId="77777777" w:rsidR="004F0419" w:rsidRPr="00E076F1" w:rsidRDefault="004F0419" w:rsidP="00E076F1">
      <w:pPr>
        <w:tabs>
          <w:tab w:val="clear" w:pos="567"/>
        </w:tabs>
        <w:autoSpaceDE w:val="0"/>
        <w:autoSpaceDN w:val="0"/>
        <w:adjustRightInd w:val="0"/>
        <w:spacing w:line="240" w:lineRule="auto"/>
        <w:rPr>
          <w:rFonts w:eastAsia="TimesNewRoman,Italic"/>
          <w:i/>
          <w:iCs/>
          <w:snapToGrid/>
          <w:szCs w:val="22"/>
          <w:highlight w:val="yellow"/>
          <w:lang w:val="hu-HU" w:eastAsia="en-GB"/>
        </w:rPr>
      </w:pPr>
    </w:p>
    <w:p w14:paraId="1610AD72" w14:textId="5A3C31D1" w:rsidR="004F0419" w:rsidRPr="00E076F1" w:rsidRDefault="007C679A" w:rsidP="00E076F1">
      <w:pPr>
        <w:tabs>
          <w:tab w:val="clear" w:pos="567"/>
        </w:tabs>
        <w:autoSpaceDE w:val="0"/>
        <w:autoSpaceDN w:val="0"/>
        <w:adjustRightInd w:val="0"/>
        <w:spacing w:line="240" w:lineRule="auto"/>
        <w:rPr>
          <w:rFonts w:eastAsia="TimesNewRoman,Italic"/>
          <w:i/>
          <w:iCs/>
          <w:snapToGrid/>
          <w:szCs w:val="22"/>
          <w:u w:val="single"/>
          <w:lang w:val="hu-HU" w:eastAsia="en-GB"/>
        </w:rPr>
      </w:pPr>
      <w:bookmarkStart w:id="4" w:name="_Hlk131240629"/>
      <w:r w:rsidRPr="00E076F1">
        <w:rPr>
          <w:snapToGrid/>
          <w:szCs w:val="22"/>
          <w:u w:val="single"/>
          <w:lang w:val="hu-HU" w:eastAsia="en-GB"/>
        </w:rPr>
        <w:t>Bevonat</w:t>
      </w:r>
      <w:r w:rsidRPr="00E076F1">
        <w:rPr>
          <w:rFonts w:eastAsia="TimesNewRoman"/>
          <w:snapToGrid/>
          <w:szCs w:val="22"/>
          <w:u w:val="single"/>
          <w:lang w:val="hu-HU" w:eastAsia="en-GB"/>
        </w:rPr>
        <w:t xml:space="preserve"> Dapagliflozin/Metformin Polpharma </w:t>
      </w:r>
      <w:bookmarkEnd w:id="4"/>
      <w:r w:rsidR="004F0419" w:rsidRPr="00E076F1">
        <w:rPr>
          <w:rFonts w:eastAsia="TimesNewRoman,Italic"/>
          <w:snapToGrid/>
          <w:szCs w:val="22"/>
          <w:u w:val="single"/>
          <w:lang w:val="hu-HU" w:eastAsia="en-GB"/>
        </w:rPr>
        <w:t>5</w:t>
      </w:r>
      <w:r w:rsidR="00122450" w:rsidRPr="00E076F1">
        <w:rPr>
          <w:rFonts w:eastAsia="TimesNewRoman,Italic"/>
          <w:snapToGrid/>
          <w:szCs w:val="22"/>
          <w:u w:val="single"/>
          <w:lang w:val="hu-HU" w:eastAsia="en-GB"/>
        </w:rPr>
        <w:t> mg</w:t>
      </w:r>
      <w:r w:rsidR="004F0419" w:rsidRPr="00E076F1">
        <w:rPr>
          <w:rFonts w:eastAsia="TimesNewRoman,Italic"/>
          <w:snapToGrid/>
          <w:szCs w:val="22"/>
          <w:u w:val="single"/>
          <w:lang w:val="hu-HU" w:eastAsia="en-GB"/>
        </w:rPr>
        <w:t>/1000</w:t>
      </w:r>
      <w:r w:rsidR="00122450" w:rsidRPr="00E076F1">
        <w:rPr>
          <w:rFonts w:eastAsia="TimesNewRoman,Italic"/>
          <w:snapToGrid/>
          <w:szCs w:val="22"/>
          <w:u w:val="single"/>
          <w:lang w:val="hu-HU" w:eastAsia="en-GB"/>
        </w:rPr>
        <w:t> mg</w:t>
      </w:r>
      <w:r w:rsidRPr="00E076F1">
        <w:rPr>
          <w:rFonts w:eastAsia="TimesNewRoman,Italic"/>
          <w:snapToGrid/>
          <w:szCs w:val="22"/>
          <w:u w:val="single"/>
          <w:lang w:val="hu-HU" w:eastAsia="en-GB"/>
        </w:rPr>
        <w:t xml:space="preserve"> filmtabletta</w:t>
      </w:r>
    </w:p>
    <w:p w14:paraId="1D060859" w14:textId="524FFCCF" w:rsidR="00620432" w:rsidRPr="00E076F1" w:rsidRDefault="00E90FEC"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p</w:t>
      </w:r>
      <w:r w:rsidR="00620432" w:rsidRPr="00E076F1">
        <w:rPr>
          <w:snapToGrid/>
          <w:szCs w:val="22"/>
          <w:lang w:val="hu-HU" w:eastAsia="en-GB"/>
        </w:rPr>
        <w:t>oli</w:t>
      </w:r>
      <w:r w:rsidR="00CC76B2" w:rsidRPr="00E076F1">
        <w:rPr>
          <w:snapToGrid/>
          <w:szCs w:val="22"/>
          <w:lang w:val="hu-HU" w:eastAsia="en-GB"/>
        </w:rPr>
        <w:t>(</w:t>
      </w:r>
      <w:r w:rsidR="00620432" w:rsidRPr="00E076F1">
        <w:rPr>
          <w:snapToGrid/>
          <w:szCs w:val="22"/>
          <w:lang w:val="hu-HU" w:eastAsia="en-GB"/>
        </w:rPr>
        <w:t>vinil-alkohol</w:t>
      </w:r>
      <w:r w:rsidR="00CC76B2" w:rsidRPr="00E076F1">
        <w:rPr>
          <w:snapToGrid/>
          <w:szCs w:val="22"/>
          <w:lang w:val="hu-HU" w:eastAsia="en-GB"/>
        </w:rPr>
        <w:t>)</w:t>
      </w:r>
    </w:p>
    <w:p w14:paraId="0B7B0285" w14:textId="61A281E4" w:rsidR="00620432" w:rsidRPr="00E076F1" w:rsidRDefault="00E90FEC"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t</w:t>
      </w:r>
      <w:r w:rsidR="00620432" w:rsidRPr="00E076F1">
        <w:rPr>
          <w:snapToGrid/>
          <w:szCs w:val="22"/>
          <w:lang w:val="hu-HU" w:eastAsia="en-GB"/>
        </w:rPr>
        <w:t>itán-dioxid (E171)</w:t>
      </w:r>
    </w:p>
    <w:p w14:paraId="091C6709" w14:textId="325DE8DD" w:rsidR="00620432" w:rsidRPr="00E076F1" w:rsidRDefault="00E90FEC"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m</w:t>
      </w:r>
      <w:r w:rsidR="00620432" w:rsidRPr="00E076F1">
        <w:rPr>
          <w:snapToGrid/>
          <w:szCs w:val="22"/>
          <w:lang w:val="hu-HU" w:eastAsia="en-GB"/>
        </w:rPr>
        <w:t>akrogol 3350</w:t>
      </w:r>
    </w:p>
    <w:p w14:paraId="21A97905" w14:textId="57BB2260" w:rsidR="00620432" w:rsidRPr="00E076F1" w:rsidRDefault="00E90FEC"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t</w:t>
      </w:r>
      <w:r w:rsidR="00620432" w:rsidRPr="00E076F1">
        <w:rPr>
          <w:snapToGrid/>
          <w:szCs w:val="22"/>
          <w:lang w:val="hu-HU" w:eastAsia="en-GB"/>
        </w:rPr>
        <w:t>alkum</w:t>
      </w:r>
    </w:p>
    <w:p w14:paraId="7D9489DB" w14:textId="4122B0A4" w:rsidR="00620432" w:rsidRPr="00E076F1" w:rsidRDefault="00E90FEC"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s</w:t>
      </w:r>
      <w:r w:rsidR="00620432" w:rsidRPr="00E076F1">
        <w:rPr>
          <w:snapToGrid/>
          <w:szCs w:val="22"/>
          <w:lang w:val="hu-HU" w:eastAsia="en-GB"/>
        </w:rPr>
        <w:t>árga vas-oxid (E172)</w:t>
      </w:r>
    </w:p>
    <w:p w14:paraId="6EA4F505" w14:textId="77777777" w:rsidR="004F0419" w:rsidRPr="00BB10D9" w:rsidRDefault="004F0419" w:rsidP="00E076F1">
      <w:pPr>
        <w:spacing w:line="240" w:lineRule="auto"/>
        <w:rPr>
          <w:rFonts w:eastAsia="Times New Roman"/>
          <w:noProof/>
          <w:snapToGrid/>
          <w:szCs w:val="22"/>
          <w:highlight w:val="yellow"/>
          <w:lang w:val="hu-HU" w:eastAsia="en-US"/>
        </w:rPr>
      </w:pPr>
    </w:p>
    <w:p w14:paraId="40DAA223"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6.2</w:t>
      </w:r>
      <w:r w:rsidRPr="00E076F1">
        <w:rPr>
          <w:rFonts w:eastAsia="Times New Roman"/>
          <w:b/>
          <w:noProof/>
          <w:snapToGrid/>
          <w:szCs w:val="22"/>
          <w:lang w:val="hu-HU" w:eastAsia="en-US"/>
        </w:rPr>
        <w:tab/>
        <w:t>Inkompatibilitások</w:t>
      </w:r>
    </w:p>
    <w:p w14:paraId="1E8AE7B1" w14:textId="77777777" w:rsidR="00F45C51" w:rsidRPr="00E076F1" w:rsidRDefault="00F45C51" w:rsidP="00E076F1">
      <w:pPr>
        <w:spacing w:line="240" w:lineRule="auto"/>
        <w:rPr>
          <w:rFonts w:eastAsia="Times New Roman"/>
          <w:noProof/>
          <w:snapToGrid/>
          <w:szCs w:val="22"/>
          <w:lang w:val="hu-HU" w:eastAsia="en-US"/>
        </w:rPr>
      </w:pPr>
    </w:p>
    <w:p w14:paraId="51E73602" w14:textId="6B56A0FB" w:rsidR="00F45C51" w:rsidRPr="00E076F1" w:rsidRDefault="00D05999" w:rsidP="00E076F1">
      <w:pPr>
        <w:spacing w:line="240" w:lineRule="auto"/>
        <w:rPr>
          <w:rFonts w:eastAsia="Times New Roman"/>
          <w:noProof/>
          <w:snapToGrid/>
          <w:szCs w:val="22"/>
          <w:lang w:val="hu-HU" w:eastAsia="en-US"/>
        </w:rPr>
      </w:pPr>
      <w:r w:rsidRPr="00E076F1">
        <w:rPr>
          <w:rFonts w:eastAsia="Times New Roman"/>
          <w:noProof/>
          <w:snapToGrid/>
          <w:szCs w:val="22"/>
          <w:lang w:val="hu-HU" w:eastAsia="en-US"/>
        </w:rPr>
        <w:t>Nem értelmezhető.</w:t>
      </w:r>
    </w:p>
    <w:p w14:paraId="017D41B8" w14:textId="77777777" w:rsidR="00F45C51" w:rsidRPr="00E076F1" w:rsidRDefault="00F45C51" w:rsidP="00E076F1">
      <w:pPr>
        <w:tabs>
          <w:tab w:val="clear" w:pos="567"/>
          <w:tab w:val="left" w:pos="2280"/>
        </w:tabs>
        <w:spacing w:line="240" w:lineRule="auto"/>
        <w:rPr>
          <w:lang w:val="hu-HU"/>
        </w:rPr>
      </w:pPr>
    </w:p>
    <w:p w14:paraId="3D4EF334"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6.3</w:t>
      </w:r>
      <w:r w:rsidRPr="00E076F1">
        <w:rPr>
          <w:rFonts w:eastAsia="Times New Roman"/>
          <w:b/>
          <w:noProof/>
          <w:snapToGrid/>
          <w:szCs w:val="22"/>
          <w:lang w:val="hu-HU" w:eastAsia="en-US"/>
        </w:rPr>
        <w:tab/>
        <w:t>Felhasználhatósági időtartam</w:t>
      </w:r>
    </w:p>
    <w:p w14:paraId="18D4F70C" w14:textId="77777777" w:rsidR="00F45C51" w:rsidRPr="00E076F1" w:rsidRDefault="00F45C51" w:rsidP="00E076F1">
      <w:pPr>
        <w:spacing w:line="240" w:lineRule="auto"/>
        <w:rPr>
          <w:rFonts w:eastAsia="Times New Roman"/>
          <w:noProof/>
          <w:snapToGrid/>
          <w:szCs w:val="22"/>
          <w:lang w:val="hu-HU" w:eastAsia="en-US"/>
        </w:rPr>
      </w:pPr>
    </w:p>
    <w:p w14:paraId="3D164E8B" w14:textId="0F596C64" w:rsidR="00F45C51" w:rsidRPr="00E076F1" w:rsidRDefault="005716E2" w:rsidP="00E076F1">
      <w:pPr>
        <w:spacing w:line="240" w:lineRule="auto"/>
        <w:rPr>
          <w:rFonts w:eastAsia="Times New Roman"/>
          <w:noProof/>
          <w:snapToGrid/>
          <w:szCs w:val="22"/>
          <w:lang w:val="hu-HU" w:eastAsia="en-US"/>
        </w:rPr>
      </w:pPr>
      <w:r w:rsidRPr="00E076F1">
        <w:rPr>
          <w:rFonts w:eastAsia="Times New Roman"/>
          <w:noProof/>
          <w:snapToGrid/>
          <w:szCs w:val="22"/>
          <w:lang w:val="hu-HU" w:eastAsia="en-US"/>
        </w:rPr>
        <w:t>3</w:t>
      </w:r>
      <w:r w:rsidR="00D05999" w:rsidRPr="00E076F1">
        <w:rPr>
          <w:rFonts w:eastAsia="Times New Roman"/>
          <w:noProof/>
          <w:snapToGrid/>
          <w:szCs w:val="22"/>
          <w:lang w:val="hu-HU" w:eastAsia="en-US"/>
        </w:rPr>
        <w:t xml:space="preserve"> év</w:t>
      </w:r>
    </w:p>
    <w:p w14:paraId="1BCFF367" w14:textId="77777777" w:rsidR="00F45C51" w:rsidRPr="00E076F1" w:rsidRDefault="00F45C51" w:rsidP="00E076F1">
      <w:pPr>
        <w:spacing w:line="240" w:lineRule="auto"/>
        <w:rPr>
          <w:rFonts w:eastAsia="Times New Roman"/>
          <w:noProof/>
          <w:snapToGrid/>
          <w:szCs w:val="22"/>
          <w:lang w:val="hu-HU" w:eastAsia="en-US"/>
        </w:rPr>
      </w:pPr>
    </w:p>
    <w:p w14:paraId="1623B375" w14:textId="77777777" w:rsidR="00F45C51" w:rsidRPr="00E076F1" w:rsidRDefault="00D05999" w:rsidP="00CE5342">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6.4</w:t>
      </w:r>
      <w:r w:rsidRPr="00E076F1">
        <w:rPr>
          <w:rFonts w:eastAsia="Times New Roman"/>
          <w:b/>
          <w:noProof/>
          <w:snapToGrid/>
          <w:szCs w:val="22"/>
          <w:lang w:val="hu-HU" w:eastAsia="en-US"/>
        </w:rPr>
        <w:tab/>
        <w:t>Különleges tárolási előírások</w:t>
      </w:r>
    </w:p>
    <w:p w14:paraId="72A85183" w14:textId="77777777" w:rsidR="00F45C51" w:rsidRPr="00E076F1" w:rsidRDefault="00F45C51" w:rsidP="00CE5342">
      <w:pPr>
        <w:spacing w:line="240" w:lineRule="auto"/>
        <w:ind w:left="567" w:hanging="567"/>
        <w:outlineLvl w:val="0"/>
        <w:rPr>
          <w:bCs/>
          <w:lang w:val="hu-HU"/>
        </w:rPr>
      </w:pPr>
    </w:p>
    <w:p w14:paraId="3E4C0FC4" w14:textId="60199190" w:rsidR="00F45C51" w:rsidRPr="00E076F1" w:rsidRDefault="004F0419" w:rsidP="00CE5342">
      <w:pPr>
        <w:spacing w:line="240" w:lineRule="auto"/>
        <w:rPr>
          <w:rFonts w:eastAsia="Times New Roman"/>
          <w:noProof/>
          <w:snapToGrid/>
          <w:szCs w:val="22"/>
          <w:lang w:val="hu-HU" w:eastAsia="en-US"/>
        </w:rPr>
      </w:pPr>
      <w:r w:rsidRPr="00E076F1">
        <w:rPr>
          <w:snapToGrid/>
          <w:szCs w:val="22"/>
          <w:lang w:val="hu-HU" w:eastAsia="en-GB"/>
        </w:rPr>
        <w:t>Ez a gyógyszer nem igényel különleges tárolást</w:t>
      </w:r>
      <w:r w:rsidR="00620432" w:rsidRPr="00E076F1">
        <w:rPr>
          <w:snapToGrid/>
          <w:szCs w:val="22"/>
          <w:lang w:val="hu-HU" w:eastAsia="en-GB"/>
        </w:rPr>
        <w:t>.</w:t>
      </w:r>
    </w:p>
    <w:p w14:paraId="59693033" w14:textId="77777777" w:rsidR="00077267" w:rsidRPr="00E076F1" w:rsidRDefault="00077267" w:rsidP="00E076F1">
      <w:pPr>
        <w:spacing w:line="240" w:lineRule="auto"/>
        <w:rPr>
          <w:rFonts w:eastAsia="Times New Roman"/>
          <w:noProof/>
          <w:snapToGrid/>
          <w:szCs w:val="22"/>
          <w:lang w:val="hu-HU" w:eastAsia="en-US"/>
        </w:rPr>
      </w:pPr>
    </w:p>
    <w:p w14:paraId="336AFF3A"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6.5</w:t>
      </w:r>
      <w:r w:rsidRPr="00E076F1">
        <w:rPr>
          <w:rFonts w:eastAsia="Times New Roman"/>
          <w:b/>
          <w:noProof/>
          <w:snapToGrid/>
          <w:szCs w:val="22"/>
          <w:lang w:val="hu-HU" w:eastAsia="en-US"/>
        </w:rPr>
        <w:tab/>
        <w:t xml:space="preserve">Csomagolás típusa és kiszerelése </w:t>
      </w:r>
    </w:p>
    <w:p w14:paraId="2ACE2C30" w14:textId="77777777" w:rsidR="00F45C51" w:rsidRPr="00E076F1" w:rsidRDefault="00F45C51" w:rsidP="00E076F1">
      <w:pPr>
        <w:spacing w:line="240" w:lineRule="auto"/>
        <w:rPr>
          <w:rFonts w:eastAsia="Times New Roman"/>
          <w:noProof/>
          <w:snapToGrid/>
          <w:szCs w:val="22"/>
          <w:lang w:val="hu-HU" w:eastAsia="en-US"/>
        </w:rPr>
      </w:pPr>
    </w:p>
    <w:p w14:paraId="138CDB5D" w14:textId="62A34FE5" w:rsidR="004F0419" w:rsidRPr="00E076F1" w:rsidRDefault="0062043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AL/</w:t>
      </w:r>
      <w:r w:rsidR="00646D39">
        <w:rPr>
          <w:snapToGrid/>
          <w:szCs w:val="22"/>
          <w:lang w:val="hu-HU" w:eastAsia="en-GB"/>
        </w:rPr>
        <w:t>/</w:t>
      </w:r>
      <w:r w:rsidR="004F0419" w:rsidRPr="00E076F1">
        <w:rPr>
          <w:snapToGrid/>
          <w:szCs w:val="22"/>
          <w:lang w:val="hu-HU" w:eastAsia="en-GB"/>
        </w:rPr>
        <w:t>PVC/PCTFE buborékcsomagolás.</w:t>
      </w:r>
    </w:p>
    <w:p w14:paraId="276A816A" w14:textId="2D88F2B3" w:rsidR="004F0419" w:rsidRPr="00E076F1" w:rsidRDefault="004F0419"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Kiszerelés</w:t>
      </w:r>
      <w:r w:rsidR="00620432" w:rsidRPr="00E076F1">
        <w:rPr>
          <w:snapToGrid/>
          <w:szCs w:val="22"/>
          <w:lang w:val="hu-HU" w:eastAsia="en-GB"/>
        </w:rPr>
        <w:t xml:space="preserve">: </w:t>
      </w:r>
      <w:bookmarkStart w:id="5" w:name="_Hlk110517822"/>
      <w:r w:rsidR="00620432" w:rsidRPr="00E076F1">
        <w:rPr>
          <w:szCs w:val="22"/>
          <w:lang w:val="hu-HU"/>
        </w:rPr>
        <w:t>10, 14, 28, 30, 56, 60, 90, 120, 180, 196</w:t>
      </w:r>
      <w:bookmarkEnd w:id="5"/>
      <w:r w:rsidR="00620432" w:rsidRPr="00E076F1">
        <w:rPr>
          <w:szCs w:val="22"/>
          <w:lang w:val="hu-HU"/>
        </w:rPr>
        <w:t xml:space="preserve"> </w:t>
      </w:r>
      <w:r w:rsidR="00620432" w:rsidRPr="00E076F1">
        <w:rPr>
          <w:snapToGrid/>
          <w:szCs w:val="22"/>
          <w:lang w:val="hu-HU" w:eastAsia="en-GB"/>
        </w:rPr>
        <w:t>filmtabletta</w:t>
      </w:r>
      <w:r w:rsidR="001F1872">
        <w:rPr>
          <w:snapToGrid/>
          <w:szCs w:val="22"/>
          <w:lang w:val="hu-HU" w:eastAsia="en-GB"/>
        </w:rPr>
        <w:t>.</w:t>
      </w:r>
    </w:p>
    <w:p w14:paraId="4BB2C34A" w14:textId="77777777" w:rsidR="00620432" w:rsidRPr="00E076F1" w:rsidRDefault="00620432" w:rsidP="00E076F1">
      <w:pPr>
        <w:spacing w:line="240" w:lineRule="auto"/>
        <w:ind w:left="567" w:hanging="567"/>
        <w:outlineLvl w:val="0"/>
        <w:rPr>
          <w:snapToGrid/>
          <w:szCs w:val="22"/>
          <w:lang w:val="hu-HU" w:eastAsia="en-GB"/>
        </w:rPr>
      </w:pPr>
    </w:p>
    <w:p w14:paraId="48208BBD" w14:textId="52BD8561" w:rsidR="004F0419" w:rsidRPr="00E076F1" w:rsidRDefault="004F0419" w:rsidP="00E076F1">
      <w:pPr>
        <w:spacing w:line="240" w:lineRule="auto"/>
        <w:ind w:left="567" w:hanging="567"/>
        <w:outlineLvl w:val="0"/>
        <w:rPr>
          <w:snapToGrid/>
          <w:szCs w:val="22"/>
          <w:lang w:val="hu-HU" w:eastAsia="en-GB"/>
        </w:rPr>
      </w:pPr>
      <w:r w:rsidRPr="00E076F1">
        <w:rPr>
          <w:snapToGrid/>
          <w:szCs w:val="22"/>
          <w:lang w:val="hu-HU" w:eastAsia="en-GB"/>
        </w:rPr>
        <w:t>Nem feltétlenül mindegyik kiszerelés kerül kereskedelmi forgalomba.</w:t>
      </w:r>
    </w:p>
    <w:p w14:paraId="3CB3D589" w14:textId="77777777" w:rsidR="004F0419" w:rsidRPr="00E076F1" w:rsidRDefault="004F0419" w:rsidP="00E076F1">
      <w:pPr>
        <w:spacing w:line="240" w:lineRule="auto"/>
        <w:ind w:left="567" w:hanging="567"/>
        <w:outlineLvl w:val="0"/>
        <w:rPr>
          <w:snapToGrid/>
          <w:szCs w:val="22"/>
          <w:lang w:val="hu-HU" w:eastAsia="en-GB"/>
        </w:rPr>
      </w:pPr>
    </w:p>
    <w:p w14:paraId="44218EDD" w14:textId="379EEFEC"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6.6</w:t>
      </w:r>
      <w:r w:rsidRPr="00E076F1">
        <w:rPr>
          <w:rFonts w:eastAsia="Times New Roman"/>
          <w:b/>
          <w:noProof/>
          <w:snapToGrid/>
          <w:szCs w:val="22"/>
          <w:lang w:val="hu-HU" w:eastAsia="en-US"/>
        </w:rPr>
        <w:tab/>
        <w:t>A megsemmisítésre vonatkozó különleges óvintézkedések és egyéb, a készítmény kezelésével kapcsolatos információk</w:t>
      </w:r>
    </w:p>
    <w:p w14:paraId="732422A1" w14:textId="77777777" w:rsidR="00BE793B" w:rsidRPr="00E076F1" w:rsidRDefault="00BE793B" w:rsidP="00E076F1">
      <w:pPr>
        <w:tabs>
          <w:tab w:val="clear" w:pos="567"/>
          <w:tab w:val="left" w:pos="0"/>
        </w:tabs>
        <w:spacing w:line="240" w:lineRule="auto"/>
        <w:outlineLvl w:val="0"/>
        <w:rPr>
          <w:rFonts w:eastAsia="Times New Roman"/>
          <w:noProof/>
          <w:snapToGrid/>
          <w:szCs w:val="22"/>
          <w:lang w:val="hu-HU" w:eastAsia="en-US"/>
        </w:rPr>
      </w:pPr>
    </w:p>
    <w:p w14:paraId="4C5165A3" w14:textId="4F211B1D" w:rsidR="00F45C51" w:rsidRPr="00E076F1" w:rsidRDefault="00D05999" w:rsidP="00E076F1">
      <w:pPr>
        <w:spacing w:line="240" w:lineRule="auto"/>
        <w:rPr>
          <w:rFonts w:eastAsia="Times New Roman"/>
          <w:noProof/>
          <w:snapToGrid/>
          <w:szCs w:val="22"/>
          <w:lang w:val="hu-HU" w:eastAsia="en-US"/>
        </w:rPr>
      </w:pPr>
      <w:r w:rsidRPr="00E076F1">
        <w:rPr>
          <w:rFonts w:eastAsia="Times New Roman"/>
          <w:noProof/>
          <w:snapToGrid/>
          <w:szCs w:val="22"/>
          <w:lang w:val="hu-HU" w:eastAsia="en-US"/>
        </w:rPr>
        <w:t xml:space="preserve">Bármilyen fel nem használt gyógyszer, illetve hulladékanyag megsemmisítését a </w:t>
      </w:r>
      <w:r w:rsidR="00127C1D" w:rsidRPr="00E076F1">
        <w:rPr>
          <w:rFonts w:eastAsia="Times New Roman"/>
          <w:noProof/>
          <w:snapToGrid/>
          <w:szCs w:val="22"/>
          <w:lang w:val="hu-HU" w:eastAsia="en-US"/>
        </w:rPr>
        <w:t>gyógyszerekre vonatkozó</w:t>
      </w:r>
      <w:r w:rsidRPr="00E076F1">
        <w:rPr>
          <w:rFonts w:eastAsia="Times New Roman"/>
          <w:noProof/>
          <w:snapToGrid/>
          <w:szCs w:val="22"/>
          <w:lang w:val="hu-HU" w:eastAsia="en-US"/>
        </w:rPr>
        <w:t xml:space="preserve"> előírások szerint kell végrehajtani.</w:t>
      </w:r>
    </w:p>
    <w:p w14:paraId="69B4EE76" w14:textId="77777777" w:rsidR="00F45C51" w:rsidRPr="00E076F1" w:rsidRDefault="00F45C51" w:rsidP="00E076F1">
      <w:pPr>
        <w:spacing w:line="240" w:lineRule="auto"/>
        <w:ind w:left="567" w:hanging="567"/>
        <w:outlineLvl w:val="0"/>
        <w:rPr>
          <w:bCs/>
          <w:lang w:val="hu-HU"/>
        </w:rPr>
      </w:pPr>
    </w:p>
    <w:p w14:paraId="6ED11964" w14:textId="786E4E52" w:rsidR="00692F3D" w:rsidRPr="00E076F1" w:rsidRDefault="00692F3D" w:rsidP="00E076F1">
      <w:pPr>
        <w:spacing w:line="240" w:lineRule="auto"/>
        <w:ind w:left="567" w:hanging="567"/>
        <w:outlineLvl w:val="0"/>
        <w:rPr>
          <w:bCs/>
          <w:lang w:val="hu-HU"/>
        </w:rPr>
      </w:pPr>
      <w:r w:rsidRPr="00BB10D9">
        <w:rPr>
          <w:b/>
          <w:lang w:val="hu-HU"/>
        </w:rPr>
        <w:t>Megjegyzés:</w:t>
      </w:r>
      <w:r w:rsidRPr="00E076F1">
        <w:rPr>
          <w:bCs/>
          <w:lang w:val="hu-HU"/>
        </w:rPr>
        <w:t xml:space="preserve"> </w:t>
      </w:r>
      <w:r w:rsidRPr="00E076F1">
        <w:rPr>
          <w:b/>
          <w:bCs/>
        </w:rPr>
        <w:sym w:font="Wingdings" w:char="F058"/>
      </w:r>
      <w:r w:rsidRPr="00E076F1">
        <w:rPr>
          <w:bCs/>
          <w:lang w:val="hu-HU"/>
        </w:rPr>
        <w:t xml:space="preserve"> (egy keresztes)</w:t>
      </w:r>
    </w:p>
    <w:p w14:paraId="66C7FD73" w14:textId="6AE6902E" w:rsidR="00692F3D" w:rsidRPr="00E076F1" w:rsidRDefault="00692F3D" w:rsidP="00E076F1">
      <w:pPr>
        <w:spacing w:line="240" w:lineRule="auto"/>
        <w:ind w:left="567" w:hanging="567"/>
        <w:outlineLvl w:val="0"/>
        <w:rPr>
          <w:bCs/>
          <w:lang w:val="hu-HU"/>
        </w:rPr>
      </w:pPr>
      <w:r w:rsidRPr="00BB10D9">
        <w:rPr>
          <w:b/>
          <w:lang w:val="hu-HU"/>
        </w:rPr>
        <w:t>Osztályozás:</w:t>
      </w:r>
      <w:r w:rsidRPr="00E076F1">
        <w:rPr>
          <w:bCs/>
          <w:lang w:val="hu-HU"/>
        </w:rPr>
        <w:t xml:space="preserve"> </w:t>
      </w:r>
      <w:r w:rsidRPr="00F15892">
        <w:rPr>
          <w:b/>
          <w:bCs/>
          <w:lang w:val="hu-HU"/>
        </w:rPr>
        <w:t>II. csoport</w:t>
      </w:r>
    </w:p>
    <w:p w14:paraId="5D2D134F" w14:textId="2A362E3F" w:rsidR="00F45C51" w:rsidRPr="00E076F1" w:rsidRDefault="00245220" w:rsidP="00E076F1">
      <w:pPr>
        <w:spacing w:line="240" w:lineRule="auto"/>
        <w:ind w:left="567" w:hanging="567"/>
        <w:outlineLvl w:val="0"/>
        <w:rPr>
          <w:bCs/>
          <w:lang w:val="hu-HU"/>
        </w:rPr>
      </w:pPr>
      <w:r w:rsidRPr="00E076F1">
        <w:rPr>
          <w:bCs/>
          <w:lang w:val="hu-HU"/>
        </w:rPr>
        <w:t>Kizárólag o</w:t>
      </w:r>
      <w:r w:rsidR="00692F3D" w:rsidRPr="00E076F1">
        <w:rPr>
          <w:bCs/>
          <w:lang w:val="hu-HU"/>
        </w:rPr>
        <w:t>rvosi rendelvényhez kötött gyógyszer (</w:t>
      </w:r>
      <w:r w:rsidR="00F61D2E">
        <w:rPr>
          <w:bCs/>
          <w:lang w:val="hu-HU"/>
        </w:rPr>
        <w:t>V</w:t>
      </w:r>
      <w:r w:rsidR="00692F3D" w:rsidRPr="00E076F1">
        <w:rPr>
          <w:bCs/>
          <w:lang w:val="hu-HU"/>
        </w:rPr>
        <w:t>)</w:t>
      </w:r>
      <w:r w:rsidR="00F61D2E">
        <w:rPr>
          <w:bCs/>
          <w:lang w:val="hu-HU"/>
        </w:rPr>
        <w:t>.</w:t>
      </w:r>
    </w:p>
    <w:p w14:paraId="233761CD" w14:textId="77777777" w:rsidR="00692F3D" w:rsidRDefault="00692F3D" w:rsidP="00E076F1">
      <w:pPr>
        <w:spacing w:line="240" w:lineRule="auto"/>
        <w:ind w:left="567" w:hanging="567"/>
        <w:outlineLvl w:val="0"/>
        <w:rPr>
          <w:bCs/>
          <w:lang w:val="hu-HU"/>
        </w:rPr>
      </w:pPr>
    </w:p>
    <w:p w14:paraId="193B1319" w14:textId="77777777" w:rsidR="006E6D48" w:rsidRPr="00E076F1" w:rsidRDefault="006E6D48" w:rsidP="00E076F1">
      <w:pPr>
        <w:spacing w:line="240" w:lineRule="auto"/>
        <w:ind w:left="567" w:hanging="567"/>
        <w:outlineLvl w:val="0"/>
        <w:rPr>
          <w:bCs/>
          <w:lang w:val="hu-HU"/>
        </w:rPr>
      </w:pPr>
    </w:p>
    <w:p w14:paraId="254AB3DD"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7.</w:t>
      </w:r>
      <w:r w:rsidRPr="00E076F1">
        <w:rPr>
          <w:rFonts w:eastAsia="Times New Roman"/>
          <w:b/>
          <w:noProof/>
          <w:snapToGrid/>
          <w:szCs w:val="22"/>
          <w:lang w:val="hu-HU" w:eastAsia="en-US"/>
        </w:rPr>
        <w:tab/>
        <w:t>A FORGALOMBA HOZATALI ENGEDÉLY JOGOSULTJA</w:t>
      </w:r>
    </w:p>
    <w:p w14:paraId="3DE2E9EC" w14:textId="77777777" w:rsidR="00F45C51" w:rsidRPr="00E076F1" w:rsidRDefault="00F45C51" w:rsidP="00E076F1">
      <w:pPr>
        <w:spacing w:line="240" w:lineRule="auto"/>
        <w:ind w:left="567" w:hanging="567"/>
        <w:outlineLvl w:val="0"/>
        <w:rPr>
          <w:bCs/>
          <w:lang w:val="hu-HU"/>
        </w:rPr>
      </w:pPr>
    </w:p>
    <w:p w14:paraId="6A61D257" w14:textId="77777777" w:rsidR="00620432" w:rsidRPr="00E076F1" w:rsidRDefault="00620432" w:rsidP="00E076F1">
      <w:pPr>
        <w:spacing w:line="240" w:lineRule="auto"/>
        <w:rPr>
          <w:rFonts w:eastAsia="Calibri"/>
          <w:lang w:val="hu-HU" w:eastAsia="pl-PL"/>
        </w:rPr>
      </w:pPr>
      <w:r w:rsidRPr="00E076F1">
        <w:rPr>
          <w:rFonts w:eastAsia="Calibri"/>
          <w:lang w:val="hu-HU" w:eastAsia="pl-PL"/>
        </w:rPr>
        <w:t>Zakłady Farmaceutyczne POLPHARMA S.A.</w:t>
      </w:r>
    </w:p>
    <w:p w14:paraId="1A28F2E4" w14:textId="6ADF4F67" w:rsidR="00320167" w:rsidRPr="00E076F1" w:rsidRDefault="00620432" w:rsidP="00E076F1">
      <w:pPr>
        <w:spacing w:line="240" w:lineRule="auto"/>
        <w:ind w:left="567" w:hanging="567"/>
        <w:outlineLvl w:val="0"/>
        <w:rPr>
          <w:rFonts w:eastAsia="Calibri"/>
          <w:lang w:val="hu-HU" w:eastAsia="pl-PL"/>
        </w:rPr>
      </w:pPr>
      <w:r w:rsidRPr="00E076F1">
        <w:rPr>
          <w:rFonts w:eastAsia="Calibri"/>
          <w:lang w:val="hu-HU" w:eastAsia="pl-PL"/>
        </w:rPr>
        <w:t>ul. Pelplińska 19, 83-200 Starogard Gdański</w:t>
      </w:r>
    </w:p>
    <w:p w14:paraId="77D4DCC2" w14:textId="13F61BBB" w:rsidR="00F45C51" w:rsidRPr="00E076F1" w:rsidRDefault="00620432" w:rsidP="00E076F1">
      <w:pPr>
        <w:spacing w:line="240" w:lineRule="auto"/>
        <w:ind w:left="567" w:hanging="567"/>
        <w:outlineLvl w:val="0"/>
        <w:rPr>
          <w:rFonts w:eastAsia="Calibri"/>
          <w:lang w:val="hu-HU" w:eastAsia="pl-PL"/>
        </w:rPr>
      </w:pPr>
      <w:r w:rsidRPr="00E076F1">
        <w:rPr>
          <w:rFonts w:eastAsia="Calibri"/>
          <w:lang w:val="hu-HU" w:eastAsia="pl-PL"/>
        </w:rPr>
        <w:t>Lengyelország</w:t>
      </w:r>
    </w:p>
    <w:p w14:paraId="7DF43CB0" w14:textId="77777777" w:rsidR="00620432" w:rsidRPr="00E076F1" w:rsidRDefault="00620432" w:rsidP="00E076F1">
      <w:pPr>
        <w:spacing w:line="240" w:lineRule="auto"/>
        <w:ind w:left="567" w:hanging="567"/>
        <w:outlineLvl w:val="0"/>
        <w:rPr>
          <w:bCs/>
          <w:lang w:val="hu-HU"/>
        </w:rPr>
      </w:pPr>
    </w:p>
    <w:p w14:paraId="3C25EA39" w14:textId="77777777" w:rsidR="00F45C51" w:rsidRPr="00E076F1" w:rsidRDefault="00F45C51" w:rsidP="00E076F1">
      <w:pPr>
        <w:spacing w:line="240" w:lineRule="auto"/>
        <w:ind w:left="567" w:hanging="567"/>
        <w:outlineLvl w:val="0"/>
        <w:rPr>
          <w:bCs/>
          <w:lang w:val="hu-HU"/>
        </w:rPr>
      </w:pPr>
    </w:p>
    <w:p w14:paraId="15976E57" w14:textId="77777777" w:rsidR="00F45C51" w:rsidRPr="00E076F1" w:rsidRDefault="00D05999" w:rsidP="00CE5342">
      <w:pPr>
        <w:keepNext/>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8.</w:t>
      </w:r>
      <w:r w:rsidRPr="00E076F1">
        <w:rPr>
          <w:rFonts w:eastAsia="Times New Roman"/>
          <w:b/>
          <w:noProof/>
          <w:snapToGrid/>
          <w:szCs w:val="22"/>
          <w:lang w:val="hu-HU" w:eastAsia="en-US"/>
        </w:rPr>
        <w:tab/>
        <w:t>A FORGALOMBA HOZATALI ENGEDÉLY SZÁMA(I)</w:t>
      </w:r>
    </w:p>
    <w:p w14:paraId="6D70CD14" w14:textId="77777777" w:rsidR="00F45C51" w:rsidRPr="00E076F1" w:rsidRDefault="00F45C51" w:rsidP="00CE5342">
      <w:pPr>
        <w:keepNext/>
        <w:spacing w:line="240" w:lineRule="auto"/>
        <w:ind w:left="567" w:hanging="567"/>
        <w:outlineLvl w:val="0"/>
        <w:rPr>
          <w:bCs/>
          <w:lang w:val="hu-HU"/>
        </w:rPr>
      </w:pPr>
    </w:p>
    <w:p w14:paraId="51E5EEDE" w14:textId="159B2461" w:rsidR="007D71B6" w:rsidRPr="007D71B6" w:rsidRDefault="007D71B6" w:rsidP="00CE5342">
      <w:pPr>
        <w:keepNext/>
        <w:spacing w:line="240" w:lineRule="auto"/>
        <w:ind w:left="567" w:hanging="567"/>
        <w:outlineLvl w:val="0"/>
        <w:rPr>
          <w:b/>
          <w:bCs/>
          <w:szCs w:val="23"/>
          <w:u w:val="single"/>
          <w:lang w:val="hu-HU"/>
        </w:rPr>
      </w:pPr>
      <w:r w:rsidRPr="007D71B6">
        <w:rPr>
          <w:b/>
          <w:bCs/>
          <w:szCs w:val="23"/>
          <w:u w:val="single"/>
          <w:lang w:val="hu-HU"/>
        </w:rPr>
        <w:t>Dapagliflozin/Metformin Polpharma 5 mg/850 mg filmtabletta</w:t>
      </w:r>
    </w:p>
    <w:p w14:paraId="7D099130" w14:textId="6187F341" w:rsidR="007D71B6" w:rsidRPr="007D71B6" w:rsidRDefault="007D71B6" w:rsidP="007D71B6">
      <w:pPr>
        <w:spacing w:line="240" w:lineRule="auto"/>
        <w:ind w:left="567" w:hanging="567"/>
        <w:outlineLvl w:val="0"/>
        <w:rPr>
          <w:szCs w:val="23"/>
          <w:lang w:val="hu-HU"/>
        </w:rPr>
      </w:pPr>
      <w:r w:rsidRPr="007D71B6">
        <w:rPr>
          <w:szCs w:val="23"/>
          <w:lang w:val="hu-HU"/>
        </w:rPr>
        <w:t>OGYI-T-24469/01</w:t>
      </w:r>
      <w:r>
        <w:rPr>
          <w:szCs w:val="23"/>
          <w:lang w:val="hu-HU"/>
        </w:rPr>
        <w:tab/>
      </w:r>
      <w:r w:rsidRPr="007D71B6">
        <w:rPr>
          <w:szCs w:val="23"/>
          <w:lang w:val="hu-HU"/>
        </w:rPr>
        <w:t>10x</w:t>
      </w:r>
      <w:r>
        <w:rPr>
          <w:szCs w:val="23"/>
          <w:lang w:val="hu-HU"/>
        </w:rPr>
        <w:tab/>
      </w:r>
      <w:r w:rsidRPr="007D71B6">
        <w:rPr>
          <w:szCs w:val="23"/>
          <w:lang w:val="hu-HU"/>
        </w:rPr>
        <w:t>Al//PVC/PCTFE buborékcsomagolásban</w:t>
      </w:r>
    </w:p>
    <w:p w14:paraId="7313D6C5" w14:textId="323E6AC8" w:rsidR="007D71B6" w:rsidRPr="007D71B6" w:rsidRDefault="007D71B6" w:rsidP="007D71B6">
      <w:pPr>
        <w:spacing w:line="240" w:lineRule="auto"/>
        <w:ind w:left="567" w:hanging="567"/>
        <w:outlineLvl w:val="0"/>
        <w:rPr>
          <w:szCs w:val="23"/>
          <w:lang w:val="hu-HU"/>
        </w:rPr>
      </w:pPr>
      <w:r w:rsidRPr="007D71B6">
        <w:rPr>
          <w:szCs w:val="23"/>
          <w:lang w:val="hu-HU"/>
        </w:rPr>
        <w:t>OGYI-T-24469/02</w:t>
      </w:r>
      <w:r>
        <w:rPr>
          <w:szCs w:val="23"/>
          <w:lang w:val="hu-HU"/>
        </w:rPr>
        <w:tab/>
      </w:r>
      <w:r w:rsidRPr="007D71B6">
        <w:rPr>
          <w:szCs w:val="23"/>
          <w:lang w:val="hu-HU"/>
        </w:rPr>
        <w:t>14x</w:t>
      </w:r>
      <w:r>
        <w:rPr>
          <w:szCs w:val="23"/>
          <w:lang w:val="hu-HU"/>
        </w:rPr>
        <w:tab/>
      </w:r>
      <w:r w:rsidRPr="007D71B6">
        <w:rPr>
          <w:szCs w:val="23"/>
          <w:lang w:val="hu-HU"/>
        </w:rPr>
        <w:t>AL//PVC/PCTFE buborékcsomagolásban</w:t>
      </w:r>
    </w:p>
    <w:p w14:paraId="5B2338FA" w14:textId="7034B3CB" w:rsidR="007D71B6" w:rsidRPr="007D71B6" w:rsidRDefault="007D71B6" w:rsidP="007D71B6">
      <w:pPr>
        <w:spacing w:line="240" w:lineRule="auto"/>
        <w:ind w:left="567" w:hanging="567"/>
        <w:outlineLvl w:val="0"/>
        <w:rPr>
          <w:szCs w:val="23"/>
          <w:lang w:val="hu-HU"/>
        </w:rPr>
      </w:pPr>
      <w:r w:rsidRPr="007D71B6">
        <w:rPr>
          <w:szCs w:val="23"/>
          <w:lang w:val="hu-HU"/>
        </w:rPr>
        <w:t>OGYI-T-24469/03</w:t>
      </w:r>
      <w:r>
        <w:rPr>
          <w:szCs w:val="23"/>
          <w:lang w:val="hu-HU"/>
        </w:rPr>
        <w:tab/>
      </w:r>
      <w:r w:rsidRPr="007D71B6">
        <w:rPr>
          <w:szCs w:val="23"/>
          <w:lang w:val="hu-HU"/>
        </w:rPr>
        <w:t>28x</w:t>
      </w:r>
      <w:r>
        <w:rPr>
          <w:szCs w:val="23"/>
          <w:lang w:val="hu-HU"/>
        </w:rPr>
        <w:tab/>
      </w:r>
      <w:r w:rsidRPr="007D71B6">
        <w:rPr>
          <w:szCs w:val="23"/>
          <w:lang w:val="hu-HU"/>
        </w:rPr>
        <w:t>AL//PVC/PCTFE buborékcsomagolásban</w:t>
      </w:r>
    </w:p>
    <w:p w14:paraId="714DC0EF" w14:textId="7610D7AF" w:rsidR="007D71B6" w:rsidRPr="007D71B6" w:rsidRDefault="007D71B6" w:rsidP="007D71B6">
      <w:pPr>
        <w:spacing w:line="240" w:lineRule="auto"/>
        <w:ind w:left="567" w:hanging="567"/>
        <w:outlineLvl w:val="0"/>
        <w:rPr>
          <w:szCs w:val="23"/>
          <w:lang w:val="hu-HU"/>
        </w:rPr>
      </w:pPr>
      <w:r w:rsidRPr="007D71B6">
        <w:rPr>
          <w:szCs w:val="23"/>
          <w:lang w:val="hu-HU"/>
        </w:rPr>
        <w:t>OGYI-T-24469/04</w:t>
      </w:r>
      <w:r>
        <w:rPr>
          <w:szCs w:val="23"/>
          <w:lang w:val="hu-HU"/>
        </w:rPr>
        <w:tab/>
      </w:r>
      <w:r w:rsidRPr="007D71B6">
        <w:rPr>
          <w:szCs w:val="23"/>
          <w:lang w:val="hu-HU"/>
        </w:rPr>
        <w:t>30x</w:t>
      </w:r>
      <w:r>
        <w:rPr>
          <w:szCs w:val="23"/>
          <w:lang w:val="hu-HU"/>
        </w:rPr>
        <w:tab/>
      </w:r>
      <w:r w:rsidRPr="007D71B6">
        <w:rPr>
          <w:szCs w:val="23"/>
          <w:lang w:val="hu-HU"/>
        </w:rPr>
        <w:t>AL//PVC/PCTFE buborékcsomagolásban</w:t>
      </w:r>
    </w:p>
    <w:p w14:paraId="4EEF832A" w14:textId="527E6E86" w:rsidR="007D71B6" w:rsidRPr="007D71B6" w:rsidRDefault="007D71B6" w:rsidP="007D71B6">
      <w:pPr>
        <w:spacing w:line="240" w:lineRule="auto"/>
        <w:ind w:left="567" w:hanging="567"/>
        <w:outlineLvl w:val="0"/>
        <w:rPr>
          <w:szCs w:val="23"/>
          <w:lang w:val="hu-HU"/>
        </w:rPr>
      </w:pPr>
      <w:r w:rsidRPr="007D71B6">
        <w:rPr>
          <w:szCs w:val="23"/>
          <w:lang w:val="hu-HU"/>
        </w:rPr>
        <w:t>OGYI-T-24469/05</w:t>
      </w:r>
      <w:r>
        <w:rPr>
          <w:szCs w:val="23"/>
          <w:lang w:val="hu-HU"/>
        </w:rPr>
        <w:tab/>
      </w:r>
      <w:r w:rsidRPr="007D71B6">
        <w:rPr>
          <w:szCs w:val="23"/>
          <w:lang w:val="hu-HU"/>
        </w:rPr>
        <w:t>56x</w:t>
      </w:r>
      <w:r>
        <w:rPr>
          <w:szCs w:val="23"/>
          <w:lang w:val="hu-HU"/>
        </w:rPr>
        <w:tab/>
      </w:r>
      <w:r w:rsidRPr="007D71B6">
        <w:rPr>
          <w:szCs w:val="23"/>
          <w:lang w:val="hu-HU"/>
        </w:rPr>
        <w:t>AL//PVC/PCTFE buborékcsomagolásban</w:t>
      </w:r>
    </w:p>
    <w:p w14:paraId="5587C34A" w14:textId="096102EC" w:rsidR="007D71B6" w:rsidRPr="007D71B6" w:rsidRDefault="007D71B6" w:rsidP="007D71B6">
      <w:pPr>
        <w:spacing w:line="240" w:lineRule="auto"/>
        <w:ind w:left="567" w:hanging="567"/>
        <w:outlineLvl w:val="0"/>
        <w:rPr>
          <w:szCs w:val="23"/>
          <w:lang w:val="hu-HU"/>
        </w:rPr>
      </w:pPr>
      <w:r w:rsidRPr="007D71B6">
        <w:rPr>
          <w:szCs w:val="23"/>
          <w:lang w:val="hu-HU"/>
        </w:rPr>
        <w:t>OGYI-T-24469/06</w:t>
      </w:r>
      <w:r>
        <w:rPr>
          <w:szCs w:val="23"/>
          <w:lang w:val="hu-HU"/>
        </w:rPr>
        <w:tab/>
      </w:r>
      <w:r w:rsidRPr="007D71B6">
        <w:rPr>
          <w:szCs w:val="23"/>
          <w:lang w:val="hu-HU"/>
        </w:rPr>
        <w:t>60x</w:t>
      </w:r>
      <w:r>
        <w:rPr>
          <w:szCs w:val="23"/>
          <w:lang w:val="hu-HU"/>
        </w:rPr>
        <w:tab/>
      </w:r>
      <w:r w:rsidRPr="007D71B6">
        <w:rPr>
          <w:szCs w:val="23"/>
          <w:lang w:val="hu-HU"/>
        </w:rPr>
        <w:t>AL//PVC/PCTFE buborékcsomagolásban</w:t>
      </w:r>
    </w:p>
    <w:p w14:paraId="545BD056" w14:textId="169BF4F7" w:rsidR="007D71B6" w:rsidRPr="007D71B6" w:rsidRDefault="007D71B6" w:rsidP="007D71B6">
      <w:pPr>
        <w:spacing w:line="240" w:lineRule="auto"/>
        <w:ind w:left="567" w:hanging="567"/>
        <w:outlineLvl w:val="0"/>
        <w:rPr>
          <w:szCs w:val="23"/>
          <w:lang w:val="hu-HU"/>
        </w:rPr>
      </w:pPr>
      <w:r w:rsidRPr="007D71B6">
        <w:rPr>
          <w:szCs w:val="23"/>
          <w:lang w:val="hu-HU"/>
        </w:rPr>
        <w:t>OGYI-T-24469/07</w:t>
      </w:r>
      <w:r>
        <w:rPr>
          <w:szCs w:val="23"/>
          <w:lang w:val="hu-HU"/>
        </w:rPr>
        <w:tab/>
      </w:r>
      <w:r w:rsidRPr="007D71B6">
        <w:rPr>
          <w:szCs w:val="23"/>
          <w:lang w:val="hu-HU"/>
        </w:rPr>
        <w:t>90x</w:t>
      </w:r>
      <w:r>
        <w:rPr>
          <w:szCs w:val="23"/>
          <w:lang w:val="hu-HU"/>
        </w:rPr>
        <w:tab/>
      </w:r>
      <w:r w:rsidRPr="007D71B6">
        <w:rPr>
          <w:szCs w:val="23"/>
          <w:lang w:val="hu-HU"/>
        </w:rPr>
        <w:t>AL//PVC/PCTFE buborékcsomagolásban</w:t>
      </w:r>
    </w:p>
    <w:p w14:paraId="61546701" w14:textId="4FDBAFC8" w:rsidR="007D71B6" w:rsidRPr="007D71B6" w:rsidRDefault="007D71B6" w:rsidP="007D71B6">
      <w:pPr>
        <w:spacing w:line="240" w:lineRule="auto"/>
        <w:ind w:left="567" w:hanging="567"/>
        <w:outlineLvl w:val="0"/>
        <w:rPr>
          <w:szCs w:val="23"/>
          <w:lang w:val="hu-HU"/>
        </w:rPr>
      </w:pPr>
      <w:r w:rsidRPr="007D71B6">
        <w:rPr>
          <w:szCs w:val="23"/>
          <w:lang w:val="hu-HU"/>
        </w:rPr>
        <w:t>OGYI-T-24469/08</w:t>
      </w:r>
      <w:r>
        <w:rPr>
          <w:szCs w:val="23"/>
          <w:lang w:val="hu-HU"/>
        </w:rPr>
        <w:tab/>
      </w:r>
      <w:r w:rsidRPr="007D71B6">
        <w:rPr>
          <w:szCs w:val="23"/>
          <w:lang w:val="hu-HU"/>
        </w:rPr>
        <w:t>120x</w:t>
      </w:r>
      <w:r>
        <w:rPr>
          <w:szCs w:val="23"/>
          <w:lang w:val="hu-HU"/>
        </w:rPr>
        <w:tab/>
      </w:r>
      <w:r w:rsidRPr="007D71B6">
        <w:rPr>
          <w:szCs w:val="23"/>
          <w:lang w:val="hu-HU"/>
        </w:rPr>
        <w:t>AL//PVC/PCTFE buborékcsomagolásban</w:t>
      </w:r>
    </w:p>
    <w:p w14:paraId="7E00838D" w14:textId="4D2CE0E8" w:rsidR="007D71B6" w:rsidRPr="007D71B6" w:rsidRDefault="007D71B6" w:rsidP="007D71B6">
      <w:pPr>
        <w:spacing w:line="240" w:lineRule="auto"/>
        <w:ind w:left="567" w:hanging="567"/>
        <w:outlineLvl w:val="0"/>
        <w:rPr>
          <w:szCs w:val="23"/>
          <w:lang w:val="hu-HU"/>
        </w:rPr>
      </w:pPr>
      <w:r w:rsidRPr="007D71B6">
        <w:rPr>
          <w:szCs w:val="23"/>
          <w:lang w:val="hu-HU"/>
        </w:rPr>
        <w:t>OGYI-T-24469/09</w:t>
      </w:r>
      <w:r>
        <w:rPr>
          <w:szCs w:val="23"/>
          <w:lang w:val="hu-HU"/>
        </w:rPr>
        <w:tab/>
      </w:r>
      <w:r w:rsidRPr="007D71B6">
        <w:rPr>
          <w:szCs w:val="23"/>
          <w:lang w:val="hu-HU"/>
        </w:rPr>
        <w:t>180x</w:t>
      </w:r>
      <w:r>
        <w:rPr>
          <w:szCs w:val="23"/>
          <w:lang w:val="hu-HU"/>
        </w:rPr>
        <w:tab/>
      </w:r>
      <w:r w:rsidRPr="007D71B6">
        <w:rPr>
          <w:szCs w:val="23"/>
          <w:lang w:val="hu-HU"/>
        </w:rPr>
        <w:t>AL//PVC/PCTFE buborékcsomagolásban</w:t>
      </w:r>
    </w:p>
    <w:p w14:paraId="74C3B187" w14:textId="677BF0C6" w:rsidR="007D71B6" w:rsidRPr="007D71B6" w:rsidRDefault="007D71B6" w:rsidP="007D71B6">
      <w:pPr>
        <w:spacing w:line="240" w:lineRule="auto"/>
        <w:ind w:left="567" w:hanging="567"/>
        <w:outlineLvl w:val="0"/>
        <w:rPr>
          <w:szCs w:val="23"/>
          <w:lang w:val="hu-HU"/>
        </w:rPr>
      </w:pPr>
      <w:r w:rsidRPr="007D71B6">
        <w:rPr>
          <w:szCs w:val="23"/>
          <w:lang w:val="hu-HU"/>
        </w:rPr>
        <w:t>OGYI-T-24469/10</w:t>
      </w:r>
      <w:r>
        <w:rPr>
          <w:szCs w:val="23"/>
          <w:lang w:val="hu-HU"/>
        </w:rPr>
        <w:tab/>
      </w:r>
      <w:r w:rsidRPr="007D71B6">
        <w:rPr>
          <w:szCs w:val="23"/>
          <w:lang w:val="hu-HU"/>
        </w:rPr>
        <w:t>196x</w:t>
      </w:r>
      <w:r>
        <w:rPr>
          <w:szCs w:val="23"/>
          <w:lang w:val="hu-HU"/>
        </w:rPr>
        <w:tab/>
      </w:r>
      <w:r w:rsidRPr="007D71B6">
        <w:rPr>
          <w:szCs w:val="23"/>
          <w:lang w:val="hu-HU"/>
        </w:rPr>
        <w:t>AL//PVC/PCTFE buborékcsomagolásban</w:t>
      </w:r>
    </w:p>
    <w:p w14:paraId="127E8B3F" w14:textId="77777777" w:rsidR="007D71B6" w:rsidRPr="007D71B6" w:rsidRDefault="007D71B6" w:rsidP="007D71B6">
      <w:pPr>
        <w:spacing w:line="240" w:lineRule="auto"/>
        <w:ind w:left="567" w:hanging="567"/>
        <w:outlineLvl w:val="0"/>
        <w:rPr>
          <w:szCs w:val="23"/>
          <w:lang w:val="hu-HU"/>
        </w:rPr>
      </w:pPr>
    </w:p>
    <w:p w14:paraId="62C874D6" w14:textId="7BCF4852" w:rsidR="007D71B6" w:rsidRPr="007D71B6" w:rsidRDefault="007D71B6" w:rsidP="007D71B6">
      <w:pPr>
        <w:spacing w:line="240" w:lineRule="auto"/>
        <w:ind w:left="567" w:hanging="567"/>
        <w:outlineLvl w:val="0"/>
        <w:rPr>
          <w:b/>
          <w:bCs/>
          <w:szCs w:val="23"/>
          <w:u w:val="single"/>
          <w:lang w:val="hu-HU"/>
        </w:rPr>
      </w:pPr>
      <w:r w:rsidRPr="007D71B6">
        <w:rPr>
          <w:b/>
          <w:bCs/>
          <w:szCs w:val="23"/>
          <w:u w:val="single"/>
          <w:lang w:val="hu-HU"/>
        </w:rPr>
        <w:t>Dapagliflozin/Metformin Polpharma 5 mg/1000 mg filmtabletta</w:t>
      </w:r>
    </w:p>
    <w:p w14:paraId="3F370ED5" w14:textId="4C4D53B1" w:rsidR="007D71B6" w:rsidRPr="007D71B6" w:rsidRDefault="007D71B6" w:rsidP="007D71B6">
      <w:pPr>
        <w:spacing w:line="240" w:lineRule="auto"/>
        <w:ind w:left="567" w:hanging="567"/>
        <w:outlineLvl w:val="0"/>
        <w:rPr>
          <w:szCs w:val="23"/>
          <w:lang w:val="hu-HU"/>
        </w:rPr>
      </w:pPr>
      <w:r w:rsidRPr="007D71B6">
        <w:rPr>
          <w:szCs w:val="23"/>
          <w:lang w:val="hu-HU"/>
        </w:rPr>
        <w:t>OGYI-T-24469/11</w:t>
      </w:r>
      <w:r>
        <w:rPr>
          <w:szCs w:val="23"/>
          <w:lang w:val="hu-HU"/>
        </w:rPr>
        <w:tab/>
      </w:r>
      <w:r w:rsidRPr="007D71B6">
        <w:rPr>
          <w:szCs w:val="23"/>
          <w:lang w:val="hu-HU"/>
        </w:rPr>
        <w:t>10x</w:t>
      </w:r>
      <w:r>
        <w:rPr>
          <w:szCs w:val="23"/>
          <w:lang w:val="hu-HU"/>
        </w:rPr>
        <w:tab/>
      </w:r>
      <w:r w:rsidRPr="007D71B6">
        <w:rPr>
          <w:szCs w:val="23"/>
          <w:lang w:val="hu-HU"/>
        </w:rPr>
        <w:t>AL//PVC/PCTFE buborékcsomagolásban</w:t>
      </w:r>
    </w:p>
    <w:p w14:paraId="3E40DA18" w14:textId="14A1A122" w:rsidR="007D71B6" w:rsidRPr="007D71B6" w:rsidRDefault="007D71B6" w:rsidP="007D71B6">
      <w:pPr>
        <w:spacing w:line="240" w:lineRule="auto"/>
        <w:ind w:left="567" w:hanging="567"/>
        <w:outlineLvl w:val="0"/>
        <w:rPr>
          <w:szCs w:val="23"/>
          <w:lang w:val="hu-HU"/>
        </w:rPr>
      </w:pPr>
      <w:r w:rsidRPr="007D71B6">
        <w:rPr>
          <w:szCs w:val="23"/>
          <w:lang w:val="hu-HU"/>
        </w:rPr>
        <w:t>OGYI-T-24469/12</w:t>
      </w:r>
      <w:r>
        <w:rPr>
          <w:szCs w:val="23"/>
          <w:lang w:val="hu-HU"/>
        </w:rPr>
        <w:tab/>
      </w:r>
      <w:r w:rsidRPr="007D71B6">
        <w:rPr>
          <w:szCs w:val="23"/>
          <w:lang w:val="hu-HU"/>
        </w:rPr>
        <w:t>14x</w:t>
      </w:r>
      <w:r>
        <w:rPr>
          <w:szCs w:val="23"/>
          <w:lang w:val="hu-HU"/>
        </w:rPr>
        <w:tab/>
      </w:r>
      <w:r w:rsidRPr="007D71B6">
        <w:rPr>
          <w:szCs w:val="23"/>
          <w:lang w:val="hu-HU"/>
        </w:rPr>
        <w:t>AL//PVC/PCTFE buborékcsomagolásban</w:t>
      </w:r>
    </w:p>
    <w:p w14:paraId="58FBA6F4" w14:textId="3A39424F" w:rsidR="007D71B6" w:rsidRPr="007D71B6" w:rsidRDefault="007D71B6" w:rsidP="007D71B6">
      <w:pPr>
        <w:spacing w:line="240" w:lineRule="auto"/>
        <w:ind w:left="567" w:hanging="567"/>
        <w:outlineLvl w:val="0"/>
        <w:rPr>
          <w:szCs w:val="23"/>
          <w:lang w:val="hu-HU"/>
        </w:rPr>
      </w:pPr>
      <w:r w:rsidRPr="007D71B6">
        <w:rPr>
          <w:szCs w:val="23"/>
          <w:lang w:val="hu-HU"/>
        </w:rPr>
        <w:t>OGYI-T-24469/13</w:t>
      </w:r>
      <w:r>
        <w:rPr>
          <w:szCs w:val="23"/>
          <w:lang w:val="hu-HU"/>
        </w:rPr>
        <w:tab/>
      </w:r>
      <w:r w:rsidRPr="007D71B6">
        <w:rPr>
          <w:szCs w:val="23"/>
          <w:lang w:val="hu-HU"/>
        </w:rPr>
        <w:t>28x</w:t>
      </w:r>
      <w:r>
        <w:rPr>
          <w:szCs w:val="23"/>
          <w:lang w:val="hu-HU"/>
        </w:rPr>
        <w:tab/>
      </w:r>
      <w:r w:rsidRPr="007D71B6">
        <w:rPr>
          <w:szCs w:val="23"/>
          <w:lang w:val="hu-HU"/>
        </w:rPr>
        <w:t>AL//PVC/PCTFE buborékcsomagolásban</w:t>
      </w:r>
    </w:p>
    <w:p w14:paraId="4940CF7B" w14:textId="27A48172" w:rsidR="007D71B6" w:rsidRPr="007D71B6" w:rsidRDefault="007D71B6" w:rsidP="007D71B6">
      <w:pPr>
        <w:spacing w:line="240" w:lineRule="auto"/>
        <w:ind w:left="567" w:hanging="567"/>
        <w:outlineLvl w:val="0"/>
        <w:rPr>
          <w:szCs w:val="23"/>
          <w:lang w:val="hu-HU"/>
        </w:rPr>
      </w:pPr>
      <w:r w:rsidRPr="007D71B6">
        <w:rPr>
          <w:szCs w:val="23"/>
          <w:lang w:val="hu-HU"/>
        </w:rPr>
        <w:t>OGYI-T-24469/14</w:t>
      </w:r>
      <w:r>
        <w:rPr>
          <w:szCs w:val="23"/>
          <w:lang w:val="hu-HU"/>
        </w:rPr>
        <w:tab/>
      </w:r>
      <w:r w:rsidRPr="007D71B6">
        <w:rPr>
          <w:szCs w:val="23"/>
          <w:lang w:val="hu-HU"/>
        </w:rPr>
        <w:t>30x</w:t>
      </w:r>
      <w:r>
        <w:rPr>
          <w:szCs w:val="23"/>
          <w:lang w:val="hu-HU"/>
        </w:rPr>
        <w:tab/>
      </w:r>
      <w:r w:rsidRPr="007D71B6">
        <w:rPr>
          <w:szCs w:val="23"/>
          <w:lang w:val="hu-HU"/>
        </w:rPr>
        <w:t>AL//PVC/PCTFE buborékcsomagolásban</w:t>
      </w:r>
    </w:p>
    <w:p w14:paraId="566490A7" w14:textId="36FC60A0" w:rsidR="007D71B6" w:rsidRPr="007D71B6" w:rsidRDefault="007D71B6" w:rsidP="007D71B6">
      <w:pPr>
        <w:spacing w:line="240" w:lineRule="auto"/>
        <w:ind w:left="567" w:hanging="567"/>
        <w:outlineLvl w:val="0"/>
        <w:rPr>
          <w:szCs w:val="23"/>
          <w:lang w:val="hu-HU"/>
        </w:rPr>
      </w:pPr>
      <w:r w:rsidRPr="007D71B6">
        <w:rPr>
          <w:szCs w:val="23"/>
          <w:lang w:val="hu-HU"/>
        </w:rPr>
        <w:t>OGYI-T-24469/15</w:t>
      </w:r>
      <w:r w:rsidR="00A1693F">
        <w:rPr>
          <w:szCs w:val="23"/>
          <w:lang w:val="hu-HU"/>
        </w:rPr>
        <w:tab/>
      </w:r>
      <w:r w:rsidRPr="007D71B6">
        <w:rPr>
          <w:szCs w:val="23"/>
          <w:lang w:val="hu-HU"/>
        </w:rPr>
        <w:t>56x</w:t>
      </w:r>
      <w:r w:rsidR="00A1693F">
        <w:rPr>
          <w:szCs w:val="23"/>
          <w:lang w:val="hu-HU"/>
        </w:rPr>
        <w:tab/>
      </w:r>
      <w:r w:rsidRPr="007D71B6">
        <w:rPr>
          <w:szCs w:val="23"/>
          <w:lang w:val="hu-HU"/>
        </w:rPr>
        <w:t>AL//PVC/PCTFE buborékcsomagolásban</w:t>
      </w:r>
    </w:p>
    <w:p w14:paraId="6B0E30E1" w14:textId="0C482F4A" w:rsidR="007D71B6" w:rsidRPr="007D71B6" w:rsidRDefault="007D71B6" w:rsidP="007D71B6">
      <w:pPr>
        <w:spacing w:line="240" w:lineRule="auto"/>
        <w:ind w:left="567" w:hanging="567"/>
        <w:outlineLvl w:val="0"/>
        <w:rPr>
          <w:szCs w:val="23"/>
          <w:lang w:val="hu-HU"/>
        </w:rPr>
      </w:pPr>
      <w:r w:rsidRPr="007D71B6">
        <w:rPr>
          <w:szCs w:val="23"/>
          <w:lang w:val="hu-HU"/>
        </w:rPr>
        <w:t>OGYI-T-24469/16</w:t>
      </w:r>
      <w:r w:rsidR="00A1693F">
        <w:rPr>
          <w:szCs w:val="23"/>
          <w:lang w:val="hu-HU"/>
        </w:rPr>
        <w:tab/>
      </w:r>
      <w:r w:rsidRPr="007D71B6">
        <w:rPr>
          <w:szCs w:val="23"/>
          <w:lang w:val="hu-HU"/>
        </w:rPr>
        <w:t>60x</w:t>
      </w:r>
      <w:r w:rsidR="00A1693F">
        <w:rPr>
          <w:szCs w:val="23"/>
          <w:lang w:val="hu-HU"/>
        </w:rPr>
        <w:tab/>
      </w:r>
      <w:r w:rsidRPr="007D71B6">
        <w:rPr>
          <w:szCs w:val="23"/>
          <w:lang w:val="hu-HU"/>
        </w:rPr>
        <w:t>AL//PVC/PCTFE buborékcsomagolásban</w:t>
      </w:r>
    </w:p>
    <w:p w14:paraId="1A761C41" w14:textId="7377C879" w:rsidR="007D71B6" w:rsidRPr="007D71B6" w:rsidRDefault="007D71B6" w:rsidP="007D71B6">
      <w:pPr>
        <w:spacing w:line="240" w:lineRule="auto"/>
        <w:ind w:left="567" w:hanging="567"/>
        <w:outlineLvl w:val="0"/>
        <w:rPr>
          <w:szCs w:val="23"/>
          <w:lang w:val="hu-HU"/>
        </w:rPr>
      </w:pPr>
      <w:r w:rsidRPr="007D71B6">
        <w:rPr>
          <w:szCs w:val="23"/>
          <w:lang w:val="hu-HU"/>
        </w:rPr>
        <w:t>OGYI-T-24469/17</w:t>
      </w:r>
      <w:r w:rsidR="00A1693F">
        <w:rPr>
          <w:szCs w:val="23"/>
          <w:lang w:val="hu-HU"/>
        </w:rPr>
        <w:tab/>
      </w:r>
      <w:r w:rsidRPr="007D71B6">
        <w:rPr>
          <w:szCs w:val="23"/>
          <w:lang w:val="hu-HU"/>
        </w:rPr>
        <w:t>90x</w:t>
      </w:r>
      <w:r w:rsidR="00A1693F">
        <w:rPr>
          <w:szCs w:val="23"/>
          <w:lang w:val="hu-HU"/>
        </w:rPr>
        <w:tab/>
      </w:r>
      <w:r w:rsidRPr="007D71B6">
        <w:rPr>
          <w:szCs w:val="23"/>
          <w:lang w:val="hu-HU"/>
        </w:rPr>
        <w:t>AL//PVC/PCTFE buborékcsomagolásban</w:t>
      </w:r>
    </w:p>
    <w:p w14:paraId="4026AE79" w14:textId="0BBE0661" w:rsidR="007D71B6" w:rsidRPr="007D71B6" w:rsidRDefault="007D71B6" w:rsidP="007D71B6">
      <w:pPr>
        <w:spacing w:line="240" w:lineRule="auto"/>
        <w:ind w:left="567" w:hanging="567"/>
        <w:outlineLvl w:val="0"/>
        <w:rPr>
          <w:szCs w:val="23"/>
          <w:lang w:val="hu-HU"/>
        </w:rPr>
      </w:pPr>
      <w:r w:rsidRPr="007D71B6">
        <w:rPr>
          <w:szCs w:val="23"/>
          <w:lang w:val="hu-HU"/>
        </w:rPr>
        <w:t>OGYI-T-24469/18</w:t>
      </w:r>
      <w:r w:rsidR="009B7A4D">
        <w:rPr>
          <w:szCs w:val="23"/>
          <w:lang w:val="hu-HU"/>
        </w:rPr>
        <w:tab/>
      </w:r>
      <w:r w:rsidRPr="007D71B6">
        <w:rPr>
          <w:szCs w:val="23"/>
          <w:lang w:val="hu-HU"/>
        </w:rPr>
        <w:t>120x</w:t>
      </w:r>
      <w:r w:rsidR="009B7A4D">
        <w:rPr>
          <w:szCs w:val="23"/>
          <w:lang w:val="hu-HU"/>
        </w:rPr>
        <w:tab/>
      </w:r>
      <w:r w:rsidRPr="007D71B6">
        <w:rPr>
          <w:szCs w:val="23"/>
          <w:lang w:val="hu-HU"/>
        </w:rPr>
        <w:t>AL//PVC/PCTFE buborékcsomagolásban</w:t>
      </w:r>
    </w:p>
    <w:p w14:paraId="27002F07" w14:textId="2F0519F1" w:rsidR="007D71B6" w:rsidRPr="007D71B6" w:rsidRDefault="007D71B6" w:rsidP="007D71B6">
      <w:pPr>
        <w:spacing w:line="240" w:lineRule="auto"/>
        <w:ind w:left="567" w:hanging="567"/>
        <w:outlineLvl w:val="0"/>
        <w:rPr>
          <w:szCs w:val="23"/>
          <w:lang w:val="hu-HU"/>
        </w:rPr>
      </w:pPr>
      <w:r w:rsidRPr="007D71B6">
        <w:rPr>
          <w:szCs w:val="23"/>
          <w:lang w:val="hu-HU"/>
        </w:rPr>
        <w:t>OGYI-T-24469/19</w:t>
      </w:r>
      <w:r w:rsidR="009B7A4D">
        <w:rPr>
          <w:szCs w:val="23"/>
          <w:lang w:val="hu-HU"/>
        </w:rPr>
        <w:tab/>
      </w:r>
      <w:r w:rsidRPr="007D71B6">
        <w:rPr>
          <w:szCs w:val="23"/>
          <w:lang w:val="hu-HU"/>
        </w:rPr>
        <w:t>180x</w:t>
      </w:r>
      <w:r w:rsidR="009B7A4D">
        <w:rPr>
          <w:szCs w:val="23"/>
          <w:lang w:val="hu-HU"/>
        </w:rPr>
        <w:tab/>
      </w:r>
      <w:r w:rsidRPr="007D71B6">
        <w:rPr>
          <w:szCs w:val="23"/>
          <w:lang w:val="hu-HU"/>
        </w:rPr>
        <w:t>AL//PVC/PCTFE buborékcsomagolásban</w:t>
      </w:r>
    </w:p>
    <w:p w14:paraId="5C60CA74" w14:textId="1125A221" w:rsidR="00D12F04" w:rsidRPr="00E076F1" w:rsidRDefault="007D71B6" w:rsidP="007D71B6">
      <w:pPr>
        <w:spacing w:line="240" w:lineRule="auto"/>
        <w:ind w:left="567" w:hanging="567"/>
        <w:outlineLvl w:val="0"/>
        <w:rPr>
          <w:szCs w:val="23"/>
          <w:lang w:val="hu-HU"/>
        </w:rPr>
      </w:pPr>
      <w:r w:rsidRPr="007D71B6">
        <w:rPr>
          <w:szCs w:val="23"/>
          <w:lang w:val="hu-HU"/>
        </w:rPr>
        <w:t>OGYI-T-24469/20</w:t>
      </w:r>
      <w:r w:rsidR="009B7A4D">
        <w:rPr>
          <w:szCs w:val="23"/>
          <w:lang w:val="hu-HU"/>
        </w:rPr>
        <w:tab/>
      </w:r>
      <w:r w:rsidRPr="007D71B6">
        <w:rPr>
          <w:szCs w:val="23"/>
          <w:lang w:val="hu-HU"/>
        </w:rPr>
        <w:t>196x</w:t>
      </w:r>
      <w:r w:rsidR="009B7A4D">
        <w:rPr>
          <w:szCs w:val="23"/>
          <w:lang w:val="hu-HU"/>
        </w:rPr>
        <w:tab/>
      </w:r>
      <w:r w:rsidRPr="007D71B6">
        <w:rPr>
          <w:szCs w:val="23"/>
          <w:lang w:val="hu-HU"/>
        </w:rPr>
        <w:t>AL//PVC/PCTFE buborékcsomagolásban</w:t>
      </w:r>
    </w:p>
    <w:p w14:paraId="27243FEF" w14:textId="6BC996D7" w:rsidR="00D12F04" w:rsidRDefault="00D12F04" w:rsidP="00E076F1">
      <w:pPr>
        <w:spacing w:line="240" w:lineRule="auto"/>
        <w:ind w:left="567" w:hanging="567"/>
        <w:outlineLvl w:val="0"/>
        <w:rPr>
          <w:bCs/>
          <w:lang w:val="hu-HU"/>
        </w:rPr>
      </w:pPr>
    </w:p>
    <w:p w14:paraId="2FACA18E" w14:textId="77777777" w:rsidR="009B7A4D" w:rsidRPr="00E076F1" w:rsidRDefault="009B7A4D" w:rsidP="00E076F1">
      <w:pPr>
        <w:spacing w:line="240" w:lineRule="auto"/>
        <w:ind w:left="567" w:hanging="567"/>
        <w:outlineLvl w:val="0"/>
        <w:rPr>
          <w:bCs/>
          <w:lang w:val="hu-HU"/>
        </w:rPr>
      </w:pPr>
    </w:p>
    <w:p w14:paraId="20CE4CC7" w14:textId="77777777" w:rsidR="00F45C51" w:rsidRPr="00E076F1" w:rsidRDefault="00D05999" w:rsidP="00E076F1">
      <w:pPr>
        <w:spacing w:line="240" w:lineRule="auto"/>
        <w:ind w:left="567" w:hanging="567"/>
        <w:outlineLvl w:val="0"/>
        <w:rPr>
          <w:b/>
          <w:lang w:val="hu-HU"/>
        </w:rPr>
      </w:pPr>
      <w:r w:rsidRPr="00E076F1">
        <w:rPr>
          <w:rFonts w:eastAsia="Times New Roman"/>
          <w:b/>
          <w:noProof/>
          <w:snapToGrid/>
          <w:szCs w:val="22"/>
          <w:lang w:val="hu-HU" w:eastAsia="en-US"/>
        </w:rPr>
        <w:t>9.</w:t>
      </w:r>
      <w:r w:rsidRPr="00E076F1">
        <w:rPr>
          <w:rFonts w:eastAsia="Times New Roman"/>
          <w:b/>
          <w:noProof/>
          <w:snapToGrid/>
          <w:szCs w:val="22"/>
          <w:lang w:val="hu-HU" w:eastAsia="en-US"/>
        </w:rPr>
        <w:tab/>
        <w:t>A FORGALOMBA HOZATALI ENGEDÉLY ELSŐ KIADÁSÁNAK/ MEGÚJÍTÁSÁNAK</w:t>
      </w:r>
      <w:r w:rsidRPr="00E076F1">
        <w:rPr>
          <w:b/>
          <w:lang w:val="hu-HU"/>
        </w:rPr>
        <w:t xml:space="preserve"> DÁTUMA</w:t>
      </w:r>
    </w:p>
    <w:p w14:paraId="25642C30" w14:textId="77777777" w:rsidR="00F45C51" w:rsidRPr="00E076F1" w:rsidRDefault="00F45C51" w:rsidP="00E076F1">
      <w:pPr>
        <w:spacing w:line="240" w:lineRule="auto"/>
        <w:rPr>
          <w:rFonts w:eastAsia="Times New Roman"/>
          <w:noProof/>
          <w:snapToGrid/>
          <w:szCs w:val="22"/>
          <w:lang w:val="hu-HU" w:eastAsia="en-US"/>
        </w:rPr>
      </w:pPr>
    </w:p>
    <w:p w14:paraId="0EFFE244" w14:textId="0494D406" w:rsidR="0029347B" w:rsidRPr="00E076F1" w:rsidRDefault="00D05999" w:rsidP="00E076F1">
      <w:pPr>
        <w:spacing w:line="240" w:lineRule="auto"/>
        <w:rPr>
          <w:rFonts w:eastAsia="Times New Roman"/>
          <w:noProof/>
          <w:snapToGrid/>
          <w:szCs w:val="22"/>
          <w:lang w:val="hu-HU" w:eastAsia="en-US"/>
        </w:rPr>
      </w:pPr>
      <w:r w:rsidRPr="00E076F1">
        <w:rPr>
          <w:rFonts w:eastAsia="Times New Roman"/>
          <w:noProof/>
          <w:snapToGrid/>
          <w:szCs w:val="22"/>
          <w:lang w:val="hu-HU" w:eastAsia="en-US"/>
        </w:rPr>
        <w:t>A forgalomba hozatali engedély első kiadásának dátuma</w:t>
      </w:r>
      <w:r w:rsidR="00111AC4" w:rsidRPr="00E076F1">
        <w:rPr>
          <w:rFonts w:eastAsia="Times New Roman"/>
          <w:noProof/>
          <w:snapToGrid/>
          <w:szCs w:val="22"/>
          <w:lang w:val="hu-HU" w:eastAsia="en-US"/>
        </w:rPr>
        <w:t xml:space="preserve">: </w:t>
      </w:r>
      <w:r w:rsidR="008C17DE">
        <w:rPr>
          <w:rFonts w:eastAsia="Times New Roman"/>
          <w:noProof/>
          <w:snapToGrid/>
          <w:szCs w:val="22"/>
          <w:lang w:val="hu-HU" w:eastAsia="en-US"/>
        </w:rPr>
        <w:t>2024.</w:t>
      </w:r>
      <w:r w:rsidR="00AD40B2">
        <w:rPr>
          <w:rFonts w:eastAsia="Times New Roman"/>
          <w:noProof/>
          <w:snapToGrid/>
          <w:szCs w:val="22"/>
          <w:lang w:val="hu-HU" w:eastAsia="en-US"/>
        </w:rPr>
        <w:t xml:space="preserve"> október 09.</w:t>
      </w:r>
    </w:p>
    <w:p w14:paraId="09A7B9F5" w14:textId="77777777" w:rsidR="00F45C51" w:rsidRPr="00E076F1" w:rsidRDefault="00F45C51" w:rsidP="00E076F1">
      <w:pPr>
        <w:spacing w:line="240" w:lineRule="auto"/>
        <w:rPr>
          <w:rFonts w:eastAsia="Times New Roman"/>
          <w:noProof/>
          <w:snapToGrid/>
          <w:szCs w:val="22"/>
          <w:lang w:val="hu-HU" w:eastAsia="en-US"/>
        </w:rPr>
      </w:pPr>
    </w:p>
    <w:p w14:paraId="0295A1E2" w14:textId="77777777" w:rsidR="00CA6136" w:rsidRPr="00E076F1" w:rsidRDefault="00CA6136" w:rsidP="00E076F1">
      <w:pPr>
        <w:spacing w:line="240" w:lineRule="auto"/>
        <w:rPr>
          <w:rFonts w:eastAsia="Times New Roman"/>
          <w:noProof/>
          <w:snapToGrid/>
          <w:szCs w:val="22"/>
          <w:lang w:val="hu-HU" w:eastAsia="en-US"/>
        </w:rPr>
      </w:pPr>
    </w:p>
    <w:p w14:paraId="416FFF38" w14:textId="77777777" w:rsidR="00F45C51" w:rsidRPr="00E076F1" w:rsidRDefault="00D05999" w:rsidP="00E076F1">
      <w:pPr>
        <w:spacing w:line="240" w:lineRule="auto"/>
        <w:ind w:left="567" w:hanging="567"/>
        <w:outlineLvl w:val="0"/>
        <w:rPr>
          <w:b/>
          <w:lang w:val="hu-HU"/>
        </w:rPr>
      </w:pPr>
      <w:r w:rsidRPr="00E076F1">
        <w:rPr>
          <w:rFonts w:eastAsia="Times New Roman"/>
          <w:b/>
          <w:noProof/>
          <w:snapToGrid/>
          <w:szCs w:val="22"/>
          <w:lang w:val="hu-HU" w:eastAsia="en-US"/>
        </w:rPr>
        <w:t>10.</w:t>
      </w:r>
      <w:r w:rsidRPr="00E076F1">
        <w:rPr>
          <w:rFonts w:eastAsia="Times New Roman"/>
          <w:b/>
          <w:noProof/>
          <w:snapToGrid/>
          <w:szCs w:val="22"/>
          <w:lang w:val="hu-HU" w:eastAsia="en-US"/>
        </w:rPr>
        <w:tab/>
        <w:t>A SZÖVEG ELLENŐRZÉSÉNEK DÁTUMA</w:t>
      </w:r>
    </w:p>
    <w:p w14:paraId="009ECFF5" w14:textId="77777777" w:rsidR="00F45C51" w:rsidRPr="00E076F1" w:rsidRDefault="00F45C51" w:rsidP="00E076F1">
      <w:pPr>
        <w:spacing w:line="240" w:lineRule="auto"/>
        <w:ind w:left="567" w:hanging="567"/>
        <w:outlineLvl w:val="0"/>
        <w:rPr>
          <w:bCs/>
          <w:lang w:val="hu-HU"/>
        </w:rPr>
      </w:pPr>
    </w:p>
    <w:p w14:paraId="0C248ADE" w14:textId="7B98F256" w:rsidR="00F45C51" w:rsidRPr="00E076F1" w:rsidRDefault="0030763D" w:rsidP="00E076F1">
      <w:pPr>
        <w:spacing w:line="240" w:lineRule="auto"/>
        <w:rPr>
          <w:rFonts w:eastAsia="Times New Roman"/>
          <w:noProof/>
          <w:snapToGrid/>
          <w:szCs w:val="22"/>
          <w:lang w:val="hu-HU" w:eastAsia="en-US"/>
        </w:rPr>
      </w:pPr>
      <w:r w:rsidRPr="0030763D">
        <w:rPr>
          <w:rFonts w:eastAsia="Times New Roman"/>
          <w:noProof/>
          <w:snapToGrid/>
          <w:szCs w:val="22"/>
          <w:lang w:val="hu-HU" w:eastAsia="en-US"/>
        </w:rPr>
        <w:t xml:space="preserve">2025. </w:t>
      </w:r>
      <w:r w:rsidR="00F61D2E">
        <w:rPr>
          <w:rFonts w:eastAsia="Times New Roman"/>
          <w:noProof/>
          <w:snapToGrid/>
          <w:szCs w:val="22"/>
          <w:lang w:val="hu-HU" w:eastAsia="en-US"/>
        </w:rPr>
        <w:t>augusztus 7</w:t>
      </w:r>
      <w:r>
        <w:rPr>
          <w:rFonts w:eastAsia="Times New Roman"/>
          <w:noProof/>
          <w:snapToGrid/>
          <w:szCs w:val="22"/>
          <w:lang w:val="hu-HU" w:eastAsia="en-US"/>
        </w:rPr>
        <w:t>.</w:t>
      </w:r>
    </w:p>
    <w:sectPr w:rsidR="00F45C51" w:rsidRPr="00E076F1" w:rsidSect="00241307">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0D253" w14:textId="77777777" w:rsidR="00A1693F" w:rsidRDefault="00A1693F">
      <w:pPr>
        <w:spacing w:line="240" w:lineRule="auto"/>
      </w:pPr>
      <w:r>
        <w:separator/>
      </w:r>
    </w:p>
  </w:endnote>
  <w:endnote w:type="continuationSeparator" w:id="0">
    <w:p w14:paraId="22E0B5E2" w14:textId="77777777" w:rsidR="00A1693F" w:rsidRDefault="00A169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Yu Gothic"/>
    <w:panose1 w:val="00000000000000000000"/>
    <w:charset w:val="00"/>
    <w:family w:val="roman"/>
    <w:notTrueType/>
    <w:pitch w:val="default"/>
    <w:sig w:usb0="00000003" w:usb1="08070000" w:usb2="00000010" w:usb3="00000000" w:csb0="0002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TimesNewRoman,Italic">
    <w:altName w:val="Yu Gothic"/>
    <w:panose1 w:val="00000000000000000000"/>
    <w:charset w:val="80"/>
    <w:family w:val="auto"/>
    <w:notTrueType/>
    <w:pitch w:val="default"/>
    <w:sig w:usb0="00000001" w:usb1="08070000" w:usb2="00000010" w:usb3="00000000" w:csb0="00020000" w:csb1="00000000"/>
  </w:font>
  <w:font w:name="TimesNewRoman,Bold">
    <w:altName w:val="Yu Gothic"/>
    <w:panose1 w:val="00000000000000000000"/>
    <w:charset w:val="80"/>
    <w:family w:val="auto"/>
    <w:notTrueType/>
    <w:pitch w:val="default"/>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857A5" w14:textId="55BFC528" w:rsidR="00A1693F" w:rsidRPr="007C03E2" w:rsidRDefault="00A1693F" w:rsidP="007C03E2">
    <w:pPr>
      <w:pStyle w:val="llb"/>
      <w:jc w:val="right"/>
      <w:rPr>
        <w:rFonts w:ascii="Times New Roman" w:hAnsi="Times New Roman"/>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593AF" w14:textId="77777777" w:rsidR="00F61D2E" w:rsidRDefault="00F61D2E" w:rsidP="00F61D2E">
    <w:pPr>
      <w:pStyle w:val="Nincstrkz"/>
    </w:pPr>
    <w:r>
      <w:t>NNGYK/ETGY/18764/2025</w:t>
    </w:r>
  </w:p>
  <w:p w14:paraId="5B899D42" w14:textId="5FB4097B" w:rsidR="00A1693F" w:rsidRPr="00BB10D9" w:rsidRDefault="00F61D2E" w:rsidP="002264E0">
    <w:pPr>
      <w:pStyle w:val="Nincstrkz"/>
      <w:rPr>
        <w:sz w:val="18"/>
        <w:szCs w:val="18"/>
      </w:rPr>
    </w:pPr>
    <w:r>
      <w:t>NNGYK/ETGY/18766/2025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379EF" w14:textId="77777777" w:rsidR="00A1693F" w:rsidRDefault="00A1693F">
      <w:pPr>
        <w:spacing w:line="240" w:lineRule="auto"/>
      </w:pPr>
      <w:r>
        <w:separator/>
      </w:r>
    </w:p>
  </w:footnote>
  <w:footnote w:type="continuationSeparator" w:id="0">
    <w:p w14:paraId="21C5464D" w14:textId="77777777" w:rsidR="00A1693F" w:rsidRDefault="00A169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1466498"/>
      <w:docPartObj>
        <w:docPartGallery w:val="Page Numbers (Top of Page)"/>
        <w:docPartUnique/>
      </w:docPartObj>
    </w:sdtPr>
    <w:sdtEndPr/>
    <w:sdtContent>
      <w:p w14:paraId="22ACB92D" w14:textId="4CD31FA4" w:rsidR="00A1693F" w:rsidRDefault="00A1693F">
        <w:pPr>
          <w:pStyle w:val="lfej"/>
          <w:jc w:val="center"/>
        </w:pPr>
        <w:r>
          <w:fldChar w:fldCharType="begin"/>
        </w:r>
        <w:r>
          <w:instrText>PAGE   \* MERGEFORMAT</w:instrText>
        </w:r>
        <w:r>
          <w:fldChar w:fldCharType="separate"/>
        </w:r>
        <w:r w:rsidR="00F15892" w:rsidRPr="00F15892">
          <w:rPr>
            <w:noProof/>
            <w:lang w:val="hu-HU"/>
          </w:rPr>
          <w:t>16</w:t>
        </w:r>
        <w:r>
          <w:fldChar w:fldCharType="end"/>
        </w:r>
      </w:p>
    </w:sdtContent>
  </w:sdt>
  <w:p w14:paraId="3007B732" w14:textId="77777777" w:rsidR="00A1693F" w:rsidRDefault="00A1693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F886C568">
      <w:start w:val="1"/>
      <w:numFmt w:val="bullet"/>
      <w:pStyle w:val="Cmsor1"/>
      <w:lvlText w:val=""/>
      <w:lvlJc w:val="left"/>
      <w:pPr>
        <w:tabs>
          <w:tab w:val="num" w:pos="360"/>
        </w:tabs>
        <w:ind w:left="360" w:hanging="360"/>
      </w:pPr>
      <w:rPr>
        <w:rFonts w:ascii="Symbol" w:hAnsi="Symbol" w:hint="default"/>
      </w:rPr>
    </w:lvl>
    <w:lvl w:ilvl="1" w:tplc="A9F22530" w:tentative="1">
      <w:start w:val="1"/>
      <w:numFmt w:val="bullet"/>
      <w:pStyle w:val="Cmsor2"/>
      <w:lvlText w:val="o"/>
      <w:lvlJc w:val="left"/>
      <w:pPr>
        <w:tabs>
          <w:tab w:val="num" w:pos="1080"/>
        </w:tabs>
        <w:ind w:left="1080" w:hanging="360"/>
      </w:pPr>
      <w:rPr>
        <w:rFonts w:ascii="Courier New" w:hAnsi="Courier New" w:hint="default"/>
      </w:rPr>
    </w:lvl>
    <w:lvl w:ilvl="2" w:tplc="F0D0F586" w:tentative="1">
      <w:start w:val="1"/>
      <w:numFmt w:val="bullet"/>
      <w:pStyle w:val="Cmsor3"/>
      <w:lvlText w:val=""/>
      <w:lvlJc w:val="left"/>
      <w:pPr>
        <w:tabs>
          <w:tab w:val="num" w:pos="1800"/>
        </w:tabs>
        <w:ind w:left="1800" w:hanging="360"/>
      </w:pPr>
      <w:rPr>
        <w:rFonts w:ascii="Wingdings" w:hAnsi="Wingdings" w:hint="default"/>
      </w:rPr>
    </w:lvl>
    <w:lvl w:ilvl="3" w:tplc="E14A7968" w:tentative="1">
      <w:start w:val="1"/>
      <w:numFmt w:val="bullet"/>
      <w:pStyle w:val="Cmsor4"/>
      <w:lvlText w:val=""/>
      <w:lvlJc w:val="left"/>
      <w:pPr>
        <w:tabs>
          <w:tab w:val="num" w:pos="2520"/>
        </w:tabs>
        <w:ind w:left="2520" w:hanging="360"/>
      </w:pPr>
      <w:rPr>
        <w:rFonts w:ascii="Symbol" w:hAnsi="Symbol" w:hint="default"/>
      </w:rPr>
    </w:lvl>
    <w:lvl w:ilvl="4" w:tplc="F934F87A" w:tentative="1">
      <w:start w:val="1"/>
      <w:numFmt w:val="bullet"/>
      <w:pStyle w:val="Cmsor5"/>
      <w:lvlText w:val="o"/>
      <w:lvlJc w:val="left"/>
      <w:pPr>
        <w:tabs>
          <w:tab w:val="num" w:pos="3240"/>
        </w:tabs>
        <w:ind w:left="3240" w:hanging="360"/>
      </w:pPr>
      <w:rPr>
        <w:rFonts w:ascii="Courier New" w:hAnsi="Courier New" w:hint="default"/>
      </w:rPr>
    </w:lvl>
    <w:lvl w:ilvl="5" w:tplc="E1643A78" w:tentative="1">
      <w:start w:val="1"/>
      <w:numFmt w:val="bullet"/>
      <w:pStyle w:val="Cmsor6"/>
      <w:lvlText w:val=""/>
      <w:lvlJc w:val="left"/>
      <w:pPr>
        <w:tabs>
          <w:tab w:val="num" w:pos="3960"/>
        </w:tabs>
        <w:ind w:left="3960" w:hanging="360"/>
      </w:pPr>
      <w:rPr>
        <w:rFonts w:ascii="Wingdings" w:hAnsi="Wingdings" w:hint="default"/>
      </w:rPr>
    </w:lvl>
    <w:lvl w:ilvl="6" w:tplc="7F125F72" w:tentative="1">
      <w:start w:val="1"/>
      <w:numFmt w:val="bullet"/>
      <w:pStyle w:val="Cmsor7"/>
      <w:lvlText w:val=""/>
      <w:lvlJc w:val="left"/>
      <w:pPr>
        <w:tabs>
          <w:tab w:val="num" w:pos="4680"/>
        </w:tabs>
        <w:ind w:left="4680" w:hanging="360"/>
      </w:pPr>
      <w:rPr>
        <w:rFonts w:ascii="Symbol" w:hAnsi="Symbol" w:hint="default"/>
      </w:rPr>
    </w:lvl>
    <w:lvl w:ilvl="7" w:tplc="0164CFFC" w:tentative="1">
      <w:start w:val="1"/>
      <w:numFmt w:val="bullet"/>
      <w:pStyle w:val="Cmsor8"/>
      <w:lvlText w:val="o"/>
      <w:lvlJc w:val="left"/>
      <w:pPr>
        <w:tabs>
          <w:tab w:val="num" w:pos="5400"/>
        </w:tabs>
        <w:ind w:left="5400" w:hanging="360"/>
      </w:pPr>
      <w:rPr>
        <w:rFonts w:ascii="Courier New" w:hAnsi="Courier New" w:hint="default"/>
      </w:rPr>
    </w:lvl>
    <w:lvl w:ilvl="8" w:tplc="B14A1516"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F774D12A">
      <w:start w:val="1"/>
      <w:numFmt w:val="bullet"/>
      <w:lvlText w:val=""/>
      <w:lvlJc w:val="left"/>
      <w:pPr>
        <w:tabs>
          <w:tab w:val="num" w:pos="567"/>
        </w:tabs>
        <w:ind w:left="567" w:hanging="567"/>
      </w:pPr>
      <w:rPr>
        <w:rFonts w:ascii="Symbol" w:hAnsi="Symbol" w:hint="default"/>
      </w:rPr>
    </w:lvl>
    <w:lvl w:ilvl="1" w:tplc="CF8600EE" w:tentative="1">
      <w:start w:val="1"/>
      <w:numFmt w:val="bullet"/>
      <w:lvlText w:val="o"/>
      <w:lvlJc w:val="left"/>
      <w:pPr>
        <w:tabs>
          <w:tab w:val="num" w:pos="1440"/>
        </w:tabs>
        <w:ind w:left="1440" w:hanging="360"/>
      </w:pPr>
      <w:rPr>
        <w:rFonts w:ascii="Courier New" w:hAnsi="Courier New" w:hint="default"/>
      </w:rPr>
    </w:lvl>
    <w:lvl w:ilvl="2" w:tplc="03C4B8C6" w:tentative="1">
      <w:start w:val="1"/>
      <w:numFmt w:val="bullet"/>
      <w:lvlText w:val=""/>
      <w:lvlJc w:val="left"/>
      <w:pPr>
        <w:tabs>
          <w:tab w:val="num" w:pos="2160"/>
        </w:tabs>
        <w:ind w:left="2160" w:hanging="360"/>
      </w:pPr>
      <w:rPr>
        <w:rFonts w:ascii="Wingdings" w:hAnsi="Wingdings" w:hint="default"/>
      </w:rPr>
    </w:lvl>
    <w:lvl w:ilvl="3" w:tplc="F35EE422" w:tentative="1">
      <w:start w:val="1"/>
      <w:numFmt w:val="bullet"/>
      <w:lvlText w:val=""/>
      <w:lvlJc w:val="left"/>
      <w:pPr>
        <w:tabs>
          <w:tab w:val="num" w:pos="2880"/>
        </w:tabs>
        <w:ind w:left="2880" w:hanging="360"/>
      </w:pPr>
      <w:rPr>
        <w:rFonts w:ascii="Symbol" w:hAnsi="Symbol" w:hint="default"/>
      </w:rPr>
    </w:lvl>
    <w:lvl w:ilvl="4" w:tplc="90A6ABCE" w:tentative="1">
      <w:start w:val="1"/>
      <w:numFmt w:val="bullet"/>
      <w:lvlText w:val="o"/>
      <w:lvlJc w:val="left"/>
      <w:pPr>
        <w:tabs>
          <w:tab w:val="num" w:pos="3600"/>
        </w:tabs>
        <w:ind w:left="3600" w:hanging="360"/>
      </w:pPr>
      <w:rPr>
        <w:rFonts w:ascii="Courier New" w:hAnsi="Courier New" w:hint="default"/>
      </w:rPr>
    </w:lvl>
    <w:lvl w:ilvl="5" w:tplc="9E6ADAC0" w:tentative="1">
      <w:start w:val="1"/>
      <w:numFmt w:val="bullet"/>
      <w:lvlText w:val=""/>
      <w:lvlJc w:val="left"/>
      <w:pPr>
        <w:tabs>
          <w:tab w:val="num" w:pos="4320"/>
        </w:tabs>
        <w:ind w:left="4320" w:hanging="360"/>
      </w:pPr>
      <w:rPr>
        <w:rFonts w:ascii="Wingdings" w:hAnsi="Wingdings" w:hint="default"/>
      </w:rPr>
    </w:lvl>
    <w:lvl w:ilvl="6" w:tplc="A6AA5E3C" w:tentative="1">
      <w:start w:val="1"/>
      <w:numFmt w:val="bullet"/>
      <w:lvlText w:val=""/>
      <w:lvlJc w:val="left"/>
      <w:pPr>
        <w:tabs>
          <w:tab w:val="num" w:pos="5040"/>
        </w:tabs>
        <w:ind w:left="5040" w:hanging="360"/>
      </w:pPr>
      <w:rPr>
        <w:rFonts w:ascii="Symbol" w:hAnsi="Symbol" w:hint="default"/>
      </w:rPr>
    </w:lvl>
    <w:lvl w:ilvl="7" w:tplc="A8C65A0E" w:tentative="1">
      <w:start w:val="1"/>
      <w:numFmt w:val="bullet"/>
      <w:lvlText w:val="o"/>
      <w:lvlJc w:val="left"/>
      <w:pPr>
        <w:tabs>
          <w:tab w:val="num" w:pos="5760"/>
        </w:tabs>
        <w:ind w:left="5760" w:hanging="360"/>
      </w:pPr>
      <w:rPr>
        <w:rFonts w:ascii="Courier New" w:hAnsi="Courier New" w:hint="default"/>
      </w:rPr>
    </w:lvl>
    <w:lvl w:ilvl="8" w:tplc="2CD8D08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52A84F46">
      <w:start w:val="1"/>
      <w:numFmt w:val="bullet"/>
      <w:lvlText w:val=""/>
      <w:lvlJc w:val="left"/>
      <w:pPr>
        <w:tabs>
          <w:tab w:val="num" w:pos="720"/>
        </w:tabs>
        <w:ind w:left="720" w:hanging="360"/>
      </w:pPr>
      <w:rPr>
        <w:rFonts w:ascii="Symbol" w:hAnsi="Symbol" w:hint="default"/>
      </w:rPr>
    </w:lvl>
    <w:lvl w:ilvl="1" w:tplc="8340A6E0" w:tentative="1">
      <w:start w:val="1"/>
      <w:numFmt w:val="bullet"/>
      <w:lvlText w:val="o"/>
      <w:lvlJc w:val="left"/>
      <w:pPr>
        <w:tabs>
          <w:tab w:val="num" w:pos="1440"/>
        </w:tabs>
        <w:ind w:left="1440" w:hanging="360"/>
      </w:pPr>
      <w:rPr>
        <w:rFonts w:ascii="Courier New" w:hAnsi="Courier New" w:hint="default"/>
      </w:rPr>
    </w:lvl>
    <w:lvl w:ilvl="2" w:tplc="87347B90" w:tentative="1">
      <w:start w:val="1"/>
      <w:numFmt w:val="bullet"/>
      <w:lvlText w:val=""/>
      <w:lvlJc w:val="left"/>
      <w:pPr>
        <w:tabs>
          <w:tab w:val="num" w:pos="2160"/>
        </w:tabs>
        <w:ind w:left="2160" w:hanging="360"/>
      </w:pPr>
      <w:rPr>
        <w:rFonts w:ascii="Wingdings" w:hAnsi="Wingdings" w:hint="default"/>
      </w:rPr>
    </w:lvl>
    <w:lvl w:ilvl="3" w:tplc="AC5CF0B6" w:tentative="1">
      <w:start w:val="1"/>
      <w:numFmt w:val="bullet"/>
      <w:lvlText w:val=""/>
      <w:lvlJc w:val="left"/>
      <w:pPr>
        <w:tabs>
          <w:tab w:val="num" w:pos="2880"/>
        </w:tabs>
        <w:ind w:left="2880" w:hanging="360"/>
      </w:pPr>
      <w:rPr>
        <w:rFonts w:ascii="Symbol" w:hAnsi="Symbol" w:hint="default"/>
      </w:rPr>
    </w:lvl>
    <w:lvl w:ilvl="4" w:tplc="168ECB8A" w:tentative="1">
      <w:start w:val="1"/>
      <w:numFmt w:val="bullet"/>
      <w:lvlText w:val="o"/>
      <w:lvlJc w:val="left"/>
      <w:pPr>
        <w:tabs>
          <w:tab w:val="num" w:pos="3600"/>
        </w:tabs>
        <w:ind w:left="3600" w:hanging="360"/>
      </w:pPr>
      <w:rPr>
        <w:rFonts w:ascii="Courier New" w:hAnsi="Courier New" w:hint="default"/>
      </w:rPr>
    </w:lvl>
    <w:lvl w:ilvl="5" w:tplc="234A43F8" w:tentative="1">
      <w:start w:val="1"/>
      <w:numFmt w:val="bullet"/>
      <w:lvlText w:val=""/>
      <w:lvlJc w:val="left"/>
      <w:pPr>
        <w:tabs>
          <w:tab w:val="num" w:pos="4320"/>
        </w:tabs>
        <w:ind w:left="4320" w:hanging="360"/>
      </w:pPr>
      <w:rPr>
        <w:rFonts w:ascii="Wingdings" w:hAnsi="Wingdings" w:hint="default"/>
      </w:rPr>
    </w:lvl>
    <w:lvl w:ilvl="6" w:tplc="DE42131E" w:tentative="1">
      <w:start w:val="1"/>
      <w:numFmt w:val="bullet"/>
      <w:lvlText w:val=""/>
      <w:lvlJc w:val="left"/>
      <w:pPr>
        <w:tabs>
          <w:tab w:val="num" w:pos="5040"/>
        </w:tabs>
        <w:ind w:left="5040" w:hanging="360"/>
      </w:pPr>
      <w:rPr>
        <w:rFonts w:ascii="Symbol" w:hAnsi="Symbol" w:hint="default"/>
      </w:rPr>
    </w:lvl>
    <w:lvl w:ilvl="7" w:tplc="CD582408" w:tentative="1">
      <w:start w:val="1"/>
      <w:numFmt w:val="bullet"/>
      <w:lvlText w:val="o"/>
      <w:lvlJc w:val="left"/>
      <w:pPr>
        <w:tabs>
          <w:tab w:val="num" w:pos="5760"/>
        </w:tabs>
        <w:ind w:left="5760" w:hanging="360"/>
      </w:pPr>
      <w:rPr>
        <w:rFonts w:ascii="Courier New" w:hAnsi="Courier New" w:hint="default"/>
      </w:rPr>
    </w:lvl>
    <w:lvl w:ilvl="8" w:tplc="8A70734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240477"/>
    <w:multiLevelType w:val="hybridMultilevel"/>
    <w:tmpl w:val="1E52A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15:restartNumberingAfterBreak="0">
    <w:nsid w:val="2E541609"/>
    <w:multiLevelType w:val="hybridMultilevel"/>
    <w:tmpl w:val="1E5AABE8"/>
    <w:lvl w:ilvl="0" w:tplc="1040CBD8">
      <w:start w:val="1"/>
      <w:numFmt w:val="decimal"/>
      <w:lvlText w:val="%1."/>
      <w:lvlJc w:val="left"/>
      <w:pPr>
        <w:tabs>
          <w:tab w:val="num" w:pos="570"/>
        </w:tabs>
        <w:ind w:left="570" w:hanging="570"/>
      </w:pPr>
      <w:rPr>
        <w:rFonts w:cs="Times New Roman" w:hint="default"/>
      </w:rPr>
    </w:lvl>
    <w:lvl w:ilvl="1" w:tplc="A69C25BA" w:tentative="1">
      <w:start w:val="1"/>
      <w:numFmt w:val="lowerLetter"/>
      <w:lvlText w:val="%2."/>
      <w:lvlJc w:val="left"/>
      <w:pPr>
        <w:tabs>
          <w:tab w:val="num" w:pos="1080"/>
        </w:tabs>
        <w:ind w:left="1080" w:hanging="360"/>
      </w:pPr>
      <w:rPr>
        <w:rFonts w:cs="Times New Roman"/>
      </w:rPr>
    </w:lvl>
    <w:lvl w:ilvl="2" w:tplc="BA42E7B4" w:tentative="1">
      <w:start w:val="1"/>
      <w:numFmt w:val="lowerRoman"/>
      <w:lvlText w:val="%3."/>
      <w:lvlJc w:val="right"/>
      <w:pPr>
        <w:tabs>
          <w:tab w:val="num" w:pos="1800"/>
        </w:tabs>
        <w:ind w:left="1800" w:hanging="180"/>
      </w:pPr>
      <w:rPr>
        <w:rFonts w:cs="Times New Roman"/>
      </w:rPr>
    </w:lvl>
    <w:lvl w:ilvl="3" w:tplc="85D85118" w:tentative="1">
      <w:start w:val="1"/>
      <w:numFmt w:val="decimal"/>
      <w:lvlText w:val="%4."/>
      <w:lvlJc w:val="left"/>
      <w:pPr>
        <w:tabs>
          <w:tab w:val="num" w:pos="2520"/>
        </w:tabs>
        <w:ind w:left="2520" w:hanging="360"/>
      </w:pPr>
      <w:rPr>
        <w:rFonts w:cs="Times New Roman"/>
      </w:rPr>
    </w:lvl>
    <w:lvl w:ilvl="4" w:tplc="823EECE0" w:tentative="1">
      <w:start w:val="1"/>
      <w:numFmt w:val="lowerLetter"/>
      <w:lvlText w:val="%5."/>
      <w:lvlJc w:val="left"/>
      <w:pPr>
        <w:tabs>
          <w:tab w:val="num" w:pos="3240"/>
        </w:tabs>
        <w:ind w:left="3240" w:hanging="360"/>
      </w:pPr>
      <w:rPr>
        <w:rFonts w:cs="Times New Roman"/>
      </w:rPr>
    </w:lvl>
    <w:lvl w:ilvl="5" w:tplc="F57081FE" w:tentative="1">
      <w:start w:val="1"/>
      <w:numFmt w:val="lowerRoman"/>
      <w:lvlText w:val="%6."/>
      <w:lvlJc w:val="right"/>
      <w:pPr>
        <w:tabs>
          <w:tab w:val="num" w:pos="3960"/>
        </w:tabs>
        <w:ind w:left="3960" w:hanging="180"/>
      </w:pPr>
      <w:rPr>
        <w:rFonts w:cs="Times New Roman"/>
      </w:rPr>
    </w:lvl>
    <w:lvl w:ilvl="6" w:tplc="93C67AA4" w:tentative="1">
      <w:start w:val="1"/>
      <w:numFmt w:val="decimal"/>
      <w:lvlText w:val="%7."/>
      <w:lvlJc w:val="left"/>
      <w:pPr>
        <w:tabs>
          <w:tab w:val="num" w:pos="4680"/>
        </w:tabs>
        <w:ind w:left="4680" w:hanging="360"/>
      </w:pPr>
      <w:rPr>
        <w:rFonts w:cs="Times New Roman"/>
      </w:rPr>
    </w:lvl>
    <w:lvl w:ilvl="7" w:tplc="703C1E9E" w:tentative="1">
      <w:start w:val="1"/>
      <w:numFmt w:val="lowerLetter"/>
      <w:lvlText w:val="%8."/>
      <w:lvlJc w:val="left"/>
      <w:pPr>
        <w:tabs>
          <w:tab w:val="num" w:pos="5400"/>
        </w:tabs>
        <w:ind w:left="5400" w:hanging="360"/>
      </w:pPr>
      <w:rPr>
        <w:rFonts w:cs="Times New Roman"/>
      </w:rPr>
    </w:lvl>
    <w:lvl w:ilvl="8" w:tplc="1D7808CC" w:tentative="1">
      <w:start w:val="1"/>
      <w:numFmt w:val="lowerRoman"/>
      <w:lvlText w:val="%9."/>
      <w:lvlJc w:val="right"/>
      <w:pPr>
        <w:tabs>
          <w:tab w:val="num" w:pos="6120"/>
        </w:tabs>
        <w:ind w:left="6120" w:hanging="180"/>
      </w:pPr>
      <w:rPr>
        <w:rFonts w:cs="Times New Roman"/>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1" w15:restartNumberingAfterBreak="0">
    <w:nsid w:val="440D722B"/>
    <w:multiLevelType w:val="hybridMultilevel"/>
    <w:tmpl w:val="563CA3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vlJc w:val="left"/>
      <w:pPr>
        <w:ind w:left="1800" w:hanging="360"/>
      </w:pPr>
    </w:lvl>
  </w:abstractNum>
  <w:abstractNum w:abstractNumId="23" w15:restartNumberingAfterBreak="0">
    <w:nsid w:val="500F0A91"/>
    <w:multiLevelType w:val="hybridMultilevel"/>
    <w:tmpl w:val="2B94116C"/>
    <w:lvl w:ilvl="0" w:tplc="A58C838A">
      <w:start w:val="1"/>
      <w:numFmt w:val="decimal"/>
      <w:lvlText w:val="%1."/>
      <w:lvlJc w:val="left"/>
      <w:pPr>
        <w:tabs>
          <w:tab w:val="num" w:pos="720"/>
        </w:tabs>
        <w:ind w:left="720" w:hanging="360"/>
      </w:pPr>
    </w:lvl>
    <w:lvl w:ilvl="1" w:tplc="A808E7CC" w:tentative="1">
      <w:start w:val="1"/>
      <w:numFmt w:val="lowerLetter"/>
      <w:lvlText w:val="%2."/>
      <w:lvlJc w:val="left"/>
      <w:pPr>
        <w:tabs>
          <w:tab w:val="num" w:pos="1440"/>
        </w:tabs>
        <w:ind w:left="1440" w:hanging="360"/>
      </w:pPr>
    </w:lvl>
    <w:lvl w:ilvl="2" w:tplc="3FDC62BA" w:tentative="1">
      <w:start w:val="1"/>
      <w:numFmt w:val="lowerRoman"/>
      <w:lvlText w:val="%3."/>
      <w:lvlJc w:val="right"/>
      <w:pPr>
        <w:tabs>
          <w:tab w:val="num" w:pos="2160"/>
        </w:tabs>
        <w:ind w:left="2160" w:hanging="180"/>
      </w:pPr>
    </w:lvl>
    <w:lvl w:ilvl="3" w:tplc="0A50DDF8" w:tentative="1">
      <w:start w:val="1"/>
      <w:numFmt w:val="decimal"/>
      <w:lvlText w:val="%4."/>
      <w:lvlJc w:val="left"/>
      <w:pPr>
        <w:tabs>
          <w:tab w:val="num" w:pos="2880"/>
        </w:tabs>
        <w:ind w:left="2880" w:hanging="360"/>
      </w:pPr>
    </w:lvl>
    <w:lvl w:ilvl="4" w:tplc="F9222C64" w:tentative="1">
      <w:start w:val="1"/>
      <w:numFmt w:val="lowerLetter"/>
      <w:lvlText w:val="%5."/>
      <w:lvlJc w:val="left"/>
      <w:pPr>
        <w:tabs>
          <w:tab w:val="num" w:pos="3600"/>
        </w:tabs>
        <w:ind w:left="3600" w:hanging="360"/>
      </w:pPr>
    </w:lvl>
    <w:lvl w:ilvl="5" w:tplc="411428A2" w:tentative="1">
      <w:start w:val="1"/>
      <w:numFmt w:val="lowerRoman"/>
      <w:lvlText w:val="%6."/>
      <w:lvlJc w:val="right"/>
      <w:pPr>
        <w:tabs>
          <w:tab w:val="num" w:pos="4320"/>
        </w:tabs>
        <w:ind w:left="4320" w:hanging="180"/>
      </w:pPr>
    </w:lvl>
    <w:lvl w:ilvl="6" w:tplc="3C4C9018" w:tentative="1">
      <w:start w:val="1"/>
      <w:numFmt w:val="decimal"/>
      <w:lvlText w:val="%7."/>
      <w:lvlJc w:val="left"/>
      <w:pPr>
        <w:tabs>
          <w:tab w:val="num" w:pos="5040"/>
        </w:tabs>
        <w:ind w:left="5040" w:hanging="360"/>
      </w:pPr>
    </w:lvl>
    <w:lvl w:ilvl="7" w:tplc="8EB65ACE" w:tentative="1">
      <w:start w:val="1"/>
      <w:numFmt w:val="lowerLetter"/>
      <w:lvlText w:val="%8."/>
      <w:lvlJc w:val="left"/>
      <w:pPr>
        <w:tabs>
          <w:tab w:val="num" w:pos="5760"/>
        </w:tabs>
        <w:ind w:left="5760" w:hanging="360"/>
      </w:pPr>
    </w:lvl>
    <w:lvl w:ilvl="8" w:tplc="026646CA" w:tentative="1">
      <w:start w:val="1"/>
      <w:numFmt w:val="lowerRoman"/>
      <w:lvlText w:val="%9."/>
      <w:lvlJc w:val="right"/>
      <w:pPr>
        <w:tabs>
          <w:tab w:val="num" w:pos="6480"/>
        </w:tabs>
        <w:ind w:left="6480" w:hanging="180"/>
      </w:pPr>
    </w:lvl>
  </w:abstractNum>
  <w:abstractNum w:abstractNumId="24" w15:restartNumberingAfterBreak="0">
    <w:nsid w:val="560C4365"/>
    <w:multiLevelType w:val="singleLevel"/>
    <w:tmpl w:val="FFFFFFFF"/>
    <w:lvl w:ilvl="0">
      <w:start w:val="1"/>
      <w:numFmt w:val="bullet"/>
      <w:lvlText w:val="-"/>
      <w:lvlJc w:val="left"/>
      <w:pPr>
        <w:ind w:left="1800" w:hanging="360"/>
      </w:pPr>
    </w:lvl>
  </w:abstractNum>
  <w:abstractNum w:abstractNumId="25" w15:restartNumberingAfterBreak="0">
    <w:nsid w:val="58B56C73"/>
    <w:multiLevelType w:val="hybridMultilevel"/>
    <w:tmpl w:val="5BA42128"/>
    <w:lvl w:ilvl="0" w:tplc="DB780D9E">
      <w:start w:val="2"/>
      <w:numFmt w:val="decimal"/>
      <w:lvlText w:val="%1."/>
      <w:lvlJc w:val="left"/>
      <w:pPr>
        <w:tabs>
          <w:tab w:val="num" w:pos="570"/>
        </w:tabs>
        <w:ind w:left="570" w:hanging="570"/>
      </w:pPr>
      <w:rPr>
        <w:rFonts w:cs="Times New Roman" w:hint="default"/>
      </w:rPr>
    </w:lvl>
    <w:lvl w:ilvl="1" w:tplc="CB3695D0" w:tentative="1">
      <w:start w:val="1"/>
      <w:numFmt w:val="lowerLetter"/>
      <w:lvlText w:val="%2."/>
      <w:lvlJc w:val="left"/>
      <w:pPr>
        <w:tabs>
          <w:tab w:val="num" w:pos="1080"/>
        </w:tabs>
        <w:ind w:left="1080" w:hanging="360"/>
      </w:pPr>
      <w:rPr>
        <w:rFonts w:cs="Times New Roman"/>
      </w:rPr>
    </w:lvl>
    <w:lvl w:ilvl="2" w:tplc="E69A5C4A" w:tentative="1">
      <w:start w:val="1"/>
      <w:numFmt w:val="lowerRoman"/>
      <w:lvlText w:val="%3."/>
      <w:lvlJc w:val="right"/>
      <w:pPr>
        <w:tabs>
          <w:tab w:val="num" w:pos="1800"/>
        </w:tabs>
        <w:ind w:left="1800" w:hanging="180"/>
      </w:pPr>
      <w:rPr>
        <w:rFonts w:cs="Times New Roman"/>
      </w:rPr>
    </w:lvl>
    <w:lvl w:ilvl="3" w:tplc="02503366" w:tentative="1">
      <w:start w:val="1"/>
      <w:numFmt w:val="decimal"/>
      <w:lvlText w:val="%4."/>
      <w:lvlJc w:val="left"/>
      <w:pPr>
        <w:tabs>
          <w:tab w:val="num" w:pos="2520"/>
        </w:tabs>
        <w:ind w:left="2520" w:hanging="360"/>
      </w:pPr>
      <w:rPr>
        <w:rFonts w:cs="Times New Roman"/>
      </w:rPr>
    </w:lvl>
    <w:lvl w:ilvl="4" w:tplc="46A824AC" w:tentative="1">
      <w:start w:val="1"/>
      <w:numFmt w:val="lowerLetter"/>
      <w:lvlText w:val="%5."/>
      <w:lvlJc w:val="left"/>
      <w:pPr>
        <w:tabs>
          <w:tab w:val="num" w:pos="3240"/>
        </w:tabs>
        <w:ind w:left="3240" w:hanging="360"/>
      </w:pPr>
      <w:rPr>
        <w:rFonts w:cs="Times New Roman"/>
      </w:rPr>
    </w:lvl>
    <w:lvl w:ilvl="5" w:tplc="4724B34A" w:tentative="1">
      <w:start w:val="1"/>
      <w:numFmt w:val="lowerRoman"/>
      <w:lvlText w:val="%6."/>
      <w:lvlJc w:val="right"/>
      <w:pPr>
        <w:tabs>
          <w:tab w:val="num" w:pos="3960"/>
        </w:tabs>
        <w:ind w:left="3960" w:hanging="180"/>
      </w:pPr>
      <w:rPr>
        <w:rFonts w:cs="Times New Roman"/>
      </w:rPr>
    </w:lvl>
    <w:lvl w:ilvl="6" w:tplc="928819EA" w:tentative="1">
      <w:start w:val="1"/>
      <w:numFmt w:val="decimal"/>
      <w:lvlText w:val="%7."/>
      <w:lvlJc w:val="left"/>
      <w:pPr>
        <w:tabs>
          <w:tab w:val="num" w:pos="4680"/>
        </w:tabs>
        <w:ind w:left="4680" w:hanging="360"/>
      </w:pPr>
      <w:rPr>
        <w:rFonts w:cs="Times New Roman"/>
      </w:rPr>
    </w:lvl>
    <w:lvl w:ilvl="7" w:tplc="7AAC75BE" w:tentative="1">
      <w:start w:val="1"/>
      <w:numFmt w:val="lowerLetter"/>
      <w:lvlText w:val="%8."/>
      <w:lvlJc w:val="left"/>
      <w:pPr>
        <w:tabs>
          <w:tab w:val="num" w:pos="5400"/>
        </w:tabs>
        <w:ind w:left="5400" w:hanging="360"/>
      </w:pPr>
      <w:rPr>
        <w:rFonts w:cs="Times New Roman"/>
      </w:rPr>
    </w:lvl>
    <w:lvl w:ilvl="8" w:tplc="9AA0678A" w:tentative="1">
      <w:start w:val="1"/>
      <w:numFmt w:val="lowerRoman"/>
      <w:lvlText w:val="%9."/>
      <w:lvlJc w:val="right"/>
      <w:pPr>
        <w:tabs>
          <w:tab w:val="num" w:pos="6120"/>
        </w:tabs>
        <w:ind w:left="6120" w:hanging="180"/>
      </w:pPr>
      <w:rPr>
        <w:rFonts w:cs="Times New Roman"/>
      </w:rPr>
    </w:lvl>
  </w:abstractNum>
  <w:abstractNum w:abstractNumId="26" w15:restartNumberingAfterBreak="0">
    <w:nsid w:val="5CB13BD7"/>
    <w:multiLevelType w:val="hybridMultilevel"/>
    <w:tmpl w:val="E8CED8CC"/>
    <w:lvl w:ilvl="0" w:tplc="F9E672E4">
      <w:start w:val="1"/>
      <w:numFmt w:val="upperLetter"/>
      <w:lvlText w:val="%1."/>
      <w:lvlJc w:val="left"/>
      <w:pPr>
        <w:tabs>
          <w:tab w:val="num" w:pos="720"/>
        </w:tabs>
        <w:ind w:left="720" w:hanging="360"/>
      </w:pPr>
      <w:rPr>
        <w:rFonts w:hint="default"/>
      </w:rPr>
    </w:lvl>
    <w:lvl w:ilvl="1" w:tplc="FC54B13C" w:tentative="1">
      <w:start w:val="1"/>
      <w:numFmt w:val="lowerLetter"/>
      <w:lvlText w:val="%2."/>
      <w:lvlJc w:val="left"/>
      <w:pPr>
        <w:tabs>
          <w:tab w:val="num" w:pos="1440"/>
        </w:tabs>
        <w:ind w:left="1440" w:hanging="360"/>
      </w:pPr>
    </w:lvl>
    <w:lvl w:ilvl="2" w:tplc="FF8A1AE2" w:tentative="1">
      <w:start w:val="1"/>
      <w:numFmt w:val="lowerRoman"/>
      <w:lvlText w:val="%3."/>
      <w:lvlJc w:val="right"/>
      <w:pPr>
        <w:tabs>
          <w:tab w:val="num" w:pos="2160"/>
        </w:tabs>
        <w:ind w:left="2160" w:hanging="180"/>
      </w:pPr>
    </w:lvl>
    <w:lvl w:ilvl="3" w:tplc="CBCE2758" w:tentative="1">
      <w:start w:val="1"/>
      <w:numFmt w:val="decimal"/>
      <w:lvlText w:val="%4."/>
      <w:lvlJc w:val="left"/>
      <w:pPr>
        <w:tabs>
          <w:tab w:val="num" w:pos="2880"/>
        </w:tabs>
        <w:ind w:left="2880" w:hanging="360"/>
      </w:pPr>
    </w:lvl>
    <w:lvl w:ilvl="4" w:tplc="AB7A0A30" w:tentative="1">
      <w:start w:val="1"/>
      <w:numFmt w:val="lowerLetter"/>
      <w:lvlText w:val="%5."/>
      <w:lvlJc w:val="left"/>
      <w:pPr>
        <w:tabs>
          <w:tab w:val="num" w:pos="3600"/>
        </w:tabs>
        <w:ind w:left="3600" w:hanging="360"/>
      </w:pPr>
    </w:lvl>
    <w:lvl w:ilvl="5" w:tplc="33E2ACBA" w:tentative="1">
      <w:start w:val="1"/>
      <w:numFmt w:val="lowerRoman"/>
      <w:lvlText w:val="%6."/>
      <w:lvlJc w:val="right"/>
      <w:pPr>
        <w:tabs>
          <w:tab w:val="num" w:pos="4320"/>
        </w:tabs>
        <w:ind w:left="4320" w:hanging="180"/>
      </w:pPr>
    </w:lvl>
    <w:lvl w:ilvl="6" w:tplc="F73C6578" w:tentative="1">
      <w:start w:val="1"/>
      <w:numFmt w:val="decimal"/>
      <w:lvlText w:val="%7."/>
      <w:lvlJc w:val="left"/>
      <w:pPr>
        <w:tabs>
          <w:tab w:val="num" w:pos="5040"/>
        </w:tabs>
        <w:ind w:left="5040" w:hanging="360"/>
      </w:pPr>
    </w:lvl>
    <w:lvl w:ilvl="7" w:tplc="1CBA54F6" w:tentative="1">
      <w:start w:val="1"/>
      <w:numFmt w:val="lowerLetter"/>
      <w:lvlText w:val="%8."/>
      <w:lvlJc w:val="left"/>
      <w:pPr>
        <w:tabs>
          <w:tab w:val="num" w:pos="5760"/>
        </w:tabs>
        <w:ind w:left="5760" w:hanging="360"/>
      </w:pPr>
    </w:lvl>
    <w:lvl w:ilvl="8" w:tplc="E314239E" w:tentative="1">
      <w:start w:val="1"/>
      <w:numFmt w:val="lowerRoman"/>
      <w:lvlText w:val="%9."/>
      <w:lvlJc w:val="right"/>
      <w:pPr>
        <w:tabs>
          <w:tab w:val="num" w:pos="6480"/>
        </w:tabs>
        <w:ind w:left="6480" w:hanging="180"/>
      </w:pPr>
    </w:lvl>
  </w:abstractNum>
  <w:abstractNum w:abstractNumId="27" w15:restartNumberingAfterBreak="0">
    <w:nsid w:val="5E4A793F"/>
    <w:multiLevelType w:val="multilevel"/>
    <w:tmpl w:val="78E4210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4380B46"/>
    <w:multiLevelType w:val="hybridMultilevel"/>
    <w:tmpl w:val="BE58B898"/>
    <w:lvl w:ilvl="0" w:tplc="E1DC3DAE">
      <w:start w:val="4"/>
      <w:numFmt w:val="bullet"/>
      <w:lvlText w:val="-"/>
      <w:lvlJc w:val="left"/>
      <w:pPr>
        <w:ind w:left="720" w:hanging="360"/>
      </w:pPr>
      <w:rPr>
        <w:rFonts w:ascii="Times New Roman" w:eastAsia="TimesNew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3" w15:restartNumberingAfterBreak="0">
    <w:nsid w:val="72AB50F1"/>
    <w:multiLevelType w:val="hybridMultilevel"/>
    <w:tmpl w:val="64CEA6CC"/>
    <w:lvl w:ilvl="0" w:tplc="BD52A5E0">
      <w:start w:val="1"/>
      <w:numFmt w:val="decimal"/>
      <w:lvlText w:val="%1)"/>
      <w:lvlJc w:val="left"/>
      <w:pPr>
        <w:ind w:left="720" w:hanging="360"/>
      </w:pPr>
      <w:rPr>
        <w:rFonts w:cs="Times New Roman" w:hint="default"/>
      </w:rPr>
    </w:lvl>
    <w:lvl w:ilvl="1" w:tplc="04F217CA" w:tentative="1">
      <w:start w:val="1"/>
      <w:numFmt w:val="lowerLetter"/>
      <w:lvlText w:val="%2."/>
      <w:lvlJc w:val="left"/>
      <w:pPr>
        <w:ind w:left="1440" w:hanging="360"/>
      </w:pPr>
      <w:rPr>
        <w:rFonts w:cs="Times New Roman"/>
      </w:rPr>
    </w:lvl>
    <w:lvl w:ilvl="2" w:tplc="1A10600C" w:tentative="1">
      <w:start w:val="1"/>
      <w:numFmt w:val="lowerRoman"/>
      <w:lvlText w:val="%3."/>
      <w:lvlJc w:val="right"/>
      <w:pPr>
        <w:ind w:left="2160" w:hanging="180"/>
      </w:pPr>
      <w:rPr>
        <w:rFonts w:cs="Times New Roman"/>
      </w:rPr>
    </w:lvl>
    <w:lvl w:ilvl="3" w:tplc="2ED61C44" w:tentative="1">
      <w:start w:val="1"/>
      <w:numFmt w:val="decimal"/>
      <w:lvlText w:val="%4."/>
      <w:lvlJc w:val="left"/>
      <w:pPr>
        <w:ind w:left="2880" w:hanging="360"/>
      </w:pPr>
      <w:rPr>
        <w:rFonts w:cs="Times New Roman"/>
      </w:rPr>
    </w:lvl>
    <w:lvl w:ilvl="4" w:tplc="E376A0D4" w:tentative="1">
      <w:start w:val="1"/>
      <w:numFmt w:val="lowerLetter"/>
      <w:lvlText w:val="%5."/>
      <w:lvlJc w:val="left"/>
      <w:pPr>
        <w:ind w:left="3600" w:hanging="360"/>
      </w:pPr>
      <w:rPr>
        <w:rFonts w:cs="Times New Roman"/>
      </w:rPr>
    </w:lvl>
    <w:lvl w:ilvl="5" w:tplc="726E4A2A" w:tentative="1">
      <w:start w:val="1"/>
      <w:numFmt w:val="lowerRoman"/>
      <w:lvlText w:val="%6."/>
      <w:lvlJc w:val="right"/>
      <w:pPr>
        <w:ind w:left="4320" w:hanging="180"/>
      </w:pPr>
      <w:rPr>
        <w:rFonts w:cs="Times New Roman"/>
      </w:rPr>
    </w:lvl>
    <w:lvl w:ilvl="6" w:tplc="A4BADCFC" w:tentative="1">
      <w:start w:val="1"/>
      <w:numFmt w:val="decimal"/>
      <w:lvlText w:val="%7."/>
      <w:lvlJc w:val="left"/>
      <w:pPr>
        <w:ind w:left="5040" w:hanging="360"/>
      </w:pPr>
      <w:rPr>
        <w:rFonts w:cs="Times New Roman"/>
      </w:rPr>
    </w:lvl>
    <w:lvl w:ilvl="7" w:tplc="702CA714" w:tentative="1">
      <w:start w:val="1"/>
      <w:numFmt w:val="lowerLetter"/>
      <w:lvlText w:val="%8."/>
      <w:lvlJc w:val="left"/>
      <w:pPr>
        <w:ind w:left="5760" w:hanging="360"/>
      </w:pPr>
      <w:rPr>
        <w:rFonts w:cs="Times New Roman"/>
      </w:rPr>
    </w:lvl>
    <w:lvl w:ilvl="8" w:tplc="58A889E2" w:tentative="1">
      <w:start w:val="1"/>
      <w:numFmt w:val="lowerRoman"/>
      <w:lvlText w:val="%9."/>
      <w:lvlJc w:val="right"/>
      <w:pPr>
        <w:ind w:left="6480" w:hanging="180"/>
      </w:pPr>
      <w:rPr>
        <w:rFonts w:cs="Times New Roman"/>
      </w:rPr>
    </w:lvl>
  </w:abstractNum>
  <w:abstractNum w:abstractNumId="34" w15:restartNumberingAfterBreak="0">
    <w:nsid w:val="7A100D28"/>
    <w:multiLevelType w:val="hybridMultilevel"/>
    <w:tmpl w:val="979479BE"/>
    <w:lvl w:ilvl="0" w:tplc="B90C9D7E">
      <w:start w:val="1"/>
      <w:numFmt w:val="upperLetter"/>
      <w:lvlText w:val="%1."/>
      <w:lvlJc w:val="left"/>
      <w:pPr>
        <w:ind w:left="5670" w:hanging="5670"/>
      </w:pPr>
      <w:rPr>
        <w:b/>
      </w:rPr>
    </w:lvl>
    <w:lvl w:ilvl="1" w:tplc="560C9A0C">
      <w:start w:val="17"/>
      <w:numFmt w:val="decimal"/>
      <w:lvlText w:val="%2."/>
      <w:lvlJc w:val="left"/>
      <w:pPr>
        <w:ind w:left="1650" w:hanging="570"/>
      </w:pPr>
      <w:rPr>
        <w:b/>
        <w:i w:val="0"/>
      </w:rPr>
    </w:lvl>
    <w:lvl w:ilvl="2" w:tplc="5BE62034">
      <w:start w:val="1"/>
      <w:numFmt w:val="lowerRoman"/>
      <w:lvlText w:val="%3."/>
      <w:lvlJc w:val="right"/>
      <w:pPr>
        <w:ind w:left="2160" w:hanging="180"/>
      </w:pPr>
    </w:lvl>
    <w:lvl w:ilvl="3" w:tplc="DFEE486A">
      <w:start w:val="1"/>
      <w:numFmt w:val="decimal"/>
      <w:lvlText w:val="%4."/>
      <w:lvlJc w:val="left"/>
      <w:pPr>
        <w:ind w:left="2880" w:hanging="360"/>
      </w:pPr>
    </w:lvl>
    <w:lvl w:ilvl="4" w:tplc="950ED6FA">
      <w:start w:val="1"/>
      <w:numFmt w:val="lowerLetter"/>
      <w:lvlText w:val="%5."/>
      <w:lvlJc w:val="left"/>
      <w:pPr>
        <w:ind w:left="3600" w:hanging="360"/>
      </w:pPr>
    </w:lvl>
    <w:lvl w:ilvl="5" w:tplc="B8F2C9DC">
      <w:start w:val="1"/>
      <w:numFmt w:val="lowerRoman"/>
      <w:lvlText w:val="%6."/>
      <w:lvlJc w:val="right"/>
      <w:pPr>
        <w:ind w:left="4320" w:hanging="180"/>
      </w:pPr>
    </w:lvl>
    <w:lvl w:ilvl="6" w:tplc="8B640656">
      <w:start w:val="1"/>
      <w:numFmt w:val="decimal"/>
      <w:lvlText w:val="%7."/>
      <w:lvlJc w:val="left"/>
      <w:pPr>
        <w:ind w:left="5040" w:hanging="360"/>
      </w:pPr>
    </w:lvl>
    <w:lvl w:ilvl="7" w:tplc="88269F86">
      <w:start w:val="1"/>
      <w:numFmt w:val="lowerLetter"/>
      <w:lvlText w:val="%8."/>
      <w:lvlJc w:val="left"/>
      <w:pPr>
        <w:ind w:left="5760" w:hanging="360"/>
      </w:pPr>
    </w:lvl>
    <w:lvl w:ilvl="8" w:tplc="72B6117C">
      <w:start w:val="1"/>
      <w:numFmt w:val="lowerRoman"/>
      <w:lvlText w:val="%9."/>
      <w:lvlJc w:val="right"/>
      <w:pPr>
        <w:ind w:left="6480" w:hanging="180"/>
      </w:pPr>
    </w:lvl>
  </w:abstractNum>
  <w:num w:numId="1">
    <w:abstractNumId w:val="12"/>
  </w:num>
  <w:num w:numId="2">
    <w:abstractNumId w:val="29"/>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30"/>
  </w:num>
  <w:num w:numId="6">
    <w:abstractNumId w:val="25"/>
  </w:num>
  <w:num w:numId="7">
    <w:abstractNumId w:val="18"/>
  </w:num>
  <w:num w:numId="8">
    <w:abstractNumId w:val="20"/>
  </w:num>
  <w:num w:numId="9">
    <w:abstractNumId w:val="33"/>
  </w:num>
  <w:num w:numId="10">
    <w:abstractNumId w:val="11"/>
  </w:num>
  <w:num w:numId="11">
    <w:abstractNumId w:val="31"/>
  </w:num>
  <w:num w:numId="12">
    <w:abstractNumId w:val="19"/>
  </w:num>
  <w:num w:numId="13">
    <w:abstractNumId w:val="17"/>
  </w:num>
  <w:num w:numId="14">
    <w:abstractNumId w:val="15"/>
  </w:num>
  <w:num w:numId="15">
    <w:abstractNumId w:val="0"/>
    <w:lvlOverride w:ilvl="0">
      <w:lvl w:ilvl="0">
        <w:start w:val="1"/>
        <w:numFmt w:val="bullet"/>
        <w:lvlText w:val="-"/>
        <w:lvlJc w:val="left"/>
        <w:pPr>
          <w:ind w:left="360" w:hanging="360"/>
        </w:pPr>
      </w:lvl>
    </w:lvlOverride>
  </w:num>
  <w:num w:numId="16">
    <w:abstractNumId w:val="32"/>
  </w:num>
  <w:num w:numId="17">
    <w:abstractNumId w:val="22"/>
  </w:num>
  <w:num w:numId="18">
    <w:abstractNumId w:val="24"/>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3"/>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6"/>
  </w:num>
  <w:num w:numId="43">
    <w:abstractNumId w:val="34"/>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16"/>
  </w:num>
  <w:num w:numId="46">
    <w:abstractNumId w:val="27"/>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62A"/>
    <w:rsid w:val="00005701"/>
    <w:rsid w:val="00006494"/>
    <w:rsid w:val="00007528"/>
    <w:rsid w:val="0001164F"/>
    <w:rsid w:val="000121D6"/>
    <w:rsid w:val="00012311"/>
    <w:rsid w:val="00012AA5"/>
    <w:rsid w:val="000150D3"/>
    <w:rsid w:val="000166C1"/>
    <w:rsid w:val="000177FF"/>
    <w:rsid w:val="00020AE8"/>
    <w:rsid w:val="00023378"/>
    <w:rsid w:val="00023F29"/>
    <w:rsid w:val="00025EBE"/>
    <w:rsid w:val="00030445"/>
    <w:rsid w:val="000318C7"/>
    <w:rsid w:val="00033FDB"/>
    <w:rsid w:val="00034204"/>
    <w:rsid w:val="000344F6"/>
    <w:rsid w:val="00036493"/>
    <w:rsid w:val="00037597"/>
    <w:rsid w:val="000421E1"/>
    <w:rsid w:val="00042263"/>
    <w:rsid w:val="000422C9"/>
    <w:rsid w:val="00043F0F"/>
    <w:rsid w:val="00044042"/>
    <w:rsid w:val="00044F37"/>
    <w:rsid w:val="00046212"/>
    <w:rsid w:val="00046DCE"/>
    <w:rsid w:val="000474D2"/>
    <w:rsid w:val="00047617"/>
    <w:rsid w:val="000479C5"/>
    <w:rsid w:val="00050DFD"/>
    <w:rsid w:val="00053809"/>
    <w:rsid w:val="000538C2"/>
    <w:rsid w:val="00053914"/>
    <w:rsid w:val="00053EFA"/>
    <w:rsid w:val="00054756"/>
    <w:rsid w:val="00054858"/>
    <w:rsid w:val="000560C5"/>
    <w:rsid w:val="00056833"/>
    <w:rsid w:val="00056C49"/>
    <w:rsid w:val="00056FE0"/>
    <w:rsid w:val="000603C8"/>
    <w:rsid w:val="00060656"/>
    <w:rsid w:val="000608A4"/>
    <w:rsid w:val="00060AA1"/>
    <w:rsid w:val="0006247C"/>
    <w:rsid w:val="000631FD"/>
    <w:rsid w:val="00067D12"/>
    <w:rsid w:val="00070B1E"/>
    <w:rsid w:val="00071071"/>
    <w:rsid w:val="00071F8A"/>
    <w:rsid w:val="00073E04"/>
    <w:rsid w:val="0007628D"/>
    <w:rsid w:val="00077267"/>
    <w:rsid w:val="0007752B"/>
    <w:rsid w:val="00080AB8"/>
    <w:rsid w:val="00081DAB"/>
    <w:rsid w:val="0008235E"/>
    <w:rsid w:val="00082A8E"/>
    <w:rsid w:val="000855CA"/>
    <w:rsid w:val="0009351E"/>
    <w:rsid w:val="0009479A"/>
    <w:rsid w:val="00095E44"/>
    <w:rsid w:val="0009755A"/>
    <w:rsid w:val="000A1232"/>
    <w:rsid w:val="000A13ED"/>
    <w:rsid w:val="000A1FD6"/>
    <w:rsid w:val="000A5165"/>
    <w:rsid w:val="000A7FD7"/>
    <w:rsid w:val="000B0097"/>
    <w:rsid w:val="000B043A"/>
    <w:rsid w:val="000B101F"/>
    <w:rsid w:val="000B1F4B"/>
    <w:rsid w:val="000B2F27"/>
    <w:rsid w:val="000B2F58"/>
    <w:rsid w:val="000B3762"/>
    <w:rsid w:val="000B37A8"/>
    <w:rsid w:val="000B51D9"/>
    <w:rsid w:val="000B6240"/>
    <w:rsid w:val="000C1738"/>
    <w:rsid w:val="000C308F"/>
    <w:rsid w:val="000C4D53"/>
    <w:rsid w:val="000C5A4E"/>
    <w:rsid w:val="000C635D"/>
    <w:rsid w:val="000C700C"/>
    <w:rsid w:val="000C7F49"/>
    <w:rsid w:val="000D1AEE"/>
    <w:rsid w:val="000D1F4F"/>
    <w:rsid w:val="000D3856"/>
    <w:rsid w:val="000D4D07"/>
    <w:rsid w:val="000D7535"/>
    <w:rsid w:val="000E0192"/>
    <w:rsid w:val="000E163C"/>
    <w:rsid w:val="000E165D"/>
    <w:rsid w:val="000E1BAF"/>
    <w:rsid w:val="000E223E"/>
    <w:rsid w:val="000E2491"/>
    <w:rsid w:val="000E2EA9"/>
    <w:rsid w:val="000E46A3"/>
    <w:rsid w:val="000E5726"/>
    <w:rsid w:val="000E6C94"/>
    <w:rsid w:val="000E7995"/>
    <w:rsid w:val="000F1BB2"/>
    <w:rsid w:val="000F31E9"/>
    <w:rsid w:val="000F3F94"/>
    <w:rsid w:val="000F5F40"/>
    <w:rsid w:val="00100B54"/>
    <w:rsid w:val="00101CAD"/>
    <w:rsid w:val="00103501"/>
    <w:rsid w:val="00103B2D"/>
    <w:rsid w:val="00103CD2"/>
    <w:rsid w:val="00104061"/>
    <w:rsid w:val="00107236"/>
    <w:rsid w:val="001101A2"/>
    <w:rsid w:val="001106F7"/>
    <w:rsid w:val="00111AC4"/>
    <w:rsid w:val="00111F79"/>
    <w:rsid w:val="00112EDA"/>
    <w:rsid w:val="00114174"/>
    <w:rsid w:val="0011746C"/>
    <w:rsid w:val="00117C1D"/>
    <w:rsid w:val="00122450"/>
    <w:rsid w:val="00122AD8"/>
    <w:rsid w:val="00122D9F"/>
    <w:rsid w:val="00123688"/>
    <w:rsid w:val="00124CAB"/>
    <w:rsid w:val="0012698D"/>
    <w:rsid w:val="00127562"/>
    <w:rsid w:val="00127C1D"/>
    <w:rsid w:val="00130037"/>
    <w:rsid w:val="001301C2"/>
    <w:rsid w:val="00131748"/>
    <w:rsid w:val="00133366"/>
    <w:rsid w:val="001333C1"/>
    <w:rsid w:val="00133572"/>
    <w:rsid w:val="001337D2"/>
    <w:rsid w:val="00134E72"/>
    <w:rsid w:val="001354A7"/>
    <w:rsid w:val="00135814"/>
    <w:rsid w:val="0013601F"/>
    <w:rsid w:val="00136D7A"/>
    <w:rsid w:val="00141470"/>
    <w:rsid w:val="00141540"/>
    <w:rsid w:val="00143139"/>
    <w:rsid w:val="00143AD5"/>
    <w:rsid w:val="001445BE"/>
    <w:rsid w:val="001449DF"/>
    <w:rsid w:val="0014569B"/>
    <w:rsid w:val="00145B48"/>
    <w:rsid w:val="00151BA4"/>
    <w:rsid w:val="00151E9D"/>
    <w:rsid w:val="00152F3B"/>
    <w:rsid w:val="0015704C"/>
    <w:rsid w:val="00161E87"/>
    <w:rsid w:val="00162EDD"/>
    <w:rsid w:val="00163D6C"/>
    <w:rsid w:val="0016566C"/>
    <w:rsid w:val="0017265B"/>
    <w:rsid w:val="001727F0"/>
    <w:rsid w:val="00172B06"/>
    <w:rsid w:val="001752D8"/>
    <w:rsid w:val="00175931"/>
    <w:rsid w:val="00176B25"/>
    <w:rsid w:val="0018224D"/>
    <w:rsid w:val="0018238B"/>
    <w:rsid w:val="00183419"/>
    <w:rsid w:val="0018394A"/>
    <w:rsid w:val="00186A9D"/>
    <w:rsid w:val="001874A6"/>
    <w:rsid w:val="0018765B"/>
    <w:rsid w:val="001901E3"/>
    <w:rsid w:val="00190913"/>
    <w:rsid w:val="00195F65"/>
    <w:rsid w:val="001A076A"/>
    <w:rsid w:val="001A07E2"/>
    <w:rsid w:val="001A1EEE"/>
    <w:rsid w:val="001A2018"/>
    <w:rsid w:val="001A757B"/>
    <w:rsid w:val="001B01C8"/>
    <w:rsid w:val="001B0DDB"/>
    <w:rsid w:val="001B13F6"/>
    <w:rsid w:val="001B1747"/>
    <w:rsid w:val="001B1B4E"/>
    <w:rsid w:val="001B2D44"/>
    <w:rsid w:val="001B752A"/>
    <w:rsid w:val="001C12E0"/>
    <w:rsid w:val="001C1953"/>
    <w:rsid w:val="001C35E9"/>
    <w:rsid w:val="001C36BD"/>
    <w:rsid w:val="001C3733"/>
    <w:rsid w:val="001C3A9C"/>
    <w:rsid w:val="001C4025"/>
    <w:rsid w:val="001C4C82"/>
    <w:rsid w:val="001C5B30"/>
    <w:rsid w:val="001C6502"/>
    <w:rsid w:val="001C6E07"/>
    <w:rsid w:val="001D12D1"/>
    <w:rsid w:val="001D3C05"/>
    <w:rsid w:val="001D47C1"/>
    <w:rsid w:val="001D52E3"/>
    <w:rsid w:val="001D6A28"/>
    <w:rsid w:val="001D6AF4"/>
    <w:rsid w:val="001D6FB8"/>
    <w:rsid w:val="001E0CC1"/>
    <w:rsid w:val="001E1CD5"/>
    <w:rsid w:val="001E3CC0"/>
    <w:rsid w:val="001E4326"/>
    <w:rsid w:val="001E64BD"/>
    <w:rsid w:val="001E64D1"/>
    <w:rsid w:val="001E77C3"/>
    <w:rsid w:val="001E77F1"/>
    <w:rsid w:val="001F090B"/>
    <w:rsid w:val="001F180A"/>
    <w:rsid w:val="001F1872"/>
    <w:rsid w:val="001F1A28"/>
    <w:rsid w:val="001F35E8"/>
    <w:rsid w:val="001F38F9"/>
    <w:rsid w:val="001F4014"/>
    <w:rsid w:val="001F445E"/>
    <w:rsid w:val="0020024D"/>
    <w:rsid w:val="00200453"/>
    <w:rsid w:val="00201213"/>
    <w:rsid w:val="00201323"/>
    <w:rsid w:val="0020165E"/>
    <w:rsid w:val="00202E50"/>
    <w:rsid w:val="00205180"/>
    <w:rsid w:val="002059AF"/>
    <w:rsid w:val="00207F81"/>
    <w:rsid w:val="002109F4"/>
    <w:rsid w:val="00211B2E"/>
    <w:rsid w:val="00211FDA"/>
    <w:rsid w:val="002160C2"/>
    <w:rsid w:val="00217D6E"/>
    <w:rsid w:val="00222BB9"/>
    <w:rsid w:val="002258D6"/>
    <w:rsid w:val="002264E0"/>
    <w:rsid w:val="00226DFC"/>
    <w:rsid w:val="002270AE"/>
    <w:rsid w:val="002274FB"/>
    <w:rsid w:val="002308BD"/>
    <w:rsid w:val="002309D2"/>
    <w:rsid w:val="0023315B"/>
    <w:rsid w:val="002347FE"/>
    <w:rsid w:val="00235DA3"/>
    <w:rsid w:val="00241307"/>
    <w:rsid w:val="0024178D"/>
    <w:rsid w:val="002421D4"/>
    <w:rsid w:val="00245220"/>
    <w:rsid w:val="00245DCF"/>
    <w:rsid w:val="00246C65"/>
    <w:rsid w:val="0025261B"/>
    <w:rsid w:val="00252FFB"/>
    <w:rsid w:val="002542A8"/>
    <w:rsid w:val="00260A11"/>
    <w:rsid w:val="00260EC2"/>
    <w:rsid w:val="0026169A"/>
    <w:rsid w:val="002617D4"/>
    <w:rsid w:val="00262763"/>
    <w:rsid w:val="00264BEA"/>
    <w:rsid w:val="00266E5A"/>
    <w:rsid w:val="00271032"/>
    <w:rsid w:val="00273C1C"/>
    <w:rsid w:val="00273E3E"/>
    <w:rsid w:val="00274147"/>
    <w:rsid w:val="00275189"/>
    <w:rsid w:val="002756DC"/>
    <w:rsid w:val="00276437"/>
    <w:rsid w:val="0028063F"/>
    <w:rsid w:val="00280740"/>
    <w:rsid w:val="0028282C"/>
    <w:rsid w:val="00283B02"/>
    <w:rsid w:val="00283C5D"/>
    <w:rsid w:val="00283D5A"/>
    <w:rsid w:val="002844B0"/>
    <w:rsid w:val="00285586"/>
    <w:rsid w:val="00286322"/>
    <w:rsid w:val="002906E2"/>
    <w:rsid w:val="00290C3B"/>
    <w:rsid w:val="00291607"/>
    <w:rsid w:val="0029347B"/>
    <w:rsid w:val="00296C1F"/>
    <w:rsid w:val="002A0C34"/>
    <w:rsid w:val="002A1B59"/>
    <w:rsid w:val="002A41E6"/>
    <w:rsid w:val="002A5250"/>
    <w:rsid w:val="002A6C6D"/>
    <w:rsid w:val="002A7C47"/>
    <w:rsid w:val="002B0455"/>
    <w:rsid w:val="002B09DD"/>
    <w:rsid w:val="002B2BEE"/>
    <w:rsid w:val="002B2F76"/>
    <w:rsid w:val="002B35C5"/>
    <w:rsid w:val="002B382A"/>
    <w:rsid w:val="002B3935"/>
    <w:rsid w:val="002B406A"/>
    <w:rsid w:val="002B41D4"/>
    <w:rsid w:val="002B543F"/>
    <w:rsid w:val="002B5BE0"/>
    <w:rsid w:val="002B7D73"/>
    <w:rsid w:val="002C06E3"/>
    <w:rsid w:val="002C0801"/>
    <w:rsid w:val="002C33B3"/>
    <w:rsid w:val="002C44B0"/>
    <w:rsid w:val="002C4E07"/>
    <w:rsid w:val="002C676D"/>
    <w:rsid w:val="002C69DA"/>
    <w:rsid w:val="002C7331"/>
    <w:rsid w:val="002D0586"/>
    <w:rsid w:val="002D1023"/>
    <w:rsid w:val="002D1459"/>
    <w:rsid w:val="002D1470"/>
    <w:rsid w:val="002D1F2D"/>
    <w:rsid w:val="002D21CF"/>
    <w:rsid w:val="002D2F60"/>
    <w:rsid w:val="002D4705"/>
    <w:rsid w:val="002D5B65"/>
    <w:rsid w:val="002D6396"/>
    <w:rsid w:val="002D7E5E"/>
    <w:rsid w:val="002E07AC"/>
    <w:rsid w:val="002E07EF"/>
    <w:rsid w:val="002E0D06"/>
    <w:rsid w:val="002E4E94"/>
    <w:rsid w:val="002F1F28"/>
    <w:rsid w:val="002F43CA"/>
    <w:rsid w:val="002F4F3D"/>
    <w:rsid w:val="002F57AA"/>
    <w:rsid w:val="002F714C"/>
    <w:rsid w:val="002F77BF"/>
    <w:rsid w:val="003004A2"/>
    <w:rsid w:val="00302993"/>
    <w:rsid w:val="00303DD5"/>
    <w:rsid w:val="003046D6"/>
    <w:rsid w:val="003062F8"/>
    <w:rsid w:val="0030763D"/>
    <w:rsid w:val="00307CCD"/>
    <w:rsid w:val="00310764"/>
    <w:rsid w:val="00310D54"/>
    <w:rsid w:val="00320167"/>
    <w:rsid w:val="00320203"/>
    <w:rsid w:val="0032120D"/>
    <w:rsid w:val="00322002"/>
    <w:rsid w:val="00323890"/>
    <w:rsid w:val="00324129"/>
    <w:rsid w:val="003247B0"/>
    <w:rsid w:val="00325E81"/>
    <w:rsid w:val="00330918"/>
    <w:rsid w:val="00332E57"/>
    <w:rsid w:val="0033486D"/>
    <w:rsid w:val="003367C4"/>
    <w:rsid w:val="00336D8E"/>
    <w:rsid w:val="003376B3"/>
    <w:rsid w:val="00337C75"/>
    <w:rsid w:val="00340E9F"/>
    <w:rsid w:val="00341F90"/>
    <w:rsid w:val="003421BA"/>
    <w:rsid w:val="00342AD6"/>
    <w:rsid w:val="00345EDE"/>
    <w:rsid w:val="00347776"/>
    <w:rsid w:val="00351453"/>
    <w:rsid w:val="00351A91"/>
    <w:rsid w:val="003520C4"/>
    <w:rsid w:val="003520E6"/>
    <w:rsid w:val="003533AE"/>
    <w:rsid w:val="00355E14"/>
    <w:rsid w:val="003563B1"/>
    <w:rsid w:val="003571CF"/>
    <w:rsid w:val="00361280"/>
    <w:rsid w:val="003615F1"/>
    <w:rsid w:val="00361A6E"/>
    <w:rsid w:val="00362983"/>
    <w:rsid w:val="00363D7F"/>
    <w:rsid w:val="00367C66"/>
    <w:rsid w:val="0037233D"/>
    <w:rsid w:val="003728DD"/>
    <w:rsid w:val="003736EF"/>
    <w:rsid w:val="003737E3"/>
    <w:rsid w:val="00374F4A"/>
    <w:rsid w:val="00380997"/>
    <w:rsid w:val="00380D80"/>
    <w:rsid w:val="00381E38"/>
    <w:rsid w:val="00385A7E"/>
    <w:rsid w:val="00386C66"/>
    <w:rsid w:val="003906F8"/>
    <w:rsid w:val="003935EE"/>
    <w:rsid w:val="0039408A"/>
    <w:rsid w:val="0039673D"/>
    <w:rsid w:val="00397893"/>
    <w:rsid w:val="003A2CF0"/>
    <w:rsid w:val="003A31F0"/>
    <w:rsid w:val="003A3359"/>
    <w:rsid w:val="003A33C4"/>
    <w:rsid w:val="003A33D3"/>
    <w:rsid w:val="003A3880"/>
    <w:rsid w:val="003A3892"/>
    <w:rsid w:val="003A5BC5"/>
    <w:rsid w:val="003A5D55"/>
    <w:rsid w:val="003A75E6"/>
    <w:rsid w:val="003B255B"/>
    <w:rsid w:val="003B3317"/>
    <w:rsid w:val="003B52D4"/>
    <w:rsid w:val="003B5947"/>
    <w:rsid w:val="003B5AD5"/>
    <w:rsid w:val="003B774A"/>
    <w:rsid w:val="003C1CA5"/>
    <w:rsid w:val="003C1EC7"/>
    <w:rsid w:val="003C3BDE"/>
    <w:rsid w:val="003C64A0"/>
    <w:rsid w:val="003C7BA3"/>
    <w:rsid w:val="003D21C8"/>
    <w:rsid w:val="003D2303"/>
    <w:rsid w:val="003D4015"/>
    <w:rsid w:val="003D4E9C"/>
    <w:rsid w:val="003D6A92"/>
    <w:rsid w:val="003D736C"/>
    <w:rsid w:val="003E038E"/>
    <w:rsid w:val="003E0D78"/>
    <w:rsid w:val="003E2213"/>
    <w:rsid w:val="003E3277"/>
    <w:rsid w:val="003E3A1D"/>
    <w:rsid w:val="003E6CA0"/>
    <w:rsid w:val="003E785C"/>
    <w:rsid w:val="003F2FDE"/>
    <w:rsid w:val="003F330B"/>
    <w:rsid w:val="003F4471"/>
    <w:rsid w:val="003F5756"/>
    <w:rsid w:val="003F6FDF"/>
    <w:rsid w:val="004016F5"/>
    <w:rsid w:val="004045AA"/>
    <w:rsid w:val="00404A0D"/>
    <w:rsid w:val="00405229"/>
    <w:rsid w:val="00405CC9"/>
    <w:rsid w:val="00410E7D"/>
    <w:rsid w:val="004138DE"/>
    <w:rsid w:val="00414B2F"/>
    <w:rsid w:val="00415E58"/>
    <w:rsid w:val="00416231"/>
    <w:rsid w:val="004179C1"/>
    <w:rsid w:val="004208AB"/>
    <w:rsid w:val="0042172E"/>
    <w:rsid w:val="004219EF"/>
    <w:rsid w:val="00426CD9"/>
    <w:rsid w:val="00430FEB"/>
    <w:rsid w:val="004310EE"/>
    <w:rsid w:val="00433677"/>
    <w:rsid w:val="00433DCE"/>
    <w:rsid w:val="004340D5"/>
    <w:rsid w:val="00434880"/>
    <w:rsid w:val="004359A0"/>
    <w:rsid w:val="00435BF6"/>
    <w:rsid w:val="004406C1"/>
    <w:rsid w:val="00442C1B"/>
    <w:rsid w:val="004460E9"/>
    <w:rsid w:val="00447B6F"/>
    <w:rsid w:val="00453C11"/>
    <w:rsid w:val="004557B0"/>
    <w:rsid w:val="00456A0C"/>
    <w:rsid w:val="00457946"/>
    <w:rsid w:val="00457BB9"/>
    <w:rsid w:val="00457D8B"/>
    <w:rsid w:val="00460A17"/>
    <w:rsid w:val="00460FA1"/>
    <w:rsid w:val="004631F1"/>
    <w:rsid w:val="00464B3D"/>
    <w:rsid w:val="00470CB5"/>
    <w:rsid w:val="00471AEB"/>
    <w:rsid w:val="00471EAB"/>
    <w:rsid w:val="004723EE"/>
    <w:rsid w:val="004736F4"/>
    <w:rsid w:val="0047451B"/>
    <w:rsid w:val="00475A92"/>
    <w:rsid w:val="004767F2"/>
    <w:rsid w:val="00477BB9"/>
    <w:rsid w:val="00477FC7"/>
    <w:rsid w:val="00483317"/>
    <w:rsid w:val="00484793"/>
    <w:rsid w:val="00487366"/>
    <w:rsid w:val="004873E4"/>
    <w:rsid w:val="0049072C"/>
    <w:rsid w:val="00490FD1"/>
    <w:rsid w:val="0049122E"/>
    <w:rsid w:val="00491AD2"/>
    <w:rsid w:val="004935C0"/>
    <w:rsid w:val="00493B43"/>
    <w:rsid w:val="00494EB1"/>
    <w:rsid w:val="00494F35"/>
    <w:rsid w:val="00496414"/>
    <w:rsid w:val="00497A38"/>
    <w:rsid w:val="00497F75"/>
    <w:rsid w:val="004A2056"/>
    <w:rsid w:val="004A3815"/>
    <w:rsid w:val="004A45BD"/>
    <w:rsid w:val="004A4656"/>
    <w:rsid w:val="004A77B0"/>
    <w:rsid w:val="004B1CED"/>
    <w:rsid w:val="004B34A7"/>
    <w:rsid w:val="004B35FC"/>
    <w:rsid w:val="004B3B06"/>
    <w:rsid w:val="004B4643"/>
    <w:rsid w:val="004B4AD0"/>
    <w:rsid w:val="004B7F67"/>
    <w:rsid w:val="004C1994"/>
    <w:rsid w:val="004D3D89"/>
    <w:rsid w:val="004D4080"/>
    <w:rsid w:val="004E05FD"/>
    <w:rsid w:val="004E1A0D"/>
    <w:rsid w:val="004E23F5"/>
    <w:rsid w:val="004E5F14"/>
    <w:rsid w:val="004E63E5"/>
    <w:rsid w:val="004E6B76"/>
    <w:rsid w:val="004E7BF4"/>
    <w:rsid w:val="004F0419"/>
    <w:rsid w:val="004F3540"/>
    <w:rsid w:val="004F3AB1"/>
    <w:rsid w:val="004F5335"/>
    <w:rsid w:val="004F5624"/>
    <w:rsid w:val="004F5DA4"/>
    <w:rsid w:val="004F62B2"/>
    <w:rsid w:val="004F6424"/>
    <w:rsid w:val="005040CD"/>
    <w:rsid w:val="00505229"/>
    <w:rsid w:val="00505EDB"/>
    <w:rsid w:val="00506D18"/>
    <w:rsid w:val="00507300"/>
    <w:rsid w:val="00507F98"/>
    <w:rsid w:val="005108A3"/>
    <w:rsid w:val="0051091F"/>
    <w:rsid w:val="00510F6E"/>
    <w:rsid w:val="005118AE"/>
    <w:rsid w:val="005151DA"/>
    <w:rsid w:val="0051587A"/>
    <w:rsid w:val="005158FA"/>
    <w:rsid w:val="005165AB"/>
    <w:rsid w:val="005169AD"/>
    <w:rsid w:val="005208B9"/>
    <w:rsid w:val="005221F0"/>
    <w:rsid w:val="00524807"/>
    <w:rsid w:val="00525361"/>
    <w:rsid w:val="00525FF9"/>
    <w:rsid w:val="00531D11"/>
    <w:rsid w:val="00532D3F"/>
    <w:rsid w:val="0053383B"/>
    <w:rsid w:val="0053386D"/>
    <w:rsid w:val="0053791F"/>
    <w:rsid w:val="00547538"/>
    <w:rsid w:val="00553BFA"/>
    <w:rsid w:val="00553D8D"/>
    <w:rsid w:val="0055608E"/>
    <w:rsid w:val="00557755"/>
    <w:rsid w:val="0056077E"/>
    <w:rsid w:val="00561B0E"/>
    <w:rsid w:val="00561E41"/>
    <w:rsid w:val="005629EE"/>
    <w:rsid w:val="005648FA"/>
    <w:rsid w:val="00564D50"/>
    <w:rsid w:val="005655B6"/>
    <w:rsid w:val="00567346"/>
    <w:rsid w:val="005716E2"/>
    <w:rsid w:val="0057371B"/>
    <w:rsid w:val="005737B4"/>
    <w:rsid w:val="00574616"/>
    <w:rsid w:val="00575EB8"/>
    <w:rsid w:val="005769AE"/>
    <w:rsid w:val="00582A9B"/>
    <w:rsid w:val="005832AB"/>
    <w:rsid w:val="0058437C"/>
    <w:rsid w:val="0058606E"/>
    <w:rsid w:val="00587706"/>
    <w:rsid w:val="005935F4"/>
    <w:rsid w:val="005A058D"/>
    <w:rsid w:val="005A346E"/>
    <w:rsid w:val="005A73CF"/>
    <w:rsid w:val="005A77A3"/>
    <w:rsid w:val="005B14D5"/>
    <w:rsid w:val="005B310C"/>
    <w:rsid w:val="005B409C"/>
    <w:rsid w:val="005B798B"/>
    <w:rsid w:val="005C1FAE"/>
    <w:rsid w:val="005C2162"/>
    <w:rsid w:val="005C39E8"/>
    <w:rsid w:val="005C5660"/>
    <w:rsid w:val="005C7731"/>
    <w:rsid w:val="005D0E38"/>
    <w:rsid w:val="005D4B68"/>
    <w:rsid w:val="005E11C1"/>
    <w:rsid w:val="005E2563"/>
    <w:rsid w:val="005E394C"/>
    <w:rsid w:val="005E42BF"/>
    <w:rsid w:val="005E4341"/>
    <w:rsid w:val="005E4E70"/>
    <w:rsid w:val="005E65BB"/>
    <w:rsid w:val="005F0DA0"/>
    <w:rsid w:val="005F4914"/>
    <w:rsid w:val="005F6103"/>
    <w:rsid w:val="005F62B7"/>
    <w:rsid w:val="005F6869"/>
    <w:rsid w:val="005F6BB9"/>
    <w:rsid w:val="005F7E35"/>
    <w:rsid w:val="00603148"/>
    <w:rsid w:val="00603988"/>
    <w:rsid w:val="00606FC7"/>
    <w:rsid w:val="00610456"/>
    <w:rsid w:val="00610789"/>
    <w:rsid w:val="00611473"/>
    <w:rsid w:val="00611B36"/>
    <w:rsid w:val="00613A34"/>
    <w:rsid w:val="00615ADA"/>
    <w:rsid w:val="00615CC5"/>
    <w:rsid w:val="00615DAC"/>
    <w:rsid w:val="00620432"/>
    <w:rsid w:val="006221CD"/>
    <w:rsid w:val="006237D8"/>
    <w:rsid w:val="006266A9"/>
    <w:rsid w:val="006300B2"/>
    <w:rsid w:val="00630426"/>
    <w:rsid w:val="006316C1"/>
    <w:rsid w:val="00631ED4"/>
    <w:rsid w:val="006320A6"/>
    <w:rsid w:val="0063212C"/>
    <w:rsid w:val="0063368D"/>
    <w:rsid w:val="00633BC7"/>
    <w:rsid w:val="00634000"/>
    <w:rsid w:val="00635E9C"/>
    <w:rsid w:val="00637163"/>
    <w:rsid w:val="00637B41"/>
    <w:rsid w:val="006414EE"/>
    <w:rsid w:val="00641AE3"/>
    <w:rsid w:val="00642015"/>
    <w:rsid w:val="00642D0A"/>
    <w:rsid w:val="00645BC8"/>
    <w:rsid w:val="00646130"/>
    <w:rsid w:val="00646D39"/>
    <w:rsid w:val="00646FE1"/>
    <w:rsid w:val="006470ED"/>
    <w:rsid w:val="00647E20"/>
    <w:rsid w:val="00660727"/>
    <w:rsid w:val="00661140"/>
    <w:rsid w:val="00665502"/>
    <w:rsid w:val="00667893"/>
    <w:rsid w:val="006710DD"/>
    <w:rsid w:val="006714D3"/>
    <w:rsid w:val="00672D61"/>
    <w:rsid w:val="00673200"/>
    <w:rsid w:val="0067501E"/>
    <w:rsid w:val="006773D2"/>
    <w:rsid w:val="00681A41"/>
    <w:rsid w:val="006821B2"/>
    <w:rsid w:val="00682D70"/>
    <w:rsid w:val="00682EC4"/>
    <w:rsid w:val="006836F9"/>
    <w:rsid w:val="006838C0"/>
    <w:rsid w:val="0068465D"/>
    <w:rsid w:val="00685901"/>
    <w:rsid w:val="00685BB9"/>
    <w:rsid w:val="00685D08"/>
    <w:rsid w:val="00690127"/>
    <w:rsid w:val="00691BFF"/>
    <w:rsid w:val="00692F3D"/>
    <w:rsid w:val="00695227"/>
    <w:rsid w:val="006953C1"/>
    <w:rsid w:val="00695916"/>
    <w:rsid w:val="00696175"/>
    <w:rsid w:val="00696EB2"/>
    <w:rsid w:val="0069715A"/>
    <w:rsid w:val="006A16E9"/>
    <w:rsid w:val="006A18FE"/>
    <w:rsid w:val="006A5450"/>
    <w:rsid w:val="006A5B06"/>
    <w:rsid w:val="006B0199"/>
    <w:rsid w:val="006B0A32"/>
    <w:rsid w:val="006B0BD8"/>
    <w:rsid w:val="006B22A3"/>
    <w:rsid w:val="006B285F"/>
    <w:rsid w:val="006B3279"/>
    <w:rsid w:val="006B5C28"/>
    <w:rsid w:val="006B7CDB"/>
    <w:rsid w:val="006C0251"/>
    <w:rsid w:val="006C08AC"/>
    <w:rsid w:val="006C2B9A"/>
    <w:rsid w:val="006C38EA"/>
    <w:rsid w:val="006C39BB"/>
    <w:rsid w:val="006C4502"/>
    <w:rsid w:val="006C6C63"/>
    <w:rsid w:val="006D159F"/>
    <w:rsid w:val="006D2F02"/>
    <w:rsid w:val="006D5E91"/>
    <w:rsid w:val="006D75DA"/>
    <w:rsid w:val="006E0A30"/>
    <w:rsid w:val="006E14E6"/>
    <w:rsid w:val="006E1AEE"/>
    <w:rsid w:val="006E1F6F"/>
    <w:rsid w:val="006E23AC"/>
    <w:rsid w:val="006E3B9C"/>
    <w:rsid w:val="006E51A2"/>
    <w:rsid w:val="006E6D48"/>
    <w:rsid w:val="006F0DE2"/>
    <w:rsid w:val="006F3495"/>
    <w:rsid w:val="006F417D"/>
    <w:rsid w:val="006F5C83"/>
    <w:rsid w:val="006F67CC"/>
    <w:rsid w:val="006F6DDD"/>
    <w:rsid w:val="00701C2D"/>
    <w:rsid w:val="00701DAB"/>
    <w:rsid w:val="00702162"/>
    <w:rsid w:val="00702286"/>
    <w:rsid w:val="00703930"/>
    <w:rsid w:val="00704070"/>
    <w:rsid w:val="00705744"/>
    <w:rsid w:val="0070610E"/>
    <w:rsid w:val="00706FEA"/>
    <w:rsid w:val="00707759"/>
    <w:rsid w:val="00710081"/>
    <w:rsid w:val="00710B0D"/>
    <w:rsid w:val="00711986"/>
    <w:rsid w:val="007139E1"/>
    <w:rsid w:val="00713CB5"/>
    <w:rsid w:val="007153E5"/>
    <w:rsid w:val="0071558B"/>
    <w:rsid w:val="00720C2A"/>
    <w:rsid w:val="00721189"/>
    <w:rsid w:val="007221C3"/>
    <w:rsid w:val="00722F2C"/>
    <w:rsid w:val="00722F99"/>
    <w:rsid w:val="007253A4"/>
    <w:rsid w:val="007254D1"/>
    <w:rsid w:val="00725B32"/>
    <w:rsid w:val="00725B3C"/>
    <w:rsid w:val="007264B0"/>
    <w:rsid w:val="00727C8B"/>
    <w:rsid w:val="00732F12"/>
    <w:rsid w:val="00733D54"/>
    <w:rsid w:val="00736A4F"/>
    <w:rsid w:val="00736E76"/>
    <w:rsid w:val="00737753"/>
    <w:rsid w:val="00740CE9"/>
    <w:rsid w:val="00741C3B"/>
    <w:rsid w:val="007428E3"/>
    <w:rsid w:val="007432DC"/>
    <w:rsid w:val="00743511"/>
    <w:rsid w:val="0074394E"/>
    <w:rsid w:val="007471D2"/>
    <w:rsid w:val="007477A9"/>
    <w:rsid w:val="00750ABC"/>
    <w:rsid w:val="00750D0A"/>
    <w:rsid w:val="00751863"/>
    <w:rsid w:val="00751D93"/>
    <w:rsid w:val="00752300"/>
    <w:rsid w:val="007546F8"/>
    <w:rsid w:val="00755BAB"/>
    <w:rsid w:val="00757BA2"/>
    <w:rsid w:val="0076080E"/>
    <w:rsid w:val="007615E5"/>
    <w:rsid w:val="0076411D"/>
    <w:rsid w:val="007650F8"/>
    <w:rsid w:val="007670F8"/>
    <w:rsid w:val="007671D4"/>
    <w:rsid w:val="00770A85"/>
    <w:rsid w:val="00772F2D"/>
    <w:rsid w:val="00773DC9"/>
    <w:rsid w:val="0077572E"/>
    <w:rsid w:val="0078031B"/>
    <w:rsid w:val="00781EBC"/>
    <w:rsid w:val="007829BA"/>
    <w:rsid w:val="00784F44"/>
    <w:rsid w:val="00786672"/>
    <w:rsid w:val="007872CF"/>
    <w:rsid w:val="0079201C"/>
    <w:rsid w:val="00792495"/>
    <w:rsid w:val="0079307F"/>
    <w:rsid w:val="007947C4"/>
    <w:rsid w:val="00795CE1"/>
    <w:rsid w:val="007A06AC"/>
    <w:rsid w:val="007B1014"/>
    <w:rsid w:val="007B103F"/>
    <w:rsid w:val="007B1484"/>
    <w:rsid w:val="007B1A10"/>
    <w:rsid w:val="007B6659"/>
    <w:rsid w:val="007B76AB"/>
    <w:rsid w:val="007B7DBD"/>
    <w:rsid w:val="007C03E2"/>
    <w:rsid w:val="007C21A3"/>
    <w:rsid w:val="007C45D3"/>
    <w:rsid w:val="007C597B"/>
    <w:rsid w:val="007C6093"/>
    <w:rsid w:val="007C61CB"/>
    <w:rsid w:val="007C679A"/>
    <w:rsid w:val="007C760C"/>
    <w:rsid w:val="007D08FD"/>
    <w:rsid w:val="007D0AD2"/>
    <w:rsid w:val="007D1584"/>
    <w:rsid w:val="007D2044"/>
    <w:rsid w:val="007D2D55"/>
    <w:rsid w:val="007D4F33"/>
    <w:rsid w:val="007D65C7"/>
    <w:rsid w:val="007D71B6"/>
    <w:rsid w:val="007D74D2"/>
    <w:rsid w:val="007D79B5"/>
    <w:rsid w:val="007E09F0"/>
    <w:rsid w:val="007E2334"/>
    <w:rsid w:val="007E23CE"/>
    <w:rsid w:val="007E2CE7"/>
    <w:rsid w:val="007E43D0"/>
    <w:rsid w:val="007E4EA8"/>
    <w:rsid w:val="007E4FDA"/>
    <w:rsid w:val="007E54F8"/>
    <w:rsid w:val="007E5987"/>
    <w:rsid w:val="007E5BD8"/>
    <w:rsid w:val="007E6601"/>
    <w:rsid w:val="007E697B"/>
    <w:rsid w:val="007E7BF9"/>
    <w:rsid w:val="007F0212"/>
    <w:rsid w:val="007F02BC"/>
    <w:rsid w:val="007F1A40"/>
    <w:rsid w:val="007F1CA2"/>
    <w:rsid w:val="007F1D17"/>
    <w:rsid w:val="007F235A"/>
    <w:rsid w:val="007F2E65"/>
    <w:rsid w:val="007F2F4B"/>
    <w:rsid w:val="007F43BA"/>
    <w:rsid w:val="007F45D1"/>
    <w:rsid w:val="007F50BC"/>
    <w:rsid w:val="007F6DC3"/>
    <w:rsid w:val="008006B4"/>
    <w:rsid w:val="00801A3F"/>
    <w:rsid w:val="00803695"/>
    <w:rsid w:val="00803FD4"/>
    <w:rsid w:val="0080481C"/>
    <w:rsid w:val="0080494A"/>
    <w:rsid w:val="00804A38"/>
    <w:rsid w:val="00804C54"/>
    <w:rsid w:val="008056DD"/>
    <w:rsid w:val="00807F02"/>
    <w:rsid w:val="0081104C"/>
    <w:rsid w:val="00811D2A"/>
    <w:rsid w:val="00811FB2"/>
    <w:rsid w:val="00812D16"/>
    <w:rsid w:val="00813417"/>
    <w:rsid w:val="00817A54"/>
    <w:rsid w:val="00817A6B"/>
    <w:rsid w:val="00817C04"/>
    <w:rsid w:val="00821865"/>
    <w:rsid w:val="00822CB0"/>
    <w:rsid w:val="0082327D"/>
    <w:rsid w:val="0082433D"/>
    <w:rsid w:val="00826509"/>
    <w:rsid w:val="0083354D"/>
    <w:rsid w:val="0083561B"/>
    <w:rsid w:val="0083685F"/>
    <w:rsid w:val="00836C13"/>
    <w:rsid w:val="008371F6"/>
    <w:rsid w:val="00837D78"/>
    <w:rsid w:val="00840D79"/>
    <w:rsid w:val="00842121"/>
    <w:rsid w:val="00842A21"/>
    <w:rsid w:val="008431CC"/>
    <w:rsid w:val="008439BF"/>
    <w:rsid w:val="008450A5"/>
    <w:rsid w:val="00845DAD"/>
    <w:rsid w:val="00853C1D"/>
    <w:rsid w:val="008548E7"/>
    <w:rsid w:val="00854B2F"/>
    <w:rsid w:val="008552B6"/>
    <w:rsid w:val="00856354"/>
    <w:rsid w:val="008568E1"/>
    <w:rsid w:val="008568F2"/>
    <w:rsid w:val="00856BE9"/>
    <w:rsid w:val="00856E7F"/>
    <w:rsid w:val="008578F8"/>
    <w:rsid w:val="00860566"/>
    <w:rsid w:val="0086165C"/>
    <w:rsid w:val="00861B26"/>
    <w:rsid w:val="00862EED"/>
    <w:rsid w:val="008643FC"/>
    <w:rsid w:val="00864529"/>
    <w:rsid w:val="008649B9"/>
    <w:rsid w:val="0086784F"/>
    <w:rsid w:val="00870394"/>
    <w:rsid w:val="0087073B"/>
    <w:rsid w:val="008770D4"/>
    <w:rsid w:val="008770F3"/>
    <w:rsid w:val="0088127F"/>
    <w:rsid w:val="008815EF"/>
    <w:rsid w:val="00885273"/>
    <w:rsid w:val="00885F2C"/>
    <w:rsid w:val="00886386"/>
    <w:rsid w:val="0088701C"/>
    <w:rsid w:val="00887BA4"/>
    <w:rsid w:val="00890810"/>
    <w:rsid w:val="00890B78"/>
    <w:rsid w:val="0089174C"/>
    <w:rsid w:val="00892EB4"/>
    <w:rsid w:val="0089499B"/>
    <w:rsid w:val="00894ACA"/>
    <w:rsid w:val="00894E87"/>
    <w:rsid w:val="00894EC5"/>
    <w:rsid w:val="008957AC"/>
    <w:rsid w:val="008967B5"/>
    <w:rsid w:val="008A03AC"/>
    <w:rsid w:val="008A186D"/>
    <w:rsid w:val="008A20BE"/>
    <w:rsid w:val="008A2B4E"/>
    <w:rsid w:val="008A345A"/>
    <w:rsid w:val="008A3BF2"/>
    <w:rsid w:val="008A3DB9"/>
    <w:rsid w:val="008A53A7"/>
    <w:rsid w:val="008A6A5C"/>
    <w:rsid w:val="008A7316"/>
    <w:rsid w:val="008B28F2"/>
    <w:rsid w:val="008B500A"/>
    <w:rsid w:val="008C05BD"/>
    <w:rsid w:val="008C1610"/>
    <w:rsid w:val="008C17DE"/>
    <w:rsid w:val="008C2F1E"/>
    <w:rsid w:val="008C30E5"/>
    <w:rsid w:val="008C3B5B"/>
    <w:rsid w:val="008C409F"/>
    <w:rsid w:val="008C602D"/>
    <w:rsid w:val="008C6BCC"/>
    <w:rsid w:val="008D098D"/>
    <w:rsid w:val="008D135A"/>
    <w:rsid w:val="008D2205"/>
    <w:rsid w:val="008D2331"/>
    <w:rsid w:val="008D2E9B"/>
    <w:rsid w:val="008D36CD"/>
    <w:rsid w:val="008D4380"/>
    <w:rsid w:val="008D48D1"/>
    <w:rsid w:val="008D5B7E"/>
    <w:rsid w:val="008F2C49"/>
    <w:rsid w:val="008F4FB0"/>
    <w:rsid w:val="008F769E"/>
    <w:rsid w:val="008F7CFF"/>
    <w:rsid w:val="008F7ED1"/>
    <w:rsid w:val="00901C8D"/>
    <w:rsid w:val="009027BC"/>
    <w:rsid w:val="00904A4D"/>
    <w:rsid w:val="00905BFB"/>
    <w:rsid w:val="00905D16"/>
    <w:rsid w:val="00905EE9"/>
    <w:rsid w:val="009060A7"/>
    <w:rsid w:val="009065F4"/>
    <w:rsid w:val="009075A7"/>
    <w:rsid w:val="009076AF"/>
    <w:rsid w:val="00910FBA"/>
    <w:rsid w:val="0091120B"/>
    <w:rsid w:val="00911D39"/>
    <w:rsid w:val="00912B9F"/>
    <w:rsid w:val="00917C0F"/>
    <w:rsid w:val="00917D2A"/>
    <w:rsid w:val="0092040E"/>
    <w:rsid w:val="00920C6C"/>
    <w:rsid w:val="00921986"/>
    <w:rsid w:val="009227D9"/>
    <w:rsid w:val="009253FC"/>
    <w:rsid w:val="00925D9E"/>
    <w:rsid w:val="00927791"/>
    <w:rsid w:val="00930607"/>
    <w:rsid w:val="00930D0A"/>
    <w:rsid w:val="009329BA"/>
    <w:rsid w:val="0093304D"/>
    <w:rsid w:val="009356C6"/>
    <w:rsid w:val="009356D3"/>
    <w:rsid w:val="00936939"/>
    <w:rsid w:val="0094053B"/>
    <w:rsid w:val="00942040"/>
    <w:rsid w:val="00942C9F"/>
    <w:rsid w:val="00945631"/>
    <w:rsid w:val="00947549"/>
    <w:rsid w:val="00951BDD"/>
    <w:rsid w:val="00955DC8"/>
    <w:rsid w:val="0095793C"/>
    <w:rsid w:val="0096111E"/>
    <w:rsid w:val="00961125"/>
    <w:rsid w:val="00961951"/>
    <w:rsid w:val="00963BD1"/>
    <w:rsid w:val="00966B1F"/>
    <w:rsid w:val="00970C06"/>
    <w:rsid w:val="00974518"/>
    <w:rsid w:val="00975B88"/>
    <w:rsid w:val="0098079F"/>
    <w:rsid w:val="00980FE0"/>
    <w:rsid w:val="00983A15"/>
    <w:rsid w:val="00983D7E"/>
    <w:rsid w:val="0098741F"/>
    <w:rsid w:val="009927BB"/>
    <w:rsid w:val="009928B7"/>
    <w:rsid w:val="0099321A"/>
    <w:rsid w:val="009960B7"/>
    <w:rsid w:val="00996898"/>
    <w:rsid w:val="00997986"/>
    <w:rsid w:val="009A09F6"/>
    <w:rsid w:val="009A1B3A"/>
    <w:rsid w:val="009A324E"/>
    <w:rsid w:val="009A3D53"/>
    <w:rsid w:val="009B3675"/>
    <w:rsid w:val="009B39D3"/>
    <w:rsid w:val="009B4F11"/>
    <w:rsid w:val="009B536C"/>
    <w:rsid w:val="009B6496"/>
    <w:rsid w:val="009B6837"/>
    <w:rsid w:val="009B68D3"/>
    <w:rsid w:val="009B69D5"/>
    <w:rsid w:val="009B7A4D"/>
    <w:rsid w:val="009C01DA"/>
    <w:rsid w:val="009C070E"/>
    <w:rsid w:val="009C20CC"/>
    <w:rsid w:val="009C3558"/>
    <w:rsid w:val="009C562E"/>
    <w:rsid w:val="009C61FF"/>
    <w:rsid w:val="009C7531"/>
    <w:rsid w:val="009D147C"/>
    <w:rsid w:val="009D220C"/>
    <w:rsid w:val="009D221F"/>
    <w:rsid w:val="009D53E0"/>
    <w:rsid w:val="009D5FB5"/>
    <w:rsid w:val="009D6F8E"/>
    <w:rsid w:val="009E09F0"/>
    <w:rsid w:val="009E19E8"/>
    <w:rsid w:val="009E377C"/>
    <w:rsid w:val="009E458A"/>
    <w:rsid w:val="009E5DFC"/>
    <w:rsid w:val="009F02A4"/>
    <w:rsid w:val="009F1789"/>
    <w:rsid w:val="009F36D2"/>
    <w:rsid w:val="009F4504"/>
    <w:rsid w:val="009F502C"/>
    <w:rsid w:val="009F603B"/>
    <w:rsid w:val="009F6910"/>
    <w:rsid w:val="009F6987"/>
    <w:rsid w:val="009F720F"/>
    <w:rsid w:val="00A00CFB"/>
    <w:rsid w:val="00A010E7"/>
    <w:rsid w:val="00A01A17"/>
    <w:rsid w:val="00A01A60"/>
    <w:rsid w:val="00A02C07"/>
    <w:rsid w:val="00A0391D"/>
    <w:rsid w:val="00A04E05"/>
    <w:rsid w:val="00A04F67"/>
    <w:rsid w:val="00A076F9"/>
    <w:rsid w:val="00A07997"/>
    <w:rsid w:val="00A07F87"/>
    <w:rsid w:val="00A11B05"/>
    <w:rsid w:val="00A12B81"/>
    <w:rsid w:val="00A15F86"/>
    <w:rsid w:val="00A1693F"/>
    <w:rsid w:val="00A206ED"/>
    <w:rsid w:val="00A20806"/>
    <w:rsid w:val="00A20C7F"/>
    <w:rsid w:val="00A20F0F"/>
    <w:rsid w:val="00A212DF"/>
    <w:rsid w:val="00A21BD8"/>
    <w:rsid w:val="00A22DBA"/>
    <w:rsid w:val="00A25992"/>
    <w:rsid w:val="00A25BFF"/>
    <w:rsid w:val="00A27522"/>
    <w:rsid w:val="00A2796E"/>
    <w:rsid w:val="00A32045"/>
    <w:rsid w:val="00A330C5"/>
    <w:rsid w:val="00A34D76"/>
    <w:rsid w:val="00A365D0"/>
    <w:rsid w:val="00A37324"/>
    <w:rsid w:val="00A37428"/>
    <w:rsid w:val="00A402B8"/>
    <w:rsid w:val="00A4360E"/>
    <w:rsid w:val="00A443A6"/>
    <w:rsid w:val="00A45A1A"/>
    <w:rsid w:val="00A47F32"/>
    <w:rsid w:val="00A53220"/>
    <w:rsid w:val="00A538E6"/>
    <w:rsid w:val="00A540C1"/>
    <w:rsid w:val="00A56800"/>
    <w:rsid w:val="00A56D7E"/>
    <w:rsid w:val="00A5729F"/>
    <w:rsid w:val="00A57404"/>
    <w:rsid w:val="00A575BD"/>
    <w:rsid w:val="00A57AB2"/>
    <w:rsid w:val="00A60EEC"/>
    <w:rsid w:val="00A65BD9"/>
    <w:rsid w:val="00A65C1E"/>
    <w:rsid w:val="00A66718"/>
    <w:rsid w:val="00A70750"/>
    <w:rsid w:val="00A70B31"/>
    <w:rsid w:val="00A71382"/>
    <w:rsid w:val="00A72A72"/>
    <w:rsid w:val="00A759FE"/>
    <w:rsid w:val="00A76D67"/>
    <w:rsid w:val="00A776B8"/>
    <w:rsid w:val="00A80DD3"/>
    <w:rsid w:val="00A827A3"/>
    <w:rsid w:val="00A84133"/>
    <w:rsid w:val="00A85357"/>
    <w:rsid w:val="00A902DD"/>
    <w:rsid w:val="00A91617"/>
    <w:rsid w:val="00A920F9"/>
    <w:rsid w:val="00A93207"/>
    <w:rsid w:val="00A9432C"/>
    <w:rsid w:val="00A9482B"/>
    <w:rsid w:val="00A95230"/>
    <w:rsid w:val="00A96FA8"/>
    <w:rsid w:val="00A9770A"/>
    <w:rsid w:val="00A97A85"/>
    <w:rsid w:val="00A97F16"/>
    <w:rsid w:val="00AA0DD3"/>
    <w:rsid w:val="00AA1C07"/>
    <w:rsid w:val="00AA3299"/>
    <w:rsid w:val="00AA3688"/>
    <w:rsid w:val="00AA5887"/>
    <w:rsid w:val="00AA7213"/>
    <w:rsid w:val="00AB19F8"/>
    <w:rsid w:val="00AB2A61"/>
    <w:rsid w:val="00AB3A12"/>
    <w:rsid w:val="00AB4B65"/>
    <w:rsid w:val="00AB5A8D"/>
    <w:rsid w:val="00AB5C95"/>
    <w:rsid w:val="00AB5FA4"/>
    <w:rsid w:val="00AB6642"/>
    <w:rsid w:val="00AC2EFE"/>
    <w:rsid w:val="00AC3930"/>
    <w:rsid w:val="00AC3AB1"/>
    <w:rsid w:val="00AC46B7"/>
    <w:rsid w:val="00AC68C6"/>
    <w:rsid w:val="00AC75AA"/>
    <w:rsid w:val="00AC79C1"/>
    <w:rsid w:val="00AC7CA4"/>
    <w:rsid w:val="00AD40B2"/>
    <w:rsid w:val="00AD4A64"/>
    <w:rsid w:val="00AD598F"/>
    <w:rsid w:val="00AD6D09"/>
    <w:rsid w:val="00AD72A5"/>
    <w:rsid w:val="00AD7B84"/>
    <w:rsid w:val="00AE098E"/>
    <w:rsid w:val="00AE0BBA"/>
    <w:rsid w:val="00AE2291"/>
    <w:rsid w:val="00AE25C8"/>
    <w:rsid w:val="00AE4113"/>
    <w:rsid w:val="00AE42BE"/>
    <w:rsid w:val="00AE4380"/>
    <w:rsid w:val="00AE4F87"/>
    <w:rsid w:val="00AE52C0"/>
    <w:rsid w:val="00AE5525"/>
    <w:rsid w:val="00AE6381"/>
    <w:rsid w:val="00AE656F"/>
    <w:rsid w:val="00AE743A"/>
    <w:rsid w:val="00AE7D78"/>
    <w:rsid w:val="00AF0902"/>
    <w:rsid w:val="00AF438E"/>
    <w:rsid w:val="00AF45CA"/>
    <w:rsid w:val="00AF5856"/>
    <w:rsid w:val="00AF5CEE"/>
    <w:rsid w:val="00AF719C"/>
    <w:rsid w:val="00AF7506"/>
    <w:rsid w:val="00B007DD"/>
    <w:rsid w:val="00B0098A"/>
    <w:rsid w:val="00B01016"/>
    <w:rsid w:val="00B0146E"/>
    <w:rsid w:val="00B027CB"/>
    <w:rsid w:val="00B0352B"/>
    <w:rsid w:val="00B03A73"/>
    <w:rsid w:val="00B06321"/>
    <w:rsid w:val="00B074F8"/>
    <w:rsid w:val="00B128BB"/>
    <w:rsid w:val="00B145CD"/>
    <w:rsid w:val="00B17FAB"/>
    <w:rsid w:val="00B2099F"/>
    <w:rsid w:val="00B22C5F"/>
    <w:rsid w:val="00B23687"/>
    <w:rsid w:val="00B25710"/>
    <w:rsid w:val="00B25F44"/>
    <w:rsid w:val="00B2724E"/>
    <w:rsid w:val="00B277D7"/>
    <w:rsid w:val="00B27B03"/>
    <w:rsid w:val="00B301B0"/>
    <w:rsid w:val="00B30DCD"/>
    <w:rsid w:val="00B311B8"/>
    <w:rsid w:val="00B31B62"/>
    <w:rsid w:val="00B33711"/>
    <w:rsid w:val="00B33DC3"/>
    <w:rsid w:val="00B3482A"/>
    <w:rsid w:val="00B34889"/>
    <w:rsid w:val="00B353AC"/>
    <w:rsid w:val="00B3652E"/>
    <w:rsid w:val="00B37550"/>
    <w:rsid w:val="00B402C6"/>
    <w:rsid w:val="00B413AE"/>
    <w:rsid w:val="00B41DC1"/>
    <w:rsid w:val="00B43058"/>
    <w:rsid w:val="00B46EC7"/>
    <w:rsid w:val="00B47022"/>
    <w:rsid w:val="00B50A91"/>
    <w:rsid w:val="00B52022"/>
    <w:rsid w:val="00B52187"/>
    <w:rsid w:val="00B54691"/>
    <w:rsid w:val="00B5744E"/>
    <w:rsid w:val="00B57DDA"/>
    <w:rsid w:val="00B60CCD"/>
    <w:rsid w:val="00B62854"/>
    <w:rsid w:val="00B62EF1"/>
    <w:rsid w:val="00B640CC"/>
    <w:rsid w:val="00B645B6"/>
    <w:rsid w:val="00B64DAE"/>
    <w:rsid w:val="00B667BF"/>
    <w:rsid w:val="00B6797D"/>
    <w:rsid w:val="00B67984"/>
    <w:rsid w:val="00B7215C"/>
    <w:rsid w:val="00B735B8"/>
    <w:rsid w:val="00B73B5A"/>
    <w:rsid w:val="00B74858"/>
    <w:rsid w:val="00B74E64"/>
    <w:rsid w:val="00B752EB"/>
    <w:rsid w:val="00B7782D"/>
    <w:rsid w:val="00B77BE4"/>
    <w:rsid w:val="00B812BE"/>
    <w:rsid w:val="00B8137B"/>
    <w:rsid w:val="00B816FE"/>
    <w:rsid w:val="00B81D87"/>
    <w:rsid w:val="00B81DB6"/>
    <w:rsid w:val="00B86608"/>
    <w:rsid w:val="00B87847"/>
    <w:rsid w:val="00B90477"/>
    <w:rsid w:val="00B92AA5"/>
    <w:rsid w:val="00B96744"/>
    <w:rsid w:val="00BA38B2"/>
    <w:rsid w:val="00BA3A41"/>
    <w:rsid w:val="00BA6419"/>
    <w:rsid w:val="00BA6550"/>
    <w:rsid w:val="00BB0EDC"/>
    <w:rsid w:val="00BB10D9"/>
    <w:rsid w:val="00BB2437"/>
    <w:rsid w:val="00BB2F21"/>
    <w:rsid w:val="00BB32A1"/>
    <w:rsid w:val="00BB3642"/>
    <w:rsid w:val="00BB66AB"/>
    <w:rsid w:val="00BC0AD6"/>
    <w:rsid w:val="00BC3584"/>
    <w:rsid w:val="00BC4673"/>
    <w:rsid w:val="00BD5B0B"/>
    <w:rsid w:val="00BE0494"/>
    <w:rsid w:val="00BE0AA9"/>
    <w:rsid w:val="00BE1905"/>
    <w:rsid w:val="00BE1BE5"/>
    <w:rsid w:val="00BE1CB6"/>
    <w:rsid w:val="00BE2A1F"/>
    <w:rsid w:val="00BE4ED6"/>
    <w:rsid w:val="00BE54F3"/>
    <w:rsid w:val="00BE5F67"/>
    <w:rsid w:val="00BE7768"/>
    <w:rsid w:val="00BE7920"/>
    <w:rsid w:val="00BE793B"/>
    <w:rsid w:val="00BF09B4"/>
    <w:rsid w:val="00BF2A8A"/>
    <w:rsid w:val="00BF2CD1"/>
    <w:rsid w:val="00BF4B6A"/>
    <w:rsid w:val="00BF5135"/>
    <w:rsid w:val="00BF5FA5"/>
    <w:rsid w:val="00C009F5"/>
    <w:rsid w:val="00C01129"/>
    <w:rsid w:val="00C01923"/>
    <w:rsid w:val="00C02239"/>
    <w:rsid w:val="00C022E1"/>
    <w:rsid w:val="00C0398D"/>
    <w:rsid w:val="00C0539F"/>
    <w:rsid w:val="00C11E4C"/>
    <w:rsid w:val="00C14792"/>
    <w:rsid w:val="00C14954"/>
    <w:rsid w:val="00C16BEB"/>
    <w:rsid w:val="00C1743B"/>
    <w:rsid w:val="00C17D23"/>
    <w:rsid w:val="00C20CA6"/>
    <w:rsid w:val="00C23398"/>
    <w:rsid w:val="00C23B23"/>
    <w:rsid w:val="00C2413F"/>
    <w:rsid w:val="00C26C22"/>
    <w:rsid w:val="00C27B03"/>
    <w:rsid w:val="00C30591"/>
    <w:rsid w:val="00C3089B"/>
    <w:rsid w:val="00C34B40"/>
    <w:rsid w:val="00C35836"/>
    <w:rsid w:val="00C41CD3"/>
    <w:rsid w:val="00C41D29"/>
    <w:rsid w:val="00C43438"/>
    <w:rsid w:val="00C43DF2"/>
    <w:rsid w:val="00C44264"/>
    <w:rsid w:val="00C445C2"/>
    <w:rsid w:val="00C46251"/>
    <w:rsid w:val="00C4790F"/>
    <w:rsid w:val="00C47FC0"/>
    <w:rsid w:val="00C5072A"/>
    <w:rsid w:val="00C528CC"/>
    <w:rsid w:val="00C5399B"/>
    <w:rsid w:val="00C53ABD"/>
    <w:rsid w:val="00C53AD3"/>
    <w:rsid w:val="00C53C94"/>
    <w:rsid w:val="00C56E1B"/>
    <w:rsid w:val="00C57741"/>
    <w:rsid w:val="00C60B41"/>
    <w:rsid w:val="00C6210E"/>
    <w:rsid w:val="00C62568"/>
    <w:rsid w:val="00C64143"/>
    <w:rsid w:val="00C6434D"/>
    <w:rsid w:val="00C652E5"/>
    <w:rsid w:val="00C659F1"/>
    <w:rsid w:val="00C66261"/>
    <w:rsid w:val="00C67446"/>
    <w:rsid w:val="00C718F2"/>
    <w:rsid w:val="00C72085"/>
    <w:rsid w:val="00C7356B"/>
    <w:rsid w:val="00C73DD7"/>
    <w:rsid w:val="00C7697F"/>
    <w:rsid w:val="00C8136C"/>
    <w:rsid w:val="00C82FFA"/>
    <w:rsid w:val="00C85521"/>
    <w:rsid w:val="00C863EE"/>
    <w:rsid w:val="00C879CA"/>
    <w:rsid w:val="00C92646"/>
    <w:rsid w:val="00C9316A"/>
    <w:rsid w:val="00C9380B"/>
    <w:rsid w:val="00C93B5E"/>
    <w:rsid w:val="00C93FF3"/>
    <w:rsid w:val="00C9524B"/>
    <w:rsid w:val="00C95D8D"/>
    <w:rsid w:val="00CA24F2"/>
    <w:rsid w:val="00CA2883"/>
    <w:rsid w:val="00CA2AEF"/>
    <w:rsid w:val="00CA6136"/>
    <w:rsid w:val="00CA6BCC"/>
    <w:rsid w:val="00CA71DA"/>
    <w:rsid w:val="00CB5032"/>
    <w:rsid w:val="00CB5C65"/>
    <w:rsid w:val="00CB62AC"/>
    <w:rsid w:val="00CB6B06"/>
    <w:rsid w:val="00CB77EA"/>
    <w:rsid w:val="00CB79BE"/>
    <w:rsid w:val="00CB7DF6"/>
    <w:rsid w:val="00CC23BB"/>
    <w:rsid w:val="00CC303F"/>
    <w:rsid w:val="00CC3C96"/>
    <w:rsid w:val="00CC76B2"/>
    <w:rsid w:val="00CD077C"/>
    <w:rsid w:val="00CD1ACE"/>
    <w:rsid w:val="00CD342A"/>
    <w:rsid w:val="00CD3940"/>
    <w:rsid w:val="00CD3B1F"/>
    <w:rsid w:val="00CD4E32"/>
    <w:rsid w:val="00CD7E60"/>
    <w:rsid w:val="00CE3AE5"/>
    <w:rsid w:val="00CE5342"/>
    <w:rsid w:val="00CE5429"/>
    <w:rsid w:val="00CE6A0B"/>
    <w:rsid w:val="00CF0950"/>
    <w:rsid w:val="00CF09A8"/>
    <w:rsid w:val="00CF3B07"/>
    <w:rsid w:val="00CF4C13"/>
    <w:rsid w:val="00CF4DC9"/>
    <w:rsid w:val="00CF625A"/>
    <w:rsid w:val="00CF6384"/>
    <w:rsid w:val="00CF6902"/>
    <w:rsid w:val="00CF7924"/>
    <w:rsid w:val="00D05999"/>
    <w:rsid w:val="00D06E88"/>
    <w:rsid w:val="00D0750E"/>
    <w:rsid w:val="00D11F90"/>
    <w:rsid w:val="00D12F04"/>
    <w:rsid w:val="00D13527"/>
    <w:rsid w:val="00D15E4E"/>
    <w:rsid w:val="00D161AC"/>
    <w:rsid w:val="00D16528"/>
    <w:rsid w:val="00D174E6"/>
    <w:rsid w:val="00D17601"/>
    <w:rsid w:val="00D20D6E"/>
    <w:rsid w:val="00D21300"/>
    <w:rsid w:val="00D230DC"/>
    <w:rsid w:val="00D303E8"/>
    <w:rsid w:val="00D31BA6"/>
    <w:rsid w:val="00D31EB9"/>
    <w:rsid w:val="00D31EE5"/>
    <w:rsid w:val="00D335E1"/>
    <w:rsid w:val="00D35F4A"/>
    <w:rsid w:val="00D35FEA"/>
    <w:rsid w:val="00D366E4"/>
    <w:rsid w:val="00D423AC"/>
    <w:rsid w:val="00D44DC6"/>
    <w:rsid w:val="00D514E5"/>
    <w:rsid w:val="00D539D5"/>
    <w:rsid w:val="00D544D5"/>
    <w:rsid w:val="00D5452F"/>
    <w:rsid w:val="00D5508E"/>
    <w:rsid w:val="00D602DE"/>
    <w:rsid w:val="00D6096A"/>
    <w:rsid w:val="00D60ABE"/>
    <w:rsid w:val="00D60CE5"/>
    <w:rsid w:val="00D61811"/>
    <w:rsid w:val="00D62055"/>
    <w:rsid w:val="00D63F9F"/>
    <w:rsid w:val="00D646D3"/>
    <w:rsid w:val="00D66264"/>
    <w:rsid w:val="00D662F2"/>
    <w:rsid w:val="00D665F1"/>
    <w:rsid w:val="00D6711E"/>
    <w:rsid w:val="00D67EF6"/>
    <w:rsid w:val="00D73B08"/>
    <w:rsid w:val="00D74BE7"/>
    <w:rsid w:val="00D76ADD"/>
    <w:rsid w:val="00D80127"/>
    <w:rsid w:val="00D805D1"/>
    <w:rsid w:val="00D82FD7"/>
    <w:rsid w:val="00D84FA6"/>
    <w:rsid w:val="00D85ECC"/>
    <w:rsid w:val="00D864C7"/>
    <w:rsid w:val="00D86552"/>
    <w:rsid w:val="00D86EB7"/>
    <w:rsid w:val="00D91563"/>
    <w:rsid w:val="00D92B5E"/>
    <w:rsid w:val="00D92CD4"/>
    <w:rsid w:val="00D93388"/>
    <w:rsid w:val="00D95457"/>
    <w:rsid w:val="00D97A7B"/>
    <w:rsid w:val="00DA0D4C"/>
    <w:rsid w:val="00DA1259"/>
    <w:rsid w:val="00DA1AAD"/>
    <w:rsid w:val="00DA1BE8"/>
    <w:rsid w:val="00DA1E08"/>
    <w:rsid w:val="00DA4A52"/>
    <w:rsid w:val="00DA4FBC"/>
    <w:rsid w:val="00DA7457"/>
    <w:rsid w:val="00DB055B"/>
    <w:rsid w:val="00DB2995"/>
    <w:rsid w:val="00DB2ED0"/>
    <w:rsid w:val="00DB38F0"/>
    <w:rsid w:val="00DB3EE8"/>
    <w:rsid w:val="00DB4701"/>
    <w:rsid w:val="00DB4BAA"/>
    <w:rsid w:val="00DB59C0"/>
    <w:rsid w:val="00DB7E46"/>
    <w:rsid w:val="00DB7F22"/>
    <w:rsid w:val="00DC0146"/>
    <w:rsid w:val="00DC03EE"/>
    <w:rsid w:val="00DC1BA1"/>
    <w:rsid w:val="00DC36B8"/>
    <w:rsid w:val="00DC4CAB"/>
    <w:rsid w:val="00DC53F2"/>
    <w:rsid w:val="00DC6B01"/>
    <w:rsid w:val="00DC7797"/>
    <w:rsid w:val="00DD078A"/>
    <w:rsid w:val="00DD1737"/>
    <w:rsid w:val="00DD34E1"/>
    <w:rsid w:val="00DD7667"/>
    <w:rsid w:val="00DD777C"/>
    <w:rsid w:val="00DE0299"/>
    <w:rsid w:val="00DE0D75"/>
    <w:rsid w:val="00DE19EB"/>
    <w:rsid w:val="00DE5B0F"/>
    <w:rsid w:val="00DF2CB1"/>
    <w:rsid w:val="00DF33CF"/>
    <w:rsid w:val="00DF69F9"/>
    <w:rsid w:val="00E00330"/>
    <w:rsid w:val="00E02B50"/>
    <w:rsid w:val="00E03CC9"/>
    <w:rsid w:val="00E04B08"/>
    <w:rsid w:val="00E04B3F"/>
    <w:rsid w:val="00E060C1"/>
    <w:rsid w:val="00E06B1E"/>
    <w:rsid w:val="00E076F1"/>
    <w:rsid w:val="00E07787"/>
    <w:rsid w:val="00E07FBC"/>
    <w:rsid w:val="00E10AAF"/>
    <w:rsid w:val="00E10CD0"/>
    <w:rsid w:val="00E115D0"/>
    <w:rsid w:val="00E1258C"/>
    <w:rsid w:val="00E147D5"/>
    <w:rsid w:val="00E14C0E"/>
    <w:rsid w:val="00E16642"/>
    <w:rsid w:val="00E1787C"/>
    <w:rsid w:val="00E2249E"/>
    <w:rsid w:val="00E22B76"/>
    <w:rsid w:val="00E234F1"/>
    <w:rsid w:val="00E24762"/>
    <w:rsid w:val="00E25AF8"/>
    <w:rsid w:val="00E26C55"/>
    <w:rsid w:val="00E26F6C"/>
    <w:rsid w:val="00E27EC3"/>
    <w:rsid w:val="00E320A0"/>
    <w:rsid w:val="00E326EA"/>
    <w:rsid w:val="00E34CA3"/>
    <w:rsid w:val="00E35FF4"/>
    <w:rsid w:val="00E37AD1"/>
    <w:rsid w:val="00E37DA6"/>
    <w:rsid w:val="00E37FE3"/>
    <w:rsid w:val="00E43AAA"/>
    <w:rsid w:val="00E44C62"/>
    <w:rsid w:val="00E54EF2"/>
    <w:rsid w:val="00E55FD9"/>
    <w:rsid w:val="00E60DC5"/>
    <w:rsid w:val="00E61A93"/>
    <w:rsid w:val="00E6231F"/>
    <w:rsid w:val="00E63559"/>
    <w:rsid w:val="00E67180"/>
    <w:rsid w:val="00E676E2"/>
    <w:rsid w:val="00E67DC9"/>
    <w:rsid w:val="00E709E5"/>
    <w:rsid w:val="00E73F9D"/>
    <w:rsid w:val="00E74FA5"/>
    <w:rsid w:val="00E756A8"/>
    <w:rsid w:val="00E76032"/>
    <w:rsid w:val="00E768F2"/>
    <w:rsid w:val="00E77E9E"/>
    <w:rsid w:val="00E81DED"/>
    <w:rsid w:val="00E82316"/>
    <w:rsid w:val="00E825B3"/>
    <w:rsid w:val="00E849DE"/>
    <w:rsid w:val="00E84B7C"/>
    <w:rsid w:val="00E85948"/>
    <w:rsid w:val="00E85D2A"/>
    <w:rsid w:val="00E86536"/>
    <w:rsid w:val="00E87EE7"/>
    <w:rsid w:val="00E90FEC"/>
    <w:rsid w:val="00E9167E"/>
    <w:rsid w:val="00E922A4"/>
    <w:rsid w:val="00E93F3F"/>
    <w:rsid w:val="00E97944"/>
    <w:rsid w:val="00EA05D9"/>
    <w:rsid w:val="00EA0C7F"/>
    <w:rsid w:val="00EA1104"/>
    <w:rsid w:val="00EA1846"/>
    <w:rsid w:val="00EA18E1"/>
    <w:rsid w:val="00EA3B8C"/>
    <w:rsid w:val="00EA5257"/>
    <w:rsid w:val="00EA59B6"/>
    <w:rsid w:val="00EB0433"/>
    <w:rsid w:val="00EB1B8B"/>
    <w:rsid w:val="00EB3C54"/>
    <w:rsid w:val="00EB4951"/>
    <w:rsid w:val="00EB4A4B"/>
    <w:rsid w:val="00EC098E"/>
    <w:rsid w:val="00EC0BCB"/>
    <w:rsid w:val="00EC0E71"/>
    <w:rsid w:val="00EC221F"/>
    <w:rsid w:val="00EC68FC"/>
    <w:rsid w:val="00EC7641"/>
    <w:rsid w:val="00EC799E"/>
    <w:rsid w:val="00ED281F"/>
    <w:rsid w:val="00ED50F6"/>
    <w:rsid w:val="00ED613A"/>
    <w:rsid w:val="00ED6CFA"/>
    <w:rsid w:val="00ED6D53"/>
    <w:rsid w:val="00EE1855"/>
    <w:rsid w:val="00EE2B68"/>
    <w:rsid w:val="00EE6D70"/>
    <w:rsid w:val="00EF1386"/>
    <w:rsid w:val="00EF2491"/>
    <w:rsid w:val="00EF256B"/>
    <w:rsid w:val="00EF4FAB"/>
    <w:rsid w:val="00EF5277"/>
    <w:rsid w:val="00EF52FB"/>
    <w:rsid w:val="00EF54CA"/>
    <w:rsid w:val="00EF5CAD"/>
    <w:rsid w:val="00EF611F"/>
    <w:rsid w:val="00EF6A7E"/>
    <w:rsid w:val="00EF71DF"/>
    <w:rsid w:val="00EF7FA8"/>
    <w:rsid w:val="00F00F58"/>
    <w:rsid w:val="00F06234"/>
    <w:rsid w:val="00F1030E"/>
    <w:rsid w:val="00F10925"/>
    <w:rsid w:val="00F12F6C"/>
    <w:rsid w:val="00F12F7D"/>
    <w:rsid w:val="00F13DAE"/>
    <w:rsid w:val="00F155BC"/>
    <w:rsid w:val="00F157D8"/>
    <w:rsid w:val="00F15892"/>
    <w:rsid w:val="00F168F6"/>
    <w:rsid w:val="00F172C9"/>
    <w:rsid w:val="00F201AD"/>
    <w:rsid w:val="00F20A62"/>
    <w:rsid w:val="00F21481"/>
    <w:rsid w:val="00F222BB"/>
    <w:rsid w:val="00F2491A"/>
    <w:rsid w:val="00F24C6C"/>
    <w:rsid w:val="00F24EF6"/>
    <w:rsid w:val="00F254E4"/>
    <w:rsid w:val="00F27AE8"/>
    <w:rsid w:val="00F35D19"/>
    <w:rsid w:val="00F37007"/>
    <w:rsid w:val="00F3760A"/>
    <w:rsid w:val="00F41269"/>
    <w:rsid w:val="00F41319"/>
    <w:rsid w:val="00F44B13"/>
    <w:rsid w:val="00F44FAB"/>
    <w:rsid w:val="00F45BE7"/>
    <w:rsid w:val="00F45C51"/>
    <w:rsid w:val="00F463D7"/>
    <w:rsid w:val="00F47D2F"/>
    <w:rsid w:val="00F50163"/>
    <w:rsid w:val="00F508B4"/>
    <w:rsid w:val="00F510E2"/>
    <w:rsid w:val="00F515F1"/>
    <w:rsid w:val="00F5194B"/>
    <w:rsid w:val="00F52269"/>
    <w:rsid w:val="00F5273A"/>
    <w:rsid w:val="00F52D6B"/>
    <w:rsid w:val="00F546FB"/>
    <w:rsid w:val="00F55335"/>
    <w:rsid w:val="00F57D1C"/>
    <w:rsid w:val="00F6086A"/>
    <w:rsid w:val="00F61D2E"/>
    <w:rsid w:val="00F62824"/>
    <w:rsid w:val="00F62D7C"/>
    <w:rsid w:val="00F634C8"/>
    <w:rsid w:val="00F6449F"/>
    <w:rsid w:val="00F67155"/>
    <w:rsid w:val="00F7058F"/>
    <w:rsid w:val="00F70D21"/>
    <w:rsid w:val="00F70FEF"/>
    <w:rsid w:val="00F7365E"/>
    <w:rsid w:val="00F74F3A"/>
    <w:rsid w:val="00F75C02"/>
    <w:rsid w:val="00F77ECB"/>
    <w:rsid w:val="00F81E47"/>
    <w:rsid w:val="00F824EF"/>
    <w:rsid w:val="00F85FED"/>
    <w:rsid w:val="00F86474"/>
    <w:rsid w:val="00F868B4"/>
    <w:rsid w:val="00F8730A"/>
    <w:rsid w:val="00F90601"/>
    <w:rsid w:val="00F91B1F"/>
    <w:rsid w:val="00F95171"/>
    <w:rsid w:val="00F961BB"/>
    <w:rsid w:val="00F97406"/>
    <w:rsid w:val="00FA072C"/>
    <w:rsid w:val="00FA713E"/>
    <w:rsid w:val="00FB11BE"/>
    <w:rsid w:val="00FB1357"/>
    <w:rsid w:val="00FB13FA"/>
    <w:rsid w:val="00FB1B56"/>
    <w:rsid w:val="00FB2700"/>
    <w:rsid w:val="00FB4C6F"/>
    <w:rsid w:val="00FB6181"/>
    <w:rsid w:val="00FC04FC"/>
    <w:rsid w:val="00FC5E76"/>
    <w:rsid w:val="00FC69CF"/>
    <w:rsid w:val="00FC7214"/>
    <w:rsid w:val="00FC76B8"/>
    <w:rsid w:val="00FD00C6"/>
    <w:rsid w:val="00FD0B70"/>
    <w:rsid w:val="00FD11B8"/>
    <w:rsid w:val="00FD1440"/>
    <w:rsid w:val="00FD1489"/>
    <w:rsid w:val="00FD2DA9"/>
    <w:rsid w:val="00FD34F4"/>
    <w:rsid w:val="00FD3E97"/>
    <w:rsid w:val="00FD48D3"/>
    <w:rsid w:val="00FD59F1"/>
    <w:rsid w:val="00FD6FE2"/>
    <w:rsid w:val="00FD7383"/>
    <w:rsid w:val="00FD74CB"/>
    <w:rsid w:val="00FD7543"/>
    <w:rsid w:val="00FD7597"/>
    <w:rsid w:val="00FD7BF5"/>
    <w:rsid w:val="00FE0DC0"/>
    <w:rsid w:val="00FE185C"/>
    <w:rsid w:val="00FE3C5F"/>
    <w:rsid w:val="00FE4705"/>
    <w:rsid w:val="00FE53B7"/>
    <w:rsid w:val="00FE557C"/>
    <w:rsid w:val="00FE6D45"/>
    <w:rsid w:val="00FF0AEC"/>
    <w:rsid w:val="00FF47A7"/>
    <w:rsid w:val="00FF4C3A"/>
    <w:rsid w:val="00FF521E"/>
    <w:rsid w:val="00FF62F4"/>
    <w:rsid w:val="00FF6519"/>
  </w:rsids>
  <m:mathPr>
    <m:mathFont m:val="Cambria Math"/>
    <m:brkBin m:val="before"/>
    <m:brkBinSub m:val="--"/>
    <m:smallFrac m:val="0"/>
    <m:dispDef/>
    <m:lMargin m:val="0"/>
    <m:rMargin m:val="0"/>
    <m:defJc m:val="centerGroup"/>
    <m:wrapRight/>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BC2B2E"/>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napToGrid w:val="0"/>
      <w:sz w:val="22"/>
      <w:lang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rsid w:val="00A21BD8"/>
    <w:pPr>
      <w:tabs>
        <w:tab w:val="center" w:pos="4536"/>
        <w:tab w:val="right" w:pos="8306"/>
      </w:tabs>
    </w:pPr>
    <w:rPr>
      <w:rFonts w:ascii="Arial" w:hAnsi="Arial"/>
      <w:noProof/>
      <w:sz w:val="16"/>
      <w:lang w:val="en-US"/>
    </w:rPr>
  </w:style>
  <w:style w:type="character" w:customStyle="1" w:styleId="llbChar">
    <w:name w:val="Élőláb Char"/>
    <w:link w:val="llb"/>
    <w:uiPriority w:val="99"/>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styleId="Listaszerbekezds">
    <w:name w:val="List Paragraph"/>
    <w:basedOn w:val="Norml"/>
    <w:uiPriority w:val="34"/>
    <w:qFormat/>
    <w:rsid w:val="00200453"/>
    <w:pPr>
      <w:ind w:left="720"/>
      <w:contextualSpacing/>
    </w:pPr>
  </w:style>
  <w:style w:type="character" w:customStyle="1" w:styleId="Bodytext">
    <w:name w:val="Body text_"/>
    <w:basedOn w:val="Bekezdsalapbettpusa"/>
    <w:link w:val="Tekstpodstawowy6"/>
    <w:rsid w:val="00996898"/>
    <w:rPr>
      <w:sz w:val="21"/>
      <w:szCs w:val="21"/>
      <w:shd w:val="clear" w:color="auto" w:fill="FFFFFF"/>
    </w:rPr>
  </w:style>
  <w:style w:type="paragraph" w:customStyle="1" w:styleId="Tekstpodstawowy6">
    <w:name w:val="Tekst podstawowy6"/>
    <w:basedOn w:val="Norml"/>
    <w:link w:val="Bodytext"/>
    <w:rsid w:val="00996898"/>
    <w:pPr>
      <w:widowControl w:val="0"/>
      <w:shd w:val="clear" w:color="auto" w:fill="FFFFFF"/>
      <w:tabs>
        <w:tab w:val="clear" w:pos="567"/>
      </w:tabs>
      <w:spacing w:after="300" w:line="0" w:lineRule="atLeast"/>
      <w:ind w:hanging="580"/>
      <w:jc w:val="center"/>
    </w:pPr>
    <w:rPr>
      <w:snapToGrid/>
      <w:sz w:val="21"/>
      <w:szCs w:val="21"/>
      <w:lang w:eastAsia="en-GB"/>
    </w:rPr>
  </w:style>
  <w:style w:type="character" w:customStyle="1" w:styleId="Tekstpodstawowy2">
    <w:name w:val="Tekst podstawowy2"/>
    <w:basedOn w:val="Bodytext"/>
    <w:rsid w:val="0099689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en-US"/>
    </w:rPr>
  </w:style>
  <w:style w:type="character" w:customStyle="1" w:styleId="Tekstpodstawowy3">
    <w:name w:val="Tekst podstawowy3"/>
    <w:basedOn w:val="Bodytext"/>
    <w:rsid w:val="0099689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en-US"/>
    </w:rPr>
  </w:style>
  <w:style w:type="character" w:customStyle="1" w:styleId="Bodytext95ptBold">
    <w:name w:val="Body text + 9;5 pt;Bold"/>
    <w:basedOn w:val="Bodytext"/>
    <w:rsid w:val="006C6C6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en-US"/>
    </w:rPr>
  </w:style>
  <w:style w:type="character" w:customStyle="1" w:styleId="Bodytext95ptItalic">
    <w:name w:val="Body text + 9;5 pt;Italic"/>
    <w:basedOn w:val="Bodytext"/>
    <w:rsid w:val="006C6C63"/>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en-US"/>
    </w:rPr>
  </w:style>
  <w:style w:type="character" w:customStyle="1" w:styleId="Bodytext95pt">
    <w:name w:val="Body text + 9;5 pt"/>
    <w:basedOn w:val="Bodytext"/>
    <w:rsid w:val="006C6C63"/>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table" w:styleId="Rcsostblzat">
    <w:name w:val="Table Grid"/>
    <w:basedOn w:val="Normltblzat"/>
    <w:rsid w:val="009807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5716E2"/>
    <w:rPr>
      <w:snapToGrid w:val="0"/>
      <w:sz w:val="22"/>
      <w:lang w:eastAsia="zh-CN"/>
    </w:rPr>
  </w:style>
  <w:style w:type="character" w:customStyle="1" w:styleId="lfejChar">
    <w:name w:val="Élőfej Char"/>
    <w:basedOn w:val="Bekezdsalapbettpusa"/>
    <w:link w:val="lfej"/>
    <w:uiPriority w:val="99"/>
    <w:rsid w:val="00023378"/>
    <w:rPr>
      <w:snapToGrid w:val="0"/>
      <w:sz w:val="22"/>
      <w:lang w:eastAsia="zh-CN"/>
    </w:rPr>
  </w:style>
  <w:style w:type="paragraph" w:styleId="Nincstrkz">
    <w:name w:val="No Spacing"/>
    <w:uiPriority w:val="1"/>
    <w:qFormat/>
    <w:rsid w:val="00023378"/>
    <w:pPr>
      <w:tabs>
        <w:tab w:val="left" w:pos="567"/>
      </w:tabs>
    </w:pPr>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952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3577D309241A44B691DF85F8A56B6E" ma:contentTypeVersion="48" ma:contentTypeDescription="Create a new document." ma:contentTypeScope="" ma:versionID="daaa7b3bc74975fd9145ec1d19fca791">
  <xsd:schema xmlns:xsd="http://www.w3.org/2001/XMLSchema" xmlns:xs="http://www.w3.org/2001/XMLSchema" xmlns:p="http://schemas.microsoft.com/office/2006/metadata/properties" xmlns:ns2="ab4c40fc-b9da-498a-a643-ed8060d12465" xmlns:ns3="5a086511-33fc-4d32-b298-ffdb5eac5094" targetNamespace="http://schemas.microsoft.com/office/2006/metadata/properties" ma:root="true" ma:fieldsID="4b4443d65c1c955a554921c2c2f8eb5e" ns2:_="" ns3:_="">
    <xsd:import namespace="ab4c40fc-b9da-498a-a643-ed8060d12465"/>
    <xsd:import namespace="5a086511-33fc-4d32-b298-ffdb5eac5094"/>
    <xsd:element name="properties">
      <xsd:complexType>
        <xsd:sequence>
          <xsd:element name="documentManagement">
            <xsd:complexType>
              <xsd:all>
                <xsd:element ref="ns2:Procedure_number" minOccurs="0"/>
                <xsd:element ref="ns2:Trade_x0020_name" minOccurs="0"/>
                <xsd:element ref="ns3:Old_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_Flow_SignoffStatu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4c40fc-b9da-498a-a643-ed8060d12465" elementFormDefault="qualified">
    <xsd:import namespace="http://schemas.microsoft.com/office/2006/documentManagement/types"/>
    <xsd:import namespace="http://schemas.microsoft.com/office/infopath/2007/PartnerControls"/>
    <xsd:element name="Procedure_number" ma:index="8" nillable="true" ma:displayName="Procedure number" ma:internalName="Procedure_number" ma:readOnly="false">
      <xsd:simpleType>
        <xsd:restriction base="dms:Text">
          <xsd:maxLength value="255"/>
        </xsd:restriction>
      </xsd:simpleType>
    </xsd:element>
    <xsd:element name="Trade_x0020_name" ma:index="9" nillable="true" ma:displayName="Trade name" ma:internalName="Trade_x0020_name" ma:readOnly="false">
      <xsd:simpleType>
        <xsd:restriction base="dms:Text">
          <xsd:maxLength value="255"/>
        </xsd:restriction>
      </xsd:simpleType>
    </xsd:element>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55e15eef-bed3-4811-9ae3-46a183e5a408}" ma:internalName="TaxCatchAll" ma:showField="CatchAllData" ma:web="ab4c40fc-b9da-498a-a643-ed8060d124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a086511-33fc-4d32-b298-ffdb5eac5094" elementFormDefault="qualified">
    <xsd:import namespace="http://schemas.microsoft.com/office/2006/documentManagement/types"/>
    <xsd:import namespace="http://schemas.microsoft.com/office/infopath/2007/PartnerControls"/>
    <xsd:element name="Old_ID" ma:index="10" nillable="true" ma:displayName="Old_ID" ma:decimals="0" ma:internalName="Old_ID" ma:percentage="FALSE">
      <xsd:simpleType>
        <xsd:restriction base="dms:Number"/>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Tagi obrazów" ma:readOnly="false" ma:fieldId="{5cf76f15-5ced-4ddc-b409-7134ff3c332f}" ma:taxonomyMulti="true" ma:sspId="828fc68d-9c09-46fb-a745-e1d53b1c734f" ma:termSetId="09814cd3-568e-fe90-9814-8d621ff8fb84" ma:anchorId="fba54fb3-c3e1-fe81-a776-ca4b69148c4d" ma:open="true" ma:isKeyword="false">
      <xsd:complexType>
        <xsd:sequence>
          <xsd:element ref="pc:Terms" minOccurs="0" maxOccurs="1"/>
        </xsd:sequence>
      </xsd:complexType>
    </xsd:element>
    <xsd:element name="_Flow_SignoffStatus" ma:index="27" nillable="true" ma:displayName="Sign-off status" ma:internalName="Sign_x002d_off_x0020_status">
      <xsd:simpleType>
        <xsd:restriction base="dms:Text"/>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CD701-D6C9-4BE9-BC2E-502637236E78}">
  <ds:schemaRefs>
    <ds:schemaRef ds:uri="http://schemas.microsoft.com/sharepoint/v3/contenttype/forms"/>
  </ds:schemaRefs>
</ds:datastoreItem>
</file>

<file path=customXml/itemProps2.xml><?xml version="1.0" encoding="utf-8"?>
<ds:datastoreItem xmlns:ds="http://schemas.openxmlformats.org/officeDocument/2006/customXml" ds:itemID="{775059AD-FC88-4C25-B35F-FA8FC92CA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4c40fc-b9da-498a-a643-ed8060d12465"/>
    <ds:schemaRef ds:uri="5a086511-33fc-4d32-b298-ffdb5eac5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58ABEF-576A-4369-A15A-88B74D788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34</Pages>
  <Words>11830</Words>
  <Characters>85304</Characters>
  <Application>Microsoft Office Word</Application>
  <DocSecurity>0</DocSecurity>
  <Lines>710</Lines>
  <Paragraphs>193</Paragraphs>
  <ScaleCrop>false</ScaleCrop>
  <HeadingPairs>
    <vt:vector size="6" baseType="variant">
      <vt:variant>
        <vt:lpstr>Cím</vt:lpstr>
      </vt:variant>
      <vt:variant>
        <vt:i4>1</vt:i4>
      </vt:variant>
      <vt:variant>
        <vt:lpstr>Tytuł</vt:lpstr>
      </vt:variant>
      <vt:variant>
        <vt:i4>1</vt:i4>
      </vt:variant>
      <vt:variant>
        <vt:lpstr>Title</vt:lpstr>
      </vt:variant>
      <vt:variant>
        <vt:i4>1</vt:i4>
      </vt:variant>
    </vt:vector>
  </HeadingPairs>
  <TitlesOfParts>
    <vt:vector size="3" baseType="lpstr">
      <vt:lpstr>mutual-recognition-decentralised-referral-pi-template-version-42_en_CLEAN_HU</vt:lpstr>
      <vt:lpstr>mutual-recognition-decentralised-referral-pi-template-version-42_en_CLEAN_HU</vt:lpstr>
      <vt:lpstr>Hreferralspcclean_hu</vt:lpstr>
    </vt:vector>
  </TitlesOfParts>
  <Company>CDT</Company>
  <LinksUpToDate>false</LinksUpToDate>
  <CharactersWithSpaces>96941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CDT</dc:creator>
  <cp:lastModifiedBy>HU_OGYI_56.1</cp:lastModifiedBy>
  <cp:revision>15</cp:revision>
  <dcterms:created xsi:type="dcterms:W3CDTF">2024-10-16T10:52:00Z</dcterms:created>
  <dcterms:modified xsi:type="dcterms:W3CDTF">2025-08-15T09:39:00Z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15/04/2021 10:59:29</vt:lpwstr>
  </property>
  <property fmtid="{D5CDD505-2E9C-101B-9397-08002B2CF9AE}" pid="7" name="DM_Creator_Name">
    <vt:lpwstr>Akhtar Timea</vt:lpwstr>
  </property>
  <property fmtid="{D5CDD505-2E9C-101B-9397-08002B2CF9AE}" pid="8" name="DM_DocRefId">
    <vt:lpwstr>EMA/217913/2021</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EMA/217913/2021</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15/04/2021 10:59:29</vt:lpwstr>
  </property>
  <property fmtid="{D5CDD505-2E9C-101B-9397-08002B2CF9AE}" pid="35" name="DM_Modifier_Name">
    <vt:lpwstr>Akhtar Timea</vt:lpwstr>
  </property>
  <property fmtid="{D5CDD505-2E9C-101B-9397-08002B2CF9AE}" pid="36" name="DM_Modify_Date">
    <vt:lpwstr>15/04/2021 10:59:29</vt:lpwstr>
  </property>
  <property fmtid="{D5CDD505-2E9C-101B-9397-08002B2CF9AE}" pid="37" name="DM_Name">
    <vt:lpwstr>mutual-recognition-decentralised-referral-pi-template-version-42_en_CLEAN_HU</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templates/03 QRD H-Referral templates/2021-04 H Referral template v 4.2 Apr 21/Translation exercise/Clean templates from CDT</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JobId">
    <vt:lpwstr>a11c35a8-f7de-471c-93d7-ad0300ec1bde</vt:lpwstr>
  </property>
  <property fmtid="{D5CDD505-2E9C-101B-9397-08002B2CF9AE}" pid="46" name="MSIP_Label_0eea11ca-d417-4147-80ed-01a58412c458_ActionId">
    <vt:lpwstr>30d1419a-b734-4e3b-9ae9-07c1948efd4c</vt:lpwstr>
  </property>
  <property fmtid="{D5CDD505-2E9C-101B-9397-08002B2CF9AE}" pid="47" name="MSIP_Label_0eea11ca-d417-4147-80ed-01a58412c458_Application">
    <vt:lpwstr>Microsoft Azure Information Protection</vt:lpwstr>
  </property>
  <property fmtid="{D5CDD505-2E9C-101B-9397-08002B2CF9AE}" pid="48" name="MSIP_Label_0eea11ca-d417-4147-80ed-01a58412c458_Enabled">
    <vt:lpwstr>True</vt:lpwstr>
  </property>
  <property fmtid="{D5CDD505-2E9C-101B-9397-08002B2CF9AE}" pid="49" name="MSIP_Label_0eea11ca-d417-4147-80ed-01a58412c458_Extended_MSFT_Method">
    <vt:lpwstr>Automatic</vt:lpwstr>
  </property>
  <property fmtid="{D5CDD505-2E9C-101B-9397-08002B2CF9AE}" pid="50" name="MSIP_Label_0eea11ca-d417-4147-80ed-01a58412c458_Name">
    <vt:lpwstr>All EMA Staff and Contractors</vt:lpwstr>
  </property>
  <property fmtid="{D5CDD505-2E9C-101B-9397-08002B2CF9AE}" pid="51" name="MSIP_Label_0eea11ca-d417-4147-80ed-01a58412c458_Owner">
    <vt:lpwstr>Tia.Akhtar@ema.europa.eu</vt:lpwstr>
  </property>
  <property fmtid="{D5CDD505-2E9C-101B-9397-08002B2CF9AE}" pid="52" name="MSIP_Label_0eea11ca-d417-4147-80ed-01a58412c458_Parent">
    <vt:lpwstr>afe1b31d-cec0-4074-b4bd-f07689e43d84</vt:lpwstr>
  </property>
  <property fmtid="{D5CDD505-2E9C-101B-9397-08002B2CF9AE}" pid="53" name="MSIP_Label_0eea11ca-d417-4147-80ed-01a58412c458_SetDate">
    <vt:lpwstr>2020-02-03T09:06:09.6925906Z</vt:lpwstr>
  </property>
  <property fmtid="{D5CDD505-2E9C-101B-9397-08002B2CF9AE}" pid="54" name="MSIP_Label_0eea11ca-d417-4147-80ed-01a58412c458_SiteId">
    <vt:lpwstr>bc9dc15c-61bc-4f03-b60b-e5b6d8922839</vt:lpwstr>
  </property>
  <property fmtid="{D5CDD505-2E9C-101B-9397-08002B2CF9AE}" pid="55" name="MSIP_Label_afe1b31d-cec0-4074-b4bd-f07689e43d84_ActionId">
    <vt:lpwstr>30d1419a-b734-4e3b-9ae9-07c1948efd4c</vt:lpwstr>
  </property>
  <property fmtid="{D5CDD505-2E9C-101B-9397-08002B2CF9AE}" pid="56" name="MSIP_Label_afe1b31d-cec0-4074-b4bd-f07689e43d84_Application">
    <vt:lpwstr>Microsoft Azure Information Protection</vt:lpwstr>
  </property>
  <property fmtid="{D5CDD505-2E9C-101B-9397-08002B2CF9AE}" pid="57" name="MSIP_Label_afe1b31d-cec0-4074-b4bd-f07689e43d84_Enabled">
    <vt:lpwstr>True</vt:lpwstr>
  </property>
  <property fmtid="{D5CDD505-2E9C-101B-9397-08002B2CF9AE}" pid="58" name="MSIP_Label_afe1b31d-cec0-4074-b4bd-f07689e43d84_Extended_MSFT_Method">
    <vt:lpwstr>Automatic</vt:lpwstr>
  </property>
  <property fmtid="{D5CDD505-2E9C-101B-9397-08002B2CF9AE}" pid="59" name="MSIP_Label_afe1b31d-cec0-4074-b4bd-f07689e43d84_Name">
    <vt:lpwstr>Internal</vt:lpwstr>
  </property>
  <property fmtid="{D5CDD505-2E9C-101B-9397-08002B2CF9AE}" pid="60" name="MSIP_Label_afe1b31d-cec0-4074-b4bd-f07689e43d84_Owner">
    <vt:lpwstr>Tia.Akhtar@ema.europa.eu</vt:lpwstr>
  </property>
  <property fmtid="{D5CDD505-2E9C-101B-9397-08002B2CF9AE}" pid="61" name="MSIP_Label_afe1b31d-cec0-4074-b4bd-f07689e43d84_SetDate">
    <vt:lpwstr>2020-02-03T09:06:09.6925906Z</vt:lpwstr>
  </property>
  <property fmtid="{D5CDD505-2E9C-101B-9397-08002B2CF9AE}" pid="62" name="MSIP_Label_afe1b31d-cec0-4074-b4bd-f07689e43d84_SiteId">
    <vt:lpwstr>bc9dc15c-61bc-4f03-b60b-e5b6d8922839</vt:lpwstr>
  </property>
  <property fmtid="{D5CDD505-2E9C-101B-9397-08002B2CF9AE}" pid="63" name="MSIP_Label_52c6716a-2832-4ee8-8ee5-b4471006f0c1_Enabled">
    <vt:lpwstr>true</vt:lpwstr>
  </property>
  <property fmtid="{D5CDD505-2E9C-101B-9397-08002B2CF9AE}" pid="64" name="MSIP_Label_52c6716a-2832-4ee8-8ee5-b4471006f0c1_SetDate">
    <vt:lpwstr>2023-09-06T09:54:55Z</vt:lpwstr>
  </property>
  <property fmtid="{D5CDD505-2E9C-101B-9397-08002B2CF9AE}" pid="65" name="MSIP_Label_52c6716a-2832-4ee8-8ee5-b4471006f0c1_Method">
    <vt:lpwstr>Privileged</vt:lpwstr>
  </property>
  <property fmtid="{D5CDD505-2E9C-101B-9397-08002B2CF9AE}" pid="66" name="MSIP_Label_52c6716a-2832-4ee8-8ee5-b4471006f0c1_Name">
    <vt:lpwstr>Poufne – Bez Oznaczeń</vt:lpwstr>
  </property>
  <property fmtid="{D5CDD505-2E9C-101B-9397-08002B2CF9AE}" pid="67" name="MSIP_Label_52c6716a-2832-4ee8-8ee5-b4471006f0c1_SiteId">
    <vt:lpwstr>edf3cfc4-ee60-4b92-a2cb-da2c123fc895</vt:lpwstr>
  </property>
  <property fmtid="{D5CDD505-2E9C-101B-9397-08002B2CF9AE}" pid="68" name="MSIP_Label_52c6716a-2832-4ee8-8ee5-b4471006f0c1_ActionId">
    <vt:lpwstr>9f4177cc-eb04-4ffe-a2bc-5f4fabae98ba</vt:lpwstr>
  </property>
  <property fmtid="{D5CDD505-2E9C-101B-9397-08002B2CF9AE}" pid="69" name="MSIP_Label_52c6716a-2832-4ee8-8ee5-b4471006f0c1_ContentBits">
    <vt:lpwstr>0</vt:lpwstr>
  </property>
  <property fmtid="{D5CDD505-2E9C-101B-9397-08002B2CF9AE}" pid="70" name="Trade name">
    <vt:lpwstr/>
  </property>
  <property fmtid="{D5CDD505-2E9C-101B-9397-08002B2CF9AE}" pid="71" name="TaxCatchAll">
    <vt:lpwstr/>
  </property>
  <property fmtid="{D5CDD505-2E9C-101B-9397-08002B2CF9AE}" pid="72" name="Sign-off status">
    <vt:lpwstr/>
  </property>
  <property fmtid="{D5CDD505-2E9C-101B-9397-08002B2CF9AE}" pid="73" name="lcf76f155ced4ddcb4097134ff3c332f">
    <vt:lpwstr/>
  </property>
  <property fmtid="{D5CDD505-2E9C-101B-9397-08002B2CF9AE}" pid="74" name="Old_ID">
    <vt:lpwstr/>
  </property>
  <property fmtid="{D5CDD505-2E9C-101B-9397-08002B2CF9AE}" pid="75" name="Procedure_number">
    <vt:lpwstr/>
  </property>
</Properties>
</file>