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4F0F" w:rsidRDefault="00485CCD">
      <w:pPr>
        <w:widowControl w:val="0"/>
        <w:spacing w:line="240" w:lineRule="auto"/>
        <w:rPr>
          <w:color w:val="000000"/>
          <w:lang w:val="hu-HU"/>
        </w:rPr>
      </w:pPr>
      <w:r>
        <w:rPr>
          <w:b/>
          <w:noProof/>
          <w:color w:val="000000"/>
          <w:lang w:val="hu-HU"/>
        </w:rPr>
        <w:t>1.</w:t>
      </w:r>
      <w:r>
        <w:rPr>
          <w:b/>
          <w:noProof/>
          <w:color w:val="000000"/>
          <w:lang w:val="hu-HU"/>
        </w:rPr>
        <w:tab/>
        <w:t>A GYÓGYSZER NEVE</w:t>
      </w:r>
    </w:p>
    <w:p w:rsidR="00224F0F" w:rsidRDefault="00224F0F">
      <w:pPr>
        <w:widowControl w:val="0"/>
        <w:spacing w:line="240" w:lineRule="auto"/>
        <w:rPr>
          <w:noProof/>
          <w:color w:val="000000"/>
          <w:lang w:val="hu-HU"/>
        </w:rPr>
      </w:pPr>
    </w:p>
    <w:p w:rsidR="00224F0F" w:rsidRDefault="00485CCD">
      <w:pPr>
        <w:widowControl w:val="0"/>
        <w:spacing w:line="240" w:lineRule="auto"/>
        <w:rPr>
          <w:noProof/>
          <w:color w:val="000000"/>
          <w:lang w:val="hu-HU"/>
        </w:rPr>
      </w:pPr>
      <w:r>
        <w:rPr>
          <w:noProof/>
          <w:color w:val="000000"/>
          <w:lang w:val="hu-HU"/>
        </w:rPr>
        <w:t>Razarxo 15 mg filmtabletta</w:t>
      </w:r>
    </w:p>
    <w:p w:rsidR="00224F0F" w:rsidRDefault="00224F0F">
      <w:pPr>
        <w:widowControl w:val="0"/>
        <w:spacing w:line="240" w:lineRule="auto"/>
        <w:rPr>
          <w:noProof/>
          <w:color w:val="000000"/>
          <w:lang w:val="hu-HU"/>
        </w:rPr>
      </w:pPr>
    </w:p>
    <w:p w:rsidR="00224F0F" w:rsidRDefault="00224F0F">
      <w:pPr>
        <w:widowControl w:val="0"/>
        <w:spacing w:line="240" w:lineRule="auto"/>
        <w:rPr>
          <w:noProof/>
          <w:color w:val="000000"/>
          <w:lang w:val="hu-HU"/>
        </w:rPr>
      </w:pPr>
    </w:p>
    <w:p w:rsidR="00224F0F" w:rsidRDefault="00485CCD">
      <w:pPr>
        <w:widowControl w:val="0"/>
        <w:spacing w:line="240" w:lineRule="auto"/>
        <w:rPr>
          <w:b/>
          <w:color w:val="000000"/>
          <w:lang w:val="hu-HU"/>
        </w:rPr>
      </w:pPr>
      <w:r>
        <w:rPr>
          <w:b/>
          <w:color w:val="000000"/>
          <w:lang w:val="hu-HU"/>
        </w:rPr>
        <w:t>2.</w:t>
      </w:r>
      <w:r>
        <w:rPr>
          <w:b/>
          <w:color w:val="000000"/>
          <w:lang w:val="hu-HU"/>
        </w:rPr>
        <w:tab/>
        <w:t>MINŐSÉGI ÉS MENNYISÉGI ÖSSZETÉTEL</w:t>
      </w:r>
    </w:p>
    <w:p w:rsidR="00224F0F" w:rsidRDefault="00224F0F">
      <w:pPr>
        <w:widowControl w:val="0"/>
        <w:spacing w:line="240" w:lineRule="auto"/>
        <w:rPr>
          <w:b/>
          <w:noProof/>
          <w:color w:val="000000"/>
          <w:lang w:val="hu-HU"/>
        </w:rPr>
      </w:pPr>
    </w:p>
    <w:p w:rsidR="00224F0F" w:rsidRDefault="00485CCD">
      <w:pPr>
        <w:pStyle w:val="EMEAEnBodyText"/>
        <w:autoSpaceDE w:val="0"/>
        <w:autoSpaceDN w:val="0"/>
        <w:adjustRightInd w:val="0"/>
        <w:spacing w:before="0" w:after="0"/>
        <w:rPr>
          <w:bCs/>
          <w:noProof/>
          <w:color w:val="000000"/>
          <w:lang w:val="hu-HU"/>
        </w:rPr>
      </w:pPr>
      <w:r>
        <w:rPr>
          <w:bCs/>
          <w:noProof/>
          <w:color w:val="000000"/>
          <w:lang w:val="hu-HU"/>
        </w:rPr>
        <w:t>15 mg rivaroxabánt tartalmaz filmtablettánként.</w:t>
      </w:r>
    </w:p>
    <w:p w:rsidR="00224F0F" w:rsidRDefault="00224F0F">
      <w:pPr>
        <w:pStyle w:val="EMEAEnBodyText"/>
        <w:autoSpaceDE w:val="0"/>
        <w:autoSpaceDN w:val="0"/>
        <w:adjustRightInd w:val="0"/>
        <w:spacing w:before="0" w:after="0"/>
        <w:rPr>
          <w:bCs/>
          <w:noProof/>
          <w:color w:val="000000"/>
          <w:lang w:val="hu-HU"/>
        </w:rPr>
      </w:pPr>
    </w:p>
    <w:p w:rsidR="00224F0F" w:rsidRDefault="00485CCD">
      <w:pPr>
        <w:pStyle w:val="EMEAEnBodyText"/>
        <w:autoSpaceDE w:val="0"/>
        <w:autoSpaceDN w:val="0"/>
        <w:adjustRightInd w:val="0"/>
        <w:spacing w:before="0" w:after="0"/>
        <w:rPr>
          <w:bCs/>
          <w:noProof/>
          <w:color w:val="000000"/>
          <w:lang w:val="hu-HU"/>
        </w:rPr>
      </w:pPr>
      <w:r>
        <w:rPr>
          <w:color w:val="000000"/>
          <w:lang w:val="hu-HU"/>
        </w:rPr>
        <w:t xml:space="preserve">A segédanyagok teljes </w:t>
      </w:r>
      <w:r>
        <w:rPr>
          <w:bCs/>
          <w:noProof/>
          <w:color w:val="000000"/>
          <w:lang w:val="hu-HU"/>
        </w:rPr>
        <w:t>listáját</w:t>
      </w:r>
      <w:r>
        <w:rPr>
          <w:color w:val="000000"/>
          <w:lang w:val="hu-HU"/>
        </w:rPr>
        <w:t xml:space="preserve"> lásd a 6.1 pontban</w:t>
      </w:r>
      <w:r>
        <w:rPr>
          <w:bCs/>
          <w:noProof/>
          <w:color w:val="000000"/>
          <w:lang w:val="hu-HU"/>
        </w:rPr>
        <w:t>.</w:t>
      </w:r>
    </w:p>
    <w:p w:rsidR="00224F0F" w:rsidRDefault="00224F0F">
      <w:pPr>
        <w:pStyle w:val="EMEAEnBodyText"/>
        <w:autoSpaceDE w:val="0"/>
        <w:autoSpaceDN w:val="0"/>
        <w:adjustRightInd w:val="0"/>
        <w:spacing w:before="0" w:after="0"/>
        <w:rPr>
          <w:color w:val="000000"/>
          <w:lang w:val="es-ES"/>
        </w:rPr>
      </w:pPr>
    </w:p>
    <w:p w:rsidR="00224F0F" w:rsidRDefault="00224F0F">
      <w:pPr>
        <w:widowControl w:val="0"/>
        <w:spacing w:line="240" w:lineRule="auto"/>
        <w:rPr>
          <w:b/>
          <w:color w:val="000000"/>
          <w:lang w:val="es-ES"/>
        </w:rPr>
      </w:pPr>
    </w:p>
    <w:p w:rsidR="00224F0F" w:rsidRDefault="00485CCD">
      <w:pPr>
        <w:spacing w:line="240" w:lineRule="auto"/>
        <w:ind w:left="567" w:hanging="567"/>
        <w:rPr>
          <w:b/>
          <w:noProof/>
          <w:color w:val="000000"/>
        </w:rPr>
      </w:pPr>
      <w:r>
        <w:rPr>
          <w:b/>
          <w:noProof/>
          <w:color w:val="000000"/>
        </w:rPr>
        <w:t>3.</w:t>
      </w:r>
      <w:r>
        <w:rPr>
          <w:b/>
          <w:noProof/>
          <w:color w:val="000000"/>
        </w:rPr>
        <w:tab/>
        <w:t>GYÓGYSZERFORMA</w:t>
      </w:r>
    </w:p>
    <w:p w:rsidR="00224F0F" w:rsidRDefault="00224F0F">
      <w:pPr>
        <w:spacing w:line="240" w:lineRule="auto"/>
        <w:ind w:left="567" w:hanging="567"/>
        <w:rPr>
          <w:b/>
          <w:color w:val="000000"/>
        </w:rPr>
      </w:pPr>
    </w:p>
    <w:p w:rsidR="00224F0F" w:rsidRDefault="00485CCD">
      <w:pPr>
        <w:spacing w:line="240" w:lineRule="auto"/>
        <w:ind w:left="567" w:hanging="567"/>
        <w:rPr>
          <w:color w:val="000000"/>
        </w:rPr>
      </w:pPr>
      <w:r>
        <w:rPr>
          <w:color w:val="000000"/>
        </w:rPr>
        <w:t>Filmtabletta (tabletta)</w:t>
      </w:r>
    </w:p>
    <w:p w:rsidR="00224F0F" w:rsidRDefault="00224F0F">
      <w:pPr>
        <w:spacing w:line="240" w:lineRule="auto"/>
        <w:ind w:left="567" w:hanging="567"/>
        <w:rPr>
          <w:b/>
          <w:color w:val="000000"/>
        </w:rPr>
      </w:pPr>
    </w:p>
    <w:p w:rsidR="00224F0F" w:rsidRDefault="00485CCD">
      <w:pPr>
        <w:spacing w:line="240" w:lineRule="auto"/>
        <w:rPr>
          <w:color w:val="000000"/>
          <w:lang w:val="hu-HU"/>
        </w:rPr>
      </w:pPr>
      <w:r>
        <w:rPr>
          <w:color w:val="000000"/>
          <w:lang w:val="hu-HU"/>
        </w:rPr>
        <w:t>Vöröses narancssárga – barnás narancssárga, kerek,</w:t>
      </w:r>
      <w:r>
        <w:rPr>
          <w:color w:val="000000"/>
        </w:rPr>
        <w:t xml:space="preserve"> mindkét oldalán</w:t>
      </w:r>
      <w:r>
        <w:rPr>
          <w:color w:val="000000"/>
          <w:lang w:val="hu-HU"/>
        </w:rPr>
        <w:t xml:space="preserve"> kissé domború felületű, egyik oldalán ’15’ jelöléssel ellátott film</w:t>
      </w:r>
      <w:r>
        <w:rPr>
          <w:color w:val="000000"/>
        </w:rPr>
        <w:t>tabletta</w:t>
      </w:r>
      <w:r>
        <w:rPr>
          <w:color w:val="000000"/>
          <w:lang w:val="hu-HU"/>
        </w:rPr>
        <w:t>.</w:t>
      </w:r>
    </w:p>
    <w:p w:rsidR="00224F0F" w:rsidRDefault="00485CCD">
      <w:pPr>
        <w:spacing w:line="240" w:lineRule="auto"/>
        <w:rPr>
          <w:color w:val="000000"/>
          <w:lang w:val="hu-HU"/>
        </w:rPr>
      </w:pPr>
      <w:r>
        <w:rPr>
          <w:color w:val="000000"/>
          <w:lang w:val="hu-HU"/>
        </w:rPr>
        <w:t>Átmérője kb. 6,5 mm.</w:t>
      </w:r>
    </w:p>
    <w:p w:rsidR="00224F0F" w:rsidRDefault="00224F0F">
      <w:pPr>
        <w:autoSpaceDE w:val="0"/>
        <w:autoSpaceDN w:val="0"/>
        <w:adjustRightInd w:val="0"/>
        <w:spacing w:line="240" w:lineRule="auto"/>
        <w:jc w:val="both"/>
        <w:rPr>
          <w:color w:val="000000"/>
          <w:lang w:val="hu-HU"/>
        </w:rPr>
      </w:pPr>
    </w:p>
    <w:p w:rsidR="00224F0F" w:rsidRDefault="00224F0F">
      <w:pPr>
        <w:spacing w:line="240" w:lineRule="auto"/>
        <w:rPr>
          <w:color w:val="000000"/>
          <w:lang w:val="hu-HU"/>
        </w:rPr>
      </w:pPr>
    </w:p>
    <w:p w:rsidR="00224F0F" w:rsidRDefault="00485CCD">
      <w:pPr>
        <w:spacing w:line="240" w:lineRule="auto"/>
        <w:ind w:left="567" w:hanging="567"/>
        <w:outlineLvl w:val="0"/>
        <w:rPr>
          <w:b/>
          <w:color w:val="000000"/>
          <w:lang w:val="it-IT"/>
        </w:rPr>
      </w:pPr>
      <w:r>
        <w:rPr>
          <w:b/>
          <w:color w:val="000000"/>
          <w:lang w:val="it-IT"/>
        </w:rPr>
        <w:t>4.</w:t>
      </w:r>
      <w:r>
        <w:rPr>
          <w:b/>
          <w:color w:val="000000"/>
          <w:lang w:val="it-IT"/>
        </w:rPr>
        <w:tab/>
        <w:t>KLINIKAI JELLEMZŐK</w:t>
      </w:r>
    </w:p>
    <w:p w:rsidR="00224F0F" w:rsidRDefault="00224F0F">
      <w:pPr>
        <w:spacing w:line="240" w:lineRule="auto"/>
        <w:ind w:left="567" w:hanging="567"/>
        <w:outlineLvl w:val="0"/>
        <w:rPr>
          <w:b/>
          <w:color w:val="000000"/>
          <w:lang w:val="it-IT"/>
        </w:rPr>
      </w:pPr>
    </w:p>
    <w:p w:rsidR="00224F0F" w:rsidRDefault="00485CCD">
      <w:pPr>
        <w:spacing w:line="240" w:lineRule="auto"/>
        <w:ind w:left="567" w:hanging="567"/>
        <w:outlineLvl w:val="0"/>
        <w:rPr>
          <w:b/>
          <w:noProof/>
          <w:color w:val="000000"/>
          <w:lang w:val="it-IT"/>
        </w:rPr>
      </w:pPr>
      <w:r>
        <w:rPr>
          <w:b/>
          <w:noProof/>
          <w:color w:val="000000"/>
          <w:lang w:val="it-IT"/>
        </w:rPr>
        <w:t>4.1</w:t>
      </w:r>
      <w:r>
        <w:rPr>
          <w:b/>
          <w:noProof/>
          <w:color w:val="000000"/>
          <w:lang w:val="it-IT"/>
        </w:rPr>
        <w:tab/>
        <w:t>Terápiás javallatok</w:t>
      </w:r>
    </w:p>
    <w:p w:rsidR="00224F0F" w:rsidRDefault="00224F0F">
      <w:pPr>
        <w:spacing w:line="240" w:lineRule="auto"/>
        <w:ind w:left="567" w:hanging="567"/>
        <w:outlineLvl w:val="0"/>
        <w:rPr>
          <w:b/>
          <w:noProof/>
          <w:color w:val="000000"/>
          <w:lang w:val="it-IT"/>
        </w:rPr>
      </w:pPr>
    </w:p>
    <w:p w:rsidR="00224F0F" w:rsidRDefault="00485CCD">
      <w:pPr>
        <w:spacing w:line="240" w:lineRule="auto"/>
        <w:ind w:left="567" w:hanging="567"/>
        <w:outlineLvl w:val="0"/>
        <w:rPr>
          <w:bCs/>
          <w:i/>
          <w:iCs/>
          <w:noProof/>
          <w:color w:val="000000"/>
          <w:u w:val="single"/>
          <w:lang w:val="it-IT"/>
        </w:rPr>
      </w:pPr>
      <w:r>
        <w:rPr>
          <w:bCs/>
          <w:i/>
          <w:iCs/>
          <w:noProof/>
          <w:color w:val="000000"/>
          <w:u w:val="single"/>
          <w:lang w:val="it-IT"/>
        </w:rPr>
        <w:t>Felnőttek</w:t>
      </w:r>
    </w:p>
    <w:p w:rsidR="00224F0F" w:rsidRDefault="00485CCD">
      <w:pPr>
        <w:pStyle w:val="Default"/>
        <w:rPr>
          <w:sz w:val="22"/>
          <w:szCs w:val="22"/>
        </w:rPr>
      </w:pPr>
      <w:r>
        <w:rPr>
          <w:sz w:val="22"/>
          <w:szCs w:val="22"/>
        </w:rPr>
        <w:t>Stroke és systemás embolisatio megelőzése nem valvularis eredetű pitvarfibrillációban szenvedő felnőtt betegeknél, akiknél egy vagy több rizikófaktor áll fenn, mint például pangásos szívelégtelenség, hypertonia, életkor ≥ 75 év, diabetes mellitus, korábbi stroke vagy transiens ischaemiás attack.</w:t>
      </w:r>
    </w:p>
    <w:p w:rsidR="00224F0F" w:rsidRDefault="00224F0F">
      <w:pPr>
        <w:pStyle w:val="Default"/>
        <w:rPr>
          <w:sz w:val="22"/>
          <w:szCs w:val="22"/>
        </w:rPr>
      </w:pPr>
    </w:p>
    <w:p w:rsidR="00224F0F" w:rsidRDefault="00485CCD">
      <w:pPr>
        <w:spacing w:line="240" w:lineRule="auto"/>
        <w:rPr>
          <w:lang w:val="hu-HU"/>
        </w:rPr>
      </w:pPr>
      <w:r>
        <w:rPr>
          <w:lang w:val="hu-HU"/>
        </w:rPr>
        <w:t>Mélyvénás thrombosis (MVT) és pulmonalis embolia (PE) kezelése és a recidiváló MVT és PE megelőzése felnőtt betegeknél. (A haemodinamikailag instabil PE betegekkel kapcsolatban lásd 4.4 pont.)</w:t>
      </w:r>
    </w:p>
    <w:p w:rsidR="00224F0F" w:rsidRDefault="00224F0F">
      <w:pPr>
        <w:pStyle w:val="Default"/>
        <w:rPr>
          <w:sz w:val="22"/>
          <w:szCs w:val="22"/>
        </w:rPr>
      </w:pPr>
    </w:p>
    <w:p w:rsidR="00224F0F" w:rsidRDefault="00485CCD">
      <w:pPr>
        <w:pStyle w:val="Default"/>
        <w:rPr>
          <w:i/>
          <w:iCs/>
          <w:sz w:val="22"/>
          <w:szCs w:val="22"/>
          <w:u w:val="single"/>
        </w:rPr>
      </w:pPr>
      <w:r>
        <w:rPr>
          <w:i/>
          <w:iCs/>
          <w:sz w:val="22"/>
          <w:szCs w:val="22"/>
          <w:u w:val="single"/>
        </w:rPr>
        <w:t>Gyermekek és serdülők</w:t>
      </w:r>
    </w:p>
    <w:p w:rsidR="00224F0F" w:rsidRDefault="00485CCD">
      <w:pPr>
        <w:spacing w:line="240" w:lineRule="auto"/>
        <w:rPr>
          <w:lang w:val="hu-HU"/>
        </w:rPr>
      </w:pPr>
      <w:r>
        <w:rPr>
          <w:rFonts w:eastAsiaTheme="minorHAnsi"/>
          <w:color w:val="000000"/>
          <w:lang w:val="hu-HU"/>
        </w:rPr>
        <w:t>Vénás thromboembolia (VTE) kezelése, valamint VTE kiújulásának megelőzése 30 kg és 50 kg közötti testtömegű gyermekeknél és 18 évesnél fiatalabb serdülőknél, legalább 5 nappal a kezdeti parenterális antikoaguláns kezelés után.</w:t>
      </w:r>
    </w:p>
    <w:p w:rsidR="00224F0F" w:rsidRDefault="00224F0F">
      <w:pPr>
        <w:spacing w:line="240" w:lineRule="auto"/>
        <w:ind w:left="567" w:hanging="567"/>
        <w:outlineLvl w:val="0"/>
        <w:rPr>
          <w:b/>
          <w:noProof/>
          <w:color w:val="000000"/>
          <w:lang w:val="hu-HU"/>
        </w:rPr>
      </w:pPr>
    </w:p>
    <w:p w:rsidR="00224F0F" w:rsidRDefault="00485CCD">
      <w:pPr>
        <w:spacing w:line="240" w:lineRule="auto"/>
        <w:ind w:left="567" w:hanging="567"/>
        <w:outlineLvl w:val="0"/>
        <w:rPr>
          <w:b/>
          <w:noProof/>
          <w:color w:val="000000"/>
          <w:lang w:val="hu-HU"/>
        </w:rPr>
      </w:pPr>
      <w:r>
        <w:rPr>
          <w:b/>
          <w:noProof/>
          <w:color w:val="000000"/>
          <w:lang w:val="hu-HU"/>
        </w:rPr>
        <w:t>4.2</w:t>
      </w:r>
      <w:r>
        <w:rPr>
          <w:b/>
          <w:noProof/>
          <w:color w:val="000000"/>
          <w:lang w:val="hu-HU"/>
        </w:rPr>
        <w:tab/>
        <w:t>Adagolás és alkalmazás</w:t>
      </w:r>
    </w:p>
    <w:p w:rsidR="00224F0F" w:rsidRDefault="00224F0F">
      <w:pPr>
        <w:spacing w:line="240" w:lineRule="auto"/>
        <w:ind w:left="567" w:hanging="567"/>
        <w:outlineLvl w:val="0"/>
        <w:rPr>
          <w:b/>
          <w:color w:val="000000"/>
          <w:lang w:val="hu-HU"/>
        </w:rPr>
      </w:pPr>
    </w:p>
    <w:p w:rsidR="00224F0F" w:rsidRDefault="00485CCD">
      <w:pPr>
        <w:pStyle w:val="Default"/>
        <w:rPr>
          <w:sz w:val="22"/>
          <w:szCs w:val="22"/>
        </w:rPr>
      </w:pPr>
      <w:r>
        <w:rPr>
          <w:sz w:val="22"/>
          <w:szCs w:val="22"/>
          <w:u w:val="single"/>
        </w:rPr>
        <w:t xml:space="preserve">Adagolás </w:t>
      </w:r>
    </w:p>
    <w:p w:rsidR="00224F0F" w:rsidRDefault="00485CCD">
      <w:pPr>
        <w:pStyle w:val="Default"/>
        <w:rPr>
          <w:sz w:val="22"/>
          <w:szCs w:val="22"/>
        </w:rPr>
      </w:pPr>
      <w:r>
        <w:rPr>
          <w:i/>
          <w:iCs/>
          <w:sz w:val="22"/>
          <w:szCs w:val="22"/>
        </w:rPr>
        <w:t>Stroke és systemás embolisatio megelőzése felnőtteknél</w:t>
      </w:r>
    </w:p>
    <w:p w:rsidR="00224F0F" w:rsidRDefault="00485CCD">
      <w:pPr>
        <w:pStyle w:val="Default"/>
        <w:rPr>
          <w:sz w:val="22"/>
          <w:szCs w:val="22"/>
        </w:rPr>
      </w:pPr>
      <w:r>
        <w:rPr>
          <w:sz w:val="22"/>
          <w:szCs w:val="22"/>
        </w:rPr>
        <w:t>Az ajánlott dózis naponta egyszer 20 mg, amely egyben az ajánlott maximális dózis is.</w:t>
      </w:r>
    </w:p>
    <w:p w:rsidR="00224F0F" w:rsidRDefault="00224F0F">
      <w:pPr>
        <w:pStyle w:val="Default"/>
        <w:rPr>
          <w:sz w:val="22"/>
          <w:szCs w:val="22"/>
        </w:rPr>
      </w:pPr>
    </w:p>
    <w:p w:rsidR="00224F0F" w:rsidRDefault="00485CCD">
      <w:pPr>
        <w:pStyle w:val="Default"/>
        <w:rPr>
          <w:sz w:val="22"/>
          <w:szCs w:val="22"/>
        </w:rPr>
      </w:pPr>
      <w:r>
        <w:rPr>
          <w:sz w:val="22"/>
          <w:szCs w:val="22"/>
        </w:rPr>
        <w:t>A Razarxo-val végzett kezelést hosszú távon kell folytatni, feltéve, ha a stroke és a systemas embolisatio megelőzéséből származó előnyök meghaladják a vérzés kockázatát (lásd 4.4 pont).</w:t>
      </w:r>
    </w:p>
    <w:p w:rsidR="00224F0F" w:rsidRDefault="00224F0F">
      <w:pPr>
        <w:pStyle w:val="Default"/>
        <w:rPr>
          <w:sz w:val="22"/>
          <w:szCs w:val="22"/>
        </w:rPr>
      </w:pPr>
    </w:p>
    <w:p w:rsidR="00224F0F" w:rsidRDefault="00485CCD">
      <w:pPr>
        <w:pStyle w:val="Default"/>
        <w:rPr>
          <w:sz w:val="22"/>
          <w:szCs w:val="22"/>
        </w:rPr>
      </w:pPr>
      <w:r>
        <w:rPr>
          <w:sz w:val="22"/>
          <w:szCs w:val="22"/>
        </w:rPr>
        <w:t>Ha kimaradt egy adag, a beteg azonnal vegye be a Razarxo-t, majd másnap folytassa tovább a naponta egyszeri alkalmazást az ajánlottaknak megfelelően. Nem szabad kétszeres adagot bevenni ugyanazon a napon a kimaradt adag pótlására.</w:t>
      </w:r>
    </w:p>
    <w:p w:rsidR="00224F0F" w:rsidRDefault="00224F0F">
      <w:pPr>
        <w:pStyle w:val="Default"/>
        <w:rPr>
          <w:sz w:val="22"/>
          <w:szCs w:val="22"/>
        </w:rPr>
      </w:pPr>
    </w:p>
    <w:p w:rsidR="00224F0F" w:rsidRDefault="00485CCD">
      <w:pPr>
        <w:pStyle w:val="Default"/>
        <w:rPr>
          <w:sz w:val="22"/>
          <w:szCs w:val="22"/>
        </w:rPr>
      </w:pPr>
      <w:r>
        <w:rPr>
          <w:i/>
          <w:iCs/>
          <w:sz w:val="22"/>
          <w:szCs w:val="22"/>
        </w:rPr>
        <w:t>MVT kezelése, PE kezelése és a visszatérő MVT és PE megelőzése felnőtteknél</w:t>
      </w:r>
    </w:p>
    <w:p w:rsidR="00224F0F" w:rsidRDefault="00485CCD" w:rsidP="00A54C3F">
      <w:pPr>
        <w:pStyle w:val="Default"/>
        <w:widowControl w:val="0"/>
        <w:rPr>
          <w:sz w:val="22"/>
          <w:szCs w:val="22"/>
        </w:rPr>
      </w:pPr>
      <w:r>
        <w:rPr>
          <w:sz w:val="22"/>
          <w:szCs w:val="22"/>
        </w:rPr>
        <w:t xml:space="preserve">Az akut MVT vagy PE kezdeti kezelésére az ajánlott dózis az első három héten naponta kétszer </w:t>
      </w:r>
      <w:r>
        <w:rPr>
          <w:sz w:val="22"/>
          <w:szCs w:val="22"/>
        </w:rPr>
        <w:lastRenderedPageBreak/>
        <w:t xml:space="preserve">15 mg, amelyet naponta egyszer 20 mg követ a fenntartó kezelés és a visszatérő MVT és PE </w:t>
      </w:r>
      <w:bookmarkStart w:id="0" w:name="_GoBack"/>
      <w:r>
        <w:rPr>
          <w:sz w:val="22"/>
          <w:szCs w:val="22"/>
        </w:rPr>
        <w:t>megelőzése céljából.</w:t>
      </w:r>
    </w:p>
    <w:bookmarkEnd w:id="0"/>
    <w:p w:rsidR="00224F0F" w:rsidRDefault="00224F0F">
      <w:pPr>
        <w:pStyle w:val="Default"/>
        <w:rPr>
          <w:sz w:val="22"/>
          <w:szCs w:val="22"/>
        </w:rPr>
      </w:pPr>
    </w:p>
    <w:p w:rsidR="00224F0F" w:rsidRDefault="00485CCD">
      <w:pPr>
        <w:pStyle w:val="Default"/>
        <w:rPr>
          <w:sz w:val="22"/>
          <w:szCs w:val="22"/>
        </w:rPr>
      </w:pPr>
      <w:r>
        <w:rPr>
          <w:sz w:val="22"/>
          <w:szCs w:val="22"/>
        </w:rPr>
        <w:t>Rövid távú (legalább 3 hónapos) terápia mérlegelendő azoknál a MVT-ban vagy PE-ban szenvedő betegeknél, akiknél jelentős átmeneti kockázati tényezők (például a közelmúltban történt nagyobb műtét vagy trauma) provokálták az MVT-t, illetve PE-t. Hosszú távú terápia mérlegelendő azoknál a betegeknél, akiknél a provokált MVT vagy PE nem áll összefüggésben jelentősebb átmeneti kockázati tényezőkkel, az MVT-t vagy PE-t nem kockázati tényezők provokálták, illetve kórelőzményükben recidiváló MVT vagy PE szerepel.</w:t>
      </w:r>
    </w:p>
    <w:p w:rsidR="00224F0F" w:rsidRDefault="00224F0F">
      <w:pPr>
        <w:pStyle w:val="Default"/>
        <w:rPr>
          <w:sz w:val="22"/>
          <w:szCs w:val="22"/>
        </w:rPr>
      </w:pPr>
    </w:p>
    <w:p w:rsidR="00224F0F" w:rsidRDefault="00485CCD">
      <w:r>
        <w:t>Amennyiben a recidiváló MVT és PE hosszú távú megelőző kezelése javallott (az MVT, illetve PE miatt alkalmazott legalább 6 hónapos terápia befejeződését követően), a javasolt dózis naponta egyszer 10 mg. Azoknál a betegeknél, akiknél a recidiváló MVT, illetve PE kockázata magasnak tekinthető, például akiknél szövődményes kísérőbetegségek állnak fenn, vagy akiknél a hosszú távú megelőző kezelés alatt ismételten MVT vagy PE jelentkezett naponta egyszer 10 mg Razarxo alkalmazása mellett, a napi egyszeri 20 mg Razarxo alkalmazását kell mérlegelni.</w:t>
      </w:r>
    </w:p>
    <w:p w:rsidR="00224F0F" w:rsidRDefault="00224F0F">
      <w:pPr>
        <w:pStyle w:val="Default"/>
        <w:rPr>
          <w:sz w:val="22"/>
          <w:szCs w:val="22"/>
        </w:rPr>
      </w:pPr>
    </w:p>
    <w:p w:rsidR="00224F0F" w:rsidRDefault="00485CCD">
      <w:pPr>
        <w:pStyle w:val="Default"/>
        <w:rPr>
          <w:sz w:val="22"/>
          <w:szCs w:val="22"/>
        </w:rPr>
      </w:pPr>
      <w:r>
        <w:rPr>
          <w:sz w:val="22"/>
          <w:szCs w:val="22"/>
        </w:rPr>
        <w:t>A terápia időtartamát és a dózist egyénre szabottan, a kezelésből származó előny vérzési kockázattal szembeni gondos mérlegelése után kell meghatározni (lásd 4.4 pont).</w:t>
      </w:r>
    </w:p>
    <w:p w:rsidR="00224F0F" w:rsidRDefault="00224F0F">
      <w:pPr>
        <w:pStyle w:val="Defaul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2276"/>
        <w:gridCol w:w="2262"/>
        <w:gridCol w:w="2258"/>
      </w:tblGrid>
      <w:tr w:rsidR="00224F0F">
        <w:tc>
          <w:tcPr>
            <w:tcW w:w="2321" w:type="dxa"/>
            <w:shd w:val="clear" w:color="auto" w:fill="auto"/>
          </w:tcPr>
          <w:p w:rsidR="00224F0F" w:rsidRDefault="00224F0F">
            <w:pPr>
              <w:pStyle w:val="Default"/>
              <w:rPr>
                <w:b/>
                <w:sz w:val="22"/>
                <w:szCs w:val="22"/>
              </w:rPr>
            </w:pPr>
          </w:p>
        </w:tc>
        <w:tc>
          <w:tcPr>
            <w:tcW w:w="2322" w:type="dxa"/>
            <w:shd w:val="clear" w:color="auto" w:fill="auto"/>
          </w:tcPr>
          <w:p w:rsidR="00224F0F" w:rsidRDefault="00485CCD">
            <w:pPr>
              <w:pStyle w:val="Default"/>
              <w:rPr>
                <w:b/>
                <w:sz w:val="22"/>
                <w:szCs w:val="22"/>
              </w:rPr>
            </w:pPr>
            <w:r>
              <w:rPr>
                <w:b/>
                <w:sz w:val="22"/>
                <w:szCs w:val="22"/>
              </w:rPr>
              <w:t>Időtartam</w:t>
            </w:r>
          </w:p>
        </w:tc>
        <w:tc>
          <w:tcPr>
            <w:tcW w:w="2322" w:type="dxa"/>
            <w:shd w:val="clear" w:color="auto" w:fill="auto"/>
          </w:tcPr>
          <w:p w:rsidR="00224F0F" w:rsidRDefault="00485CCD">
            <w:pPr>
              <w:pStyle w:val="Default"/>
              <w:rPr>
                <w:b/>
                <w:sz w:val="22"/>
                <w:szCs w:val="22"/>
              </w:rPr>
            </w:pPr>
            <w:r>
              <w:rPr>
                <w:b/>
                <w:sz w:val="22"/>
                <w:szCs w:val="22"/>
              </w:rPr>
              <w:t>Adagolási rend</w:t>
            </w:r>
          </w:p>
        </w:tc>
        <w:tc>
          <w:tcPr>
            <w:tcW w:w="2322" w:type="dxa"/>
            <w:shd w:val="clear" w:color="auto" w:fill="auto"/>
          </w:tcPr>
          <w:p w:rsidR="00224F0F" w:rsidRDefault="00485CCD">
            <w:pPr>
              <w:pStyle w:val="Default"/>
              <w:rPr>
                <w:b/>
                <w:sz w:val="22"/>
                <w:szCs w:val="22"/>
              </w:rPr>
            </w:pPr>
            <w:r>
              <w:rPr>
                <w:b/>
                <w:sz w:val="22"/>
                <w:szCs w:val="22"/>
              </w:rPr>
              <w:t>Napi összdózis</w:t>
            </w:r>
          </w:p>
        </w:tc>
      </w:tr>
      <w:tr w:rsidR="00224F0F">
        <w:trPr>
          <w:trHeight w:val="78"/>
        </w:trPr>
        <w:tc>
          <w:tcPr>
            <w:tcW w:w="2321" w:type="dxa"/>
            <w:vMerge w:val="restart"/>
            <w:shd w:val="clear" w:color="auto" w:fill="auto"/>
          </w:tcPr>
          <w:p w:rsidR="00224F0F" w:rsidRDefault="00485CCD">
            <w:pPr>
              <w:pStyle w:val="Default"/>
              <w:rPr>
                <w:sz w:val="22"/>
                <w:szCs w:val="22"/>
              </w:rPr>
            </w:pPr>
            <w:r>
              <w:rPr>
                <w:sz w:val="22"/>
                <w:szCs w:val="22"/>
              </w:rPr>
              <w:t>Recidiváló MVT és PE megelőzése és kezelése</w:t>
            </w:r>
          </w:p>
        </w:tc>
        <w:tc>
          <w:tcPr>
            <w:tcW w:w="2322" w:type="dxa"/>
            <w:shd w:val="clear" w:color="auto" w:fill="auto"/>
          </w:tcPr>
          <w:p w:rsidR="00224F0F" w:rsidRDefault="00485CCD">
            <w:pPr>
              <w:pStyle w:val="Default"/>
              <w:rPr>
                <w:sz w:val="22"/>
                <w:szCs w:val="22"/>
              </w:rPr>
            </w:pPr>
            <w:r>
              <w:rPr>
                <w:sz w:val="22"/>
                <w:szCs w:val="22"/>
              </w:rPr>
              <w:t>1</w:t>
            </w:r>
            <w:r>
              <w:rPr>
                <w:sz w:val="22"/>
                <w:szCs w:val="22"/>
              </w:rPr>
              <w:noBreakHyphen/>
              <w:t>21. nap</w:t>
            </w:r>
          </w:p>
        </w:tc>
        <w:tc>
          <w:tcPr>
            <w:tcW w:w="2322" w:type="dxa"/>
            <w:shd w:val="clear" w:color="auto" w:fill="auto"/>
          </w:tcPr>
          <w:p w:rsidR="00224F0F" w:rsidRDefault="00485CCD">
            <w:pPr>
              <w:pStyle w:val="Default"/>
              <w:rPr>
                <w:sz w:val="22"/>
                <w:szCs w:val="22"/>
              </w:rPr>
            </w:pPr>
            <w:r>
              <w:rPr>
                <w:sz w:val="22"/>
                <w:szCs w:val="22"/>
              </w:rPr>
              <w:t>Naponta kétszer 15 mg</w:t>
            </w:r>
          </w:p>
        </w:tc>
        <w:tc>
          <w:tcPr>
            <w:tcW w:w="2322" w:type="dxa"/>
            <w:shd w:val="clear" w:color="auto" w:fill="auto"/>
          </w:tcPr>
          <w:p w:rsidR="00224F0F" w:rsidRDefault="00485CCD">
            <w:pPr>
              <w:pStyle w:val="Default"/>
              <w:rPr>
                <w:sz w:val="22"/>
                <w:szCs w:val="22"/>
              </w:rPr>
            </w:pPr>
            <w:r>
              <w:rPr>
                <w:sz w:val="22"/>
                <w:szCs w:val="22"/>
              </w:rPr>
              <w:t>30 mg</w:t>
            </w:r>
          </w:p>
        </w:tc>
      </w:tr>
      <w:tr w:rsidR="00224F0F">
        <w:trPr>
          <w:trHeight w:val="78"/>
        </w:trPr>
        <w:tc>
          <w:tcPr>
            <w:tcW w:w="2321" w:type="dxa"/>
            <w:vMerge/>
            <w:shd w:val="clear" w:color="auto" w:fill="auto"/>
          </w:tcPr>
          <w:p w:rsidR="00224F0F" w:rsidRDefault="00224F0F">
            <w:pPr>
              <w:pStyle w:val="Default"/>
              <w:rPr>
                <w:sz w:val="22"/>
                <w:szCs w:val="22"/>
              </w:rPr>
            </w:pPr>
          </w:p>
        </w:tc>
        <w:tc>
          <w:tcPr>
            <w:tcW w:w="2322" w:type="dxa"/>
            <w:shd w:val="clear" w:color="auto" w:fill="auto"/>
          </w:tcPr>
          <w:p w:rsidR="00224F0F" w:rsidRDefault="00485CCD">
            <w:pPr>
              <w:pStyle w:val="Default"/>
              <w:rPr>
                <w:sz w:val="22"/>
                <w:szCs w:val="22"/>
              </w:rPr>
            </w:pPr>
            <w:r>
              <w:rPr>
                <w:sz w:val="22"/>
                <w:szCs w:val="22"/>
              </w:rPr>
              <w:t>A 22. naptól kezdődően</w:t>
            </w:r>
          </w:p>
        </w:tc>
        <w:tc>
          <w:tcPr>
            <w:tcW w:w="2322" w:type="dxa"/>
            <w:shd w:val="clear" w:color="auto" w:fill="auto"/>
          </w:tcPr>
          <w:p w:rsidR="00224F0F" w:rsidRDefault="00485CCD">
            <w:pPr>
              <w:pStyle w:val="Default"/>
              <w:rPr>
                <w:sz w:val="22"/>
                <w:szCs w:val="22"/>
              </w:rPr>
            </w:pPr>
            <w:r>
              <w:rPr>
                <w:sz w:val="22"/>
                <w:szCs w:val="22"/>
              </w:rPr>
              <w:t>Naponta egyszer 20 mg</w:t>
            </w:r>
          </w:p>
        </w:tc>
        <w:tc>
          <w:tcPr>
            <w:tcW w:w="2322" w:type="dxa"/>
            <w:shd w:val="clear" w:color="auto" w:fill="auto"/>
          </w:tcPr>
          <w:p w:rsidR="00224F0F" w:rsidRDefault="00485CCD">
            <w:pPr>
              <w:pStyle w:val="Default"/>
              <w:rPr>
                <w:sz w:val="22"/>
                <w:szCs w:val="22"/>
              </w:rPr>
            </w:pPr>
            <w:r>
              <w:rPr>
                <w:sz w:val="22"/>
                <w:szCs w:val="22"/>
              </w:rPr>
              <w:t>20 mg</w:t>
            </w:r>
          </w:p>
        </w:tc>
      </w:tr>
      <w:tr w:rsidR="00224F0F">
        <w:tc>
          <w:tcPr>
            <w:tcW w:w="2321" w:type="dxa"/>
            <w:shd w:val="clear" w:color="auto" w:fill="auto"/>
          </w:tcPr>
          <w:p w:rsidR="00224F0F" w:rsidRDefault="00485CCD">
            <w:pPr>
              <w:pStyle w:val="Default"/>
              <w:rPr>
                <w:sz w:val="22"/>
                <w:szCs w:val="22"/>
              </w:rPr>
            </w:pPr>
            <w:r>
              <w:rPr>
                <w:sz w:val="22"/>
                <w:szCs w:val="22"/>
              </w:rPr>
              <w:t>Recidiváló MVT és PE megelőzése</w:t>
            </w:r>
          </w:p>
        </w:tc>
        <w:tc>
          <w:tcPr>
            <w:tcW w:w="2322" w:type="dxa"/>
            <w:shd w:val="clear" w:color="auto" w:fill="auto"/>
          </w:tcPr>
          <w:p w:rsidR="00224F0F" w:rsidRDefault="00485CCD">
            <w:pPr>
              <w:pStyle w:val="Default"/>
              <w:rPr>
                <w:sz w:val="22"/>
                <w:szCs w:val="22"/>
              </w:rPr>
            </w:pPr>
            <w:r>
              <w:rPr>
                <w:sz w:val="22"/>
                <w:szCs w:val="22"/>
              </w:rPr>
              <w:t xml:space="preserve">Az MVT-re, illetve PE-re alkalmazott legalább 6 hónapos terápia befejeződését követően </w:t>
            </w:r>
          </w:p>
        </w:tc>
        <w:tc>
          <w:tcPr>
            <w:tcW w:w="2322" w:type="dxa"/>
            <w:shd w:val="clear" w:color="auto" w:fill="auto"/>
          </w:tcPr>
          <w:p w:rsidR="00224F0F" w:rsidRDefault="00485CCD">
            <w:pPr>
              <w:pStyle w:val="Default"/>
              <w:rPr>
                <w:sz w:val="22"/>
                <w:szCs w:val="22"/>
              </w:rPr>
            </w:pPr>
            <w:r>
              <w:rPr>
                <w:sz w:val="22"/>
                <w:szCs w:val="22"/>
              </w:rPr>
              <w:t xml:space="preserve">Naponta egyszer 10 mg vagy naponta egyszer 20 mg </w:t>
            </w:r>
          </w:p>
        </w:tc>
        <w:tc>
          <w:tcPr>
            <w:tcW w:w="2322" w:type="dxa"/>
            <w:shd w:val="clear" w:color="auto" w:fill="auto"/>
          </w:tcPr>
          <w:p w:rsidR="00224F0F" w:rsidRDefault="00485CCD">
            <w:pPr>
              <w:pStyle w:val="Default"/>
              <w:rPr>
                <w:sz w:val="22"/>
                <w:szCs w:val="22"/>
              </w:rPr>
            </w:pPr>
            <w:r>
              <w:rPr>
                <w:sz w:val="22"/>
                <w:szCs w:val="22"/>
              </w:rPr>
              <w:t>10 mg vagy 20 mg</w:t>
            </w:r>
          </w:p>
        </w:tc>
      </w:tr>
    </w:tbl>
    <w:p w:rsidR="00224F0F" w:rsidRDefault="00224F0F">
      <w:pPr>
        <w:pStyle w:val="Default"/>
        <w:rPr>
          <w:sz w:val="22"/>
          <w:szCs w:val="22"/>
        </w:rPr>
      </w:pPr>
    </w:p>
    <w:p w:rsidR="00224F0F" w:rsidRDefault="00485CCD">
      <w:pPr>
        <w:pStyle w:val="Default"/>
        <w:rPr>
          <w:sz w:val="22"/>
          <w:szCs w:val="22"/>
        </w:rPr>
      </w:pPr>
      <w:r>
        <w:rPr>
          <w:sz w:val="22"/>
          <w:szCs w:val="22"/>
        </w:rPr>
        <w:t>A 15 mg-os adagról a 21. napot követően a 20 mg-os adagra való áttérés megkönnyítése érdekében az MVT/PE kezelésére szolgáló rivaroxabán az első 4 hét kezelését elindító kezdőcsomagban is elérhető.</w:t>
      </w:r>
    </w:p>
    <w:p w:rsidR="00224F0F" w:rsidRDefault="00224F0F">
      <w:pPr>
        <w:pStyle w:val="Default"/>
        <w:rPr>
          <w:sz w:val="22"/>
          <w:szCs w:val="22"/>
        </w:rPr>
      </w:pPr>
    </w:p>
    <w:p w:rsidR="00224F0F" w:rsidRDefault="00485CCD">
      <w:pPr>
        <w:pStyle w:val="Default"/>
        <w:rPr>
          <w:sz w:val="22"/>
          <w:szCs w:val="22"/>
        </w:rPr>
      </w:pPr>
      <w:r>
        <w:rPr>
          <w:sz w:val="22"/>
          <w:szCs w:val="22"/>
        </w:rPr>
        <w:t>Ha a naponta kétszer 15 mg-os kezelési szakasz (1</w:t>
      </w:r>
      <w:r>
        <w:rPr>
          <w:sz w:val="22"/>
          <w:szCs w:val="22"/>
        </w:rPr>
        <w:noBreakHyphen/>
        <w:t>21 nap) alatt kimarad egy adag, a beteg azonnal vegye be a Razarxo-t, mivel így biztosíthatja a 30 mg Razarxo/nap bevitelét. Ebben az esetben egyszerre két darab 15 mg-os tablettát is be lehet venni. A következő napon a betegnek folytatnia kell a szokásos naponta kétszer 15 mg bevételét az ajánlásnak megfelelően.</w:t>
      </w:r>
    </w:p>
    <w:p w:rsidR="00224F0F" w:rsidRDefault="00224F0F">
      <w:pPr>
        <w:pStyle w:val="Default"/>
        <w:rPr>
          <w:sz w:val="22"/>
          <w:szCs w:val="22"/>
        </w:rPr>
      </w:pPr>
    </w:p>
    <w:p w:rsidR="00224F0F" w:rsidRDefault="00485CCD">
      <w:pPr>
        <w:pStyle w:val="Default"/>
        <w:rPr>
          <w:sz w:val="22"/>
          <w:szCs w:val="22"/>
        </w:rPr>
      </w:pPr>
      <w:r>
        <w:rPr>
          <w:sz w:val="22"/>
          <w:szCs w:val="22"/>
        </w:rPr>
        <w:t>Ha a napi egyszeri adaggal végzett kezelési szakban kimarad egy adag, a beteg azonnal vegye be a Razarxo-t, majd másnap folytassa tovább a napi egyszeri alkalmazást az ajánlásnak megfelelően. Nem szabad ugyanazon a napon kétszeres adagot bevenni a kimaradt adag pótlására.</w:t>
      </w:r>
    </w:p>
    <w:p w:rsidR="00224F0F" w:rsidRDefault="00224F0F">
      <w:pPr>
        <w:pStyle w:val="Default"/>
        <w:rPr>
          <w:sz w:val="22"/>
          <w:szCs w:val="22"/>
        </w:rPr>
      </w:pPr>
    </w:p>
    <w:p w:rsidR="00224F0F" w:rsidRDefault="00485CCD">
      <w:pPr>
        <w:tabs>
          <w:tab w:val="clear" w:pos="567"/>
        </w:tabs>
        <w:autoSpaceDE w:val="0"/>
        <w:autoSpaceDN w:val="0"/>
        <w:adjustRightInd w:val="0"/>
        <w:spacing w:line="240" w:lineRule="auto"/>
        <w:rPr>
          <w:rFonts w:eastAsiaTheme="minorHAnsi"/>
          <w:color w:val="000000"/>
          <w:lang w:val="hu-HU"/>
        </w:rPr>
      </w:pPr>
      <w:r>
        <w:rPr>
          <w:rFonts w:eastAsiaTheme="minorHAnsi"/>
          <w:i/>
          <w:iCs/>
          <w:color w:val="000000"/>
          <w:lang w:val="hu-HU"/>
        </w:rPr>
        <w:t>VTE kezelése és a VTE kiújulásának megelőzése gyermekeknél és serdülőknél</w:t>
      </w:r>
    </w:p>
    <w:p w:rsidR="00224F0F" w:rsidRDefault="00485CCD">
      <w:pPr>
        <w:tabs>
          <w:tab w:val="clear" w:pos="567"/>
        </w:tabs>
        <w:autoSpaceDE w:val="0"/>
        <w:autoSpaceDN w:val="0"/>
        <w:adjustRightInd w:val="0"/>
        <w:spacing w:line="240" w:lineRule="auto"/>
        <w:rPr>
          <w:rFonts w:eastAsiaTheme="minorHAnsi"/>
          <w:color w:val="000000"/>
          <w:lang w:val="hu-HU"/>
        </w:rPr>
      </w:pPr>
      <w:r>
        <w:rPr>
          <w:rFonts w:eastAsiaTheme="minorHAnsi"/>
          <w:color w:val="000000"/>
          <w:lang w:val="hu-HU"/>
        </w:rPr>
        <w:t>A Razarxo-kezelést gyermekeknél és 18 évesnél fiatalabb serdülőknél legalább 5 nappal a kezdeti parenterális antikoaguláns kezelés után kell megkezdeni (lásd 5.1 pont).</w:t>
      </w:r>
    </w:p>
    <w:p w:rsidR="00224F0F" w:rsidRDefault="00224F0F">
      <w:pPr>
        <w:tabs>
          <w:tab w:val="clear" w:pos="567"/>
        </w:tabs>
        <w:autoSpaceDE w:val="0"/>
        <w:autoSpaceDN w:val="0"/>
        <w:adjustRightInd w:val="0"/>
        <w:spacing w:line="240" w:lineRule="auto"/>
        <w:rPr>
          <w:rFonts w:eastAsiaTheme="minorHAnsi"/>
          <w:color w:val="000000"/>
          <w:lang w:val="hu-HU"/>
        </w:rPr>
      </w:pPr>
    </w:p>
    <w:p w:rsidR="00224F0F" w:rsidRDefault="00485CCD">
      <w:pPr>
        <w:tabs>
          <w:tab w:val="clear" w:pos="567"/>
        </w:tabs>
        <w:autoSpaceDE w:val="0"/>
        <w:autoSpaceDN w:val="0"/>
        <w:adjustRightInd w:val="0"/>
        <w:spacing w:line="240" w:lineRule="auto"/>
        <w:rPr>
          <w:rFonts w:eastAsiaTheme="minorHAnsi"/>
          <w:color w:val="000000"/>
          <w:lang w:val="hu-HU"/>
        </w:rPr>
      </w:pPr>
      <w:r>
        <w:rPr>
          <w:rFonts w:eastAsiaTheme="minorHAnsi"/>
          <w:color w:val="000000"/>
          <w:lang w:val="hu-HU"/>
        </w:rPr>
        <w:t>Gyermekek és serdülők adagját a testtömeg alapján kell kiszámolni.</w:t>
      </w:r>
    </w:p>
    <w:p w:rsidR="00224F0F" w:rsidRDefault="00485CCD" w:rsidP="00526E29">
      <w:pPr>
        <w:pStyle w:val="Listaszerbekezds"/>
        <w:widowControl w:val="0"/>
        <w:numPr>
          <w:ilvl w:val="0"/>
          <w:numId w:val="43"/>
        </w:numPr>
        <w:tabs>
          <w:tab w:val="clear" w:pos="567"/>
        </w:tabs>
        <w:autoSpaceDE w:val="0"/>
        <w:autoSpaceDN w:val="0"/>
        <w:adjustRightInd w:val="0"/>
        <w:spacing w:line="240" w:lineRule="auto"/>
        <w:ind w:left="567" w:hanging="567"/>
        <w:contextualSpacing w:val="0"/>
        <w:rPr>
          <w:rFonts w:eastAsiaTheme="minorHAnsi"/>
          <w:color w:val="000000"/>
        </w:rPr>
      </w:pPr>
      <w:r>
        <w:rPr>
          <w:rFonts w:eastAsiaTheme="minorHAnsi"/>
          <w:color w:val="000000"/>
        </w:rPr>
        <w:t>30 kg és 50 kg közötti testtömeg esetén:</w:t>
      </w:r>
    </w:p>
    <w:p w:rsidR="00224F0F" w:rsidRDefault="00485CCD" w:rsidP="002C6FA3">
      <w:pPr>
        <w:pStyle w:val="Listaszerbekezds"/>
        <w:adjustRightInd w:val="0"/>
        <w:ind w:left="567"/>
        <w:rPr>
          <w:rFonts w:eastAsiaTheme="minorHAnsi"/>
          <w:color w:val="000000"/>
        </w:rPr>
      </w:pPr>
      <w:r>
        <w:rPr>
          <w:rFonts w:eastAsiaTheme="minorHAnsi"/>
          <w:color w:val="000000"/>
        </w:rPr>
        <w:t>15 mg rivaroxabán napi egyszeri dózisa ajánlott. Egyúttal ez a maximális napi dózis.</w:t>
      </w:r>
    </w:p>
    <w:p w:rsidR="00224F0F" w:rsidRDefault="00485CCD" w:rsidP="00526E29">
      <w:pPr>
        <w:pStyle w:val="Listaszerbekezds"/>
        <w:widowControl w:val="0"/>
        <w:numPr>
          <w:ilvl w:val="0"/>
          <w:numId w:val="43"/>
        </w:numPr>
        <w:tabs>
          <w:tab w:val="clear" w:pos="567"/>
        </w:tabs>
        <w:autoSpaceDE w:val="0"/>
        <w:autoSpaceDN w:val="0"/>
        <w:adjustRightInd w:val="0"/>
        <w:spacing w:line="240" w:lineRule="auto"/>
        <w:ind w:left="567" w:hanging="567"/>
        <w:contextualSpacing w:val="0"/>
        <w:rPr>
          <w:rFonts w:eastAsiaTheme="minorHAnsi"/>
          <w:color w:val="000000"/>
        </w:rPr>
      </w:pPr>
      <w:r>
        <w:rPr>
          <w:rFonts w:eastAsiaTheme="minorHAnsi"/>
          <w:color w:val="000000"/>
        </w:rPr>
        <w:t>50 kg vagy azt meghaladó testtömeg esetén:</w:t>
      </w:r>
    </w:p>
    <w:p w:rsidR="00224F0F" w:rsidRDefault="00485CCD" w:rsidP="002C6FA3">
      <w:pPr>
        <w:pStyle w:val="Listaszerbekezds"/>
        <w:adjustRightInd w:val="0"/>
        <w:ind w:left="567"/>
        <w:rPr>
          <w:rFonts w:eastAsiaTheme="minorHAnsi"/>
          <w:color w:val="000000"/>
        </w:rPr>
      </w:pPr>
      <w:r>
        <w:rPr>
          <w:rFonts w:eastAsiaTheme="minorHAnsi"/>
          <w:color w:val="000000"/>
        </w:rPr>
        <w:t>20 mg rivaroxabán napi egyszeri dózisa ajánlott. Egyúttal ez a maximális napi dózis.</w:t>
      </w:r>
    </w:p>
    <w:p w:rsidR="00224F0F" w:rsidRDefault="00485CCD" w:rsidP="00A54C3F">
      <w:pPr>
        <w:pStyle w:val="Listaszerbekezds"/>
        <w:widowControl w:val="0"/>
        <w:numPr>
          <w:ilvl w:val="0"/>
          <w:numId w:val="43"/>
        </w:numPr>
        <w:tabs>
          <w:tab w:val="clear" w:pos="567"/>
        </w:tabs>
        <w:autoSpaceDE w:val="0"/>
        <w:autoSpaceDN w:val="0"/>
        <w:adjustRightInd w:val="0"/>
        <w:spacing w:line="240" w:lineRule="auto"/>
        <w:ind w:left="567" w:hanging="567"/>
        <w:contextualSpacing w:val="0"/>
        <w:rPr>
          <w:rFonts w:eastAsiaTheme="minorHAnsi"/>
          <w:color w:val="000000"/>
        </w:rPr>
      </w:pPr>
      <w:r>
        <w:rPr>
          <w:noProof/>
          <w:lang w:val="hu-HU"/>
        </w:rPr>
        <w:t>30 kg alatti testtömegű betegekre vonatkozóan kérjük, olvassa el a rivaroxabán granulátum belsőleges szuszpenzióhoz alkalmazási előírását</w:t>
      </w:r>
      <w:r>
        <w:rPr>
          <w:rFonts w:eastAsiaTheme="minorHAnsi"/>
          <w:color w:val="000000"/>
        </w:rPr>
        <w:t>.</w:t>
      </w:r>
    </w:p>
    <w:p w:rsidR="00224F0F" w:rsidRDefault="00224F0F">
      <w:pPr>
        <w:tabs>
          <w:tab w:val="clear" w:pos="567"/>
        </w:tabs>
        <w:autoSpaceDE w:val="0"/>
        <w:autoSpaceDN w:val="0"/>
        <w:adjustRightInd w:val="0"/>
        <w:spacing w:line="240" w:lineRule="auto"/>
        <w:rPr>
          <w:rFonts w:eastAsiaTheme="minorHAnsi"/>
          <w:color w:val="000000"/>
          <w:lang w:val="hu-HU"/>
        </w:rPr>
      </w:pPr>
    </w:p>
    <w:p w:rsidR="00224F0F" w:rsidRDefault="00485CCD">
      <w:pPr>
        <w:tabs>
          <w:tab w:val="clear" w:pos="567"/>
        </w:tabs>
        <w:autoSpaceDE w:val="0"/>
        <w:autoSpaceDN w:val="0"/>
        <w:adjustRightInd w:val="0"/>
        <w:spacing w:line="240" w:lineRule="auto"/>
        <w:rPr>
          <w:rFonts w:eastAsiaTheme="minorHAnsi"/>
          <w:color w:val="000000"/>
          <w:lang w:val="hu-HU"/>
        </w:rPr>
      </w:pPr>
      <w:r>
        <w:rPr>
          <w:rFonts w:eastAsiaTheme="minorHAnsi"/>
          <w:color w:val="000000"/>
          <w:lang w:val="hu-HU"/>
        </w:rPr>
        <w:lastRenderedPageBreak/>
        <w:t>A gyermek testtömegét monitorozni és a dózist ellenőrizni kell rendszeresen. Ezzel biztosítható a terápiás dózis fenntartása. A dózisbeállítást csak a testtömegváltozás alapján szabad módosítani.</w:t>
      </w:r>
    </w:p>
    <w:p w:rsidR="00224F0F" w:rsidRDefault="00224F0F">
      <w:pPr>
        <w:tabs>
          <w:tab w:val="clear" w:pos="567"/>
        </w:tabs>
        <w:autoSpaceDE w:val="0"/>
        <w:autoSpaceDN w:val="0"/>
        <w:adjustRightInd w:val="0"/>
        <w:spacing w:line="240" w:lineRule="auto"/>
        <w:rPr>
          <w:rFonts w:eastAsiaTheme="minorHAnsi"/>
          <w:color w:val="000000"/>
          <w:lang w:val="hu-HU"/>
        </w:rPr>
      </w:pPr>
    </w:p>
    <w:p w:rsidR="00224F0F" w:rsidRDefault="00485CCD">
      <w:pPr>
        <w:tabs>
          <w:tab w:val="clear" w:pos="567"/>
        </w:tabs>
        <w:autoSpaceDE w:val="0"/>
        <w:autoSpaceDN w:val="0"/>
        <w:adjustRightInd w:val="0"/>
        <w:spacing w:line="240" w:lineRule="auto"/>
        <w:rPr>
          <w:rFonts w:eastAsiaTheme="minorHAnsi"/>
          <w:color w:val="000000"/>
          <w:lang w:val="hu-HU"/>
        </w:rPr>
      </w:pPr>
      <w:r>
        <w:rPr>
          <w:rFonts w:eastAsiaTheme="minorHAnsi"/>
          <w:color w:val="000000"/>
          <w:lang w:val="hu-HU"/>
        </w:rPr>
        <w:t>A kezelést legalább 3 hónapig kell folytatni gyermekeknél és serdülőknél. A kezelés legfeljebb 12 hónapig meghosszabbítható, amennyiben az klinikailag szükséges. Gyermekekkel kapcsolatban nem állnak rendelkezésre olyan adatok, amelyek alátámasztanák a dózis 6 havi kezelés utáni csökkentésének szükségességét. Egyedileg kell felmérni a kezelés 3 hónapon túli folytatásával járó előnyöket és kockázatokat, mérlegelve a thrombosis kiújulásának kockázatát a lehetséges vérzés kockázatával szemben.</w:t>
      </w:r>
    </w:p>
    <w:p w:rsidR="00224F0F" w:rsidRDefault="00224F0F">
      <w:pPr>
        <w:pStyle w:val="Default"/>
        <w:rPr>
          <w:rFonts w:eastAsiaTheme="minorHAnsi"/>
          <w:sz w:val="22"/>
          <w:szCs w:val="22"/>
          <w:lang w:eastAsia="en-US"/>
        </w:rPr>
      </w:pPr>
    </w:p>
    <w:p w:rsidR="00224F0F" w:rsidRDefault="00485CCD">
      <w:pPr>
        <w:pStyle w:val="Default"/>
        <w:rPr>
          <w:rFonts w:eastAsiaTheme="minorHAnsi"/>
          <w:sz w:val="22"/>
          <w:szCs w:val="22"/>
          <w:lang w:eastAsia="en-US"/>
        </w:rPr>
      </w:pPr>
      <w:r>
        <w:rPr>
          <w:rFonts w:eastAsiaTheme="minorHAnsi"/>
          <w:sz w:val="22"/>
          <w:szCs w:val="22"/>
          <w:lang w:eastAsia="en-US"/>
        </w:rPr>
        <w:t>Ha kimarad egy dózis, azt a lehető leghamarabb pótolni kell, amint észrevették, de csakis azon a napon, amikor egyébként is esedékes lenne. Ha ez nem lehetséges, a betegnek ki kell hagynia az adagot és folytatnia kell a kezelést a következő előírt adaggal. A beteg ne vegyen be kétszeres adagot a kimaradt adag pótlására!</w:t>
      </w:r>
    </w:p>
    <w:p w:rsidR="00224F0F" w:rsidRDefault="00224F0F">
      <w:pPr>
        <w:pStyle w:val="Default"/>
        <w:rPr>
          <w:sz w:val="22"/>
          <w:szCs w:val="22"/>
        </w:rPr>
      </w:pPr>
    </w:p>
    <w:p w:rsidR="00224F0F" w:rsidRDefault="00485CCD">
      <w:pPr>
        <w:pStyle w:val="Default"/>
        <w:rPr>
          <w:sz w:val="22"/>
          <w:szCs w:val="22"/>
        </w:rPr>
      </w:pPr>
      <w:r>
        <w:rPr>
          <w:i/>
          <w:iCs/>
          <w:sz w:val="22"/>
          <w:szCs w:val="22"/>
        </w:rPr>
        <w:t xml:space="preserve">Átállás K-vitamin-antagonistáról (KVA) </w:t>
      </w:r>
      <w:r>
        <w:rPr>
          <w:i/>
          <w:sz w:val="22"/>
          <w:szCs w:val="22"/>
        </w:rPr>
        <w:t>Razarxo</w:t>
      </w:r>
      <w:r>
        <w:rPr>
          <w:i/>
          <w:iCs/>
          <w:sz w:val="22"/>
          <w:szCs w:val="22"/>
        </w:rPr>
        <w:t>-ra</w:t>
      </w:r>
    </w:p>
    <w:p w:rsidR="00224F0F" w:rsidRDefault="00485CCD">
      <w:pPr>
        <w:numPr>
          <w:ilvl w:val="0"/>
          <w:numId w:val="12"/>
        </w:numPr>
        <w:ind w:left="567" w:hanging="567"/>
        <w:rPr>
          <w:noProof/>
          <w:lang w:val="hu-HU"/>
        </w:rPr>
      </w:pPr>
      <w:r>
        <w:rPr>
          <w:noProof/>
          <w:lang w:val="hu-HU"/>
        </w:rPr>
        <w:t>A stroke és a systemás embolisatio megelőzése:</w:t>
      </w:r>
    </w:p>
    <w:p w:rsidR="00224F0F" w:rsidRDefault="00485CCD">
      <w:pPr>
        <w:ind w:left="567"/>
        <w:rPr>
          <w:noProof/>
          <w:lang w:val="hu-HU"/>
        </w:rPr>
      </w:pPr>
      <w:r>
        <w:rPr>
          <w:noProof/>
          <w:lang w:val="hu-HU"/>
        </w:rPr>
        <w:t xml:space="preserve">a KVA-kezelést akkor kell abbahagyni és a Razarxo-kezelést megkezdeni, ha a </w:t>
      </w:r>
      <w:r>
        <w:rPr>
          <w:rStyle w:val="st1"/>
          <w:bCs/>
        </w:rPr>
        <w:t>Nemzetközi Normalizált Ráta</w:t>
      </w:r>
      <w:r>
        <w:rPr>
          <w:noProof/>
          <w:lang w:val="hu-HU"/>
        </w:rPr>
        <w:t xml:space="preserve"> (INR) </w:t>
      </w:r>
      <w:r>
        <w:rPr>
          <w:iCs/>
          <w:noProof/>
          <w:lang w:val="hu-HU"/>
        </w:rPr>
        <w:t>≤ </w:t>
      </w:r>
      <w:r>
        <w:rPr>
          <w:noProof/>
          <w:lang w:val="hu-HU"/>
        </w:rPr>
        <w:t>3,0.</w:t>
      </w:r>
    </w:p>
    <w:p w:rsidR="00224F0F" w:rsidRDefault="00485CCD">
      <w:pPr>
        <w:numPr>
          <w:ilvl w:val="0"/>
          <w:numId w:val="12"/>
        </w:numPr>
        <w:ind w:left="567" w:hanging="567"/>
        <w:rPr>
          <w:noProof/>
          <w:lang w:val="hu-HU"/>
        </w:rPr>
      </w:pPr>
      <w:r>
        <w:rPr>
          <w:noProof/>
          <w:lang w:val="hu-HU"/>
        </w:rPr>
        <w:t>Az MVT, PE kezelése, valamint az újbóli előfordulás megelőzése felnőtteknél, és a VTE kezelése és az ismétlődés megelőzése gyermekeknél:</w:t>
      </w:r>
    </w:p>
    <w:p w:rsidR="00224F0F" w:rsidRDefault="00485CCD">
      <w:pPr>
        <w:ind w:left="567"/>
        <w:rPr>
          <w:noProof/>
          <w:lang w:val="hu-HU"/>
        </w:rPr>
      </w:pPr>
      <w:r>
        <w:rPr>
          <w:noProof/>
          <w:lang w:val="hu-HU"/>
        </w:rPr>
        <w:t>a KVA-kezelést abba kell hagyni, és a Razarxo-kezelést el kell kezdeni, ha az INR </w:t>
      </w:r>
      <w:r>
        <w:rPr>
          <w:iCs/>
          <w:noProof/>
          <w:lang w:val="hu-HU"/>
        </w:rPr>
        <w:t>≤ </w:t>
      </w:r>
      <w:r>
        <w:rPr>
          <w:noProof/>
          <w:lang w:val="hu-HU"/>
        </w:rPr>
        <w:t>2,5.</w:t>
      </w:r>
    </w:p>
    <w:p w:rsidR="00224F0F" w:rsidRDefault="00485CCD">
      <w:pPr>
        <w:pStyle w:val="Default"/>
        <w:rPr>
          <w:sz w:val="22"/>
          <w:szCs w:val="22"/>
        </w:rPr>
      </w:pPr>
      <w:r>
        <w:rPr>
          <w:sz w:val="22"/>
          <w:szCs w:val="22"/>
        </w:rPr>
        <w:t>A KVA-ról Razarxo-ra történő átállításkor a betegeknél tévesen emelkedett INR-értéket lehet mérni a Razarxo bevétele után. Az INR nem alkalmas a Razarxo antikoaguláns aktivitásának mérésére, ezért nem szabad alkalmazni (lásd 4.5 pont).</w:t>
      </w:r>
    </w:p>
    <w:p w:rsidR="00224F0F" w:rsidRDefault="00224F0F">
      <w:pPr>
        <w:pStyle w:val="Default"/>
        <w:rPr>
          <w:sz w:val="22"/>
          <w:szCs w:val="22"/>
        </w:rPr>
      </w:pPr>
    </w:p>
    <w:p w:rsidR="00224F0F" w:rsidRDefault="00485CCD">
      <w:pPr>
        <w:pStyle w:val="Default"/>
        <w:rPr>
          <w:sz w:val="22"/>
          <w:szCs w:val="22"/>
        </w:rPr>
      </w:pPr>
      <w:r>
        <w:rPr>
          <w:i/>
          <w:iCs/>
          <w:sz w:val="22"/>
          <w:szCs w:val="22"/>
        </w:rPr>
        <w:t xml:space="preserve">Átállás </w:t>
      </w:r>
      <w:r>
        <w:rPr>
          <w:i/>
          <w:iCs/>
          <w:sz w:val="22"/>
          <w:szCs w:val="22"/>
          <w:lang w:val="en-GB"/>
        </w:rPr>
        <w:t>Razarxo-</w:t>
      </w:r>
      <w:r>
        <w:rPr>
          <w:i/>
          <w:iCs/>
          <w:sz w:val="22"/>
          <w:szCs w:val="22"/>
        </w:rPr>
        <w:t>ról K-vitamin-antagonistára (KVA)</w:t>
      </w:r>
    </w:p>
    <w:p w:rsidR="00224F0F" w:rsidRDefault="00485CCD">
      <w:pPr>
        <w:pStyle w:val="Default"/>
        <w:rPr>
          <w:sz w:val="22"/>
          <w:szCs w:val="22"/>
        </w:rPr>
      </w:pPr>
      <w:r>
        <w:rPr>
          <w:sz w:val="22"/>
          <w:szCs w:val="22"/>
        </w:rPr>
        <w:t>A Razarxo-ról KVA-ra történő átállás során fennáll az elégtelen véralvadásgátlás lehetősége. Egy másik antikoagulánsra történő átállás alatt folyamatos, megfelelő véralvadásgátlást kell biztosítani. Megjegyzendő, hogy a Razarxo hozzájárulhat az INR emelkedéséhez.</w:t>
      </w:r>
    </w:p>
    <w:p w:rsidR="00224F0F" w:rsidRDefault="00485CCD">
      <w:pPr>
        <w:pStyle w:val="Default"/>
        <w:rPr>
          <w:sz w:val="22"/>
          <w:szCs w:val="22"/>
        </w:rPr>
      </w:pPr>
      <w:r>
        <w:rPr>
          <w:sz w:val="22"/>
          <w:szCs w:val="22"/>
        </w:rPr>
        <w:t>A Razarxo-ról KVA-ra átálló betegeknél a rivaroxabánt és a KVA-t együtt kell adni addig, amíg az INR ≥ 2,0 nem lesz. Az átállási időszak első két napján a KVA hagyományos kezdeti dózisát kell alkalmazni, majd ezután az INR-nek megfelelően kell beállítani a KVA dózisát. Amíg a beteg a Razarxo-t és a KVA-t is szedi, az INR-vizsgálatot nem szabad az előző dózis Razarxo bevételétől számított 24 órán belül elvégezni, ezt közvetlenül a következő dózis Razarxo bevétele előtt kell megtenni. Ha a beteg abbahagyta a Razarxo szedését, akkor az INR-vizsgálat az utolsó dózis bevételét követő 24 óra után biztonsággal végezhető (lásd 4.5 és 5.2 pont).</w:t>
      </w:r>
    </w:p>
    <w:p w:rsidR="00224F0F" w:rsidRDefault="00224F0F">
      <w:pPr>
        <w:pStyle w:val="Default"/>
        <w:rPr>
          <w:sz w:val="22"/>
          <w:szCs w:val="22"/>
        </w:rPr>
      </w:pPr>
    </w:p>
    <w:p w:rsidR="00224F0F" w:rsidRDefault="00485CCD">
      <w:pPr>
        <w:tabs>
          <w:tab w:val="clear" w:pos="567"/>
        </w:tabs>
        <w:autoSpaceDE w:val="0"/>
        <w:autoSpaceDN w:val="0"/>
        <w:adjustRightInd w:val="0"/>
        <w:spacing w:line="240" w:lineRule="auto"/>
        <w:rPr>
          <w:rFonts w:eastAsiaTheme="minorHAnsi"/>
          <w:i/>
          <w:color w:val="000000"/>
          <w:lang w:val="hu-HU"/>
        </w:rPr>
      </w:pPr>
      <w:r>
        <w:rPr>
          <w:rFonts w:eastAsiaTheme="minorHAnsi"/>
          <w:i/>
          <w:color w:val="000000"/>
          <w:lang w:val="hu-HU"/>
        </w:rPr>
        <w:t>Gyermekek és serdülők:</w:t>
      </w:r>
    </w:p>
    <w:p w:rsidR="00224F0F" w:rsidRDefault="00485CCD">
      <w:pPr>
        <w:pStyle w:val="Default"/>
        <w:rPr>
          <w:rFonts w:eastAsiaTheme="minorHAnsi"/>
          <w:sz w:val="22"/>
          <w:szCs w:val="22"/>
          <w:lang w:eastAsia="en-US"/>
        </w:rPr>
      </w:pPr>
      <w:r>
        <w:rPr>
          <w:rFonts w:eastAsiaTheme="minorHAnsi"/>
          <w:sz w:val="22"/>
          <w:szCs w:val="22"/>
          <w:lang w:eastAsia="en-US"/>
        </w:rPr>
        <w:t>A Razarxo-ról KVA-ra átálló gyermekeknek folytatniuk kell a Razarxo alkalmazását 48 órán keresztül a KVA első dózisát követően. Két napi egyidejű alkalmazás után meg kell határozni az INR-t a Razarxo következő esedékes dózisa előtt. A Razarxo és a KVA egyidejű alkalmazását addig tanácsos folytatni, amíg az INR ≥ 2,0 nem lesz. Ha a beteg abbahagyta a Razarxo szedését, akkor az utolsó adag bevételét követő 24 óra elteltével megbízhatóan végezhető INR-vizsgálat (lásd fent, valamint 4.5 pont).</w:t>
      </w:r>
    </w:p>
    <w:p w:rsidR="00224F0F" w:rsidRDefault="00224F0F">
      <w:pPr>
        <w:pStyle w:val="Default"/>
        <w:rPr>
          <w:sz w:val="22"/>
          <w:szCs w:val="22"/>
        </w:rPr>
      </w:pPr>
    </w:p>
    <w:p w:rsidR="00224F0F" w:rsidRDefault="00485CCD">
      <w:pPr>
        <w:pStyle w:val="Default"/>
        <w:rPr>
          <w:sz w:val="22"/>
          <w:szCs w:val="22"/>
        </w:rPr>
      </w:pPr>
      <w:r>
        <w:rPr>
          <w:i/>
          <w:iCs/>
          <w:sz w:val="22"/>
          <w:szCs w:val="22"/>
        </w:rPr>
        <w:t xml:space="preserve">Átállás parenterális antikoagulánsról </w:t>
      </w:r>
      <w:r>
        <w:rPr>
          <w:i/>
          <w:iCs/>
          <w:sz w:val="22"/>
          <w:szCs w:val="22"/>
          <w:lang w:val="en-GB"/>
        </w:rPr>
        <w:t>Razarxo-</w:t>
      </w:r>
      <w:r>
        <w:rPr>
          <w:i/>
          <w:iCs/>
          <w:sz w:val="22"/>
          <w:szCs w:val="22"/>
        </w:rPr>
        <w:t>ra</w:t>
      </w:r>
    </w:p>
    <w:p w:rsidR="00224F0F" w:rsidRDefault="00485CCD">
      <w:pPr>
        <w:pStyle w:val="Default"/>
        <w:rPr>
          <w:sz w:val="22"/>
          <w:szCs w:val="22"/>
        </w:rPr>
      </w:pPr>
      <w:r>
        <w:rPr>
          <w:sz w:val="22"/>
          <w:szCs w:val="22"/>
        </w:rPr>
        <w:t>Az aktuálisan parenterális antikoagulánst kapó felnőtt és gyermekgyógyászati betegeknél a parenterális antikoaguláns adagolását abba kell hagyni, és a Razarxo kezelést 0</w:t>
      </w:r>
      <w:r>
        <w:rPr>
          <w:sz w:val="22"/>
          <w:szCs w:val="22"/>
        </w:rPr>
        <w:noBreakHyphen/>
        <w:t>2 órával azelőtt az időpont előtt kell elkezdeni, amikor a következő parenterális gyógyszer (pl. kis molekulatömegű heparinok) esedékes lenne, vagy a folyamatosan adagolt parenterális készítmény (pl. intravénásan adagolt, nem frakcionált heparin) abbahagyásakor kell megkezdeni.</w:t>
      </w:r>
    </w:p>
    <w:p w:rsidR="00224F0F" w:rsidRDefault="00224F0F">
      <w:pPr>
        <w:pStyle w:val="Default"/>
        <w:rPr>
          <w:sz w:val="22"/>
          <w:szCs w:val="22"/>
        </w:rPr>
      </w:pPr>
    </w:p>
    <w:p w:rsidR="00224F0F" w:rsidRDefault="00485CCD" w:rsidP="00A54C3F">
      <w:pPr>
        <w:pStyle w:val="Default"/>
        <w:keepNext/>
        <w:rPr>
          <w:sz w:val="22"/>
          <w:szCs w:val="22"/>
        </w:rPr>
      </w:pPr>
      <w:r>
        <w:rPr>
          <w:i/>
          <w:iCs/>
          <w:sz w:val="22"/>
          <w:szCs w:val="22"/>
        </w:rPr>
        <w:lastRenderedPageBreak/>
        <w:t>Átállás Razarxo-ról parenterális antikoagulánsra</w:t>
      </w:r>
    </w:p>
    <w:p w:rsidR="00224F0F" w:rsidRDefault="00485CCD">
      <w:pPr>
        <w:pStyle w:val="Default"/>
        <w:rPr>
          <w:sz w:val="22"/>
          <w:szCs w:val="22"/>
        </w:rPr>
      </w:pPr>
      <w:r>
        <w:rPr>
          <w:sz w:val="22"/>
          <w:szCs w:val="22"/>
        </w:rPr>
        <w:t>Abba kell hagyni a Razarxo alkalmazását és a parenterális antikoaguláns első adagját a Razarxo következő adagja bevételének időpontjában kell beadni.</w:t>
      </w:r>
    </w:p>
    <w:p w:rsidR="00224F0F" w:rsidRDefault="00224F0F">
      <w:pPr>
        <w:pStyle w:val="Default"/>
        <w:rPr>
          <w:sz w:val="22"/>
          <w:szCs w:val="22"/>
        </w:rPr>
      </w:pPr>
    </w:p>
    <w:p w:rsidR="00224F0F" w:rsidRDefault="00485CCD">
      <w:pPr>
        <w:pStyle w:val="Default"/>
        <w:rPr>
          <w:sz w:val="22"/>
          <w:szCs w:val="22"/>
          <w:u w:val="single"/>
        </w:rPr>
      </w:pPr>
      <w:r>
        <w:rPr>
          <w:sz w:val="22"/>
          <w:szCs w:val="22"/>
          <w:u w:val="single"/>
        </w:rPr>
        <w:t>Különleges betegcsoportok</w:t>
      </w:r>
    </w:p>
    <w:p w:rsidR="00224F0F" w:rsidRDefault="00224F0F">
      <w:pPr>
        <w:pStyle w:val="Default"/>
        <w:rPr>
          <w:i/>
          <w:iCs/>
          <w:sz w:val="22"/>
          <w:szCs w:val="22"/>
        </w:rPr>
      </w:pPr>
    </w:p>
    <w:p w:rsidR="00224F0F" w:rsidRDefault="00485CCD">
      <w:pPr>
        <w:pStyle w:val="Default"/>
        <w:rPr>
          <w:sz w:val="22"/>
          <w:szCs w:val="22"/>
        </w:rPr>
      </w:pPr>
      <w:r>
        <w:rPr>
          <w:i/>
          <w:iCs/>
          <w:sz w:val="22"/>
          <w:szCs w:val="22"/>
        </w:rPr>
        <w:t>Vesekárosodás</w:t>
      </w:r>
    </w:p>
    <w:p w:rsidR="00224F0F" w:rsidRDefault="00485CCD">
      <w:pPr>
        <w:pStyle w:val="Default"/>
        <w:rPr>
          <w:i/>
          <w:sz w:val="22"/>
          <w:szCs w:val="22"/>
        </w:rPr>
      </w:pPr>
      <w:r>
        <w:rPr>
          <w:iCs/>
          <w:sz w:val="22"/>
          <w:szCs w:val="22"/>
        </w:rPr>
        <w:t>Felnőttek</w:t>
      </w:r>
      <w:r>
        <w:rPr>
          <w:i/>
          <w:sz w:val="22"/>
          <w:szCs w:val="22"/>
        </w:rPr>
        <w:t>:</w:t>
      </w:r>
    </w:p>
    <w:p w:rsidR="00224F0F" w:rsidRDefault="00485CCD">
      <w:pPr>
        <w:pStyle w:val="Default"/>
        <w:rPr>
          <w:sz w:val="22"/>
          <w:szCs w:val="22"/>
        </w:rPr>
      </w:pPr>
      <w:r>
        <w:rPr>
          <w:sz w:val="22"/>
          <w:szCs w:val="22"/>
        </w:rPr>
        <w:t>A súlyos vesekárosodásban (kreatinin</w:t>
      </w:r>
      <w:r>
        <w:rPr>
          <w:sz w:val="22"/>
          <w:szCs w:val="22"/>
        </w:rPr>
        <w:noBreakHyphen/>
        <w:t>clearance 15</w:t>
      </w:r>
      <w:r>
        <w:rPr>
          <w:sz w:val="22"/>
          <w:szCs w:val="22"/>
        </w:rPr>
        <w:noBreakHyphen/>
        <w:t>29 ml/perc) szenvedő betegekkel kapcsolatban rendelkezésre álló, korlátozott számú klinikai adat azt jelzi, hogy a rivaroxabán plazmakoncentrációja jelentősen megemelkedik. Ezért a Razarxo</w:t>
      </w:r>
      <w:r>
        <w:rPr>
          <w:sz w:val="22"/>
          <w:szCs w:val="22"/>
        </w:rPr>
        <w:noBreakHyphen/>
        <w:t>t ilyen betegeknél elővigyázatosan kell alkalmazni. Alkalmazása nem javasolt olyan betegeknél, akiknek kreatinin</w:t>
      </w:r>
      <w:r>
        <w:rPr>
          <w:sz w:val="22"/>
          <w:szCs w:val="22"/>
        </w:rPr>
        <w:noBreakHyphen/>
        <w:t>clearance</w:t>
      </w:r>
      <w:r>
        <w:rPr>
          <w:sz w:val="22"/>
          <w:szCs w:val="22"/>
        </w:rPr>
        <w:noBreakHyphen/>
        <w:t>e &lt; 15 ml/perc (lásd 4.4 és 5.2 pont).</w:t>
      </w:r>
    </w:p>
    <w:p w:rsidR="00224F0F" w:rsidRDefault="00224F0F">
      <w:pPr>
        <w:pStyle w:val="Default"/>
        <w:rPr>
          <w:sz w:val="22"/>
          <w:szCs w:val="22"/>
        </w:rPr>
      </w:pPr>
    </w:p>
    <w:p w:rsidR="00224F0F" w:rsidRDefault="00485CCD">
      <w:pPr>
        <w:pStyle w:val="Default"/>
        <w:rPr>
          <w:sz w:val="22"/>
          <w:szCs w:val="22"/>
        </w:rPr>
      </w:pPr>
      <w:r>
        <w:rPr>
          <w:sz w:val="22"/>
          <w:szCs w:val="22"/>
        </w:rPr>
        <w:t>Közepesen súlyos (kreatinin</w:t>
      </w:r>
      <w:r>
        <w:rPr>
          <w:sz w:val="22"/>
          <w:szCs w:val="22"/>
        </w:rPr>
        <w:noBreakHyphen/>
        <w:t>clearance 30</w:t>
      </w:r>
      <w:r>
        <w:rPr>
          <w:sz w:val="22"/>
          <w:szCs w:val="22"/>
        </w:rPr>
        <w:noBreakHyphen/>
        <w:t>49 ml/perc) vagy súlyos (kreatinin</w:t>
      </w:r>
      <w:r>
        <w:rPr>
          <w:sz w:val="22"/>
          <w:szCs w:val="22"/>
        </w:rPr>
        <w:noBreakHyphen/>
        <w:t>clearance 15</w:t>
      </w:r>
      <w:r>
        <w:rPr>
          <w:sz w:val="22"/>
          <w:szCs w:val="22"/>
        </w:rPr>
        <w:noBreakHyphen/>
        <w:t>29 ml/perc) vesekárosodásban szenvedő betegekre az alábbi adagolási javaslat vonatkozik:</w:t>
      </w:r>
    </w:p>
    <w:p w:rsidR="00224F0F" w:rsidRDefault="00224F0F">
      <w:pPr>
        <w:pStyle w:val="Default"/>
        <w:rPr>
          <w:sz w:val="22"/>
          <w:szCs w:val="22"/>
        </w:rPr>
      </w:pPr>
    </w:p>
    <w:p w:rsidR="00224F0F" w:rsidRDefault="00485CCD" w:rsidP="00A54C3F">
      <w:pPr>
        <w:pStyle w:val="Default"/>
        <w:numPr>
          <w:ilvl w:val="0"/>
          <w:numId w:val="44"/>
        </w:numPr>
        <w:ind w:left="567" w:hanging="567"/>
        <w:rPr>
          <w:sz w:val="22"/>
          <w:szCs w:val="22"/>
        </w:rPr>
      </w:pPr>
      <w:r>
        <w:rPr>
          <w:sz w:val="22"/>
          <w:szCs w:val="22"/>
        </w:rPr>
        <w:t>Nem valvularis eredetű pitvarfibrillációban szenvedő betegeknél a stroke és systemás embolisatio megelőzésére az ajánlott adag naponta egyszer 15 mg (lásd 5.2 pont).</w:t>
      </w:r>
    </w:p>
    <w:p w:rsidR="00224F0F" w:rsidRDefault="00224F0F" w:rsidP="00A54C3F">
      <w:pPr>
        <w:pStyle w:val="Default"/>
        <w:ind w:left="567" w:hanging="567"/>
        <w:rPr>
          <w:sz w:val="22"/>
          <w:szCs w:val="22"/>
        </w:rPr>
      </w:pPr>
    </w:p>
    <w:p w:rsidR="00224F0F" w:rsidRDefault="00485CCD" w:rsidP="00A54C3F">
      <w:pPr>
        <w:pStyle w:val="Default"/>
        <w:ind w:left="567" w:hanging="567"/>
        <w:rPr>
          <w:sz w:val="22"/>
          <w:szCs w:val="22"/>
        </w:rPr>
      </w:pPr>
      <w:r>
        <w:rPr>
          <w:sz w:val="22"/>
          <w:szCs w:val="22"/>
        </w:rPr>
        <w:t>-</w:t>
      </w:r>
      <w:r>
        <w:rPr>
          <w:sz w:val="22"/>
          <w:szCs w:val="22"/>
        </w:rPr>
        <w:tab/>
        <w:t>MVT kezelésére, PE kezelésére és a visszatérő MVT és PE megelőzésére: a betegeket naponta kétszer 15 mg</w:t>
      </w:r>
      <w:r>
        <w:rPr>
          <w:sz w:val="22"/>
          <w:szCs w:val="22"/>
        </w:rPr>
        <w:noBreakHyphen/>
        <w:t>mal kell kezelni az első három héten. Ezután - amennyiben az ajánlott adag naponta egyszer 20 mg - az adag napi egyszeri 20 mg</w:t>
      </w:r>
      <w:r>
        <w:rPr>
          <w:sz w:val="22"/>
          <w:szCs w:val="22"/>
        </w:rPr>
        <w:noBreakHyphen/>
        <w:t>ról napi egyszeri 15 mg</w:t>
      </w:r>
      <w:r>
        <w:rPr>
          <w:sz w:val="22"/>
          <w:szCs w:val="22"/>
        </w:rPr>
        <w:noBreakHyphen/>
        <w:t>ra csökkentését meg kell fontolni, ha a beteg becsült vérzési kockázata nagyobb, mint a recidiváló MVT és PE kockázata. A 15 mg alkalmazásának ajánlása farmakokinetikai modellezésen alapul, és nem vizsgálták ebben a klinikai környezetben (lásd 4.4, 5.1 és 5.2 pont).</w:t>
      </w:r>
    </w:p>
    <w:p w:rsidR="00224F0F" w:rsidRDefault="00485CCD" w:rsidP="00A54C3F">
      <w:pPr>
        <w:pStyle w:val="Default"/>
        <w:ind w:left="567" w:hanging="567"/>
        <w:rPr>
          <w:sz w:val="22"/>
          <w:szCs w:val="22"/>
        </w:rPr>
      </w:pPr>
      <w:r>
        <w:rPr>
          <w:sz w:val="22"/>
          <w:szCs w:val="22"/>
        </w:rPr>
        <w:t>Amennyiben az ajánlott adag naponta egyszer 10 mg, ennek módosítása nem szükséges.</w:t>
      </w:r>
    </w:p>
    <w:p w:rsidR="00224F0F" w:rsidRDefault="00224F0F">
      <w:pPr>
        <w:pStyle w:val="Default"/>
        <w:rPr>
          <w:sz w:val="22"/>
          <w:szCs w:val="22"/>
        </w:rPr>
      </w:pPr>
    </w:p>
    <w:p w:rsidR="00224F0F" w:rsidRDefault="00485CCD">
      <w:pPr>
        <w:pStyle w:val="Default"/>
        <w:rPr>
          <w:sz w:val="22"/>
          <w:szCs w:val="22"/>
        </w:rPr>
      </w:pPr>
      <w:r>
        <w:rPr>
          <w:sz w:val="22"/>
          <w:szCs w:val="22"/>
        </w:rPr>
        <w:t>Nem szükséges a dózis módosítása enyhe vesekárosodásban (kreatinin</w:t>
      </w:r>
      <w:r>
        <w:rPr>
          <w:sz w:val="22"/>
          <w:szCs w:val="22"/>
        </w:rPr>
        <w:noBreakHyphen/>
        <w:t>clearance 50</w:t>
      </w:r>
      <w:r>
        <w:rPr>
          <w:sz w:val="22"/>
          <w:szCs w:val="22"/>
        </w:rPr>
        <w:noBreakHyphen/>
        <w:t>80 ml/perc) szenvedő betegeknél (lásd 5.2 pont).</w:t>
      </w:r>
    </w:p>
    <w:p w:rsidR="00224F0F" w:rsidRDefault="00224F0F">
      <w:pPr>
        <w:pStyle w:val="Default"/>
        <w:rPr>
          <w:sz w:val="22"/>
          <w:szCs w:val="22"/>
        </w:rPr>
      </w:pPr>
    </w:p>
    <w:p w:rsidR="00224F0F" w:rsidRDefault="00485CCD">
      <w:pPr>
        <w:pStyle w:val="Default"/>
        <w:rPr>
          <w:iCs/>
          <w:sz w:val="22"/>
          <w:szCs w:val="22"/>
        </w:rPr>
      </w:pPr>
      <w:r>
        <w:rPr>
          <w:iCs/>
          <w:sz w:val="22"/>
          <w:szCs w:val="22"/>
        </w:rPr>
        <w:t>Gyermekek és serdülők:</w:t>
      </w:r>
    </w:p>
    <w:p w:rsidR="00224F0F" w:rsidRDefault="00485CCD" w:rsidP="00A54C3F">
      <w:pPr>
        <w:pStyle w:val="Default"/>
        <w:ind w:left="567" w:hanging="567"/>
        <w:rPr>
          <w:sz w:val="22"/>
          <w:szCs w:val="22"/>
        </w:rPr>
      </w:pPr>
      <w:r>
        <w:rPr>
          <w:sz w:val="22"/>
          <w:szCs w:val="22"/>
        </w:rPr>
        <w:t>-</w:t>
      </w:r>
      <w:r>
        <w:rPr>
          <w:sz w:val="22"/>
          <w:szCs w:val="22"/>
        </w:rPr>
        <w:tab/>
        <w:t>Enyhe vesekárosodásban szenvedő gyermekek és serdülők (a glomerularis filtrációs ráta 50 </w:t>
      </w:r>
      <w:r>
        <w:rPr>
          <w:sz w:val="22"/>
          <w:szCs w:val="22"/>
        </w:rPr>
        <w:noBreakHyphen/>
        <w:t> 80 ml/perc/1,73 m</w:t>
      </w:r>
      <w:r>
        <w:rPr>
          <w:sz w:val="22"/>
          <w:szCs w:val="22"/>
          <w:vertAlign w:val="superscript"/>
        </w:rPr>
        <w:t>2</w:t>
      </w:r>
      <w:r>
        <w:rPr>
          <w:sz w:val="22"/>
          <w:szCs w:val="22"/>
        </w:rPr>
        <w:t>): nem szükséges a dózis módosítása a felnőttektől származó adatok, valamint a gyermekgyógyászati betegektől származó korlátozott adatok alapján (lásd 5.2 pont).</w:t>
      </w:r>
    </w:p>
    <w:p w:rsidR="00224F0F" w:rsidRDefault="00485CCD" w:rsidP="00A54C3F">
      <w:pPr>
        <w:pStyle w:val="Default"/>
        <w:ind w:left="567" w:hanging="567"/>
        <w:rPr>
          <w:sz w:val="22"/>
          <w:szCs w:val="22"/>
        </w:rPr>
      </w:pPr>
      <w:r>
        <w:rPr>
          <w:sz w:val="22"/>
          <w:szCs w:val="22"/>
        </w:rPr>
        <w:t>-</w:t>
      </w:r>
      <w:r>
        <w:rPr>
          <w:sz w:val="22"/>
          <w:szCs w:val="22"/>
        </w:rPr>
        <w:tab/>
        <w:t>Közepes vagy súlyos vesekárosodásban szenvedő gyermekek és serdülők (a glomerularis filtrációs ráta &lt; 50 ml/perc/1,73 m</w:t>
      </w:r>
      <w:r>
        <w:rPr>
          <w:sz w:val="22"/>
          <w:szCs w:val="22"/>
          <w:vertAlign w:val="superscript"/>
        </w:rPr>
        <w:t>2</w:t>
      </w:r>
      <w:r>
        <w:rPr>
          <w:sz w:val="22"/>
          <w:szCs w:val="22"/>
        </w:rPr>
        <w:t>): a Razarxo alkalmazása nem javasolt, mert nincsenek rendelkezésre álló klinikai adatok (lásd 4.4 pont).</w:t>
      </w:r>
    </w:p>
    <w:p w:rsidR="00224F0F" w:rsidRDefault="00224F0F">
      <w:pPr>
        <w:pStyle w:val="Default"/>
        <w:rPr>
          <w:sz w:val="22"/>
          <w:szCs w:val="22"/>
        </w:rPr>
      </w:pPr>
    </w:p>
    <w:p w:rsidR="00224F0F" w:rsidRDefault="00485CCD">
      <w:pPr>
        <w:pStyle w:val="Default"/>
        <w:rPr>
          <w:sz w:val="22"/>
          <w:szCs w:val="22"/>
        </w:rPr>
      </w:pPr>
      <w:r>
        <w:rPr>
          <w:i/>
          <w:iCs/>
          <w:sz w:val="22"/>
          <w:szCs w:val="22"/>
        </w:rPr>
        <w:t>Májkárosodás</w:t>
      </w:r>
    </w:p>
    <w:p w:rsidR="00224F0F" w:rsidRDefault="00485CCD">
      <w:pPr>
        <w:pStyle w:val="Default"/>
        <w:rPr>
          <w:sz w:val="22"/>
          <w:szCs w:val="22"/>
        </w:rPr>
      </w:pPr>
      <w:r>
        <w:rPr>
          <w:sz w:val="22"/>
          <w:szCs w:val="22"/>
        </w:rPr>
        <w:t>A Razarxo ellenjavallt olyan betegeknél, akik véralvadási zavarral és klinikailag jelentős vérzési kockázattal járó májbetegségben szenvednek, ideértve a Child-Pugh B és C stádiumban szenvedő cirrhosisos betegeket is (lásd 4.3 és 5.2 pont).</w:t>
      </w:r>
    </w:p>
    <w:p w:rsidR="00224F0F" w:rsidRDefault="00485CCD">
      <w:pPr>
        <w:pStyle w:val="Default"/>
        <w:rPr>
          <w:sz w:val="22"/>
          <w:szCs w:val="22"/>
        </w:rPr>
      </w:pPr>
      <w:r>
        <w:rPr>
          <w:sz w:val="22"/>
          <w:szCs w:val="22"/>
        </w:rPr>
        <w:t>Nem állnak rendelkezésre klinikai adatok májkárosodásban szenvedő gyermekektől.</w:t>
      </w:r>
    </w:p>
    <w:p w:rsidR="00224F0F" w:rsidRDefault="00224F0F">
      <w:pPr>
        <w:pStyle w:val="Default"/>
        <w:rPr>
          <w:sz w:val="22"/>
          <w:szCs w:val="22"/>
        </w:rPr>
      </w:pPr>
    </w:p>
    <w:p w:rsidR="00224F0F" w:rsidRDefault="00485CCD">
      <w:pPr>
        <w:pStyle w:val="Default"/>
        <w:rPr>
          <w:sz w:val="22"/>
          <w:szCs w:val="22"/>
        </w:rPr>
      </w:pPr>
      <w:r>
        <w:rPr>
          <w:i/>
          <w:iCs/>
          <w:sz w:val="22"/>
          <w:szCs w:val="22"/>
        </w:rPr>
        <w:t>Idősek</w:t>
      </w:r>
    </w:p>
    <w:p w:rsidR="00224F0F" w:rsidRDefault="00485CCD">
      <w:pPr>
        <w:pStyle w:val="Default"/>
        <w:rPr>
          <w:sz w:val="22"/>
          <w:szCs w:val="22"/>
        </w:rPr>
      </w:pPr>
      <w:r>
        <w:rPr>
          <w:sz w:val="22"/>
          <w:szCs w:val="22"/>
        </w:rPr>
        <w:t>Nem szükséges a dózis módosítása (lásd 5.2 pont).</w:t>
      </w:r>
    </w:p>
    <w:p w:rsidR="00224F0F" w:rsidRDefault="00224F0F">
      <w:pPr>
        <w:pStyle w:val="Default"/>
        <w:rPr>
          <w:sz w:val="22"/>
          <w:szCs w:val="22"/>
        </w:rPr>
      </w:pPr>
    </w:p>
    <w:p w:rsidR="00224F0F" w:rsidRDefault="00485CCD">
      <w:pPr>
        <w:pStyle w:val="Default"/>
        <w:rPr>
          <w:sz w:val="22"/>
          <w:szCs w:val="22"/>
        </w:rPr>
      </w:pPr>
      <w:r>
        <w:rPr>
          <w:i/>
          <w:iCs/>
          <w:sz w:val="22"/>
          <w:szCs w:val="22"/>
        </w:rPr>
        <w:t xml:space="preserve">Testtömeg </w:t>
      </w:r>
    </w:p>
    <w:p w:rsidR="00224F0F" w:rsidRDefault="00485CCD">
      <w:pPr>
        <w:spacing w:line="240" w:lineRule="auto"/>
        <w:rPr>
          <w:noProof/>
          <w:lang w:val="hu-HU"/>
        </w:rPr>
      </w:pPr>
      <w:r>
        <w:rPr>
          <w:noProof/>
          <w:lang w:val="hu-HU"/>
        </w:rPr>
        <w:t>Nem szükséges a dózis módosítása (lásd 5.2 pont)</w:t>
      </w:r>
    </w:p>
    <w:p w:rsidR="00224F0F" w:rsidRDefault="00485CCD">
      <w:pPr>
        <w:spacing w:line="240" w:lineRule="auto"/>
        <w:rPr>
          <w:noProof/>
          <w:lang w:val="hu-HU"/>
        </w:rPr>
      </w:pPr>
      <w:r>
        <w:rPr>
          <w:noProof/>
        </w:rPr>
        <w:t>Gyermekgyógyászati betegeknél a dózist a testtömeg alapján határozzák meg.</w:t>
      </w:r>
    </w:p>
    <w:p w:rsidR="00224F0F" w:rsidRDefault="00224F0F">
      <w:pPr>
        <w:pStyle w:val="Default"/>
        <w:rPr>
          <w:i/>
          <w:iCs/>
          <w:sz w:val="22"/>
          <w:szCs w:val="22"/>
        </w:rPr>
      </w:pPr>
    </w:p>
    <w:p w:rsidR="00224F0F" w:rsidRDefault="00485CCD">
      <w:pPr>
        <w:pStyle w:val="Default"/>
        <w:rPr>
          <w:sz w:val="22"/>
          <w:szCs w:val="22"/>
        </w:rPr>
      </w:pPr>
      <w:r>
        <w:rPr>
          <w:i/>
          <w:iCs/>
          <w:sz w:val="22"/>
          <w:szCs w:val="22"/>
        </w:rPr>
        <w:t>Nemi különbségek</w:t>
      </w:r>
    </w:p>
    <w:p w:rsidR="00224F0F" w:rsidRDefault="00485CCD">
      <w:pPr>
        <w:pStyle w:val="Default"/>
        <w:rPr>
          <w:sz w:val="22"/>
          <w:szCs w:val="22"/>
        </w:rPr>
      </w:pPr>
      <w:r>
        <w:rPr>
          <w:sz w:val="22"/>
          <w:szCs w:val="22"/>
        </w:rPr>
        <w:t>Nem szükséges a dózis módosítása (lásd 5.2 pont).</w:t>
      </w:r>
    </w:p>
    <w:p w:rsidR="00224F0F" w:rsidRDefault="00224F0F">
      <w:pPr>
        <w:keepNext/>
        <w:tabs>
          <w:tab w:val="clear" w:pos="567"/>
        </w:tabs>
        <w:spacing w:line="240" w:lineRule="auto"/>
        <w:rPr>
          <w:i/>
          <w:iCs/>
          <w:u w:val="single"/>
          <w:lang w:val="hu-HU"/>
        </w:rPr>
      </w:pPr>
    </w:p>
    <w:p w:rsidR="00224F0F" w:rsidRDefault="00485CCD">
      <w:pPr>
        <w:pStyle w:val="Default"/>
        <w:rPr>
          <w:sz w:val="22"/>
          <w:szCs w:val="22"/>
        </w:rPr>
      </w:pPr>
      <w:r>
        <w:rPr>
          <w:i/>
          <w:iCs/>
          <w:sz w:val="22"/>
          <w:szCs w:val="22"/>
        </w:rPr>
        <w:t>Kardioverzió előtt álló betegek</w:t>
      </w:r>
    </w:p>
    <w:p w:rsidR="00224F0F" w:rsidRDefault="00485CCD">
      <w:pPr>
        <w:pStyle w:val="Default"/>
        <w:rPr>
          <w:sz w:val="22"/>
          <w:szCs w:val="22"/>
        </w:rPr>
      </w:pPr>
      <w:r>
        <w:rPr>
          <w:sz w:val="22"/>
          <w:szCs w:val="22"/>
        </w:rPr>
        <w:t>A Razarxo kezelés elkezdhető vagy folytatható kardioverziót igénylő betegek esetében is.</w:t>
      </w:r>
    </w:p>
    <w:p w:rsidR="00224F0F" w:rsidRDefault="00485CCD">
      <w:pPr>
        <w:pStyle w:val="Default"/>
        <w:rPr>
          <w:sz w:val="22"/>
          <w:szCs w:val="22"/>
        </w:rPr>
      </w:pPr>
      <w:r>
        <w:rPr>
          <w:sz w:val="22"/>
          <w:szCs w:val="22"/>
        </w:rPr>
        <w:t xml:space="preserve">A Razarxo terápiát a transesophagealis echocardiográfia (TEE) irányítású kardioverzióhoz antikoagulánssal korábban nem kezelt betegek esetében legalább 4 órával a kardioverzió előtt kell elkezdeni a megfelelő antikoaguláltsági állapot biztosítása érdekében (lásd 5.1 és 5.2 pontok). A kardioverzió elvégzése előtt </w:t>
      </w:r>
      <w:r>
        <w:rPr>
          <w:bCs/>
          <w:sz w:val="22"/>
          <w:szCs w:val="22"/>
        </w:rPr>
        <w:t>minden beteg esetében</w:t>
      </w:r>
      <w:r>
        <w:rPr>
          <w:b/>
          <w:bCs/>
          <w:sz w:val="22"/>
          <w:szCs w:val="22"/>
        </w:rPr>
        <w:t xml:space="preserve"> </w:t>
      </w:r>
      <w:r>
        <w:rPr>
          <w:sz w:val="22"/>
          <w:szCs w:val="22"/>
        </w:rPr>
        <w:t>meg kell győződni arról, hogy a beteg a Razarxo-t a felírtaknak megfelelően szedte. A döntést a terápia megkezdéséről és időtartamáról a kardioverzión áteső betegekre vonatkozó antikoaguláns terápia irányelveinek figyelembevételével kell meghozni.</w:t>
      </w:r>
    </w:p>
    <w:p w:rsidR="00224F0F" w:rsidRDefault="00224F0F">
      <w:pPr>
        <w:pStyle w:val="Default"/>
        <w:rPr>
          <w:sz w:val="22"/>
          <w:szCs w:val="22"/>
        </w:rPr>
      </w:pPr>
    </w:p>
    <w:p w:rsidR="00224F0F" w:rsidRDefault="00485CCD">
      <w:pPr>
        <w:tabs>
          <w:tab w:val="clear" w:pos="567"/>
        </w:tabs>
        <w:autoSpaceDE w:val="0"/>
        <w:autoSpaceDN w:val="0"/>
        <w:adjustRightInd w:val="0"/>
        <w:spacing w:line="240" w:lineRule="auto"/>
        <w:rPr>
          <w:i/>
          <w:iCs/>
          <w:color w:val="000000"/>
          <w:lang w:val="hu-HU" w:eastAsia="hu-HU"/>
        </w:rPr>
      </w:pPr>
      <w:r>
        <w:rPr>
          <w:i/>
          <w:iCs/>
          <w:color w:val="000000"/>
          <w:lang w:val="hu-HU" w:eastAsia="hu-HU"/>
        </w:rPr>
        <w:t>Stent beültetéssel járó percutan coronaria intervención (PCI) átes</w:t>
      </w:r>
      <w:r>
        <w:rPr>
          <w:rFonts w:eastAsia="TimesNewRomanPS-ItalicMT"/>
          <w:i/>
          <w:iCs/>
          <w:color w:val="000000"/>
          <w:lang w:val="hu-HU" w:eastAsia="hu-HU"/>
        </w:rPr>
        <w:t>ő</w:t>
      </w:r>
      <w:r>
        <w:rPr>
          <w:i/>
          <w:iCs/>
          <w:color w:val="000000"/>
          <w:lang w:val="hu-HU" w:eastAsia="hu-HU"/>
        </w:rPr>
        <w:t>, nem valvularis eredet</w:t>
      </w:r>
      <w:r>
        <w:rPr>
          <w:rFonts w:eastAsia="TimesNewRomanPS-ItalicMT"/>
          <w:i/>
          <w:iCs/>
          <w:color w:val="000000"/>
          <w:lang w:val="hu-HU" w:eastAsia="hu-HU"/>
        </w:rPr>
        <w:t xml:space="preserve">ű </w:t>
      </w:r>
      <w:r>
        <w:rPr>
          <w:i/>
          <w:iCs/>
          <w:color w:val="000000"/>
          <w:lang w:val="hu-HU" w:eastAsia="hu-HU"/>
        </w:rPr>
        <w:t>pitvarfibrillációban szenved</w:t>
      </w:r>
      <w:r>
        <w:rPr>
          <w:rFonts w:eastAsia="TimesNewRomanPS-ItalicMT"/>
          <w:i/>
          <w:iCs/>
          <w:color w:val="000000"/>
          <w:lang w:val="hu-HU" w:eastAsia="hu-HU"/>
        </w:rPr>
        <w:t xml:space="preserve">ő </w:t>
      </w:r>
      <w:r>
        <w:rPr>
          <w:i/>
          <w:iCs/>
          <w:color w:val="000000"/>
          <w:lang w:val="hu-HU" w:eastAsia="hu-HU"/>
        </w:rPr>
        <w:t>betegek</w:t>
      </w:r>
    </w:p>
    <w:p w:rsidR="00224F0F" w:rsidRDefault="00485CCD">
      <w:pPr>
        <w:tabs>
          <w:tab w:val="clear" w:pos="567"/>
        </w:tabs>
        <w:autoSpaceDE w:val="0"/>
        <w:autoSpaceDN w:val="0"/>
        <w:adjustRightInd w:val="0"/>
        <w:spacing w:line="240" w:lineRule="auto"/>
        <w:rPr>
          <w:color w:val="000000"/>
          <w:lang w:val="hu-HU"/>
        </w:rPr>
      </w:pPr>
      <w:r>
        <w:rPr>
          <w:color w:val="000000"/>
          <w:lang w:val="hu-HU" w:eastAsia="hu-HU"/>
        </w:rPr>
        <w:t>Korlátozott mennyiség</w:t>
      </w:r>
      <w:r>
        <w:rPr>
          <w:rFonts w:eastAsia="TimesNewRomanPSMT"/>
          <w:color w:val="000000"/>
          <w:lang w:val="hu-HU" w:eastAsia="hu-HU"/>
        </w:rPr>
        <w:t xml:space="preserve">ű </w:t>
      </w:r>
      <w:r>
        <w:rPr>
          <w:color w:val="000000"/>
          <w:lang w:val="hu-HU" w:eastAsia="hu-HU"/>
        </w:rPr>
        <w:t>tapasztalat áll rendelkezésre a maximum 12 hónapig alkalmazott, 15 mg rivaroxabán napi egyszeri, csökkentett dózisának (vagy napi egyszeri 10 mg rivaroxabán a közepes fokú vesekárosodásban szenved</w:t>
      </w:r>
      <w:r>
        <w:rPr>
          <w:rFonts w:eastAsia="TimesNewRomanPSMT"/>
          <w:color w:val="000000"/>
          <w:lang w:val="hu-HU" w:eastAsia="hu-HU"/>
        </w:rPr>
        <w:t xml:space="preserve">ő </w:t>
      </w:r>
      <w:r>
        <w:rPr>
          <w:color w:val="000000"/>
          <w:lang w:val="hu-HU" w:eastAsia="hu-HU"/>
        </w:rPr>
        <w:t>betegeknél [kreatinin-clearence 30</w:t>
      </w:r>
      <w:r>
        <w:rPr>
          <w:color w:val="000000"/>
          <w:lang w:val="hu-HU" w:eastAsia="hu-HU"/>
        </w:rPr>
        <w:noBreakHyphen/>
        <w:t>49 ml/perc]) P2Y12-inhibitorhoz történ</w:t>
      </w:r>
      <w:r>
        <w:rPr>
          <w:rFonts w:eastAsia="TimesNewRomanPSMT"/>
          <w:color w:val="000000"/>
          <w:lang w:val="hu-HU" w:eastAsia="hu-HU"/>
        </w:rPr>
        <w:t xml:space="preserve">ő </w:t>
      </w:r>
      <w:r>
        <w:rPr>
          <w:color w:val="000000"/>
          <w:lang w:val="hu-HU" w:eastAsia="hu-HU"/>
        </w:rPr>
        <w:t>hozzáadásával az olyan, nem-valvuláris eredet</w:t>
      </w:r>
      <w:r>
        <w:rPr>
          <w:rFonts w:eastAsia="TimesNewRomanPSMT"/>
          <w:color w:val="000000"/>
          <w:lang w:val="hu-HU" w:eastAsia="hu-HU"/>
        </w:rPr>
        <w:t xml:space="preserve">ű </w:t>
      </w:r>
      <w:r>
        <w:rPr>
          <w:color w:val="000000"/>
          <w:lang w:val="hu-HU" w:eastAsia="hu-HU"/>
        </w:rPr>
        <w:t>pitvarfibrillációban szenved</w:t>
      </w:r>
      <w:r>
        <w:rPr>
          <w:rFonts w:eastAsia="TimesNewRomanPSMT"/>
          <w:color w:val="000000"/>
          <w:lang w:val="hu-HU" w:eastAsia="hu-HU"/>
        </w:rPr>
        <w:t xml:space="preserve">ő </w:t>
      </w:r>
      <w:r>
        <w:rPr>
          <w:color w:val="000000"/>
          <w:lang w:val="hu-HU" w:eastAsia="hu-HU"/>
        </w:rPr>
        <w:t>betegeknél, akik orális antikoagulációra szorulnak, és stent beültetéses percutan coronaria intervención (PCI) esnek át (lásd 4.4 és 5.1 pont).</w:t>
      </w:r>
    </w:p>
    <w:p w:rsidR="00224F0F" w:rsidRDefault="00224F0F">
      <w:pPr>
        <w:pStyle w:val="Default"/>
        <w:rPr>
          <w:sz w:val="22"/>
          <w:szCs w:val="22"/>
        </w:rPr>
      </w:pPr>
    </w:p>
    <w:p w:rsidR="00224F0F" w:rsidRDefault="00485CCD">
      <w:pPr>
        <w:tabs>
          <w:tab w:val="clear" w:pos="567"/>
        </w:tabs>
        <w:autoSpaceDE w:val="0"/>
        <w:autoSpaceDN w:val="0"/>
        <w:adjustRightInd w:val="0"/>
        <w:spacing w:line="240" w:lineRule="auto"/>
        <w:rPr>
          <w:rFonts w:eastAsiaTheme="minorHAnsi"/>
          <w:color w:val="000000"/>
          <w:lang w:val="hu-HU"/>
        </w:rPr>
      </w:pPr>
      <w:r>
        <w:rPr>
          <w:rFonts w:eastAsiaTheme="minorHAnsi"/>
          <w:i/>
          <w:iCs/>
          <w:color w:val="000000"/>
          <w:lang w:val="hu-HU"/>
        </w:rPr>
        <w:t>Gyermekek és serdülők</w:t>
      </w:r>
    </w:p>
    <w:p w:rsidR="00224F0F" w:rsidRDefault="00485CCD">
      <w:pPr>
        <w:spacing w:line="240" w:lineRule="auto"/>
        <w:rPr>
          <w:rFonts w:eastAsiaTheme="minorHAnsi"/>
          <w:color w:val="000000"/>
          <w:lang w:val="hu-HU"/>
        </w:rPr>
      </w:pPr>
      <w:r>
        <w:rPr>
          <w:rFonts w:eastAsiaTheme="minorHAnsi"/>
          <w:color w:val="000000"/>
          <w:lang w:val="hu-HU"/>
        </w:rPr>
        <w:t xml:space="preserve">A </w:t>
      </w:r>
      <w:r>
        <w:rPr>
          <w:noProof/>
        </w:rPr>
        <w:t xml:space="preserve">Razarxo </w:t>
      </w:r>
      <w:r>
        <w:rPr>
          <w:rFonts w:eastAsiaTheme="minorHAnsi"/>
          <w:color w:val="000000"/>
          <w:lang w:val="hu-HU"/>
        </w:rPr>
        <w:t>biztonságosságát és hatásosságát 0–18 éves gyermekek esetében még nem igazolták stroke és systemás embolisatio megelőzése indikációjában nem valvularis eredetű pitvarfibrillációban szenvedő betegeknél. Nincsenek rendelkezésre álló adatok. Emiatt alkalmazása 18 évesnél fiatalabb gyermekeknél kizárólag VTE kezelése és a VTE kiújulásának megelőzése indikációban ajánlott.</w:t>
      </w:r>
    </w:p>
    <w:p w:rsidR="00224F0F" w:rsidRDefault="00224F0F">
      <w:pPr>
        <w:pStyle w:val="Default"/>
        <w:rPr>
          <w:sz w:val="22"/>
          <w:szCs w:val="22"/>
        </w:rPr>
      </w:pPr>
    </w:p>
    <w:p w:rsidR="00224F0F" w:rsidRDefault="00485CCD">
      <w:pPr>
        <w:pStyle w:val="Default"/>
        <w:rPr>
          <w:sz w:val="22"/>
          <w:szCs w:val="22"/>
          <w:u w:val="single"/>
        </w:rPr>
      </w:pPr>
      <w:r>
        <w:rPr>
          <w:sz w:val="22"/>
          <w:szCs w:val="22"/>
          <w:u w:val="single"/>
        </w:rPr>
        <w:t>Az alkalmazás módja</w:t>
      </w:r>
    </w:p>
    <w:p w:rsidR="00224F0F" w:rsidRDefault="00485CCD">
      <w:pPr>
        <w:pStyle w:val="Default"/>
        <w:rPr>
          <w:i/>
          <w:iCs/>
          <w:sz w:val="22"/>
          <w:szCs w:val="22"/>
          <w:u w:val="single"/>
        </w:rPr>
      </w:pPr>
      <w:r>
        <w:rPr>
          <w:i/>
          <w:iCs/>
          <w:sz w:val="22"/>
          <w:szCs w:val="22"/>
          <w:u w:val="single"/>
        </w:rPr>
        <w:t>Felnőttek</w:t>
      </w:r>
    </w:p>
    <w:p w:rsidR="00224F0F" w:rsidRDefault="00485CCD">
      <w:pPr>
        <w:tabs>
          <w:tab w:val="clear" w:pos="567"/>
        </w:tabs>
        <w:autoSpaceDE w:val="0"/>
        <w:autoSpaceDN w:val="0"/>
        <w:adjustRightInd w:val="0"/>
        <w:spacing w:line="240" w:lineRule="auto"/>
        <w:rPr>
          <w:rFonts w:eastAsiaTheme="minorHAnsi"/>
          <w:color w:val="000000"/>
          <w:lang w:val="hu-HU"/>
        </w:rPr>
      </w:pPr>
      <w:r>
        <w:rPr>
          <w:rFonts w:eastAsiaTheme="minorHAnsi"/>
          <w:color w:val="000000"/>
          <w:lang w:val="hu-HU"/>
        </w:rPr>
        <w:t xml:space="preserve">A </w:t>
      </w:r>
      <w:r>
        <w:t>Razarxo</w:t>
      </w:r>
      <w:r>
        <w:rPr>
          <w:rFonts w:eastAsiaTheme="minorHAnsi"/>
          <w:color w:val="000000"/>
          <w:lang w:val="hu-HU"/>
        </w:rPr>
        <w:t xml:space="preserve"> szájon át történő alkalmazásra való.</w:t>
      </w:r>
    </w:p>
    <w:p w:rsidR="00224F0F" w:rsidRDefault="00485CCD">
      <w:pPr>
        <w:pStyle w:val="Default"/>
        <w:rPr>
          <w:sz w:val="22"/>
          <w:szCs w:val="22"/>
        </w:rPr>
      </w:pPr>
      <w:r>
        <w:rPr>
          <w:sz w:val="22"/>
          <w:szCs w:val="22"/>
        </w:rPr>
        <w:t>A tablettát étkezés közben kell bevenni (lásd 5.2 pont).</w:t>
      </w:r>
    </w:p>
    <w:p w:rsidR="00224F0F" w:rsidRDefault="00224F0F">
      <w:pPr>
        <w:pStyle w:val="Default"/>
        <w:rPr>
          <w:sz w:val="22"/>
          <w:szCs w:val="22"/>
        </w:rPr>
      </w:pPr>
    </w:p>
    <w:p w:rsidR="00224F0F" w:rsidRDefault="00485CCD">
      <w:pPr>
        <w:pStyle w:val="Default"/>
        <w:rPr>
          <w:i/>
          <w:iCs/>
          <w:sz w:val="22"/>
          <w:szCs w:val="22"/>
          <w:u w:val="single"/>
        </w:rPr>
      </w:pPr>
      <w:r>
        <w:rPr>
          <w:i/>
          <w:iCs/>
          <w:sz w:val="22"/>
          <w:szCs w:val="22"/>
          <w:u w:val="single"/>
        </w:rPr>
        <w:t>Porrá tört tabletta</w:t>
      </w:r>
    </w:p>
    <w:p w:rsidR="00224F0F" w:rsidRDefault="00485CCD">
      <w:pPr>
        <w:pStyle w:val="Default"/>
        <w:rPr>
          <w:sz w:val="22"/>
          <w:szCs w:val="22"/>
        </w:rPr>
      </w:pPr>
      <w:r>
        <w:rPr>
          <w:sz w:val="22"/>
          <w:szCs w:val="22"/>
        </w:rPr>
        <w:t>Azoknak a betegeknek, akik nem tudják egészben lenyelni a tablettát, a Razarxo tabletta közvetlenül a bevétel előtt porrá is törhető, és vízzel vagy almapürével keverve szájon át beadható. A porrá tört Razarxo 15 mg-os vagy 20 mg-os filmtabletta beadását követően az adagot azonnal étkezésnek kell követnie.</w:t>
      </w:r>
    </w:p>
    <w:p w:rsidR="00224F0F" w:rsidRDefault="00485CCD">
      <w:pPr>
        <w:pStyle w:val="Default"/>
        <w:rPr>
          <w:sz w:val="22"/>
          <w:szCs w:val="22"/>
        </w:rPr>
      </w:pPr>
      <w:r>
        <w:rPr>
          <w:sz w:val="22"/>
          <w:szCs w:val="22"/>
        </w:rPr>
        <w:t>A porrá tört Razarxo tablettát gyomorszondán keresztül is be lehet adni (lásd 5.2 és 6.6 pont).</w:t>
      </w:r>
    </w:p>
    <w:p w:rsidR="00224F0F" w:rsidRDefault="00224F0F">
      <w:pPr>
        <w:pStyle w:val="Default"/>
        <w:rPr>
          <w:sz w:val="22"/>
          <w:szCs w:val="22"/>
        </w:rPr>
      </w:pPr>
    </w:p>
    <w:p w:rsidR="00224F0F" w:rsidRDefault="00485CCD">
      <w:pPr>
        <w:pStyle w:val="Default"/>
        <w:rPr>
          <w:i/>
          <w:iCs/>
          <w:sz w:val="22"/>
          <w:szCs w:val="22"/>
          <w:u w:val="single"/>
        </w:rPr>
      </w:pPr>
      <w:r>
        <w:rPr>
          <w:i/>
          <w:iCs/>
          <w:sz w:val="22"/>
          <w:szCs w:val="22"/>
          <w:u w:val="single"/>
        </w:rPr>
        <w:t>30 kg és 50 kg közötti testtömegű gyermekek és serdülők</w:t>
      </w:r>
    </w:p>
    <w:p w:rsidR="00224F0F" w:rsidRDefault="00485CCD">
      <w:pPr>
        <w:pStyle w:val="Default"/>
        <w:rPr>
          <w:sz w:val="22"/>
          <w:szCs w:val="22"/>
        </w:rPr>
      </w:pPr>
      <w:r>
        <w:rPr>
          <w:sz w:val="22"/>
          <w:szCs w:val="22"/>
        </w:rPr>
        <w:t>A Razarxo szájon át történő alkalmazásra való.</w:t>
      </w:r>
    </w:p>
    <w:p w:rsidR="00224F0F" w:rsidRDefault="00485CCD">
      <w:pPr>
        <w:pStyle w:val="Default"/>
        <w:rPr>
          <w:sz w:val="22"/>
          <w:szCs w:val="22"/>
        </w:rPr>
      </w:pPr>
      <w:r>
        <w:rPr>
          <w:sz w:val="22"/>
          <w:szCs w:val="22"/>
        </w:rPr>
        <w:t>A betegnek javasolni kell, hogy folyadékkal nyelje le a tablettát és étkezés közben vegye azt be (lásd 5.2 pont). A tablettákat körülbelül 24 óra különbséggel kell bevenni.</w:t>
      </w:r>
    </w:p>
    <w:p w:rsidR="00224F0F" w:rsidRDefault="00224F0F">
      <w:pPr>
        <w:pStyle w:val="Default"/>
        <w:rPr>
          <w:sz w:val="22"/>
          <w:szCs w:val="22"/>
        </w:rPr>
      </w:pPr>
    </w:p>
    <w:p w:rsidR="00224F0F" w:rsidRDefault="00485CCD">
      <w:pPr>
        <w:pStyle w:val="Default"/>
        <w:rPr>
          <w:sz w:val="22"/>
          <w:szCs w:val="22"/>
        </w:rPr>
      </w:pPr>
      <w:r>
        <w:rPr>
          <w:sz w:val="22"/>
          <w:szCs w:val="22"/>
        </w:rPr>
        <w:t>Ha a beteg azonnal kiköpi az dózist, vagy a dózis bevételét követő 30 percen belül hány, akkor újabb dózist kell beadni. Ha a beteg több mint 30 perccel az dózis bevétele után hány, a dózist nem szabad újra beadni, hanem a következő dózist a szokásos ütemezés szerint kell alkalmazni.</w:t>
      </w:r>
    </w:p>
    <w:p w:rsidR="00224F0F" w:rsidRDefault="00224F0F">
      <w:pPr>
        <w:pStyle w:val="Default"/>
        <w:rPr>
          <w:sz w:val="22"/>
          <w:szCs w:val="22"/>
        </w:rPr>
      </w:pPr>
    </w:p>
    <w:p w:rsidR="00224F0F" w:rsidRDefault="00485CCD">
      <w:pPr>
        <w:pStyle w:val="Default"/>
        <w:rPr>
          <w:sz w:val="22"/>
          <w:szCs w:val="22"/>
        </w:rPr>
      </w:pPr>
      <w:r>
        <w:rPr>
          <w:sz w:val="22"/>
          <w:szCs w:val="22"/>
        </w:rPr>
        <w:t>Nem szabad feldarabolni a tablettát abból a célból, hogy a tabletta teljes dózisának egy részét alkalmazzák.</w:t>
      </w:r>
    </w:p>
    <w:p w:rsidR="00224F0F" w:rsidRDefault="00224F0F">
      <w:pPr>
        <w:pStyle w:val="Default"/>
        <w:rPr>
          <w:sz w:val="22"/>
          <w:szCs w:val="22"/>
        </w:rPr>
      </w:pPr>
    </w:p>
    <w:p w:rsidR="00224F0F" w:rsidRDefault="00485CCD">
      <w:pPr>
        <w:pStyle w:val="Default"/>
        <w:rPr>
          <w:i/>
          <w:iCs/>
          <w:sz w:val="22"/>
          <w:szCs w:val="22"/>
          <w:u w:val="single"/>
        </w:rPr>
      </w:pPr>
      <w:r>
        <w:rPr>
          <w:i/>
          <w:iCs/>
          <w:sz w:val="22"/>
          <w:szCs w:val="22"/>
          <w:u w:val="single"/>
        </w:rPr>
        <w:t>Porrá tört tabletta</w:t>
      </w:r>
    </w:p>
    <w:p w:rsidR="00224F0F" w:rsidRDefault="00485CCD">
      <w:pPr>
        <w:pStyle w:val="Default"/>
        <w:rPr>
          <w:sz w:val="22"/>
          <w:szCs w:val="22"/>
        </w:rPr>
      </w:pPr>
      <w:r>
        <w:rPr>
          <w:sz w:val="22"/>
          <w:szCs w:val="22"/>
        </w:rPr>
        <w:t>Azoknál a betegeknél, akik nem tudják lenyelni a teljes tablettát, granulátumos gyógyszerformákat kell alkalmazni. Ha a belsőleges szuszpenzió nem érhető el azonnal, a 15 mg vagy 20 mg rivaroxabán előírt dózisa előállítható egy 15 mg-os vagy egy 20 mg-os tabletta porrá törésével, amely közvetlenül alkalmazás előtt összekeverhető vízzel vagy almapürével, majd szájon át alkalmazható.</w:t>
      </w:r>
    </w:p>
    <w:p w:rsidR="00224F0F" w:rsidRDefault="00485CCD">
      <w:pPr>
        <w:pStyle w:val="Default"/>
        <w:rPr>
          <w:sz w:val="22"/>
          <w:szCs w:val="22"/>
          <w:lang w:val="en-GB"/>
        </w:rPr>
      </w:pPr>
      <w:r>
        <w:rPr>
          <w:sz w:val="22"/>
          <w:szCs w:val="22"/>
          <w:lang w:val="en-GB"/>
        </w:rPr>
        <w:lastRenderedPageBreak/>
        <w:t>A porrá tört tabletta nasogastricus szondán vagy tápláló gyomorszondán keresztül is beadható (lásd 5.2 és 6.6 pont).</w:t>
      </w:r>
    </w:p>
    <w:p w:rsidR="00224F0F" w:rsidRDefault="00224F0F">
      <w:pPr>
        <w:pStyle w:val="Default"/>
        <w:rPr>
          <w:sz w:val="22"/>
          <w:szCs w:val="22"/>
        </w:rPr>
      </w:pPr>
    </w:p>
    <w:p w:rsidR="00224F0F" w:rsidRDefault="00485CCD">
      <w:pPr>
        <w:spacing w:line="240" w:lineRule="auto"/>
        <w:ind w:left="567" w:hanging="567"/>
        <w:outlineLvl w:val="0"/>
        <w:rPr>
          <w:b/>
          <w:noProof/>
          <w:color w:val="000000"/>
          <w:lang w:val="hu-HU"/>
        </w:rPr>
      </w:pPr>
      <w:r>
        <w:rPr>
          <w:b/>
          <w:noProof/>
          <w:color w:val="000000"/>
          <w:lang w:val="hu-HU"/>
        </w:rPr>
        <w:t>4.3</w:t>
      </w:r>
      <w:r>
        <w:rPr>
          <w:b/>
          <w:noProof/>
          <w:color w:val="000000"/>
          <w:lang w:val="hu-HU"/>
        </w:rPr>
        <w:tab/>
        <w:t>Ellenjavallatok</w:t>
      </w:r>
    </w:p>
    <w:p w:rsidR="00224F0F" w:rsidRDefault="00224F0F">
      <w:pPr>
        <w:spacing w:line="240" w:lineRule="auto"/>
        <w:ind w:left="567" w:hanging="567"/>
        <w:outlineLvl w:val="0"/>
        <w:rPr>
          <w:b/>
          <w:noProof/>
          <w:color w:val="000000"/>
          <w:lang w:val="hu-HU"/>
        </w:rPr>
      </w:pPr>
    </w:p>
    <w:p w:rsidR="00224F0F" w:rsidRDefault="00485CCD">
      <w:pPr>
        <w:pStyle w:val="Default"/>
        <w:rPr>
          <w:sz w:val="22"/>
          <w:szCs w:val="22"/>
        </w:rPr>
      </w:pPr>
      <w:r>
        <w:rPr>
          <w:sz w:val="22"/>
          <w:szCs w:val="22"/>
        </w:rPr>
        <w:t>A készítmény hatóanyagával vagy a 6.1 pontban felsorolt bármely segédanyagával szembeni túlérzékenység.</w:t>
      </w:r>
    </w:p>
    <w:p w:rsidR="00224F0F" w:rsidRDefault="00224F0F">
      <w:pPr>
        <w:pStyle w:val="Default"/>
        <w:rPr>
          <w:sz w:val="22"/>
          <w:szCs w:val="22"/>
        </w:rPr>
      </w:pPr>
    </w:p>
    <w:p w:rsidR="00224F0F" w:rsidRDefault="00485CCD">
      <w:pPr>
        <w:pStyle w:val="Default"/>
        <w:rPr>
          <w:sz w:val="22"/>
          <w:szCs w:val="22"/>
        </w:rPr>
      </w:pPr>
      <w:r>
        <w:rPr>
          <w:sz w:val="22"/>
          <w:szCs w:val="22"/>
        </w:rPr>
        <w:t>Aktív, klinikailag jelentős vérzés.</w:t>
      </w:r>
    </w:p>
    <w:p w:rsidR="00224F0F" w:rsidRDefault="00224F0F">
      <w:pPr>
        <w:pStyle w:val="Default"/>
        <w:rPr>
          <w:sz w:val="22"/>
          <w:szCs w:val="22"/>
        </w:rPr>
      </w:pPr>
    </w:p>
    <w:p w:rsidR="00224F0F" w:rsidRDefault="00485CCD">
      <w:pPr>
        <w:pStyle w:val="Default"/>
        <w:rPr>
          <w:sz w:val="22"/>
          <w:szCs w:val="22"/>
        </w:rPr>
      </w:pPr>
      <w:r>
        <w:rPr>
          <w:sz w:val="22"/>
          <w:szCs w:val="22"/>
        </w:rPr>
        <w:t>Olyan laesio vagy állapot, amelyet jelentős kockázatúnak tartanak súlyos vérzés szempontjából. Ide tartozhatnak a fennálló vagy a közelmúltban kialakult gastrointestinalis fekélyek, magas vérzési kockázatú malignus neoplasmák jelenléte, agy- vagy gerincsérülés a közelmúltban, agy-, gerinc- vagy szemészeti műtét a közelmúltban, intracranialis vérzés a közelmúltban, ismert vagy gyanított oesophagus varicositás, arteriovenosus malformatiók, vascularis aneurysmák vagy nagy intraspinalis vagy intracerebralis vascularis rendellenességek.</w:t>
      </w:r>
    </w:p>
    <w:p w:rsidR="00224F0F" w:rsidRDefault="00224F0F">
      <w:pPr>
        <w:pStyle w:val="Default"/>
        <w:rPr>
          <w:sz w:val="22"/>
          <w:szCs w:val="22"/>
        </w:rPr>
      </w:pPr>
    </w:p>
    <w:p w:rsidR="00224F0F" w:rsidRDefault="00485CCD">
      <w:pPr>
        <w:pStyle w:val="Default"/>
        <w:rPr>
          <w:sz w:val="22"/>
          <w:szCs w:val="22"/>
        </w:rPr>
      </w:pPr>
      <w:r>
        <w:rPr>
          <w:sz w:val="22"/>
          <w:szCs w:val="22"/>
        </w:rPr>
        <w:t>Bármely más antikoagulánssal való együttes kezelés, pl. nem frakcionált heparin (unfractionated heparin, UFH), kis molekulatömegű heparinok (enoxaparin, dalteparin, stb.), heparin származékok (fondaparinux, stb.), orális antikoagulánsok (warfarin, dabigatrán etexilát, apixabán, stb.), kivéve abban a speciális esetben, ha az antikoaguláns terápia váltása történik (lásd 4.2 pont), vagy ha az UFH-t olyan dózisban adják, amely egy centrális vénás vagy artériás kanül átjárhatóságának fenntartásához szükséges (lásd 4.5 pont).</w:t>
      </w:r>
    </w:p>
    <w:p w:rsidR="00224F0F" w:rsidRDefault="00224F0F">
      <w:pPr>
        <w:pStyle w:val="Default"/>
        <w:rPr>
          <w:sz w:val="22"/>
          <w:szCs w:val="22"/>
        </w:rPr>
      </w:pPr>
    </w:p>
    <w:p w:rsidR="00224F0F" w:rsidRDefault="00485CCD">
      <w:pPr>
        <w:pStyle w:val="Default"/>
        <w:rPr>
          <w:sz w:val="22"/>
          <w:szCs w:val="22"/>
        </w:rPr>
      </w:pPr>
      <w:r>
        <w:rPr>
          <w:sz w:val="22"/>
          <w:szCs w:val="22"/>
        </w:rPr>
        <w:t>Véralvadási zavarral és klinikailag jelentős vérzési kockázattal járó májbetegség, beleértve a Child-Pugh B és C stádiumú cirrhosisos betegeket is (lásd 5.2 pont).</w:t>
      </w:r>
    </w:p>
    <w:p w:rsidR="00224F0F" w:rsidRDefault="00224F0F">
      <w:pPr>
        <w:pStyle w:val="Default"/>
        <w:rPr>
          <w:sz w:val="22"/>
          <w:szCs w:val="22"/>
        </w:rPr>
      </w:pPr>
    </w:p>
    <w:p w:rsidR="00224F0F" w:rsidRDefault="00485CCD">
      <w:pPr>
        <w:spacing w:line="240" w:lineRule="auto"/>
        <w:ind w:left="567" w:hanging="567"/>
        <w:outlineLvl w:val="0"/>
        <w:rPr>
          <w:b/>
          <w:noProof/>
          <w:color w:val="000000"/>
          <w:lang w:val="hu-HU"/>
        </w:rPr>
      </w:pPr>
      <w:r>
        <w:rPr>
          <w:color w:val="000000"/>
          <w:lang w:val="hu-HU"/>
        </w:rPr>
        <w:t>Terhesség és szoptatás (lásd 4.6 pont).</w:t>
      </w:r>
    </w:p>
    <w:p w:rsidR="00224F0F" w:rsidRDefault="00224F0F">
      <w:pPr>
        <w:spacing w:line="240" w:lineRule="auto"/>
        <w:ind w:left="567" w:hanging="567"/>
        <w:outlineLvl w:val="0"/>
        <w:rPr>
          <w:b/>
          <w:noProof/>
          <w:color w:val="000000"/>
          <w:lang w:val="hu-HU"/>
        </w:rPr>
      </w:pPr>
    </w:p>
    <w:p w:rsidR="00224F0F" w:rsidRDefault="00485CCD">
      <w:pPr>
        <w:keepNext/>
        <w:spacing w:line="240" w:lineRule="auto"/>
        <w:ind w:left="567" w:hanging="567"/>
        <w:outlineLvl w:val="0"/>
        <w:rPr>
          <w:b/>
          <w:noProof/>
          <w:color w:val="000000"/>
          <w:lang w:val="hu-HU"/>
        </w:rPr>
      </w:pPr>
      <w:r>
        <w:rPr>
          <w:b/>
          <w:noProof/>
          <w:color w:val="000000"/>
          <w:lang w:val="hu-HU"/>
        </w:rPr>
        <w:t>4.4</w:t>
      </w:r>
      <w:r>
        <w:rPr>
          <w:b/>
          <w:noProof/>
          <w:color w:val="000000"/>
          <w:lang w:val="hu-HU"/>
        </w:rPr>
        <w:tab/>
        <w:t>Különleges figyelmeztetések és az alkalmazással kapcsolatos óvintézkedések</w:t>
      </w:r>
    </w:p>
    <w:p w:rsidR="00224F0F" w:rsidRDefault="00224F0F">
      <w:pPr>
        <w:keepNext/>
        <w:spacing w:line="240" w:lineRule="auto"/>
        <w:rPr>
          <w:color w:val="000000"/>
          <w:lang w:val="hu-HU"/>
        </w:rPr>
      </w:pPr>
    </w:p>
    <w:p w:rsidR="00224F0F" w:rsidRDefault="00485CCD">
      <w:pPr>
        <w:pStyle w:val="Default"/>
        <w:rPr>
          <w:sz w:val="22"/>
          <w:szCs w:val="22"/>
        </w:rPr>
      </w:pPr>
      <w:r>
        <w:rPr>
          <w:sz w:val="22"/>
          <w:szCs w:val="22"/>
        </w:rPr>
        <w:t>A kezelési időszak teljes időtartama alatt az antikoagulációs gyakorlatnak megfelelő klinikai megfigyelés javasolt.</w:t>
      </w:r>
    </w:p>
    <w:p w:rsidR="00224F0F" w:rsidRDefault="00224F0F">
      <w:pPr>
        <w:pStyle w:val="Default"/>
        <w:rPr>
          <w:sz w:val="22"/>
          <w:szCs w:val="22"/>
        </w:rPr>
      </w:pPr>
    </w:p>
    <w:p w:rsidR="00224F0F" w:rsidRDefault="00485CCD">
      <w:pPr>
        <w:pStyle w:val="Default"/>
        <w:rPr>
          <w:sz w:val="22"/>
          <w:szCs w:val="22"/>
        </w:rPr>
      </w:pPr>
      <w:r>
        <w:rPr>
          <w:sz w:val="22"/>
          <w:szCs w:val="22"/>
          <w:u w:val="single"/>
        </w:rPr>
        <w:t>Vérzés kockázata</w:t>
      </w:r>
    </w:p>
    <w:p w:rsidR="00224F0F" w:rsidRDefault="00485CCD">
      <w:pPr>
        <w:pStyle w:val="Default"/>
        <w:rPr>
          <w:sz w:val="22"/>
          <w:szCs w:val="22"/>
        </w:rPr>
      </w:pPr>
      <w:r>
        <w:rPr>
          <w:sz w:val="22"/>
          <w:szCs w:val="22"/>
        </w:rPr>
        <w:t>Más antikoagulánsokhoz hasonlóan a Razarxo-t szedő betegeket szoros megfigyelés alatt kell tartani a vérzés jeleinek észlelése érdekében. Emelkedett vérzési kockázattal járó állapotok esetén ajánlott óvatosan alkalmazni. A Razarxo alkalmazását abba kell hagyni, ha súlyos vérzés lép fel (lásd 4.9 pont).</w:t>
      </w:r>
    </w:p>
    <w:p w:rsidR="00224F0F" w:rsidRDefault="00224F0F">
      <w:pPr>
        <w:pStyle w:val="Default"/>
        <w:rPr>
          <w:sz w:val="22"/>
          <w:szCs w:val="22"/>
        </w:rPr>
      </w:pPr>
    </w:p>
    <w:p w:rsidR="00224F0F" w:rsidRDefault="00485CCD">
      <w:pPr>
        <w:pStyle w:val="Default"/>
        <w:rPr>
          <w:sz w:val="22"/>
          <w:szCs w:val="22"/>
        </w:rPr>
      </w:pPr>
      <w:r>
        <w:rPr>
          <w:sz w:val="22"/>
          <w:szCs w:val="22"/>
        </w:rPr>
        <w:t>A klinikai vizsgálatok során gyakrabban észleltek nyálkahártyavérzést (epistaxis, fogíny, gastrointestinalis, urogenitalis, beleértve a kóros hüvelyi vérzést vagy fokozott menstruációs vérzést is) és anaemiát a hosszú távú rivaroxabán-kezelés során, mint a KVA kezelés esetén. Így a megfelelő klinikai megfigyelésen felül a haemoglobin/haematokrit-érték laboratóriumi vizsgálata értékes lehet az okkult vérzés detektálásában és a nyilvánvaló vérzés klinikai jelentőségének számszerű meghatározásában, amennyiben szükségesnek ítélik.</w:t>
      </w:r>
    </w:p>
    <w:p w:rsidR="00224F0F" w:rsidRDefault="00224F0F">
      <w:pPr>
        <w:pStyle w:val="Default"/>
        <w:rPr>
          <w:sz w:val="22"/>
          <w:szCs w:val="22"/>
        </w:rPr>
      </w:pPr>
    </w:p>
    <w:p w:rsidR="00224F0F" w:rsidRDefault="00485CCD">
      <w:pPr>
        <w:pStyle w:val="Default"/>
        <w:rPr>
          <w:sz w:val="22"/>
          <w:szCs w:val="22"/>
        </w:rPr>
      </w:pPr>
      <w:r>
        <w:rPr>
          <w:sz w:val="22"/>
          <w:szCs w:val="22"/>
        </w:rPr>
        <w:t>Az alábbiakban részletezett betegcsoportok esetén fokozott a vérzés kockázata. Ezen betegek esetén a vérzéses szövődmények és az anaemia jeleinek és tüneteinek gondos monitorozása szükséges a kezelés megkezdése után (lásd 4.8 pont).</w:t>
      </w:r>
    </w:p>
    <w:p w:rsidR="00224F0F" w:rsidRDefault="00485CCD">
      <w:pPr>
        <w:pStyle w:val="Default"/>
        <w:rPr>
          <w:sz w:val="22"/>
          <w:szCs w:val="22"/>
        </w:rPr>
      </w:pPr>
      <w:r>
        <w:rPr>
          <w:sz w:val="22"/>
          <w:szCs w:val="22"/>
        </w:rPr>
        <w:t>A haemoglobinszint vagy a vérnyomás bármely nem megmagyarázható esése esetén meg kell keresni a vérzés forrását.</w:t>
      </w:r>
    </w:p>
    <w:p w:rsidR="00224F0F" w:rsidRDefault="00224F0F">
      <w:pPr>
        <w:pStyle w:val="Default"/>
        <w:rPr>
          <w:sz w:val="22"/>
          <w:szCs w:val="22"/>
        </w:rPr>
      </w:pPr>
    </w:p>
    <w:p w:rsidR="00224F0F" w:rsidRDefault="00485CCD">
      <w:pPr>
        <w:spacing w:line="240" w:lineRule="auto"/>
        <w:rPr>
          <w:color w:val="000000"/>
          <w:lang w:val="hu-HU"/>
        </w:rPr>
      </w:pPr>
      <w:r>
        <w:rPr>
          <w:color w:val="000000"/>
          <w:lang w:val="hu-HU"/>
        </w:rPr>
        <w:t xml:space="preserve">Bár a rivaroxabán-kezelés alatt nem szükséges az expozíció rutinszerű monitorozása, kivételes helyzetekben a rivaroxabán-szintek kalibrált, kvantitatív anti-Xa faktor tesztekkel történő mérése </w:t>
      </w:r>
      <w:r>
        <w:rPr>
          <w:color w:val="000000"/>
          <w:lang w:val="hu-HU"/>
        </w:rPr>
        <w:lastRenderedPageBreak/>
        <w:t>hasznos lehet, amikor a rivaroxabán-expozíció ismerete segíthet a klinikai döntésekben, pl. túladagolás és sürgős műtét esetén (lásd 5.1 és 5.2 pont).</w:t>
      </w:r>
    </w:p>
    <w:p w:rsidR="00224F0F" w:rsidRDefault="00224F0F">
      <w:pPr>
        <w:spacing w:line="240" w:lineRule="auto"/>
        <w:rPr>
          <w:color w:val="000000"/>
          <w:lang w:val="hu-HU"/>
        </w:rPr>
      </w:pPr>
    </w:p>
    <w:p w:rsidR="00224F0F" w:rsidRDefault="00485CCD">
      <w:pPr>
        <w:spacing w:line="240" w:lineRule="auto"/>
        <w:rPr>
          <w:i/>
          <w:iCs/>
          <w:color w:val="000000"/>
          <w:lang w:val="hu-HU"/>
        </w:rPr>
      </w:pPr>
      <w:r>
        <w:rPr>
          <w:i/>
          <w:iCs/>
          <w:color w:val="000000"/>
          <w:lang w:val="hu-HU"/>
        </w:rPr>
        <w:t>Gyermekek és serdülők</w:t>
      </w:r>
    </w:p>
    <w:p w:rsidR="00224F0F" w:rsidRDefault="00485CCD">
      <w:pPr>
        <w:spacing w:line="240" w:lineRule="auto"/>
        <w:rPr>
          <w:color w:val="000000"/>
          <w:lang w:val="hu-HU"/>
        </w:rPr>
      </w:pPr>
      <w:r>
        <w:rPr>
          <w:color w:val="000000"/>
          <w:lang w:val="hu-HU"/>
        </w:rPr>
        <w:t>Korlátozottan állnak rendelkezésre adatok olyan cerebralis vénás és sinus thrombosisban szenvedő gyermekek esetében, akiknél központi idegrendszeri fertőzést is diagnosztizáltak (lásd 5.1 pont). A vérzési kockázatot alaposan értékelni kell a rivaroxabán-kezelés megkezdésekor és folytatása alatt.</w:t>
      </w:r>
    </w:p>
    <w:p w:rsidR="00224F0F" w:rsidRDefault="00224F0F">
      <w:pPr>
        <w:pStyle w:val="Default"/>
        <w:rPr>
          <w:sz w:val="22"/>
          <w:szCs w:val="22"/>
          <w:u w:val="single"/>
        </w:rPr>
      </w:pPr>
    </w:p>
    <w:p w:rsidR="00224F0F" w:rsidRDefault="00485CCD">
      <w:pPr>
        <w:pStyle w:val="Default"/>
        <w:rPr>
          <w:sz w:val="22"/>
          <w:szCs w:val="22"/>
        </w:rPr>
      </w:pPr>
      <w:r>
        <w:rPr>
          <w:sz w:val="22"/>
          <w:szCs w:val="22"/>
          <w:u w:val="single"/>
        </w:rPr>
        <w:t>Vesekárosodás</w:t>
      </w:r>
    </w:p>
    <w:p w:rsidR="00224F0F" w:rsidRDefault="00485CCD">
      <w:pPr>
        <w:pStyle w:val="Default"/>
        <w:rPr>
          <w:sz w:val="22"/>
          <w:szCs w:val="22"/>
        </w:rPr>
      </w:pPr>
      <w:r>
        <w:rPr>
          <w:sz w:val="22"/>
          <w:szCs w:val="22"/>
        </w:rPr>
        <w:t>Súlyos vesekárosodásban (kreatinin-clearance &lt; 30 ml/perc) szenvedő felnőtt betegeknél a rivaroxabán plazmaszintje jelentősen emelkedett (átlagosan 1,6-szeres) lehet, ami a vérzés fokozott kockázatához vezethet. A Razarxo-t elővigyázatosan kell alkalmazni olyan betegeknél, akik kreatinin-clearance-értéke 15</w:t>
      </w:r>
      <w:r>
        <w:rPr>
          <w:sz w:val="22"/>
          <w:szCs w:val="22"/>
        </w:rPr>
        <w:noBreakHyphen/>
        <w:t>29 ml/perc között van. Alkalmazása nem javasolt olyan betegeknél, akik kreatinin-clearance-értéke &lt; 15 ml/perc (lásd 4.2 és 5.2 pont). A Razarxo elővigyázatossággal alkalmazandó azoknál a vesekárosodásban szenvedő betegeknél, akik egyidejűleg a rivaroxabán plazmakoncentrációját növelő gyógyszereket kapnak (lásd 4.5 pont).</w:t>
      </w:r>
    </w:p>
    <w:p w:rsidR="00224F0F" w:rsidRDefault="00485CCD">
      <w:pPr>
        <w:rPr>
          <w:lang w:val="hu-HU"/>
        </w:rPr>
      </w:pPr>
      <w:r>
        <w:rPr>
          <w:lang w:val="hu-HU"/>
        </w:rPr>
        <w:t>A Razarxo alkalmazása nem javasolt közepes vagy súlyos vesekárosodásban szenvedő gyermekeknél és serdülőknél (a glomerularis filtrációs ráta &lt; 50 ml/perc/1,73 m</w:t>
      </w:r>
      <w:r>
        <w:rPr>
          <w:vertAlign w:val="superscript"/>
          <w:lang w:val="hu-HU"/>
        </w:rPr>
        <w:t>2</w:t>
      </w:r>
      <w:r>
        <w:rPr>
          <w:lang w:val="hu-HU"/>
        </w:rPr>
        <w:t>), ugyanis nincsenek rendelkezésre álló klinikai adatok.</w:t>
      </w:r>
    </w:p>
    <w:p w:rsidR="00224F0F" w:rsidRDefault="00224F0F">
      <w:pPr>
        <w:pStyle w:val="Default"/>
        <w:rPr>
          <w:sz w:val="22"/>
          <w:szCs w:val="22"/>
        </w:rPr>
      </w:pPr>
    </w:p>
    <w:p w:rsidR="00224F0F" w:rsidRDefault="00485CCD">
      <w:pPr>
        <w:pStyle w:val="Default"/>
        <w:rPr>
          <w:sz w:val="22"/>
          <w:szCs w:val="22"/>
        </w:rPr>
      </w:pPr>
      <w:r>
        <w:rPr>
          <w:sz w:val="22"/>
          <w:szCs w:val="22"/>
          <w:u w:val="single"/>
        </w:rPr>
        <w:t>Kölcsönhatások egyéb gyógyszerekkel</w:t>
      </w:r>
    </w:p>
    <w:p w:rsidR="00224F0F" w:rsidRDefault="00485CCD">
      <w:pPr>
        <w:keepNext/>
        <w:spacing w:line="240" w:lineRule="auto"/>
        <w:rPr>
          <w:lang w:val="hu-HU"/>
        </w:rPr>
      </w:pPr>
      <w:r>
        <w:t>A Razarxo alkalmazása nem javasolt, ha a beteg egyidejűleg szisztémás azol típusú antimikotikum (pl. ketokonazol, itrakonazol, vorikonazol és pozakonazol) vagy HIV-proteáz inhibitor (pl. ritonavir) kezelésben részesül. Ezek a hatóanyagok erősen gátolják a CYP3A4-et és a P-glikoproteineket (P-gp), ezáltal klinikailag jelentős mértékben növelhetik a rivaroxabán plazmakoncentrációját (átlagosan 2,6-szeresére), ami fokozott vérzési kockázathoz vezethet.</w:t>
      </w:r>
      <w:r>
        <w:rPr>
          <w:lang w:val="hu-HU"/>
        </w:rPr>
        <w:t xml:space="preserve"> Nem állnak rendelkezésre klinikai adatok olyan gyermekektől, akik egyidejűleg a CYP3A4-et és a P-gp-t is egyaránt erősen gátló, szisztémás kezelést kapnak (lásd 4.5 pont).</w:t>
      </w:r>
    </w:p>
    <w:p w:rsidR="00224F0F" w:rsidRDefault="00224F0F">
      <w:pPr>
        <w:pStyle w:val="Default"/>
        <w:rPr>
          <w:sz w:val="22"/>
          <w:szCs w:val="22"/>
        </w:rPr>
      </w:pPr>
    </w:p>
    <w:p w:rsidR="00224F0F" w:rsidRDefault="00485CCD">
      <w:pPr>
        <w:spacing w:line="240" w:lineRule="auto"/>
        <w:rPr>
          <w:color w:val="000000"/>
          <w:lang w:val="hu-HU"/>
        </w:rPr>
      </w:pPr>
      <w:r>
        <w:rPr>
          <w:color w:val="000000"/>
          <w:lang w:val="hu-HU"/>
        </w:rPr>
        <w:t xml:space="preserve">Elővigyázatosan kell eljárni, ha a beteg egyidejűleg a véralvadást befolyásoló egyéb gyógyszereket szed, ilyenek a nemszteroid gyulladásgátló gyógyszerek (NSAID), acetilszalicilsav és thrombocitaaggregáció-gátlók vagy </w:t>
      </w:r>
      <w:r>
        <w:rPr>
          <w:color w:val="000000"/>
        </w:rPr>
        <w:t>szelektív szerotoninvisszavétel-gátlók (SSRI) és szerotonin-noradrenalinvisszavétel-gátlók (SNRI).</w:t>
      </w:r>
      <w:r>
        <w:rPr>
          <w:color w:val="000000"/>
          <w:lang w:val="hu-HU"/>
        </w:rPr>
        <w:t xml:space="preserve"> Olyan betegek esetében, akiknél fennáll gyomor-bélrendszeri fekély kockázata, megfontolható a megfelelő profilaktikus kezelés (lásd 4.5 pont).</w:t>
      </w:r>
    </w:p>
    <w:p w:rsidR="00224F0F" w:rsidRDefault="00224F0F">
      <w:pPr>
        <w:spacing w:line="240" w:lineRule="auto"/>
        <w:rPr>
          <w:color w:val="000000"/>
          <w:lang w:val="hu-HU"/>
        </w:rPr>
      </w:pPr>
    </w:p>
    <w:p w:rsidR="00224F0F" w:rsidRDefault="00485CCD">
      <w:pPr>
        <w:pStyle w:val="Default"/>
        <w:rPr>
          <w:sz w:val="22"/>
          <w:szCs w:val="22"/>
        </w:rPr>
      </w:pPr>
      <w:r>
        <w:rPr>
          <w:sz w:val="22"/>
          <w:szCs w:val="22"/>
          <w:u w:val="single"/>
        </w:rPr>
        <w:t>Egyéb vérzéses kockázati faktorok</w:t>
      </w:r>
    </w:p>
    <w:p w:rsidR="00224F0F" w:rsidRDefault="00485CCD">
      <w:pPr>
        <w:pStyle w:val="Default"/>
        <w:rPr>
          <w:sz w:val="22"/>
          <w:szCs w:val="22"/>
        </w:rPr>
      </w:pPr>
      <w:r>
        <w:rPr>
          <w:sz w:val="22"/>
          <w:szCs w:val="22"/>
        </w:rPr>
        <w:t>A rivaroxabán alkalmazása – az egyéb antithrombotikus gyógyszerekhez hasonlóan – nem javasolt a vérzés szempontjából fokozott kockázatú betegek esetében, mint például:</w:t>
      </w:r>
    </w:p>
    <w:p w:rsidR="00224F0F" w:rsidRDefault="00485CCD">
      <w:pPr>
        <w:pStyle w:val="Default"/>
        <w:numPr>
          <w:ilvl w:val="0"/>
          <w:numId w:val="11"/>
        </w:numPr>
        <w:ind w:left="567" w:hanging="567"/>
        <w:rPr>
          <w:sz w:val="22"/>
          <w:szCs w:val="22"/>
        </w:rPr>
      </w:pPr>
      <w:r>
        <w:rPr>
          <w:sz w:val="22"/>
          <w:szCs w:val="22"/>
        </w:rPr>
        <w:t>veleszületett vagy szerzett vérzéses megbetegedések</w:t>
      </w:r>
    </w:p>
    <w:p w:rsidR="00224F0F" w:rsidRDefault="00485CCD">
      <w:pPr>
        <w:pStyle w:val="Default"/>
        <w:numPr>
          <w:ilvl w:val="0"/>
          <w:numId w:val="11"/>
        </w:numPr>
        <w:ind w:left="567" w:hanging="567"/>
        <w:rPr>
          <w:sz w:val="22"/>
          <w:szCs w:val="22"/>
        </w:rPr>
      </w:pPr>
      <w:r>
        <w:rPr>
          <w:sz w:val="22"/>
          <w:szCs w:val="22"/>
        </w:rPr>
        <w:t>nem kontrollált súlyos artériás hypertonia</w:t>
      </w:r>
    </w:p>
    <w:p w:rsidR="00224F0F" w:rsidRDefault="00485CCD">
      <w:pPr>
        <w:pStyle w:val="Default"/>
        <w:numPr>
          <w:ilvl w:val="0"/>
          <w:numId w:val="11"/>
        </w:numPr>
        <w:ind w:left="567" w:hanging="567"/>
        <w:rPr>
          <w:sz w:val="22"/>
          <w:szCs w:val="22"/>
        </w:rPr>
      </w:pPr>
      <w:r>
        <w:rPr>
          <w:sz w:val="22"/>
          <w:szCs w:val="22"/>
        </w:rPr>
        <w:t>egyéb, olyan aktív ulceratio mentes gastrointestinalis betegség, amely vérzési komplikációk kialakulásához vezethet (pl.: gyulladásos bélbetegség, oesophagitis, gastritis, gastrooesophagealis reflux betegség)</w:t>
      </w:r>
    </w:p>
    <w:p w:rsidR="00224F0F" w:rsidRDefault="00485CCD">
      <w:pPr>
        <w:pStyle w:val="Default"/>
        <w:numPr>
          <w:ilvl w:val="0"/>
          <w:numId w:val="11"/>
        </w:numPr>
        <w:ind w:left="567" w:hanging="567"/>
        <w:rPr>
          <w:sz w:val="22"/>
          <w:szCs w:val="22"/>
        </w:rPr>
      </w:pPr>
      <w:r>
        <w:rPr>
          <w:sz w:val="22"/>
          <w:szCs w:val="22"/>
        </w:rPr>
        <w:t>vascularis retinopathia</w:t>
      </w:r>
    </w:p>
    <w:p w:rsidR="00224F0F" w:rsidRDefault="00485CCD">
      <w:pPr>
        <w:pStyle w:val="Default"/>
        <w:numPr>
          <w:ilvl w:val="0"/>
          <w:numId w:val="11"/>
        </w:numPr>
        <w:ind w:left="567" w:hanging="567"/>
        <w:rPr>
          <w:sz w:val="22"/>
          <w:szCs w:val="22"/>
        </w:rPr>
      </w:pPr>
      <w:r>
        <w:rPr>
          <w:sz w:val="22"/>
          <w:szCs w:val="22"/>
        </w:rPr>
        <w:t>bronchiectasia vagy korábbi tüdővérzés</w:t>
      </w:r>
    </w:p>
    <w:p w:rsidR="00224F0F" w:rsidRDefault="00224F0F">
      <w:pPr>
        <w:pStyle w:val="Default"/>
        <w:rPr>
          <w:sz w:val="22"/>
          <w:szCs w:val="22"/>
        </w:rPr>
      </w:pPr>
    </w:p>
    <w:p w:rsidR="00224F0F" w:rsidRDefault="00485CCD">
      <w:pPr>
        <w:pStyle w:val="Default"/>
        <w:rPr>
          <w:sz w:val="22"/>
          <w:szCs w:val="22"/>
          <w:u w:val="single"/>
        </w:rPr>
      </w:pPr>
      <w:r>
        <w:rPr>
          <w:sz w:val="22"/>
          <w:szCs w:val="22"/>
          <w:u w:val="single"/>
        </w:rPr>
        <w:t>Daganatos betegek</w:t>
      </w:r>
    </w:p>
    <w:p w:rsidR="00224F0F" w:rsidRDefault="00485CCD">
      <w:pPr>
        <w:pStyle w:val="Default"/>
        <w:rPr>
          <w:sz w:val="22"/>
          <w:szCs w:val="22"/>
        </w:rPr>
      </w:pPr>
      <w:r>
        <w:rPr>
          <w:sz w:val="22"/>
          <w:szCs w:val="22"/>
        </w:rPr>
        <w:t>A rosszindulatú megbetegedésben szenvedő betegeknél egyidejűleg nagyobb lehet a vérzés és a trombózis kockázata. Az aktív stádiumban lévő rosszindulatú daganatos betegeknél az antitrombotikus kezelés egyedi előnyét mérlegelni kell a vérzés kockázatával szemben a tumor elhelyezkedése, az antineoplasztikus terápia és a betegség stádiumának függvényében. A gastrointestinalis vagy az urogenitalis területen elhelyezkedő tumorokhoz a rivaroxabán-terápia alatt megnövekedett vérzési kockázat társult. Nagy vérzési kockázattal járó, rosszindulatú neoplazmás betegeknél a rivaroxabán alkalmazása ellenjavalt (lásd 4.3 pont).</w:t>
      </w:r>
    </w:p>
    <w:p w:rsidR="00224F0F" w:rsidRDefault="00224F0F">
      <w:pPr>
        <w:pStyle w:val="Default"/>
        <w:rPr>
          <w:sz w:val="22"/>
          <w:szCs w:val="22"/>
        </w:rPr>
      </w:pPr>
    </w:p>
    <w:p w:rsidR="00224F0F" w:rsidRDefault="00485CCD">
      <w:pPr>
        <w:pStyle w:val="Default"/>
        <w:rPr>
          <w:sz w:val="22"/>
          <w:szCs w:val="22"/>
          <w:u w:val="single"/>
        </w:rPr>
      </w:pPr>
      <w:r>
        <w:rPr>
          <w:sz w:val="22"/>
          <w:szCs w:val="22"/>
          <w:u w:val="single"/>
        </w:rPr>
        <w:t>Műbillentyűvel élő betegek</w:t>
      </w:r>
    </w:p>
    <w:p w:rsidR="00224F0F" w:rsidRDefault="00485CCD">
      <w:pPr>
        <w:pStyle w:val="Default"/>
        <w:rPr>
          <w:sz w:val="22"/>
          <w:szCs w:val="22"/>
        </w:rPr>
      </w:pPr>
      <w:r>
        <w:rPr>
          <w:sz w:val="22"/>
          <w:szCs w:val="22"/>
        </w:rPr>
        <w:t>A rivaroxabán nem alkalmazható thromboprophylaxis céljára olyan betegeknél, akik nemrég transzkatéteres aortabillentyű-pótláson (TAVR) estek át. A rivaroxabán biztonságosságát és hatásosságát nem vizsgálták műbillentyűs betegeknél, ezért nincs adat annak alátámasztására, hogy a rivaroxabán megfelelő véralvadásgátlást biztosít ebben a betegcsoportban. A rivaroxabán kezelés ezeknél a betegeknél nem javasolt.</w:t>
      </w:r>
    </w:p>
    <w:p w:rsidR="00224F0F" w:rsidRDefault="00224F0F">
      <w:pPr>
        <w:spacing w:line="240" w:lineRule="auto"/>
        <w:rPr>
          <w:color w:val="000000"/>
          <w:lang w:val="hu-HU"/>
        </w:rPr>
      </w:pPr>
    </w:p>
    <w:p w:rsidR="00224F0F" w:rsidRDefault="00485CCD">
      <w:pPr>
        <w:pStyle w:val="Default"/>
        <w:rPr>
          <w:sz w:val="22"/>
          <w:szCs w:val="22"/>
          <w:u w:val="single"/>
        </w:rPr>
      </w:pPr>
      <w:r>
        <w:rPr>
          <w:sz w:val="22"/>
          <w:szCs w:val="22"/>
          <w:u w:val="single"/>
        </w:rPr>
        <w:t>Antifoszfolipid szindrómában szenvedő betegek</w:t>
      </w:r>
    </w:p>
    <w:p w:rsidR="00224F0F" w:rsidRDefault="00485CCD">
      <w:pPr>
        <w:spacing w:line="240" w:lineRule="auto"/>
        <w:rPr>
          <w:color w:val="000000"/>
          <w:lang w:val="hu-HU"/>
        </w:rPr>
      </w:pPr>
      <w:r>
        <w:rPr>
          <w:color w:val="000000"/>
          <w:lang w:val="hu-HU"/>
        </w:rPr>
        <w:t>A direkt hatású orális antikoagulánsok (DOAC), köztük a rivaroxabán nem javasoltak olyan, korábban thrombosison átesett betegeknél, akiknél antifoszfolipid szindrómát diagnosztizáltak. Különösen tripla pozitív betegeknél (lupusz antikoaguláns, antikardiolipin antitestek és anti-béta-2-glikoprotein-I-antitestek) a DOAK-kezelés a visszatérő thromboticus események nagyobb gyakoriságával társulhat a K-vitamin-antagonistákhoz képest.</w:t>
      </w:r>
    </w:p>
    <w:p w:rsidR="00224F0F" w:rsidRDefault="00224F0F">
      <w:pPr>
        <w:spacing w:line="240" w:lineRule="auto"/>
        <w:rPr>
          <w:color w:val="000000"/>
          <w:lang w:val="hu-HU"/>
        </w:rPr>
      </w:pPr>
    </w:p>
    <w:p w:rsidR="00224F0F" w:rsidRDefault="00485CCD">
      <w:pPr>
        <w:tabs>
          <w:tab w:val="clear" w:pos="567"/>
        </w:tabs>
        <w:autoSpaceDE w:val="0"/>
        <w:autoSpaceDN w:val="0"/>
        <w:adjustRightInd w:val="0"/>
        <w:spacing w:line="240" w:lineRule="auto"/>
        <w:rPr>
          <w:color w:val="000000"/>
          <w:u w:val="single"/>
          <w:lang w:val="hu-HU" w:eastAsia="hu-HU"/>
        </w:rPr>
      </w:pPr>
      <w:r>
        <w:rPr>
          <w:color w:val="000000"/>
          <w:u w:val="single"/>
          <w:lang w:val="hu-HU" w:eastAsia="hu-HU"/>
        </w:rPr>
        <w:t>Stent beültetéssel járó percutan coronaria intervención (PCI) átes</w:t>
      </w:r>
      <w:r>
        <w:rPr>
          <w:rFonts w:eastAsia="TimesNewRomanPSMT"/>
          <w:color w:val="000000"/>
          <w:u w:val="single"/>
          <w:lang w:val="hu-HU" w:eastAsia="hu-HU"/>
        </w:rPr>
        <w:t>ő</w:t>
      </w:r>
      <w:r>
        <w:rPr>
          <w:color w:val="000000"/>
          <w:u w:val="single"/>
          <w:lang w:val="hu-HU" w:eastAsia="hu-HU"/>
        </w:rPr>
        <w:t>, nem-valvularis eredet</w:t>
      </w:r>
      <w:r>
        <w:rPr>
          <w:rFonts w:eastAsia="TimesNewRomanPSMT"/>
          <w:color w:val="000000"/>
          <w:u w:val="single"/>
          <w:lang w:val="hu-HU" w:eastAsia="hu-HU"/>
        </w:rPr>
        <w:t xml:space="preserve">ű </w:t>
      </w:r>
      <w:r>
        <w:rPr>
          <w:color w:val="000000"/>
          <w:u w:val="single"/>
          <w:lang w:val="hu-HU" w:eastAsia="hu-HU"/>
        </w:rPr>
        <w:t>pitvarfibrillációban szenved</w:t>
      </w:r>
      <w:r>
        <w:rPr>
          <w:rFonts w:eastAsia="TimesNewRomanPSMT"/>
          <w:color w:val="000000"/>
          <w:u w:val="single"/>
          <w:lang w:val="hu-HU" w:eastAsia="hu-HU"/>
        </w:rPr>
        <w:t xml:space="preserve">ő </w:t>
      </w:r>
      <w:r>
        <w:rPr>
          <w:color w:val="000000"/>
          <w:u w:val="single"/>
          <w:lang w:val="hu-HU" w:eastAsia="hu-HU"/>
        </w:rPr>
        <w:t>betegek</w:t>
      </w:r>
    </w:p>
    <w:p w:rsidR="00224F0F" w:rsidRDefault="00485CCD">
      <w:pPr>
        <w:tabs>
          <w:tab w:val="clear" w:pos="567"/>
        </w:tabs>
        <w:autoSpaceDE w:val="0"/>
        <w:autoSpaceDN w:val="0"/>
        <w:adjustRightInd w:val="0"/>
        <w:spacing w:line="240" w:lineRule="auto"/>
        <w:rPr>
          <w:color w:val="000000"/>
          <w:lang w:val="hu-HU"/>
        </w:rPr>
      </w:pPr>
      <w:r>
        <w:rPr>
          <w:color w:val="000000"/>
          <w:lang w:val="hu-HU" w:eastAsia="hu-HU"/>
        </w:rPr>
        <w:t>Rendelkezésre állnak klinikai adatok egy beavatkozással járó vizsgálatból, melynek f</w:t>
      </w:r>
      <w:r>
        <w:rPr>
          <w:rFonts w:eastAsia="TimesNewRomanPSMT"/>
          <w:color w:val="000000"/>
          <w:lang w:val="hu-HU" w:eastAsia="hu-HU"/>
        </w:rPr>
        <w:t xml:space="preserve">ő </w:t>
      </w:r>
      <w:r>
        <w:rPr>
          <w:color w:val="000000"/>
          <w:lang w:val="hu-HU" w:eastAsia="hu-HU"/>
        </w:rPr>
        <w:t>célja a biztonságosság értékelése volt stent beültetéses percutan coronaria intervención (PCI) átes</w:t>
      </w:r>
      <w:r>
        <w:rPr>
          <w:rFonts w:eastAsia="TimesNewRomanPSMT"/>
          <w:color w:val="000000"/>
          <w:lang w:val="hu-HU" w:eastAsia="hu-HU"/>
        </w:rPr>
        <w:t xml:space="preserve">ő </w:t>
      </w:r>
      <w:r>
        <w:rPr>
          <w:color w:val="000000"/>
          <w:lang w:val="hu-HU" w:eastAsia="hu-HU"/>
        </w:rPr>
        <w:t>nem-valvuláris eredet</w:t>
      </w:r>
      <w:r>
        <w:rPr>
          <w:rFonts w:eastAsia="TimesNewRomanPSMT"/>
          <w:color w:val="000000"/>
          <w:lang w:val="hu-HU" w:eastAsia="hu-HU"/>
        </w:rPr>
        <w:t xml:space="preserve">ű </w:t>
      </w:r>
      <w:r>
        <w:rPr>
          <w:color w:val="000000"/>
          <w:lang w:val="hu-HU" w:eastAsia="hu-HU"/>
        </w:rPr>
        <w:t>pitvarfibrillációban szenved</w:t>
      </w:r>
      <w:r>
        <w:rPr>
          <w:rFonts w:eastAsia="TimesNewRomanPSMT"/>
          <w:color w:val="000000"/>
          <w:lang w:val="hu-HU" w:eastAsia="hu-HU"/>
        </w:rPr>
        <w:t xml:space="preserve">ő </w:t>
      </w:r>
      <w:r>
        <w:rPr>
          <w:color w:val="000000"/>
          <w:lang w:val="hu-HU" w:eastAsia="hu-HU"/>
        </w:rPr>
        <w:t>betegeknél. A hatásosságra vonatkozó adatok ebben a populációban korlátozottak (lásd 4.2 és 5.1 pontok). Nem állnak rendelkezésre adatok az olyan betegek esetén, akiknek a kórel</w:t>
      </w:r>
      <w:r>
        <w:rPr>
          <w:rFonts w:eastAsia="TimesNewRomanPSMT"/>
          <w:color w:val="000000"/>
          <w:lang w:val="hu-HU" w:eastAsia="hu-HU"/>
        </w:rPr>
        <w:t>ő</w:t>
      </w:r>
      <w:r>
        <w:rPr>
          <w:color w:val="000000"/>
          <w:lang w:val="hu-HU" w:eastAsia="hu-HU"/>
        </w:rPr>
        <w:t>zményében stroke/transiens ischaemiás attack (TIA) szerepel.</w:t>
      </w:r>
    </w:p>
    <w:p w:rsidR="00224F0F" w:rsidRDefault="00224F0F">
      <w:pPr>
        <w:spacing w:line="240" w:lineRule="auto"/>
        <w:rPr>
          <w:color w:val="000000"/>
          <w:lang w:val="hu-HU"/>
        </w:rPr>
      </w:pPr>
    </w:p>
    <w:p w:rsidR="00224F0F" w:rsidRDefault="00485CCD">
      <w:pPr>
        <w:pStyle w:val="Default"/>
        <w:rPr>
          <w:sz w:val="22"/>
          <w:szCs w:val="22"/>
        </w:rPr>
      </w:pPr>
      <w:r>
        <w:rPr>
          <w:sz w:val="22"/>
          <w:szCs w:val="22"/>
          <w:u w:val="single"/>
        </w:rPr>
        <w:t>Hemodinamikailag instabil PE betegek, vagy olyan betegek, akiknél thrombolysis vagy pulmonalis embolectomia szükséges</w:t>
      </w:r>
    </w:p>
    <w:p w:rsidR="00224F0F" w:rsidRDefault="00485CCD">
      <w:pPr>
        <w:pStyle w:val="Default"/>
        <w:rPr>
          <w:sz w:val="22"/>
          <w:szCs w:val="22"/>
        </w:rPr>
      </w:pPr>
      <w:r>
        <w:rPr>
          <w:sz w:val="22"/>
          <w:szCs w:val="22"/>
        </w:rPr>
        <w:t>A Razarxo nem ajánlott a nem frakcionált heparin alternatívájaként olyan betegeknél, akik pulmonalis emboliában szenvednek és hemodinamikailag instabilak vagy thrombolysis vagy pulmonalis embolectomia lehet náluk szükséges, mert a rivaroxabán biztonságosságát és hatásosságát ezekben a klinikai helyzetekben nem állapították meg.</w:t>
      </w:r>
    </w:p>
    <w:p w:rsidR="00224F0F" w:rsidRDefault="00224F0F">
      <w:pPr>
        <w:pStyle w:val="Default"/>
        <w:rPr>
          <w:sz w:val="22"/>
          <w:szCs w:val="22"/>
        </w:rPr>
      </w:pPr>
    </w:p>
    <w:p w:rsidR="00224F0F" w:rsidRDefault="00485CCD">
      <w:pPr>
        <w:pStyle w:val="Default"/>
        <w:rPr>
          <w:sz w:val="22"/>
          <w:szCs w:val="22"/>
        </w:rPr>
      </w:pPr>
      <w:r>
        <w:rPr>
          <w:sz w:val="22"/>
          <w:szCs w:val="22"/>
          <w:u w:val="single"/>
        </w:rPr>
        <w:t>Spinális/epidurális érzéstelenítés vagy punkció</w:t>
      </w:r>
    </w:p>
    <w:p w:rsidR="00224F0F" w:rsidRDefault="00485CCD">
      <w:pPr>
        <w:pStyle w:val="Default"/>
        <w:rPr>
          <w:sz w:val="22"/>
          <w:szCs w:val="22"/>
        </w:rPr>
      </w:pPr>
      <w:r>
        <w:rPr>
          <w:sz w:val="22"/>
          <w:szCs w:val="22"/>
        </w:rPr>
        <w:t>Gerincközeli érzéstelenítés (spinális/epidurális érzéstelenítés) vagy spinális/epidurális punkció alkalmazásakor a thromboembóliás szövődmények megelőzésére véralvadásgátló gyógyszert szedő betegek esetében fennáll az epidurális vagy spinális haematoma kialakulásának veszélye, ami hosszú távú vagy maradandó bénulást eredményezhet. Ezen események kockázata fokozódik a posztoperatív időszakban állandó epidurális katéterek vagy a hemosztázist befolyásoló gyógyszerek egyidejű alkalmazása esetén. A kockázat szintén nő traumatizáló vagy ismételt epidurális vagy spinális punkciók esetén. A betegeket sűrűn kell monitorozni a neurológiai károsodás jeleinek és tüneteinek észlelése érdekében (pl. alsó végtagi zsibbadás vagy gyengeség, a belek vagy a húgyhólyag funkciózavara). Neurológiai károsodás észlelése esetén sürgős diagnózis és kezelés szükséges. A gerincközeli beavatkozás előtt az orvosnak mérlegelnie kell a potenciális előny és kockázat arányát a thromboprofilaxis miatt antikoagulált, illetve a későbbiekben antikoaguláns kezelésben részesülő betegek esetében. Ezekben az esetekben nem áll rendelkezésre klinikai tapasztalat 15 mg használatával kapcsolatban.</w:t>
      </w:r>
    </w:p>
    <w:p w:rsidR="00224F0F" w:rsidRDefault="00485CCD">
      <w:pPr>
        <w:pStyle w:val="Default"/>
        <w:rPr>
          <w:sz w:val="22"/>
          <w:szCs w:val="22"/>
        </w:rPr>
      </w:pPr>
      <w:r>
        <w:rPr>
          <w:sz w:val="22"/>
          <w:szCs w:val="22"/>
        </w:rPr>
        <w:t>A rivaroxabán és a gerincközeli (epidurális/spinális) érzéstelenítés vagy spinális punkció együttes alkalmazásából eredő vérzési kockázat mérsékelése érdekében figyelembe kell venni a rivaroxabán farmakokinetikai profilját. Epidurális katéter behelyezésére- vagy kivételére, illetve lumbálpunkció elvégzésére az az időszak a legmegfelelőbb, amikor a rivaroxabán antikoaguláns hatása alacsonyra tehető. Ugyanakkor a megfelelően alacsony antikoaguláns hatás eléréséhez szükséges pontos időzítés nem ismert egy adott beteg esetében és mérlegelni kell a diagnosztikai eljárás sürgősségével szemben.</w:t>
      </w:r>
    </w:p>
    <w:p w:rsidR="00224F0F" w:rsidRDefault="00485CCD">
      <w:pPr>
        <w:pStyle w:val="Default"/>
        <w:rPr>
          <w:sz w:val="22"/>
          <w:szCs w:val="22"/>
        </w:rPr>
      </w:pPr>
      <w:r>
        <w:rPr>
          <w:sz w:val="22"/>
          <w:szCs w:val="22"/>
        </w:rPr>
        <w:t>Az epidurális katéter eltávolítására vonatkozó ajánlás az általános farmakokinetikai jellemzőkön alapul, és a felezési idő kétszeresénél javasolt, vagyis a rivaroxabán utolsó alkalmazása után legalább 18 órának kell eltelnie fiatal felnőtt betegek, és legalább 26 órának kell eltelnie idős betegek esetében (lásd 5.2 pont). A katéter eltávolítását követően legalább 6 órának kell eltelnie a rivaroxabán következő adagjának alkalmazása előtt.</w:t>
      </w:r>
    </w:p>
    <w:p w:rsidR="00224F0F" w:rsidRDefault="00485CCD">
      <w:pPr>
        <w:spacing w:line="240" w:lineRule="auto"/>
        <w:rPr>
          <w:color w:val="000000"/>
          <w:lang w:val="hu-HU"/>
        </w:rPr>
      </w:pPr>
      <w:r>
        <w:rPr>
          <w:color w:val="000000"/>
          <w:lang w:val="hu-HU"/>
        </w:rPr>
        <w:lastRenderedPageBreak/>
        <w:t>Traumatizáló punkció esetén a rivaroxabán alkalmazását 24 órával el kell halasztani.</w:t>
      </w:r>
    </w:p>
    <w:p w:rsidR="00224F0F" w:rsidRDefault="00485CCD">
      <w:pPr>
        <w:pStyle w:val="Default"/>
        <w:rPr>
          <w:sz w:val="22"/>
          <w:szCs w:val="22"/>
          <w:u w:val="single"/>
        </w:rPr>
      </w:pPr>
      <w:r>
        <w:rPr>
          <w:sz w:val="22"/>
          <w:szCs w:val="22"/>
        </w:rPr>
        <w:t>Nincsenek rendelkezésre álló adatok arról, hogy mikor kell behelyezni vagy eltávolítani a neuraxialis katétert gyermekeknél a Razarxo-kezelés ideje alatt. Ilyen esetekben a rivaroxabán alkalmazását abba kell hagyni és egy rövid hatású parenterális véralvadásgátló alkalmazását meg kell fontolni.</w:t>
      </w:r>
    </w:p>
    <w:p w:rsidR="00224F0F" w:rsidRDefault="00224F0F">
      <w:pPr>
        <w:spacing w:line="240" w:lineRule="auto"/>
        <w:rPr>
          <w:color w:val="000000"/>
          <w:lang w:val="hu-HU"/>
        </w:rPr>
      </w:pPr>
    </w:p>
    <w:p w:rsidR="00224F0F" w:rsidRDefault="00485CCD">
      <w:pPr>
        <w:pStyle w:val="Default"/>
        <w:rPr>
          <w:sz w:val="22"/>
          <w:szCs w:val="22"/>
        </w:rPr>
      </w:pPr>
      <w:r>
        <w:rPr>
          <w:sz w:val="22"/>
          <w:szCs w:val="22"/>
          <w:u w:val="single"/>
        </w:rPr>
        <w:t>Adagolási ajánlások invazív és műtéti beavatkozások előtt és után</w:t>
      </w:r>
    </w:p>
    <w:p w:rsidR="00224F0F" w:rsidRDefault="00485CCD">
      <w:pPr>
        <w:pStyle w:val="Default"/>
        <w:rPr>
          <w:sz w:val="22"/>
          <w:szCs w:val="22"/>
        </w:rPr>
      </w:pPr>
      <w:r>
        <w:rPr>
          <w:sz w:val="22"/>
          <w:szCs w:val="22"/>
        </w:rPr>
        <w:t>Amennyiben invazív vagy műtéti beavatkozás szükséges, a Razarxo 15 mg filmtablettát legalább 24 órával a beavatkozás előtt le kell állítani, ha ez lehetséges, és egybeesik az orvos klinikai megítélésével. Ha a beavatkozást nem lehet elhalasztani, akkor mérlegelni kell a vérzés fokozott kockázatát a beavatkozás sürgősségével szemben.</w:t>
      </w:r>
    </w:p>
    <w:p w:rsidR="00224F0F" w:rsidRDefault="00485CCD">
      <w:pPr>
        <w:pStyle w:val="Default"/>
        <w:rPr>
          <w:sz w:val="22"/>
          <w:szCs w:val="22"/>
        </w:rPr>
      </w:pPr>
      <w:r>
        <w:rPr>
          <w:sz w:val="22"/>
          <w:szCs w:val="22"/>
        </w:rPr>
        <w:t>A Razarxo szedését a lehető leghamarabb el kell kezdeni az invazív vagy műtéti beavatkozás után, amennyiben ezt az adott klinikai helyzet lehetővé teszi, illetve a kezelőorvos megítélése szerint megfelelő vérzéscsillapítást alkalmaztak (lásd 5.2 pont).</w:t>
      </w:r>
    </w:p>
    <w:p w:rsidR="00224F0F" w:rsidRDefault="00224F0F">
      <w:pPr>
        <w:pStyle w:val="Default"/>
        <w:rPr>
          <w:sz w:val="22"/>
          <w:szCs w:val="22"/>
        </w:rPr>
      </w:pPr>
    </w:p>
    <w:p w:rsidR="00224F0F" w:rsidRDefault="00485CCD">
      <w:pPr>
        <w:pStyle w:val="Default"/>
        <w:rPr>
          <w:sz w:val="22"/>
          <w:szCs w:val="22"/>
        </w:rPr>
      </w:pPr>
      <w:r>
        <w:rPr>
          <w:sz w:val="22"/>
          <w:szCs w:val="22"/>
          <w:u w:val="single"/>
        </w:rPr>
        <w:t>Idősek</w:t>
      </w:r>
    </w:p>
    <w:p w:rsidR="00224F0F" w:rsidRDefault="00485CCD">
      <w:pPr>
        <w:pStyle w:val="Default"/>
        <w:rPr>
          <w:sz w:val="22"/>
          <w:szCs w:val="22"/>
        </w:rPr>
      </w:pPr>
      <w:r>
        <w:rPr>
          <w:sz w:val="22"/>
          <w:szCs w:val="22"/>
        </w:rPr>
        <w:t>Az életkor előrehaladtával fokozódhat a vérzés kockázata (lásd 5.2 pont).</w:t>
      </w:r>
    </w:p>
    <w:p w:rsidR="00224F0F" w:rsidRDefault="00224F0F">
      <w:pPr>
        <w:pStyle w:val="Default"/>
        <w:rPr>
          <w:sz w:val="22"/>
          <w:szCs w:val="22"/>
        </w:rPr>
      </w:pPr>
    </w:p>
    <w:p w:rsidR="00224F0F" w:rsidRDefault="00485CCD">
      <w:pPr>
        <w:pStyle w:val="Default"/>
        <w:rPr>
          <w:sz w:val="22"/>
          <w:szCs w:val="22"/>
        </w:rPr>
      </w:pPr>
      <w:r>
        <w:rPr>
          <w:sz w:val="22"/>
          <w:szCs w:val="22"/>
          <w:u w:val="single"/>
        </w:rPr>
        <w:t>Bőrreakciók</w:t>
      </w:r>
    </w:p>
    <w:p w:rsidR="00224F0F" w:rsidRDefault="00485CCD">
      <w:pPr>
        <w:spacing w:line="240" w:lineRule="auto"/>
        <w:rPr>
          <w:color w:val="000000"/>
          <w:lang w:val="hu-HU"/>
        </w:rPr>
      </w:pPr>
      <w:r>
        <w:rPr>
          <w:color w:val="000000"/>
          <w:lang w:val="hu-HU"/>
        </w:rPr>
        <w:t>A forgalomba hozatalt követően a rivaroxabán használatával összefüggésben súlyos bőrreakciókról számoltak be, beleértve a Stevens–Johnson-szindrómát/a toxicus epidermalis necrolysist és a DRESS szindrómát is (lásd 4.</w:t>
      </w:r>
      <w:r>
        <w:t>8 pont</w:t>
      </w:r>
      <w:r>
        <w:rPr>
          <w:color w:val="000000"/>
          <w:lang w:val="hu-HU"/>
        </w:rPr>
        <w:t>). A betegeknél ezeknek a reakcióknak vélhetően a kezelés korai szakaszában van a legnagyobb kockázata: az esetek túlnyomó többségében a reakció kezdete a kezelés első heteire esett. A rivaroxabán-kezelést súlyos bőrreakció (pl. terjedő, intenzív és/vagy hólyagképződéssel járó) vagy bármilyen más, mucosalis laesiókkal járó túlérzékenységi reakció első megjelenésekor abba kell hagyni!</w:t>
      </w:r>
    </w:p>
    <w:p w:rsidR="00224F0F" w:rsidRDefault="00224F0F">
      <w:pPr>
        <w:spacing w:line="240" w:lineRule="auto"/>
        <w:rPr>
          <w:color w:val="000000"/>
          <w:lang w:val="hu-HU"/>
        </w:rPr>
      </w:pPr>
    </w:p>
    <w:p w:rsidR="00224F0F" w:rsidRDefault="00485CCD">
      <w:pPr>
        <w:pStyle w:val="Default"/>
        <w:rPr>
          <w:sz w:val="22"/>
          <w:szCs w:val="22"/>
        </w:rPr>
      </w:pPr>
      <w:r>
        <w:rPr>
          <w:sz w:val="22"/>
          <w:szCs w:val="22"/>
          <w:u w:val="single"/>
        </w:rPr>
        <w:t>A segédanyagokkal kapcsolatos információk</w:t>
      </w:r>
    </w:p>
    <w:p w:rsidR="00224F0F" w:rsidRDefault="00485CCD">
      <w:pPr>
        <w:spacing w:line="240" w:lineRule="auto"/>
        <w:rPr>
          <w:color w:val="000000"/>
          <w:lang w:val="hu-HU"/>
        </w:rPr>
      </w:pPr>
      <w:r>
        <w:rPr>
          <w:color w:val="000000"/>
          <w:lang w:val="hu-HU"/>
        </w:rPr>
        <w:t>A készítmény kevesebb mint 1 mmol (23 mg) nátriumot tartalmaz filmtablettánként, azaz gyakorlatilag „nátriummentes”.</w:t>
      </w:r>
    </w:p>
    <w:p w:rsidR="00224F0F" w:rsidRDefault="00224F0F">
      <w:pPr>
        <w:spacing w:line="240" w:lineRule="auto"/>
        <w:rPr>
          <w:color w:val="000000"/>
          <w:lang w:val="hu-HU"/>
        </w:rPr>
      </w:pPr>
    </w:p>
    <w:p w:rsidR="00224F0F" w:rsidRDefault="00485CCD">
      <w:pPr>
        <w:spacing w:line="240" w:lineRule="auto"/>
        <w:ind w:left="567" w:hanging="567"/>
        <w:outlineLvl w:val="0"/>
        <w:rPr>
          <w:b/>
          <w:noProof/>
          <w:color w:val="000000"/>
          <w:lang w:val="hu-HU"/>
        </w:rPr>
      </w:pPr>
      <w:r>
        <w:rPr>
          <w:b/>
          <w:noProof/>
          <w:color w:val="000000"/>
          <w:lang w:val="hu-HU"/>
        </w:rPr>
        <w:t>4.5</w:t>
      </w:r>
      <w:r>
        <w:rPr>
          <w:b/>
          <w:noProof/>
          <w:color w:val="000000"/>
          <w:lang w:val="hu-HU"/>
        </w:rPr>
        <w:tab/>
        <w:t>Gyógyszerkölcsönhatások és egyéb interakciók</w:t>
      </w:r>
    </w:p>
    <w:p w:rsidR="00224F0F" w:rsidRDefault="00224F0F">
      <w:pPr>
        <w:spacing w:line="240" w:lineRule="auto"/>
        <w:ind w:left="567" w:hanging="567"/>
        <w:outlineLvl w:val="0"/>
        <w:rPr>
          <w:b/>
          <w:noProof/>
          <w:color w:val="000000"/>
          <w:lang w:val="hu-HU"/>
        </w:rPr>
      </w:pPr>
    </w:p>
    <w:p w:rsidR="00224F0F" w:rsidRDefault="00485CCD">
      <w:pPr>
        <w:pStyle w:val="Default"/>
        <w:rPr>
          <w:sz w:val="22"/>
          <w:szCs w:val="22"/>
          <w:lang w:val="en-GB"/>
        </w:rPr>
      </w:pPr>
      <w:r>
        <w:rPr>
          <w:sz w:val="22"/>
          <w:szCs w:val="22"/>
          <w:lang w:val="en-GB"/>
        </w:rPr>
        <w:t>A gyermekgyógyászati populációban nem ismert az interakciók mértéke. Gyermekek és serdülők esetében az alábbi, felnőtteknél gyűjtött interakciós adatokat, valamint a 4.4 pontban megfogalmazott figyelmeztetéseket kell figyelembe venni.</w:t>
      </w:r>
    </w:p>
    <w:p w:rsidR="00224F0F" w:rsidRDefault="00224F0F">
      <w:pPr>
        <w:pStyle w:val="Default"/>
        <w:rPr>
          <w:sz w:val="22"/>
          <w:szCs w:val="22"/>
          <w:u w:val="single"/>
        </w:rPr>
      </w:pPr>
    </w:p>
    <w:p w:rsidR="00224F0F" w:rsidRDefault="00485CCD">
      <w:pPr>
        <w:pStyle w:val="Default"/>
        <w:rPr>
          <w:sz w:val="22"/>
          <w:szCs w:val="22"/>
          <w:u w:val="single"/>
        </w:rPr>
      </w:pPr>
      <w:r>
        <w:rPr>
          <w:sz w:val="22"/>
          <w:szCs w:val="22"/>
          <w:u w:val="single"/>
        </w:rPr>
        <w:t>CYP3A4</w:t>
      </w:r>
      <w:r w:rsidR="002C6FA3">
        <w:rPr>
          <w:sz w:val="22"/>
          <w:szCs w:val="22"/>
          <w:u w:val="single"/>
        </w:rPr>
        <w:t>-</w:t>
      </w:r>
      <w:r>
        <w:rPr>
          <w:sz w:val="22"/>
          <w:szCs w:val="22"/>
          <w:u w:val="single"/>
        </w:rPr>
        <w:t xml:space="preserve"> és P-gp</w:t>
      </w:r>
      <w:r w:rsidR="002C6FA3">
        <w:rPr>
          <w:sz w:val="22"/>
          <w:szCs w:val="22"/>
          <w:u w:val="single"/>
        </w:rPr>
        <w:t>-</w:t>
      </w:r>
      <w:r>
        <w:rPr>
          <w:sz w:val="22"/>
          <w:szCs w:val="22"/>
          <w:u w:val="single"/>
        </w:rPr>
        <w:t>inhibitorok</w:t>
      </w:r>
    </w:p>
    <w:p w:rsidR="00224F0F" w:rsidRDefault="00485CCD">
      <w:pPr>
        <w:pStyle w:val="Default"/>
        <w:rPr>
          <w:sz w:val="22"/>
          <w:szCs w:val="22"/>
        </w:rPr>
      </w:pPr>
      <w:r>
        <w:rPr>
          <w:sz w:val="22"/>
          <w:szCs w:val="22"/>
        </w:rPr>
        <w:t>A rivaroxabán ketokonazollal (400 mg naponta egyszer) vagy ritonavirrel (600 mg naponta kétszer) történő egyidejű alkalmazása a rivaroxabán átlagos AUC-értékének 2,6-szeres / 2,5-szeres növekedéséhez, és a rivaroxabán átlagos C</w:t>
      </w:r>
      <w:r>
        <w:rPr>
          <w:sz w:val="22"/>
          <w:szCs w:val="22"/>
          <w:vertAlign w:val="subscript"/>
        </w:rPr>
        <w:t>max</w:t>
      </w:r>
      <w:r>
        <w:rPr>
          <w:sz w:val="22"/>
          <w:szCs w:val="22"/>
        </w:rPr>
        <w:t xml:space="preserve"> értékének 1,7-szeres / 1,6-szeres növekedéséhez vezetett, ami a gyógyszer farmakodinámiás hatásainak jelentős növekedésével társult, ami fokozott vérzési kockázathoz vezethet. Ezért a Razarxo alkalmazása nem javasolt egyidejű szisztémás azol típusú antimikotikum, pl. ketokonazol, itrakonazol, vorikonazol és pozakonazol vagy HIV-proteáz</w:t>
      </w:r>
      <w:r w:rsidR="002C6FA3">
        <w:rPr>
          <w:sz w:val="22"/>
          <w:szCs w:val="22"/>
        </w:rPr>
        <w:noBreakHyphen/>
      </w:r>
      <w:r>
        <w:rPr>
          <w:sz w:val="22"/>
          <w:szCs w:val="22"/>
        </w:rPr>
        <w:t>inhibitor kezelésben részesülő betegek esetén. Ezek a hatóanyagok a CYP3A4 és a P-gp erős gátlói (lásd 4.4 pont).</w:t>
      </w:r>
    </w:p>
    <w:p w:rsidR="00224F0F" w:rsidRDefault="00224F0F">
      <w:pPr>
        <w:pStyle w:val="Default"/>
        <w:rPr>
          <w:sz w:val="22"/>
          <w:szCs w:val="22"/>
        </w:rPr>
      </w:pPr>
    </w:p>
    <w:p w:rsidR="00224F0F" w:rsidRDefault="00485CCD">
      <w:pPr>
        <w:spacing w:line="240" w:lineRule="auto"/>
        <w:rPr>
          <w:color w:val="000000"/>
          <w:lang w:val="hu-HU"/>
        </w:rPr>
      </w:pPr>
      <w:r>
        <w:rPr>
          <w:color w:val="000000"/>
          <w:lang w:val="hu-HU"/>
        </w:rPr>
        <w:t>Azok a hatóanyagok, amelyek a rivaroxabánnak csak az egyik eliminációs útvonalát (akár a CYP3A4</w:t>
      </w:r>
      <w:r w:rsidR="002C6FA3">
        <w:rPr>
          <w:color w:val="000000"/>
          <w:lang w:val="hu-HU"/>
        </w:rPr>
        <w:noBreakHyphen/>
      </w:r>
      <w:r>
        <w:rPr>
          <w:color w:val="000000"/>
          <w:lang w:val="hu-HU"/>
        </w:rPr>
        <w:t>et vagy a P-gp-t) gátolják erősen, feltételezhetően kisebb mértékben fokozzák a rivaroxabán plazmakoncentrációját. A klaritromicin (500 mg naponta kétszer) például, ami erős CYP3A4</w:t>
      </w:r>
      <w:r w:rsidR="002C6FA3">
        <w:rPr>
          <w:color w:val="000000"/>
          <w:lang w:val="hu-HU"/>
        </w:rPr>
        <w:noBreakHyphen/>
      </w:r>
      <w:r>
        <w:rPr>
          <w:color w:val="000000"/>
          <w:lang w:val="hu-HU"/>
        </w:rPr>
        <w:t>inhibitornak és közepes P-gp</w:t>
      </w:r>
      <w:r w:rsidR="002C6FA3">
        <w:rPr>
          <w:color w:val="000000"/>
          <w:lang w:val="hu-HU"/>
        </w:rPr>
        <w:noBreakHyphen/>
      </w:r>
      <w:r>
        <w:rPr>
          <w:color w:val="000000"/>
          <w:lang w:val="hu-HU"/>
        </w:rPr>
        <w:t>inhibitornak tekinthető, az átlagos rivaroxabán AUC 1,5-szeres és a C</w:t>
      </w:r>
      <w:r>
        <w:rPr>
          <w:color w:val="000000"/>
          <w:vertAlign w:val="subscript"/>
          <w:lang w:val="hu-HU"/>
        </w:rPr>
        <w:t>max</w:t>
      </w:r>
      <w:r>
        <w:rPr>
          <w:color w:val="000000"/>
          <w:lang w:val="hu-HU"/>
        </w:rPr>
        <w:t xml:space="preserve"> 1,4-szeres emelkedését okozta. A klaritromicinnel való interakció a legtöbb betegnél valószínűleg klinikailag nem jelentős, de potenciálisan jelentős lehet a magas kockázatú betegeknél</w:t>
      </w:r>
      <w:r>
        <w:rPr>
          <w:color w:val="000000"/>
        </w:rPr>
        <w:t xml:space="preserve"> </w:t>
      </w:r>
      <w:r>
        <w:rPr>
          <w:color w:val="000000"/>
          <w:lang w:val="hu-HU"/>
        </w:rPr>
        <w:t>(Vesekárosodásban szenvedő betegek esetében: lásd 4.4 pont.).</w:t>
      </w:r>
    </w:p>
    <w:p w:rsidR="00224F0F" w:rsidRDefault="00224F0F">
      <w:pPr>
        <w:spacing w:line="240" w:lineRule="auto"/>
        <w:rPr>
          <w:color w:val="000000"/>
          <w:lang w:val="hu-HU" w:eastAsia="hu-HU"/>
        </w:rPr>
      </w:pPr>
    </w:p>
    <w:p w:rsidR="00224F0F" w:rsidRDefault="00485CCD">
      <w:pPr>
        <w:pStyle w:val="Default"/>
        <w:rPr>
          <w:sz w:val="22"/>
          <w:szCs w:val="22"/>
        </w:rPr>
      </w:pPr>
      <w:r>
        <w:rPr>
          <w:sz w:val="22"/>
          <w:szCs w:val="22"/>
        </w:rPr>
        <w:lastRenderedPageBreak/>
        <w:t>A CYP3A4-et és a P-gp-t közepes mértékben gátló eritromicin (500 mg naponta háromszor) alkalmazása a rivaroxabán átlagos AUC- és C</w:t>
      </w:r>
      <w:r>
        <w:rPr>
          <w:sz w:val="22"/>
          <w:szCs w:val="22"/>
          <w:vertAlign w:val="subscript"/>
        </w:rPr>
        <w:t>max</w:t>
      </w:r>
      <w:r>
        <w:rPr>
          <w:sz w:val="22"/>
          <w:szCs w:val="22"/>
        </w:rPr>
        <w:t>-értékének 1,3-szeres növekedéséhez vezetett. Az eritromicinnel való interakció a legtöbb betegnél valószínűleg klinikailag nem jelentős, de potenciálisan jelentős lehet a magas kockázatú betegeknél.</w:t>
      </w:r>
    </w:p>
    <w:p w:rsidR="00224F0F" w:rsidRDefault="00485CCD">
      <w:pPr>
        <w:pStyle w:val="Default"/>
        <w:rPr>
          <w:sz w:val="22"/>
          <w:szCs w:val="22"/>
        </w:rPr>
      </w:pPr>
      <w:r>
        <w:rPr>
          <w:sz w:val="22"/>
          <w:szCs w:val="22"/>
        </w:rPr>
        <w:t>Enyhe fokú vesekárosodásban szenvedő betegeknél az eritromicin (naponta háromszor 500 mg) az egészséges veseműködésű vizsgálati alanyokhoz képest 1,8-szeres emelkedést idézett elő a rivaroxabán átlagos AUC-értékében, és 1,6-szeres emelkedést a C</w:t>
      </w:r>
      <w:r>
        <w:rPr>
          <w:sz w:val="22"/>
          <w:szCs w:val="22"/>
          <w:vertAlign w:val="subscript"/>
        </w:rPr>
        <w:t>max</w:t>
      </w:r>
      <w:r>
        <w:rPr>
          <w:sz w:val="22"/>
          <w:szCs w:val="22"/>
        </w:rPr>
        <w:t>-értékében. Közepes fokú vesekárosodásban szenvedő betegeknél az eritromicin az egészséges veseműködésű vizsgálati alanyokhoz képest 2,0-szeres emelkedést idézett elő a rivaroxabán átlagos AUC-értékében, és 1,6-szeres emelkedést a C</w:t>
      </w:r>
      <w:r>
        <w:rPr>
          <w:sz w:val="22"/>
          <w:szCs w:val="22"/>
          <w:vertAlign w:val="subscript"/>
        </w:rPr>
        <w:t>max</w:t>
      </w:r>
      <w:r>
        <w:rPr>
          <w:sz w:val="22"/>
          <w:szCs w:val="22"/>
        </w:rPr>
        <w:t>-értékében. Az eritromicin és a vesekárosodás hatása additív (lásd 4.4 pont).</w:t>
      </w:r>
    </w:p>
    <w:p w:rsidR="00224F0F" w:rsidRDefault="00224F0F">
      <w:pPr>
        <w:pStyle w:val="Default"/>
        <w:rPr>
          <w:sz w:val="22"/>
          <w:szCs w:val="22"/>
        </w:rPr>
      </w:pPr>
    </w:p>
    <w:p w:rsidR="00224F0F" w:rsidRDefault="00485CCD">
      <w:pPr>
        <w:pStyle w:val="Default"/>
        <w:rPr>
          <w:sz w:val="22"/>
          <w:szCs w:val="22"/>
        </w:rPr>
      </w:pPr>
      <w:r>
        <w:rPr>
          <w:sz w:val="22"/>
          <w:szCs w:val="22"/>
        </w:rPr>
        <w:t>A flukonazol (naponta egyszer 400 mg), amely közepes erősségű CYP3A4-gátlónak tekinthető, a rivaroxabán átlagos AUC-értékének 1,4-szeres emelkedéséhez és az átlagos C</w:t>
      </w:r>
      <w:r>
        <w:rPr>
          <w:sz w:val="22"/>
          <w:szCs w:val="22"/>
          <w:vertAlign w:val="subscript"/>
        </w:rPr>
        <w:t>max</w:t>
      </w:r>
      <w:r>
        <w:rPr>
          <w:sz w:val="22"/>
          <w:szCs w:val="22"/>
        </w:rPr>
        <w:t>-értékének 1,3-szeres növekedéséhez vezetett. A flukonazollal való interakció a legtöbb betegnél valószínűleg klinikailag nem jelentős, de potenciálisan jelentős lehet a magas kockázatú betegeknél (Vesekárosodás esetén lásd a 4.4 pontot.).</w:t>
      </w:r>
    </w:p>
    <w:p w:rsidR="00224F0F" w:rsidRDefault="00224F0F">
      <w:pPr>
        <w:pStyle w:val="Default"/>
        <w:rPr>
          <w:sz w:val="22"/>
          <w:szCs w:val="22"/>
        </w:rPr>
      </w:pPr>
    </w:p>
    <w:p w:rsidR="00224F0F" w:rsidRDefault="00485CCD">
      <w:pPr>
        <w:spacing w:line="240" w:lineRule="auto"/>
        <w:rPr>
          <w:color w:val="000000"/>
          <w:lang w:val="hu-HU" w:eastAsia="hu-HU"/>
        </w:rPr>
      </w:pPr>
      <w:r>
        <w:rPr>
          <w:color w:val="000000"/>
          <w:lang w:val="hu-HU" w:eastAsia="hu-HU"/>
        </w:rPr>
        <w:t>Mivel korlátozott klinikai adatok állnak rendelkezésre a dronedaronnal kapcsolatban, a rivaroxabánnal történő együttes adása kerülendő.</w:t>
      </w:r>
    </w:p>
    <w:p w:rsidR="00224F0F" w:rsidRDefault="00224F0F">
      <w:pPr>
        <w:spacing w:line="240" w:lineRule="auto"/>
        <w:rPr>
          <w:noProof/>
          <w:color w:val="000000"/>
          <w:lang w:val="hu-HU"/>
        </w:rPr>
      </w:pPr>
    </w:p>
    <w:p w:rsidR="00224F0F" w:rsidRDefault="00485CCD">
      <w:pPr>
        <w:pStyle w:val="Default"/>
        <w:rPr>
          <w:sz w:val="22"/>
          <w:szCs w:val="22"/>
        </w:rPr>
      </w:pPr>
      <w:r>
        <w:rPr>
          <w:sz w:val="22"/>
          <w:szCs w:val="22"/>
          <w:u w:val="single"/>
        </w:rPr>
        <w:t>Antikoagulánsok</w:t>
      </w:r>
    </w:p>
    <w:p w:rsidR="00224F0F" w:rsidRDefault="00485CCD">
      <w:pPr>
        <w:pStyle w:val="Default"/>
        <w:rPr>
          <w:sz w:val="22"/>
          <w:szCs w:val="22"/>
        </w:rPr>
      </w:pPr>
      <w:r>
        <w:rPr>
          <w:sz w:val="22"/>
          <w:szCs w:val="22"/>
        </w:rPr>
        <w:t>Enoxaparin (40 mg egyszeri dózis) és rivaroxabán (10 mg egyszeri dózis) együttes alkalmazása során additív hatás volt megfigyelhető a Xa faktor gátlása terén, ez azonban nem befolyásolta a véralvadási teszteket (PI, aPTI). Az enoxaparin nem befolyásolta a rivaroxabán farmakokinetikai jellemzőit.</w:t>
      </w:r>
    </w:p>
    <w:p w:rsidR="00224F0F" w:rsidRDefault="00485CCD">
      <w:pPr>
        <w:pStyle w:val="Default"/>
        <w:rPr>
          <w:sz w:val="22"/>
          <w:szCs w:val="22"/>
        </w:rPr>
      </w:pPr>
      <w:r>
        <w:rPr>
          <w:sz w:val="22"/>
          <w:szCs w:val="22"/>
        </w:rPr>
        <w:t>A fokozott vérzési kockázat miatt óvatosan kell eljárni, ha a betegek egyidejűleg egyéb antikoaguláns kezelésben is részesülnek (lásd 4.3 és 4.4 pont).</w:t>
      </w:r>
    </w:p>
    <w:p w:rsidR="00224F0F" w:rsidRDefault="00224F0F">
      <w:pPr>
        <w:pStyle w:val="Default"/>
        <w:rPr>
          <w:sz w:val="22"/>
          <w:szCs w:val="22"/>
        </w:rPr>
      </w:pPr>
    </w:p>
    <w:p w:rsidR="00224F0F" w:rsidRDefault="00485CCD">
      <w:pPr>
        <w:pStyle w:val="Default"/>
        <w:rPr>
          <w:sz w:val="22"/>
          <w:szCs w:val="22"/>
        </w:rPr>
      </w:pPr>
      <w:r>
        <w:rPr>
          <w:sz w:val="22"/>
          <w:szCs w:val="22"/>
          <w:u w:val="single"/>
        </w:rPr>
        <w:t>NSAID-k / thrombocita aggregáció gátlók</w:t>
      </w:r>
    </w:p>
    <w:p w:rsidR="00224F0F" w:rsidRDefault="00485CCD">
      <w:pPr>
        <w:pStyle w:val="Default"/>
        <w:rPr>
          <w:sz w:val="22"/>
          <w:szCs w:val="22"/>
        </w:rPr>
      </w:pPr>
      <w:r>
        <w:rPr>
          <w:sz w:val="22"/>
          <w:szCs w:val="22"/>
        </w:rPr>
        <w:t>A vérzési idő nem nyúlt meg klinikailag jelentős mértékben rivaroxabán (15 mg) és 500 mg naproxén együttes alkalmazását követően. Azonban lehetnek olyan egyének, akiknél kifejezettebb a farmakodinámiás válasz.</w:t>
      </w:r>
    </w:p>
    <w:p w:rsidR="00224F0F" w:rsidRDefault="00485CCD">
      <w:pPr>
        <w:pStyle w:val="Default"/>
        <w:rPr>
          <w:sz w:val="22"/>
          <w:szCs w:val="22"/>
        </w:rPr>
      </w:pPr>
      <w:r>
        <w:rPr>
          <w:sz w:val="22"/>
          <w:szCs w:val="22"/>
        </w:rPr>
        <w:t>A rivaroxabánt 500 mg acetilszalicilsavval együtt adva nem volt megfigyelhető klinikailag szignifikáns farmakokinetikai vagy farmakodinámiás kölcsönhatás.</w:t>
      </w:r>
    </w:p>
    <w:p w:rsidR="00224F0F" w:rsidRDefault="00485CCD">
      <w:pPr>
        <w:pStyle w:val="Default"/>
        <w:rPr>
          <w:sz w:val="22"/>
          <w:szCs w:val="22"/>
        </w:rPr>
      </w:pPr>
      <w:r>
        <w:rPr>
          <w:sz w:val="22"/>
          <w:szCs w:val="22"/>
        </w:rPr>
        <w:t>A klopidogrel (300 mg telítő dózis, majd 75 mg fenntartó dózis) nem mutatott farmakokinetikai kölcsönhatást a rivaroxabánnal (15 mg), de a betegek egy csoportjában a vérzési idő jelentős megnyúlását figyelték meg, ami nem volt összefüggésbe hozható a thrombocita aggregációval, a P</w:t>
      </w:r>
      <w:r w:rsidR="002C6FA3">
        <w:rPr>
          <w:sz w:val="22"/>
          <w:szCs w:val="22"/>
        </w:rPr>
        <w:noBreakHyphen/>
      </w:r>
      <w:r>
        <w:rPr>
          <w:sz w:val="22"/>
          <w:szCs w:val="22"/>
        </w:rPr>
        <w:t>szelektin vagy a GPIIb/IIIa-receptor</w:t>
      </w:r>
      <w:r w:rsidR="002C6FA3">
        <w:rPr>
          <w:sz w:val="22"/>
          <w:szCs w:val="22"/>
        </w:rPr>
        <w:t>-</w:t>
      </w:r>
      <w:r>
        <w:rPr>
          <w:sz w:val="22"/>
          <w:szCs w:val="22"/>
        </w:rPr>
        <w:t>szintekkel.</w:t>
      </w:r>
    </w:p>
    <w:p w:rsidR="00224F0F" w:rsidRDefault="00485CCD">
      <w:pPr>
        <w:spacing w:line="240" w:lineRule="auto"/>
        <w:rPr>
          <w:color w:val="000000"/>
          <w:lang w:val="hu-HU"/>
        </w:rPr>
      </w:pPr>
      <w:r>
        <w:rPr>
          <w:color w:val="000000"/>
          <w:lang w:val="hu-HU"/>
        </w:rPr>
        <w:t>Megfelelő körültekintéssel, ha a beteg egyidejűleg NSAID szereket (beleértve az acetilszalicilsavat) és thrombocita</w:t>
      </w:r>
      <w:r w:rsidR="002C6FA3">
        <w:rPr>
          <w:color w:val="000000"/>
          <w:lang w:val="hu-HU"/>
        </w:rPr>
        <w:noBreakHyphen/>
      </w:r>
      <w:r>
        <w:rPr>
          <w:color w:val="000000"/>
          <w:lang w:val="hu-HU"/>
        </w:rPr>
        <w:t>aggregáció</w:t>
      </w:r>
      <w:r w:rsidR="002C6FA3">
        <w:rPr>
          <w:color w:val="000000"/>
          <w:lang w:val="hu-HU"/>
        </w:rPr>
        <w:noBreakHyphen/>
      </w:r>
      <w:r>
        <w:rPr>
          <w:color w:val="000000"/>
          <w:lang w:val="hu-HU"/>
        </w:rPr>
        <w:t>gátlókat szed, mert ezek a készítmények jellemzően fokozzák a vérzési kockázatot (lásd 4.4 pont).</w:t>
      </w:r>
    </w:p>
    <w:p w:rsidR="00224F0F" w:rsidRDefault="00224F0F">
      <w:pPr>
        <w:spacing w:line="240" w:lineRule="auto"/>
        <w:rPr>
          <w:color w:val="000000"/>
          <w:lang w:val="hu-HU"/>
        </w:rPr>
      </w:pPr>
    </w:p>
    <w:p w:rsidR="00224F0F" w:rsidRDefault="00485CCD">
      <w:pPr>
        <w:pStyle w:val="Default"/>
        <w:rPr>
          <w:sz w:val="22"/>
          <w:szCs w:val="22"/>
        </w:rPr>
      </w:pPr>
      <w:r>
        <w:rPr>
          <w:sz w:val="22"/>
          <w:szCs w:val="22"/>
          <w:u w:val="single"/>
        </w:rPr>
        <w:t>SSRI-k/SNRI-k</w:t>
      </w:r>
    </w:p>
    <w:p w:rsidR="00224F0F" w:rsidRDefault="00485CCD">
      <w:pPr>
        <w:spacing w:line="240" w:lineRule="auto"/>
        <w:rPr>
          <w:noProof/>
          <w:color w:val="000000"/>
          <w:lang w:val="hu-HU"/>
        </w:rPr>
      </w:pPr>
      <w:r>
        <w:rPr>
          <w:color w:val="000000"/>
          <w:lang w:val="hu-HU"/>
        </w:rPr>
        <w:t>Mint más antikoagulánsok esetén, SSRI-k vagy SNRI-k egyidejű alkalmazásakor fokozott vérzési kockázat állhat fenn a betegeknél, ezeknek a gyógyszereknek a thrombocytákra gyakorolt, jelentett hatása miatt. A rivaroxabán klinikai programjában történt egyidejű alkalmazásukkor a súlyos, illetve nem súlyos, klinikailag jelentős vérzések számszerűen magasabb előfordulási gyakoriságát figyelték meg az összes kezelési csoportban.</w:t>
      </w:r>
    </w:p>
    <w:p w:rsidR="00224F0F" w:rsidRDefault="00224F0F">
      <w:pPr>
        <w:spacing w:line="240" w:lineRule="auto"/>
        <w:rPr>
          <w:noProof/>
          <w:color w:val="000000"/>
          <w:lang w:val="hu-HU"/>
        </w:rPr>
      </w:pPr>
    </w:p>
    <w:p w:rsidR="00224F0F" w:rsidRDefault="00485CCD">
      <w:pPr>
        <w:pStyle w:val="Default"/>
        <w:rPr>
          <w:sz w:val="22"/>
          <w:szCs w:val="22"/>
        </w:rPr>
      </w:pPr>
      <w:r>
        <w:rPr>
          <w:sz w:val="22"/>
          <w:szCs w:val="22"/>
          <w:u w:val="single"/>
        </w:rPr>
        <w:t>Warfarin</w:t>
      </w:r>
    </w:p>
    <w:p w:rsidR="00224F0F" w:rsidRDefault="00485CCD">
      <w:pPr>
        <w:pStyle w:val="Default"/>
        <w:rPr>
          <w:sz w:val="22"/>
          <w:szCs w:val="22"/>
        </w:rPr>
      </w:pPr>
      <w:r>
        <w:rPr>
          <w:sz w:val="22"/>
          <w:szCs w:val="22"/>
        </w:rPr>
        <w:t>A betegek átállítása a K-vitamin-antagonista wafarinról (INR: 2,0-3,0) rivaroxabánra (20 mg) vagy rivaroxabánról (20 mg) warfarinra (INR: 2,0-3,0) az additív hatásnál jelentősebb mértékben megnövelte a protrombinidőt/INR-t (Neoplastin) (akár 12-es INR-értéket is meg lehet figyelni), míg az aPTI-re gyakorolt hatás, a Xa faktor aktivitására kifejtett gátlás és az endogén trombin potenciál tekintetében additív hatást észleltek.</w:t>
      </w:r>
    </w:p>
    <w:p w:rsidR="00224F0F" w:rsidRDefault="00485CCD">
      <w:pPr>
        <w:pStyle w:val="Default"/>
        <w:rPr>
          <w:sz w:val="22"/>
          <w:szCs w:val="22"/>
        </w:rPr>
      </w:pPr>
      <w:r>
        <w:rPr>
          <w:sz w:val="22"/>
          <w:szCs w:val="22"/>
        </w:rPr>
        <w:lastRenderedPageBreak/>
        <w:t>Ha az átállási szakaszban a rivaroxabán farmakodinámiás hatásának vizsgálata kívánatos, akkor erre az anti-Xa faktor aktivitás, a PiAI és a HepTest alkalmazható, mivel ezeket a próbákat nem befolyásolja a warfarin. A warfarin utolsó adagja utáni negyedik napon minden próba (ideértve a PI, aPTI, az anti-Xa faktor aktivitás és az ETP) kizárólag a rivaroxabán hatását mutatta.</w:t>
      </w:r>
    </w:p>
    <w:p w:rsidR="00224F0F" w:rsidRDefault="00485CCD">
      <w:pPr>
        <w:pStyle w:val="Default"/>
        <w:rPr>
          <w:sz w:val="22"/>
          <w:szCs w:val="22"/>
        </w:rPr>
      </w:pPr>
      <w:r>
        <w:rPr>
          <w:sz w:val="22"/>
          <w:szCs w:val="22"/>
        </w:rPr>
        <w:t>Amennyiben az átállási szakaszban a warfarin farmakodinámiás hatásának vizsgálata kívánatos, akkor az INR-mérés a rivaroxabán C</w:t>
      </w:r>
      <w:r>
        <w:rPr>
          <w:sz w:val="22"/>
          <w:szCs w:val="22"/>
          <w:vertAlign w:val="subscript"/>
        </w:rPr>
        <w:t>trough</w:t>
      </w:r>
      <w:r>
        <w:rPr>
          <w:sz w:val="22"/>
          <w:szCs w:val="22"/>
        </w:rPr>
        <w:t>–értékénél használható (a rivaroxabán előző bevétele után 24 órával), mivel ezt a rivaroxabán ebben az időpontban minimálisan befolyásolja.</w:t>
      </w:r>
    </w:p>
    <w:p w:rsidR="00224F0F" w:rsidRDefault="00485CCD">
      <w:pPr>
        <w:spacing w:line="240" w:lineRule="auto"/>
        <w:rPr>
          <w:noProof/>
          <w:color w:val="000000"/>
          <w:lang w:val="hu-HU"/>
        </w:rPr>
      </w:pPr>
      <w:r>
        <w:rPr>
          <w:color w:val="000000"/>
          <w:lang w:val="hu-HU"/>
        </w:rPr>
        <w:t>A warfarin és a rivaroxabán között nem figyeltek meg farmakokinetikai interakciót.</w:t>
      </w:r>
    </w:p>
    <w:p w:rsidR="00224F0F" w:rsidRDefault="00224F0F">
      <w:pPr>
        <w:spacing w:line="240" w:lineRule="auto"/>
        <w:rPr>
          <w:noProof/>
          <w:color w:val="000000"/>
          <w:lang w:val="hu-HU"/>
        </w:rPr>
      </w:pPr>
    </w:p>
    <w:p w:rsidR="00224F0F" w:rsidRDefault="00485CCD">
      <w:pPr>
        <w:pStyle w:val="Default"/>
        <w:rPr>
          <w:sz w:val="22"/>
          <w:szCs w:val="22"/>
        </w:rPr>
      </w:pPr>
      <w:r>
        <w:rPr>
          <w:sz w:val="22"/>
          <w:szCs w:val="22"/>
          <w:u w:val="single"/>
        </w:rPr>
        <w:t>CYP3A4 induktorok</w:t>
      </w:r>
    </w:p>
    <w:p w:rsidR="00224F0F" w:rsidRDefault="00485CCD">
      <w:pPr>
        <w:pStyle w:val="Default"/>
        <w:rPr>
          <w:sz w:val="22"/>
          <w:szCs w:val="22"/>
        </w:rPr>
      </w:pPr>
      <w:r>
        <w:rPr>
          <w:sz w:val="22"/>
          <w:szCs w:val="22"/>
        </w:rPr>
        <w:t xml:space="preserve">A rivaroxabán és az erős CYP3A4 induktor rifampicin együttes alkalmazása a rivaroxabán átlagos AUC-értékének körülbelül 50%-os csökkenéséhez vezetett, a farmakodinámiás hatások párhuzamos csökkenése mellett. A rivaroxabán együttes alkalmazása egyéb erős CYP3A4 induktorokkal (pl. fenitoin, karbamazepin, fenobarbitál vagy közönséges orbáncfű </w:t>
      </w:r>
      <w:r>
        <w:rPr>
          <w:i/>
          <w:iCs/>
          <w:sz w:val="22"/>
          <w:szCs w:val="22"/>
        </w:rPr>
        <w:t>(Hypericum perforatum)</w:t>
      </w:r>
      <w:r>
        <w:rPr>
          <w:sz w:val="22"/>
          <w:szCs w:val="22"/>
        </w:rPr>
        <w:t>) ugyancsak a rivaroxabán plazmakoncentrációjának csökkenéséhez vezethet. Ezért a CYP3A4 erős induktorával történő együttes alkalmazást kerülni kell, kivéve akkor, ha a betegnél szorosan monitorozzák a thrombosis okozta panaszokat és tüneteket.</w:t>
      </w:r>
    </w:p>
    <w:p w:rsidR="00224F0F" w:rsidRDefault="00224F0F">
      <w:pPr>
        <w:pStyle w:val="Default"/>
        <w:rPr>
          <w:sz w:val="22"/>
          <w:szCs w:val="22"/>
        </w:rPr>
      </w:pPr>
    </w:p>
    <w:p w:rsidR="00224F0F" w:rsidRDefault="00485CCD">
      <w:pPr>
        <w:pStyle w:val="Default"/>
        <w:rPr>
          <w:sz w:val="22"/>
          <w:szCs w:val="22"/>
        </w:rPr>
      </w:pPr>
      <w:r>
        <w:rPr>
          <w:sz w:val="22"/>
          <w:szCs w:val="22"/>
          <w:u w:val="single"/>
        </w:rPr>
        <w:t>Egyéb egyidejűleg alkalmazott kezelések</w:t>
      </w:r>
    </w:p>
    <w:p w:rsidR="00224F0F" w:rsidRDefault="00485CCD">
      <w:pPr>
        <w:pStyle w:val="Default"/>
        <w:rPr>
          <w:sz w:val="22"/>
          <w:szCs w:val="22"/>
        </w:rPr>
      </w:pPr>
      <w:r>
        <w:rPr>
          <w:sz w:val="22"/>
          <w:szCs w:val="22"/>
        </w:rPr>
        <w:t>Nem volt megfigyelhető klinikailag szignifikáns farmakokinetikai vagy farmakodinámiás kölcsönhatás a rivaroxabán midazolámmal (CYP3A4 szubsztrát), digoxinnal (P-gp szubsztrát), atorvasztatinnal (CYP3A4 és P-gp szubsztrát) vagy omeprazollal (protonpumpagátló) történő együttes alkalmazásakor. A rivaroxabán nem inhibitora és nem induktora egyetlen fő CYP izoformának sem, mint például a CYP3A4.</w:t>
      </w:r>
    </w:p>
    <w:p w:rsidR="00224F0F" w:rsidRDefault="00224F0F">
      <w:pPr>
        <w:pStyle w:val="Default"/>
        <w:rPr>
          <w:sz w:val="22"/>
          <w:szCs w:val="22"/>
        </w:rPr>
      </w:pPr>
    </w:p>
    <w:p w:rsidR="00224F0F" w:rsidRDefault="00485CCD">
      <w:pPr>
        <w:pStyle w:val="Default"/>
        <w:rPr>
          <w:sz w:val="22"/>
          <w:szCs w:val="22"/>
        </w:rPr>
      </w:pPr>
      <w:r>
        <w:rPr>
          <w:sz w:val="22"/>
          <w:szCs w:val="22"/>
          <w:u w:val="single"/>
        </w:rPr>
        <w:t>Laboratóriumi paraméterek</w:t>
      </w:r>
    </w:p>
    <w:p w:rsidR="00224F0F" w:rsidRDefault="00485CCD">
      <w:pPr>
        <w:spacing w:line="240" w:lineRule="auto"/>
        <w:rPr>
          <w:noProof/>
          <w:color w:val="000000"/>
          <w:lang w:val="hu-HU"/>
        </w:rPr>
      </w:pPr>
      <w:r>
        <w:rPr>
          <w:color w:val="000000"/>
          <w:lang w:val="hu-HU"/>
        </w:rPr>
        <w:t>Az alvadási paramétereket (pl. PI, aPTI, HepTest) a rivaroxabán a hatásmechanizmusa alapján várható módon befolyásolja (lásd 5.1 pont).</w:t>
      </w:r>
    </w:p>
    <w:p w:rsidR="00224F0F" w:rsidRDefault="00224F0F">
      <w:pPr>
        <w:spacing w:line="240" w:lineRule="auto"/>
        <w:rPr>
          <w:noProof/>
          <w:color w:val="000000"/>
          <w:lang w:val="hu-HU"/>
        </w:rPr>
      </w:pPr>
    </w:p>
    <w:p w:rsidR="00224F0F" w:rsidRDefault="00485CCD">
      <w:pPr>
        <w:spacing w:line="240" w:lineRule="auto"/>
        <w:ind w:left="567" w:hanging="567"/>
        <w:outlineLvl w:val="0"/>
        <w:rPr>
          <w:b/>
          <w:noProof/>
          <w:color w:val="000000"/>
          <w:lang w:val="hu-HU"/>
        </w:rPr>
      </w:pPr>
      <w:r>
        <w:rPr>
          <w:b/>
          <w:noProof/>
          <w:color w:val="000000"/>
          <w:lang w:val="hu-HU"/>
        </w:rPr>
        <w:t>4.6</w:t>
      </w:r>
      <w:r>
        <w:rPr>
          <w:b/>
          <w:noProof/>
          <w:color w:val="000000"/>
          <w:lang w:val="hu-HU"/>
        </w:rPr>
        <w:tab/>
        <w:t>Termékenység, terhesség és szoptatás</w:t>
      </w:r>
    </w:p>
    <w:p w:rsidR="00224F0F" w:rsidRDefault="00224F0F">
      <w:pPr>
        <w:spacing w:line="240" w:lineRule="auto"/>
        <w:ind w:left="567" w:hanging="567"/>
        <w:outlineLvl w:val="0"/>
        <w:rPr>
          <w:b/>
          <w:noProof/>
          <w:color w:val="000000"/>
          <w:lang w:val="hu-HU"/>
        </w:rPr>
      </w:pPr>
    </w:p>
    <w:p w:rsidR="00224F0F" w:rsidRDefault="00485CCD">
      <w:pPr>
        <w:pStyle w:val="Default"/>
        <w:rPr>
          <w:sz w:val="22"/>
          <w:szCs w:val="22"/>
        </w:rPr>
      </w:pPr>
      <w:r>
        <w:rPr>
          <w:sz w:val="22"/>
          <w:szCs w:val="22"/>
          <w:u w:val="single"/>
        </w:rPr>
        <w:t>Terhesség</w:t>
      </w:r>
    </w:p>
    <w:p w:rsidR="00224F0F" w:rsidRDefault="00485CCD">
      <w:pPr>
        <w:pStyle w:val="Default"/>
        <w:rPr>
          <w:sz w:val="22"/>
          <w:szCs w:val="22"/>
        </w:rPr>
      </w:pPr>
      <w:r>
        <w:rPr>
          <w:sz w:val="22"/>
          <w:szCs w:val="22"/>
        </w:rPr>
        <w:t>A rivaroxabán biztonságosságát és hatásosságát terhes nőknél nem igazolták. Állatkísérletek során reproduktív toxicitást igazoltak (lásd 5.3 pont). A potenciális reproduktív toxicitás, a készítmény típusából következő vérzésveszély miatt, valamint abból a tényből adódóan, hogy a rivaroxabán átjut a placentán, a Razarxo alkalmazása a terhesség alatt ellenjavallt (lásd 4.3 pont).</w:t>
      </w:r>
    </w:p>
    <w:p w:rsidR="00224F0F" w:rsidRDefault="00485CCD">
      <w:pPr>
        <w:pStyle w:val="Default"/>
        <w:rPr>
          <w:sz w:val="22"/>
          <w:szCs w:val="22"/>
        </w:rPr>
      </w:pPr>
      <w:r>
        <w:rPr>
          <w:sz w:val="22"/>
          <w:szCs w:val="22"/>
        </w:rPr>
        <w:t>Fogamzóképes korban lévő nőknek a rivaroxabán-kezelés során hatékony fogamzásgátlást kell alkalmazni a teherbe esés elkerülése érdekében.</w:t>
      </w:r>
    </w:p>
    <w:p w:rsidR="00224F0F" w:rsidRDefault="00224F0F">
      <w:pPr>
        <w:pStyle w:val="Default"/>
        <w:rPr>
          <w:sz w:val="22"/>
          <w:szCs w:val="22"/>
        </w:rPr>
      </w:pPr>
    </w:p>
    <w:p w:rsidR="00224F0F" w:rsidRDefault="00485CCD">
      <w:pPr>
        <w:pStyle w:val="Default"/>
        <w:rPr>
          <w:sz w:val="22"/>
          <w:szCs w:val="22"/>
        </w:rPr>
      </w:pPr>
      <w:r>
        <w:rPr>
          <w:sz w:val="22"/>
          <w:szCs w:val="22"/>
          <w:u w:val="single"/>
        </w:rPr>
        <w:t>Szoptatás</w:t>
      </w:r>
    </w:p>
    <w:p w:rsidR="00224F0F" w:rsidRDefault="00485CCD">
      <w:pPr>
        <w:pStyle w:val="Default"/>
        <w:rPr>
          <w:sz w:val="22"/>
          <w:szCs w:val="22"/>
        </w:rPr>
      </w:pPr>
      <w:r>
        <w:rPr>
          <w:sz w:val="22"/>
          <w:szCs w:val="22"/>
        </w:rPr>
        <w:t>A rivaroxabán biztonságosságát és hatásosságát szoptató nőknél nem igazolták. Állatkísérletekből származó adatok azt jelzik, hogy a rivaroxabán kiválasztódik az anyatejbe. Ezért a Razarxo alkalmazása ellenjavallt szoptatás alatt (lásd 4.3 pont). El kell dönteni, hogy a szoptatást függesztik fel, vagy megszakítják a kezelést / tartózkodnak a kezeléstől.</w:t>
      </w:r>
    </w:p>
    <w:p w:rsidR="00224F0F" w:rsidRDefault="00224F0F">
      <w:pPr>
        <w:pStyle w:val="Default"/>
        <w:rPr>
          <w:sz w:val="22"/>
          <w:szCs w:val="22"/>
        </w:rPr>
      </w:pPr>
    </w:p>
    <w:p w:rsidR="00224F0F" w:rsidRDefault="00485CCD">
      <w:pPr>
        <w:pStyle w:val="Default"/>
        <w:rPr>
          <w:sz w:val="22"/>
          <w:szCs w:val="22"/>
        </w:rPr>
      </w:pPr>
      <w:r>
        <w:rPr>
          <w:sz w:val="22"/>
          <w:szCs w:val="22"/>
          <w:u w:val="single"/>
        </w:rPr>
        <w:t>Termékenység</w:t>
      </w:r>
    </w:p>
    <w:p w:rsidR="00224F0F" w:rsidRDefault="00485CCD">
      <w:pPr>
        <w:tabs>
          <w:tab w:val="clear" w:pos="567"/>
          <w:tab w:val="left" w:pos="0"/>
        </w:tabs>
        <w:spacing w:line="240" w:lineRule="auto"/>
        <w:outlineLvl w:val="0"/>
        <w:rPr>
          <w:b/>
          <w:noProof/>
          <w:color w:val="000000"/>
          <w:lang w:val="hu-HU"/>
        </w:rPr>
      </w:pPr>
      <w:r>
        <w:rPr>
          <w:color w:val="000000"/>
          <w:lang w:val="hu-HU"/>
        </w:rPr>
        <w:t>Nem végeztek specifikus, a humán termékenységre kifejtett hatásokat értékelő vizsgálatokat rivaroxabánnal. Egy patkányokkal végzett vizsgálatban nem észleltek a hím és nőstény fertilitásra gyakorolt hatásokat (lásd 5.3 pont).</w:t>
      </w:r>
    </w:p>
    <w:p w:rsidR="00224F0F" w:rsidRDefault="00224F0F">
      <w:pPr>
        <w:tabs>
          <w:tab w:val="clear" w:pos="567"/>
          <w:tab w:val="left" w:pos="0"/>
        </w:tabs>
        <w:spacing w:line="240" w:lineRule="auto"/>
        <w:outlineLvl w:val="0"/>
        <w:rPr>
          <w:b/>
          <w:noProof/>
          <w:color w:val="000000"/>
          <w:lang w:val="hu-HU"/>
        </w:rPr>
      </w:pPr>
    </w:p>
    <w:p w:rsidR="00224F0F" w:rsidRDefault="00485CCD">
      <w:pPr>
        <w:spacing w:line="240" w:lineRule="auto"/>
        <w:ind w:left="567" w:hanging="567"/>
        <w:outlineLvl w:val="0"/>
        <w:rPr>
          <w:b/>
          <w:noProof/>
          <w:color w:val="000000"/>
          <w:lang w:val="hu-HU"/>
        </w:rPr>
      </w:pPr>
      <w:r>
        <w:rPr>
          <w:b/>
          <w:noProof/>
          <w:color w:val="000000"/>
          <w:lang w:val="hu-HU"/>
        </w:rPr>
        <w:t>4.7</w:t>
      </w:r>
      <w:r>
        <w:rPr>
          <w:b/>
          <w:noProof/>
          <w:color w:val="000000"/>
          <w:lang w:val="hu-HU"/>
        </w:rPr>
        <w:tab/>
        <w:t>A készítmény hatásai a gépjárművezetéshez és a gépek kezeléséhez szükséges képességekre</w:t>
      </w:r>
    </w:p>
    <w:p w:rsidR="00224F0F" w:rsidRDefault="00224F0F">
      <w:pPr>
        <w:spacing w:line="240" w:lineRule="auto"/>
        <w:ind w:left="567" w:hanging="567"/>
        <w:outlineLvl w:val="0"/>
        <w:rPr>
          <w:b/>
          <w:color w:val="000000"/>
          <w:lang w:val="hu-HU"/>
        </w:rPr>
      </w:pPr>
    </w:p>
    <w:p w:rsidR="00224F0F" w:rsidRDefault="00485CCD">
      <w:pPr>
        <w:tabs>
          <w:tab w:val="clear" w:pos="567"/>
          <w:tab w:val="left" w:pos="0"/>
        </w:tabs>
        <w:spacing w:line="240" w:lineRule="auto"/>
        <w:outlineLvl w:val="0"/>
        <w:rPr>
          <w:b/>
          <w:color w:val="000000"/>
          <w:lang w:val="hu-HU"/>
        </w:rPr>
      </w:pPr>
      <w:r>
        <w:rPr>
          <w:color w:val="000000"/>
          <w:lang w:val="hu-HU"/>
        </w:rPr>
        <w:t xml:space="preserve">A rivaroxabán kismértékben befolyásolja a gépjárművezetéshez és a gépek kezeléséhez szükséges képességeket. Jelentettek mellékhatásként ájulást (gyakoriság: nem gyakori) és szédülést (gyakoriság: </w:t>
      </w:r>
      <w:r>
        <w:rPr>
          <w:color w:val="000000"/>
          <w:lang w:val="hu-HU"/>
        </w:rPr>
        <w:lastRenderedPageBreak/>
        <w:t>gyakori) (lásd 4.8 pont). Azok a betegek, akik ilyen mellékhatásokat tapasztalnak, nem vezethetnek gépjárművet, és nem kezelhetnek gépeket.</w:t>
      </w:r>
    </w:p>
    <w:p w:rsidR="00224F0F" w:rsidRDefault="00224F0F">
      <w:pPr>
        <w:spacing w:line="240" w:lineRule="auto"/>
        <w:ind w:left="567" w:hanging="567"/>
        <w:outlineLvl w:val="0"/>
        <w:rPr>
          <w:b/>
          <w:color w:val="000000"/>
          <w:lang w:val="hu-HU"/>
        </w:rPr>
      </w:pPr>
    </w:p>
    <w:p w:rsidR="00224F0F" w:rsidRDefault="00485CCD">
      <w:pPr>
        <w:spacing w:line="240" w:lineRule="auto"/>
        <w:ind w:left="567" w:hanging="567"/>
        <w:outlineLvl w:val="0"/>
        <w:rPr>
          <w:b/>
          <w:noProof/>
          <w:color w:val="000000"/>
          <w:lang w:val="hu-HU"/>
        </w:rPr>
      </w:pPr>
      <w:r>
        <w:rPr>
          <w:b/>
          <w:noProof/>
          <w:color w:val="000000"/>
          <w:lang w:val="hu-HU"/>
        </w:rPr>
        <w:t>4.8</w:t>
      </w:r>
      <w:r>
        <w:rPr>
          <w:b/>
          <w:noProof/>
          <w:color w:val="000000"/>
          <w:lang w:val="hu-HU"/>
        </w:rPr>
        <w:tab/>
        <w:t>Nemkívánatos hatások, mellékhatások</w:t>
      </w:r>
    </w:p>
    <w:p w:rsidR="00224F0F" w:rsidRDefault="00224F0F">
      <w:pPr>
        <w:spacing w:line="240" w:lineRule="auto"/>
        <w:rPr>
          <w:i/>
          <w:color w:val="000000"/>
          <w:lang w:val="hu-HU"/>
        </w:rPr>
      </w:pPr>
    </w:p>
    <w:p w:rsidR="00224F0F" w:rsidRDefault="00485CCD">
      <w:pPr>
        <w:pStyle w:val="Default"/>
        <w:rPr>
          <w:sz w:val="22"/>
          <w:szCs w:val="22"/>
        </w:rPr>
      </w:pPr>
      <w:r>
        <w:rPr>
          <w:sz w:val="22"/>
          <w:szCs w:val="22"/>
          <w:u w:val="single"/>
        </w:rPr>
        <w:t>A biztonságossági profil összefoglalása</w:t>
      </w:r>
    </w:p>
    <w:p w:rsidR="00224F0F" w:rsidRDefault="00485CCD">
      <w:pPr>
        <w:spacing w:line="240" w:lineRule="auto"/>
        <w:rPr>
          <w:color w:val="000000"/>
          <w:lang w:val="hu-HU"/>
        </w:rPr>
      </w:pPr>
      <w:r>
        <w:rPr>
          <w:color w:val="000000"/>
          <w:lang w:val="hu-HU"/>
        </w:rPr>
        <w:t>A rivaroxabán biztonságosságát tizenhárom, pivotális III. fázisú vizsgálatban értékelték (lásd 1. táblázat).</w:t>
      </w:r>
    </w:p>
    <w:p w:rsidR="00224F0F" w:rsidRDefault="00224F0F">
      <w:pPr>
        <w:spacing w:line="240" w:lineRule="auto"/>
        <w:rPr>
          <w:color w:val="000000"/>
          <w:lang w:val="hu-HU"/>
        </w:rPr>
      </w:pPr>
    </w:p>
    <w:p w:rsidR="00224F0F" w:rsidRDefault="00485CCD">
      <w:pPr>
        <w:spacing w:line="240" w:lineRule="auto"/>
        <w:rPr>
          <w:noProof/>
          <w:lang w:val="hu-HU"/>
        </w:rPr>
      </w:pPr>
      <w:r>
        <w:rPr>
          <w:noProof/>
        </w:rPr>
        <w:t>Összességében tizenkilenc, III. fázisú vizsgálatban 69 608 felnőtt, illetve két II. fázisú és kettő III. fázisú vizsgálatban 488 gyermek és serdülőkorú beteg kapott rivaroxabánt.</w:t>
      </w:r>
    </w:p>
    <w:p w:rsidR="00224F0F" w:rsidRDefault="00224F0F">
      <w:pPr>
        <w:spacing w:line="240" w:lineRule="auto"/>
        <w:rPr>
          <w:color w:val="000000"/>
          <w:lang w:val="hu-HU"/>
        </w:rPr>
      </w:pPr>
    </w:p>
    <w:p w:rsidR="00224F0F" w:rsidRDefault="00485CCD" w:rsidP="00A54C3F">
      <w:pPr>
        <w:tabs>
          <w:tab w:val="clear" w:pos="567"/>
          <w:tab w:val="left" w:pos="1276"/>
        </w:tabs>
        <w:spacing w:line="240" w:lineRule="auto"/>
        <w:ind w:left="1276" w:hanging="1276"/>
        <w:rPr>
          <w:b/>
          <w:bCs/>
          <w:color w:val="000000"/>
          <w:lang w:val="hu-HU"/>
        </w:rPr>
      </w:pPr>
      <w:r>
        <w:rPr>
          <w:b/>
          <w:bCs/>
          <w:color w:val="000000"/>
          <w:lang w:val="hu-HU"/>
        </w:rPr>
        <w:t>1. táblázat:</w:t>
      </w:r>
      <w:r w:rsidR="00332B5A">
        <w:rPr>
          <w:b/>
          <w:bCs/>
          <w:color w:val="000000"/>
          <w:lang w:val="hu-HU"/>
        </w:rPr>
        <w:tab/>
      </w:r>
      <w:r>
        <w:rPr>
          <w:b/>
          <w:bCs/>
          <w:color w:val="000000"/>
          <w:lang w:val="hu-HU"/>
        </w:rPr>
        <w:t>A vizsgált betegek száma, a napi összdózis és a kezelés maximális időtartama a</w:t>
      </w:r>
      <w:r>
        <w:rPr>
          <w:b/>
          <w:noProof/>
          <w:lang w:val="hu-HU"/>
        </w:rPr>
        <w:t xml:space="preserve"> </w:t>
      </w:r>
      <w:r>
        <w:rPr>
          <w:b/>
          <w:bCs/>
          <w:lang w:val="hu-HU"/>
        </w:rPr>
        <w:t>felnőtt, valamint gyermek és serdülőkorú betegekkel végzett</w:t>
      </w:r>
      <w:r>
        <w:rPr>
          <w:b/>
          <w:bCs/>
          <w:color w:val="000000"/>
          <w:lang w:val="hu-HU"/>
        </w:rPr>
        <w:t xml:space="preserve"> III. fázisú vizsgálatokban</w:t>
      </w:r>
    </w:p>
    <w:p w:rsidR="00224F0F" w:rsidRDefault="00224F0F">
      <w:pPr>
        <w:spacing w:line="240" w:lineRule="auto"/>
        <w:rPr>
          <w:color w:val="000000"/>
          <w:u w:val="single"/>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75"/>
        <w:gridCol w:w="1806"/>
        <w:gridCol w:w="2097"/>
        <w:gridCol w:w="1983"/>
      </w:tblGrid>
      <w:tr w:rsidR="00224F0F">
        <w:tc>
          <w:tcPr>
            <w:tcW w:w="3175" w:type="dxa"/>
            <w:shd w:val="clear" w:color="auto" w:fill="auto"/>
          </w:tcPr>
          <w:tbl>
            <w:tblPr>
              <w:tblW w:w="0" w:type="auto"/>
              <w:tblBorders>
                <w:top w:val="nil"/>
                <w:left w:val="nil"/>
                <w:bottom w:val="nil"/>
                <w:right w:val="nil"/>
              </w:tblBorders>
              <w:tblLook w:val="0000" w:firstRow="0" w:lastRow="0" w:firstColumn="0" w:lastColumn="0" w:noHBand="0" w:noVBand="0"/>
            </w:tblPr>
            <w:tblGrid>
              <w:gridCol w:w="962"/>
            </w:tblGrid>
            <w:tr w:rsidR="00224F0F">
              <w:trPr>
                <w:trHeight w:val="147"/>
              </w:trPr>
              <w:tc>
                <w:tcPr>
                  <w:tcW w:w="0" w:type="auto"/>
                </w:tcPr>
                <w:p w:rsidR="00224F0F" w:rsidRDefault="00485CCD">
                  <w:pPr>
                    <w:pStyle w:val="Default"/>
                    <w:rPr>
                      <w:sz w:val="22"/>
                      <w:szCs w:val="22"/>
                    </w:rPr>
                  </w:pPr>
                  <w:r>
                    <w:rPr>
                      <w:b/>
                      <w:bCs/>
                      <w:sz w:val="22"/>
                      <w:szCs w:val="22"/>
                    </w:rPr>
                    <w:t>Javallat</w:t>
                  </w:r>
                </w:p>
              </w:tc>
            </w:tr>
          </w:tbl>
          <w:p w:rsidR="00224F0F" w:rsidRDefault="00224F0F">
            <w:pPr>
              <w:spacing w:line="240" w:lineRule="auto"/>
              <w:rPr>
                <w:color w:val="000000"/>
                <w:u w:val="single"/>
                <w:lang w:val="hu-HU"/>
              </w:rPr>
            </w:pPr>
          </w:p>
        </w:tc>
        <w:tc>
          <w:tcPr>
            <w:tcW w:w="1806" w:type="dxa"/>
            <w:shd w:val="clear" w:color="auto" w:fill="auto"/>
          </w:tcPr>
          <w:p w:rsidR="00224F0F" w:rsidRDefault="00485CCD">
            <w:pPr>
              <w:pStyle w:val="Default"/>
              <w:rPr>
                <w:sz w:val="22"/>
                <w:szCs w:val="22"/>
                <w:u w:val="single"/>
              </w:rPr>
            </w:pPr>
            <w:r>
              <w:rPr>
                <w:b/>
                <w:bCs/>
                <w:sz w:val="22"/>
                <w:szCs w:val="22"/>
              </w:rPr>
              <w:t>Betegek száma*</w:t>
            </w:r>
          </w:p>
        </w:tc>
        <w:tc>
          <w:tcPr>
            <w:tcW w:w="2097" w:type="dxa"/>
            <w:shd w:val="clear" w:color="auto" w:fill="auto"/>
          </w:tcPr>
          <w:p w:rsidR="00224F0F" w:rsidRDefault="00485CCD">
            <w:pPr>
              <w:pStyle w:val="Default"/>
              <w:rPr>
                <w:sz w:val="22"/>
                <w:szCs w:val="22"/>
                <w:u w:val="single"/>
              </w:rPr>
            </w:pPr>
            <w:r>
              <w:rPr>
                <w:b/>
                <w:bCs/>
                <w:sz w:val="22"/>
                <w:szCs w:val="22"/>
              </w:rPr>
              <w:t>Napi összdózis</w:t>
            </w:r>
          </w:p>
        </w:tc>
        <w:tc>
          <w:tcPr>
            <w:tcW w:w="1983" w:type="dxa"/>
            <w:shd w:val="clear" w:color="auto" w:fill="auto"/>
          </w:tcPr>
          <w:p w:rsidR="00224F0F" w:rsidRDefault="00485CCD">
            <w:pPr>
              <w:pStyle w:val="Default"/>
              <w:rPr>
                <w:sz w:val="22"/>
                <w:szCs w:val="22"/>
                <w:u w:val="single"/>
              </w:rPr>
            </w:pPr>
            <w:r>
              <w:rPr>
                <w:b/>
                <w:bCs/>
                <w:sz w:val="22"/>
                <w:szCs w:val="22"/>
              </w:rPr>
              <w:t>A kezelés maximális időtartama</w:t>
            </w:r>
          </w:p>
        </w:tc>
      </w:tr>
      <w:tr w:rsidR="00224F0F">
        <w:tc>
          <w:tcPr>
            <w:tcW w:w="3175" w:type="dxa"/>
            <w:shd w:val="clear" w:color="auto" w:fill="auto"/>
          </w:tcPr>
          <w:p w:rsidR="00224F0F" w:rsidRDefault="00485CCD">
            <w:pPr>
              <w:pStyle w:val="Default"/>
              <w:rPr>
                <w:sz w:val="22"/>
                <w:szCs w:val="22"/>
                <w:u w:val="single"/>
              </w:rPr>
            </w:pPr>
            <w:r>
              <w:rPr>
                <w:sz w:val="22"/>
                <w:szCs w:val="22"/>
              </w:rPr>
              <w:t>Vénás thromboembolia (VTE) megelőzése elektív csípő- vagy térdprotézis műtéten áteső felnőtt betegeknél</w:t>
            </w:r>
          </w:p>
        </w:tc>
        <w:tc>
          <w:tcPr>
            <w:tcW w:w="1806" w:type="dxa"/>
            <w:shd w:val="clear" w:color="auto" w:fill="auto"/>
          </w:tcPr>
          <w:p w:rsidR="00224F0F" w:rsidRDefault="00485CCD">
            <w:pPr>
              <w:spacing w:line="240" w:lineRule="auto"/>
              <w:rPr>
                <w:color w:val="000000"/>
                <w:lang w:val="hu-HU"/>
              </w:rPr>
            </w:pPr>
            <w:r>
              <w:rPr>
                <w:color w:val="000000"/>
                <w:lang w:val="hu-HU"/>
              </w:rPr>
              <w:t>6097</w:t>
            </w:r>
          </w:p>
        </w:tc>
        <w:tc>
          <w:tcPr>
            <w:tcW w:w="2097" w:type="dxa"/>
            <w:shd w:val="clear" w:color="auto" w:fill="auto"/>
          </w:tcPr>
          <w:p w:rsidR="00224F0F" w:rsidRDefault="00485CCD">
            <w:pPr>
              <w:spacing w:line="240" w:lineRule="auto"/>
              <w:rPr>
                <w:color w:val="000000"/>
                <w:lang w:val="hu-HU"/>
              </w:rPr>
            </w:pPr>
            <w:r>
              <w:rPr>
                <w:color w:val="000000"/>
                <w:lang w:val="hu-HU"/>
              </w:rPr>
              <w:t>10 mg</w:t>
            </w:r>
          </w:p>
        </w:tc>
        <w:tc>
          <w:tcPr>
            <w:tcW w:w="1983" w:type="dxa"/>
            <w:shd w:val="clear" w:color="auto" w:fill="auto"/>
          </w:tcPr>
          <w:p w:rsidR="00224F0F" w:rsidRDefault="00485CCD">
            <w:pPr>
              <w:pStyle w:val="Default"/>
              <w:rPr>
                <w:sz w:val="22"/>
                <w:szCs w:val="22"/>
                <w:u w:val="single"/>
              </w:rPr>
            </w:pPr>
            <w:r>
              <w:rPr>
                <w:sz w:val="22"/>
                <w:szCs w:val="22"/>
              </w:rPr>
              <w:t>39 nap</w:t>
            </w:r>
          </w:p>
        </w:tc>
      </w:tr>
      <w:tr w:rsidR="00224F0F">
        <w:tc>
          <w:tcPr>
            <w:tcW w:w="3175" w:type="dxa"/>
            <w:shd w:val="clear" w:color="auto" w:fill="auto"/>
          </w:tcPr>
          <w:p w:rsidR="00224F0F" w:rsidRDefault="00485CCD">
            <w:pPr>
              <w:pStyle w:val="Default"/>
              <w:rPr>
                <w:sz w:val="22"/>
                <w:szCs w:val="22"/>
                <w:u w:val="single"/>
              </w:rPr>
            </w:pPr>
            <w:r>
              <w:rPr>
                <w:sz w:val="22"/>
                <w:szCs w:val="22"/>
              </w:rPr>
              <w:t>Vénás thromboembolia (VTE) megelőzése akut belgyógyászati betegségben szenvedő betegeknél</w:t>
            </w:r>
          </w:p>
        </w:tc>
        <w:tc>
          <w:tcPr>
            <w:tcW w:w="1806" w:type="dxa"/>
            <w:shd w:val="clear" w:color="auto" w:fill="auto"/>
          </w:tcPr>
          <w:p w:rsidR="00224F0F" w:rsidRDefault="00485CCD">
            <w:pPr>
              <w:spacing w:line="240" w:lineRule="auto"/>
              <w:rPr>
                <w:color w:val="000000"/>
                <w:lang w:val="hu-HU"/>
              </w:rPr>
            </w:pPr>
            <w:r>
              <w:rPr>
                <w:color w:val="000000"/>
                <w:lang w:val="hu-HU"/>
              </w:rPr>
              <w:t>3997</w:t>
            </w:r>
          </w:p>
        </w:tc>
        <w:tc>
          <w:tcPr>
            <w:tcW w:w="2097" w:type="dxa"/>
            <w:shd w:val="clear" w:color="auto" w:fill="auto"/>
          </w:tcPr>
          <w:p w:rsidR="00224F0F" w:rsidRDefault="00485CCD">
            <w:pPr>
              <w:spacing w:line="240" w:lineRule="auto"/>
              <w:rPr>
                <w:color w:val="000000"/>
                <w:lang w:val="hu-HU"/>
              </w:rPr>
            </w:pPr>
            <w:r>
              <w:rPr>
                <w:color w:val="000000"/>
                <w:lang w:val="hu-HU"/>
              </w:rPr>
              <w:t>10 mg</w:t>
            </w:r>
          </w:p>
        </w:tc>
        <w:tc>
          <w:tcPr>
            <w:tcW w:w="1983" w:type="dxa"/>
            <w:shd w:val="clear" w:color="auto" w:fill="auto"/>
          </w:tcPr>
          <w:p w:rsidR="00224F0F" w:rsidRDefault="00485CCD">
            <w:pPr>
              <w:pStyle w:val="Default"/>
              <w:rPr>
                <w:sz w:val="22"/>
                <w:szCs w:val="22"/>
                <w:u w:val="single"/>
              </w:rPr>
            </w:pPr>
            <w:r>
              <w:rPr>
                <w:sz w:val="22"/>
                <w:szCs w:val="22"/>
              </w:rPr>
              <w:t>39 nap</w:t>
            </w:r>
          </w:p>
        </w:tc>
      </w:tr>
      <w:tr w:rsidR="00224F0F">
        <w:tc>
          <w:tcPr>
            <w:tcW w:w="3175" w:type="dxa"/>
            <w:shd w:val="clear" w:color="auto" w:fill="auto"/>
          </w:tcPr>
          <w:p w:rsidR="00224F0F" w:rsidRDefault="00485CCD">
            <w:pPr>
              <w:pStyle w:val="Default"/>
              <w:rPr>
                <w:sz w:val="22"/>
                <w:szCs w:val="22"/>
                <w:u w:val="single"/>
              </w:rPr>
            </w:pPr>
            <w:r>
              <w:rPr>
                <w:sz w:val="22"/>
                <w:szCs w:val="22"/>
              </w:rPr>
              <w:t xml:space="preserve">Mélyvénás trombózis (MVT), pulmonáris embólia (PE) kezelése, és a recidíva megelőzése </w:t>
            </w:r>
          </w:p>
        </w:tc>
        <w:tc>
          <w:tcPr>
            <w:tcW w:w="1806" w:type="dxa"/>
            <w:shd w:val="clear" w:color="auto" w:fill="auto"/>
          </w:tcPr>
          <w:p w:rsidR="00224F0F" w:rsidRDefault="00485CCD">
            <w:pPr>
              <w:spacing w:line="240" w:lineRule="auto"/>
              <w:rPr>
                <w:color w:val="000000"/>
                <w:lang w:val="hu-HU"/>
              </w:rPr>
            </w:pPr>
            <w:r>
              <w:rPr>
                <w:color w:val="000000"/>
                <w:lang w:val="hu-HU"/>
              </w:rPr>
              <w:t>6790</w:t>
            </w:r>
          </w:p>
        </w:tc>
        <w:tc>
          <w:tcPr>
            <w:tcW w:w="2097" w:type="dxa"/>
            <w:shd w:val="clear" w:color="auto" w:fill="auto"/>
          </w:tcPr>
          <w:p w:rsidR="00224F0F" w:rsidRDefault="00485CCD">
            <w:pPr>
              <w:pStyle w:val="Default"/>
              <w:rPr>
                <w:sz w:val="22"/>
                <w:szCs w:val="22"/>
              </w:rPr>
            </w:pPr>
            <w:r>
              <w:rPr>
                <w:sz w:val="22"/>
                <w:szCs w:val="22"/>
              </w:rPr>
              <w:t>1-21. nap: 30 mg</w:t>
            </w:r>
          </w:p>
          <w:p w:rsidR="00224F0F" w:rsidRDefault="00485CCD">
            <w:pPr>
              <w:spacing w:line="240" w:lineRule="auto"/>
              <w:rPr>
                <w:color w:val="000000"/>
              </w:rPr>
            </w:pPr>
            <w:r>
              <w:rPr>
                <w:color w:val="000000"/>
              </w:rPr>
              <w:t>A 22. naptól: 20 mg</w:t>
            </w:r>
          </w:p>
          <w:p w:rsidR="00224F0F" w:rsidRDefault="00485CCD">
            <w:pPr>
              <w:pStyle w:val="Default"/>
              <w:rPr>
                <w:sz w:val="22"/>
                <w:szCs w:val="22"/>
                <w:u w:val="single"/>
              </w:rPr>
            </w:pPr>
            <w:r>
              <w:rPr>
                <w:sz w:val="22"/>
                <w:szCs w:val="22"/>
              </w:rPr>
              <w:t xml:space="preserve">Legalább 6 hónap elteltével: 10 mg vagy 20 mg </w:t>
            </w:r>
          </w:p>
        </w:tc>
        <w:tc>
          <w:tcPr>
            <w:tcW w:w="1983" w:type="dxa"/>
            <w:shd w:val="clear" w:color="auto" w:fill="auto"/>
          </w:tcPr>
          <w:p w:rsidR="00224F0F" w:rsidRDefault="00485CCD">
            <w:pPr>
              <w:spacing w:line="240" w:lineRule="auto"/>
              <w:rPr>
                <w:color w:val="000000"/>
                <w:lang w:val="hu-HU"/>
              </w:rPr>
            </w:pPr>
            <w:r>
              <w:rPr>
                <w:color w:val="000000"/>
                <w:lang w:val="hu-HU"/>
              </w:rPr>
              <w:t>21 hónap</w:t>
            </w:r>
          </w:p>
        </w:tc>
      </w:tr>
      <w:tr w:rsidR="00224F0F">
        <w:tc>
          <w:tcPr>
            <w:tcW w:w="3175" w:type="dxa"/>
            <w:shd w:val="clear" w:color="auto" w:fill="auto"/>
          </w:tcPr>
          <w:p w:rsidR="00224F0F" w:rsidRDefault="00485CCD">
            <w:pPr>
              <w:pStyle w:val="Default"/>
              <w:rPr>
                <w:sz w:val="22"/>
                <w:szCs w:val="22"/>
              </w:rPr>
            </w:pPr>
            <w:r>
              <w:rPr>
                <w:sz w:val="22"/>
                <w:szCs w:val="22"/>
              </w:rPr>
              <w:t>A VTE kezelése és a VTE kiújulásának megelőzése újszülötteknél és 18 évesnél fiatalabb gyermekeknél a hagyományos véralvadásgátló kezelés megkezdését követően</w:t>
            </w:r>
          </w:p>
        </w:tc>
        <w:tc>
          <w:tcPr>
            <w:tcW w:w="1806" w:type="dxa"/>
            <w:shd w:val="clear" w:color="auto" w:fill="auto"/>
          </w:tcPr>
          <w:p w:rsidR="00224F0F" w:rsidRDefault="00485CCD">
            <w:pPr>
              <w:spacing w:line="240" w:lineRule="auto"/>
              <w:rPr>
                <w:color w:val="000000"/>
                <w:lang w:val="hu-HU"/>
              </w:rPr>
            </w:pPr>
            <w:r>
              <w:t>329</w:t>
            </w:r>
          </w:p>
        </w:tc>
        <w:tc>
          <w:tcPr>
            <w:tcW w:w="2097" w:type="dxa"/>
            <w:shd w:val="clear" w:color="auto" w:fill="auto"/>
          </w:tcPr>
          <w:p w:rsidR="00224F0F" w:rsidRDefault="00485CCD">
            <w:pPr>
              <w:pStyle w:val="Default"/>
              <w:rPr>
                <w:sz w:val="22"/>
                <w:szCs w:val="22"/>
              </w:rPr>
            </w:pPr>
            <w:r>
              <w:rPr>
                <w:sz w:val="22"/>
                <w:szCs w:val="22"/>
              </w:rPr>
              <w:t>A testtömeghez igazított dózis, amelynek célja olyan expozíciót elérni, mely hasonló az MVT miatt napi egyszer 20</w:t>
            </w:r>
            <w:r>
              <w:rPr>
                <w:noProof/>
                <w:sz w:val="22"/>
                <w:szCs w:val="22"/>
              </w:rPr>
              <w:t> </w:t>
            </w:r>
            <w:r>
              <w:rPr>
                <w:sz w:val="22"/>
                <w:szCs w:val="22"/>
              </w:rPr>
              <w:t>mg rivaroxabánnal kezelt felnőtteknél megfigyelthez</w:t>
            </w:r>
          </w:p>
        </w:tc>
        <w:tc>
          <w:tcPr>
            <w:tcW w:w="1983" w:type="dxa"/>
            <w:shd w:val="clear" w:color="auto" w:fill="auto"/>
          </w:tcPr>
          <w:p w:rsidR="00224F0F" w:rsidRDefault="00485CCD">
            <w:pPr>
              <w:spacing w:line="240" w:lineRule="auto"/>
              <w:rPr>
                <w:color w:val="000000"/>
                <w:lang w:val="hu-HU"/>
              </w:rPr>
            </w:pPr>
            <w:r>
              <w:t>12 hónap</w:t>
            </w:r>
          </w:p>
        </w:tc>
      </w:tr>
      <w:tr w:rsidR="00224F0F">
        <w:tc>
          <w:tcPr>
            <w:tcW w:w="3175" w:type="dxa"/>
            <w:shd w:val="clear" w:color="auto" w:fill="auto"/>
          </w:tcPr>
          <w:p w:rsidR="00224F0F" w:rsidRDefault="00485CCD">
            <w:pPr>
              <w:pStyle w:val="Default"/>
              <w:rPr>
                <w:sz w:val="22"/>
                <w:szCs w:val="22"/>
              </w:rPr>
            </w:pPr>
            <w:r>
              <w:rPr>
                <w:sz w:val="22"/>
                <w:szCs w:val="22"/>
              </w:rPr>
              <w:t>Stroke és szisztémás embolisatio megelőzése nem valvularis eredetű pitvarfibrillációban szenvedő betegeknél</w:t>
            </w:r>
          </w:p>
        </w:tc>
        <w:tc>
          <w:tcPr>
            <w:tcW w:w="1806" w:type="dxa"/>
            <w:shd w:val="clear" w:color="auto" w:fill="auto"/>
          </w:tcPr>
          <w:p w:rsidR="00224F0F" w:rsidRDefault="00485CCD">
            <w:pPr>
              <w:spacing w:line="240" w:lineRule="auto"/>
              <w:rPr>
                <w:color w:val="000000"/>
                <w:lang w:val="hu-HU"/>
              </w:rPr>
            </w:pPr>
            <w:r>
              <w:rPr>
                <w:color w:val="000000"/>
                <w:lang w:val="hu-HU"/>
              </w:rPr>
              <w:t>7750</w:t>
            </w:r>
          </w:p>
        </w:tc>
        <w:tc>
          <w:tcPr>
            <w:tcW w:w="2097" w:type="dxa"/>
            <w:shd w:val="clear" w:color="auto" w:fill="auto"/>
          </w:tcPr>
          <w:p w:rsidR="00224F0F" w:rsidRDefault="00485CCD">
            <w:pPr>
              <w:pStyle w:val="Default"/>
              <w:rPr>
                <w:sz w:val="22"/>
                <w:szCs w:val="22"/>
              </w:rPr>
            </w:pPr>
            <w:r>
              <w:rPr>
                <w:sz w:val="22"/>
                <w:szCs w:val="22"/>
              </w:rPr>
              <w:t>20 mg</w:t>
            </w:r>
          </w:p>
        </w:tc>
        <w:tc>
          <w:tcPr>
            <w:tcW w:w="1983" w:type="dxa"/>
            <w:shd w:val="clear" w:color="auto" w:fill="auto"/>
          </w:tcPr>
          <w:p w:rsidR="00224F0F" w:rsidRDefault="00485CCD">
            <w:pPr>
              <w:spacing w:line="240" w:lineRule="auto"/>
              <w:rPr>
                <w:color w:val="000000"/>
                <w:lang w:val="hu-HU"/>
              </w:rPr>
            </w:pPr>
            <w:r>
              <w:rPr>
                <w:color w:val="000000"/>
                <w:lang w:val="hu-HU"/>
              </w:rPr>
              <w:t>41 hónap</w:t>
            </w:r>
          </w:p>
        </w:tc>
      </w:tr>
      <w:tr w:rsidR="00224F0F">
        <w:trPr>
          <w:trHeight w:val="1637"/>
        </w:trPr>
        <w:tc>
          <w:tcPr>
            <w:tcW w:w="3175" w:type="dxa"/>
            <w:shd w:val="clear" w:color="auto" w:fill="auto"/>
          </w:tcPr>
          <w:p w:rsidR="00224F0F" w:rsidRDefault="00485CCD" w:rsidP="00332B5A">
            <w:pPr>
              <w:pStyle w:val="Default"/>
              <w:rPr>
                <w:sz w:val="22"/>
                <w:szCs w:val="22"/>
                <w:u w:val="single"/>
              </w:rPr>
            </w:pPr>
            <w:r>
              <w:rPr>
                <w:sz w:val="22"/>
                <w:szCs w:val="22"/>
              </w:rPr>
              <w:t>Atherothromboticus események megelőzése akut coronaria szindrómát (ACS) követően</w:t>
            </w:r>
          </w:p>
        </w:tc>
        <w:tc>
          <w:tcPr>
            <w:tcW w:w="1806" w:type="dxa"/>
            <w:shd w:val="clear" w:color="auto" w:fill="auto"/>
          </w:tcPr>
          <w:p w:rsidR="00224F0F" w:rsidRDefault="00485CCD" w:rsidP="002C6FA3">
            <w:pPr>
              <w:spacing w:line="240" w:lineRule="auto"/>
              <w:rPr>
                <w:color w:val="000000"/>
                <w:lang w:val="hu-HU"/>
              </w:rPr>
            </w:pPr>
            <w:r>
              <w:rPr>
                <w:color w:val="000000"/>
                <w:lang w:val="hu-HU"/>
              </w:rPr>
              <w:t>10 225</w:t>
            </w:r>
          </w:p>
        </w:tc>
        <w:tc>
          <w:tcPr>
            <w:tcW w:w="2097" w:type="dxa"/>
            <w:shd w:val="clear" w:color="auto" w:fill="auto"/>
          </w:tcPr>
          <w:p w:rsidR="00224F0F" w:rsidRDefault="00485CCD" w:rsidP="00764E87">
            <w:pPr>
              <w:pStyle w:val="Default"/>
              <w:rPr>
                <w:sz w:val="22"/>
                <w:szCs w:val="22"/>
                <w:u w:val="single"/>
              </w:rPr>
            </w:pPr>
            <w:r>
              <w:rPr>
                <w:sz w:val="22"/>
                <w:szCs w:val="22"/>
              </w:rPr>
              <w:t>5 mg, illetve 10 mg ASA-val vagy ASA-val és klopidogrellel vagy tiklopidinnel együtt alkalmazva</w:t>
            </w:r>
          </w:p>
        </w:tc>
        <w:tc>
          <w:tcPr>
            <w:tcW w:w="1983" w:type="dxa"/>
            <w:shd w:val="clear" w:color="auto" w:fill="auto"/>
          </w:tcPr>
          <w:p w:rsidR="00224F0F" w:rsidRDefault="00485CCD">
            <w:pPr>
              <w:spacing w:line="240" w:lineRule="auto"/>
              <w:rPr>
                <w:color w:val="000000"/>
                <w:lang w:val="hu-HU"/>
              </w:rPr>
            </w:pPr>
            <w:r>
              <w:rPr>
                <w:color w:val="000000"/>
                <w:lang w:val="hu-HU"/>
              </w:rPr>
              <w:t>31 hónap</w:t>
            </w:r>
          </w:p>
        </w:tc>
      </w:tr>
      <w:tr w:rsidR="00224F0F">
        <w:tc>
          <w:tcPr>
            <w:tcW w:w="3175" w:type="dxa"/>
            <w:vMerge w:val="restart"/>
            <w:shd w:val="clear" w:color="auto" w:fill="auto"/>
          </w:tcPr>
          <w:p w:rsidR="00224F0F" w:rsidRDefault="00485CCD" w:rsidP="00A54C3F">
            <w:pPr>
              <w:pStyle w:val="Default"/>
              <w:keepNext/>
              <w:rPr>
                <w:sz w:val="22"/>
                <w:szCs w:val="22"/>
              </w:rPr>
            </w:pPr>
            <w:r>
              <w:rPr>
                <w:sz w:val="22"/>
                <w:szCs w:val="22"/>
              </w:rPr>
              <w:lastRenderedPageBreak/>
              <w:t>Atherothromboticus események megelőzése CAD/PAD-ben szenvedő betegeknél</w:t>
            </w:r>
          </w:p>
        </w:tc>
        <w:tc>
          <w:tcPr>
            <w:tcW w:w="1806" w:type="dxa"/>
            <w:shd w:val="clear" w:color="auto" w:fill="auto"/>
          </w:tcPr>
          <w:p w:rsidR="00224F0F" w:rsidRDefault="00485CCD" w:rsidP="00A54C3F">
            <w:pPr>
              <w:keepNext/>
              <w:spacing w:line="240" w:lineRule="auto"/>
              <w:rPr>
                <w:color w:val="000000"/>
                <w:lang w:val="hu-HU"/>
              </w:rPr>
            </w:pPr>
            <w:r>
              <w:rPr>
                <w:color w:val="000000"/>
                <w:lang w:val="hu-HU"/>
              </w:rPr>
              <w:t xml:space="preserve">18 244 </w:t>
            </w:r>
          </w:p>
        </w:tc>
        <w:tc>
          <w:tcPr>
            <w:tcW w:w="2097" w:type="dxa"/>
            <w:shd w:val="clear" w:color="auto" w:fill="auto"/>
          </w:tcPr>
          <w:p w:rsidR="00224F0F" w:rsidRDefault="00485CCD" w:rsidP="00A54C3F">
            <w:pPr>
              <w:pStyle w:val="Default"/>
              <w:keepNext/>
              <w:rPr>
                <w:sz w:val="22"/>
                <w:szCs w:val="22"/>
              </w:rPr>
            </w:pPr>
            <w:r>
              <w:rPr>
                <w:sz w:val="22"/>
                <w:szCs w:val="22"/>
              </w:rPr>
              <w:t>5 mg ASA-val együtt vagy 10 mg önmagában alkalmazva</w:t>
            </w:r>
          </w:p>
        </w:tc>
        <w:tc>
          <w:tcPr>
            <w:tcW w:w="1983" w:type="dxa"/>
            <w:shd w:val="clear" w:color="auto" w:fill="auto"/>
          </w:tcPr>
          <w:p w:rsidR="00224F0F" w:rsidRDefault="00485CCD" w:rsidP="00A54C3F">
            <w:pPr>
              <w:keepNext/>
              <w:spacing w:line="240" w:lineRule="auto"/>
              <w:rPr>
                <w:color w:val="000000"/>
                <w:highlight w:val="yellow"/>
                <w:lang w:val="hu-HU"/>
              </w:rPr>
            </w:pPr>
            <w:r>
              <w:rPr>
                <w:color w:val="000000"/>
                <w:lang w:val="hu-HU"/>
              </w:rPr>
              <w:t>47 hónap</w:t>
            </w:r>
          </w:p>
        </w:tc>
      </w:tr>
      <w:tr w:rsidR="00224F0F">
        <w:tc>
          <w:tcPr>
            <w:tcW w:w="3175" w:type="dxa"/>
            <w:vMerge/>
            <w:shd w:val="clear" w:color="auto" w:fill="auto"/>
          </w:tcPr>
          <w:p w:rsidR="00224F0F" w:rsidRDefault="00224F0F">
            <w:pPr>
              <w:pStyle w:val="Default"/>
              <w:rPr>
                <w:sz w:val="22"/>
                <w:szCs w:val="22"/>
              </w:rPr>
            </w:pPr>
          </w:p>
        </w:tc>
        <w:tc>
          <w:tcPr>
            <w:tcW w:w="1806" w:type="dxa"/>
            <w:shd w:val="clear" w:color="auto" w:fill="auto"/>
          </w:tcPr>
          <w:p w:rsidR="00224F0F" w:rsidRDefault="00485CCD">
            <w:pPr>
              <w:spacing w:line="240" w:lineRule="auto"/>
              <w:rPr>
                <w:color w:val="000000"/>
                <w:lang w:val="hu-HU"/>
              </w:rPr>
            </w:pPr>
            <w:r>
              <w:rPr>
                <w:color w:val="000000"/>
                <w:lang w:val="hu-HU"/>
              </w:rPr>
              <w:t>3256**</w:t>
            </w:r>
          </w:p>
        </w:tc>
        <w:tc>
          <w:tcPr>
            <w:tcW w:w="2097" w:type="dxa"/>
            <w:shd w:val="clear" w:color="auto" w:fill="auto"/>
          </w:tcPr>
          <w:p w:rsidR="00224F0F" w:rsidRDefault="00485CCD">
            <w:pPr>
              <w:pStyle w:val="Default"/>
              <w:rPr>
                <w:sz w:val="22"/>
                <w:szCs w:val="22"/>
              </w:rPr>
            </w:pPr>
            <w:r>
              <w:rPr>
                <w:sz w:val="22"/>
                <w:szCs w:val="22"/>
              </w:rPr>
              <w:t>5 mg ASA-val együtt alkalmazva</w:t>
            </w:r>
          </w:p>
        </w:tc>
        <w:tc>
          <w:tcPr>
            <w:tcW w:w="1983" w:type="dxa"/>
            <w:shd w:val="clear" w:color="auto" w:fill="auto"/>
          </w:tcPr>
          <w:p w:rsidR="00224F0F" w:rsidRDefault="00485CCD">
            <w:pPr>
              <w:spacing w:line="240" w:lineRule="auto"/>
              <w:rPr>
                <w:color w:val="000000"/>
                <w:lang w:val="hu-HU"/>
              </w:rPr>
            </w:pPr>
            <w:r>
              <w:rPr>
                <w:color w:val="000000"/>
                <w:lang w:val="hu-HU"/>
              </w:rPr>
              <w:t>42 hónap</w:t>
            </w:r>
          </w:p>
        </w:tc>
      </w:tr>
    </w:tbl>
    <w:p w:rsidR="00224F0F" w:rsidRDefault="00485CCD" w:rsidP="00A54C3F">
      <w:pPr>
        <w:tabs>
          <w:tab w:val="clear" w:pos="567"/>
          <w:tab w:val="left" w:pos="426"/>
        </w:tabs>
        <w:spacing w:line="240" w:lineRule="auto"/>
        <w:rPr>
          <w:color w:val="000000"/>
          <w:lang w:val="hu-HU"/>
        </w:rPr>
      </w:pPr>
      <w:r>
        <w:rPr>
          <w:color w:val="000000"/>
          <w:lang w:val="hu-HU"/>
        </w:rPr>
        <w:t>*</w:t>
      </w:r>
      <w:r w:rsidR="00332B5A">
        <w:rPr>
          <w:color w:val="000000"/>
          <w:lang w:val="hu-HU"/>
        </w:rPr>
        <w:tab/>
      </w:r>
      <w:r>
        <w:rPr>
          <w:color w:val="000000"/>
          <w:lang w:val="hu-HU"/>
        </w:rPr>
        <w:t>Legalább egy dózis rivaroxabánt kapott betegek</w:t>
      </w:r>
    </w:p>
    <w:p w:rsidR="00224F0F" w:rsidRDefault="00485CCD" w:rsidP="00A54C3F">
      <w:pPr>
        <w:tabs>
          <w:tab w:val="clear" w:pos="567"/>
          <w:tab w:val="left" w:pos="426"/>
        </w:tabs>
        <w:spacing w:line="240" w:lineRule="auto"/>
        <w:rPr>
          <w:color w:val="000000"/>
          <w:lang w:val="hu-HU"/>
        </w:rPr>
      </w:pPr>
      <w:r>
        <w:rPr>
          <w:color w:val="000000"/>
          <w:lang w:val="hu-HU"/>
        </w:rPr>
        <w:t>**</w:t>
      </w:r>
      <w:r w:rsidR="00332B5A">
        <w:rPr>
          <w:color w:val="000000"/>
          <w:lang w:val="hu-HU"/>
        </w:rPr>
        <w:tab/>
      </w:r>
      <w:r>
        <w:rPr>
          <w:color w:val="000000"/>
          <w:lang w:val="hu-HU"/>
        </w:rPr>
        <w:t>A VOYAGER PAD vizsgálatból származó adat</w:t>
      </w:r>
    </w:p>
    <w:p w:rsidR="00224F0F" w:rsidRDefault="00224F0F">
      <w:pPr>
        <w:spacing w:line="240" w:lineRule="auto"/>
        <w:rPr>
          <w:color w:val="000000"/>
          <w:u w:val="single"/>
          <w:lang w:val="hu-HU"/>
        </w:rPr>
      </w:pPr>
    </w:p>
    <w:p w:rsidR="00224F0F" w:rsidRDefault="00485CCD">
      <w:pPr>
        <w:spacing w:line="240" w:lineRule="auto"/>
        <w:rPr>
          <w:color w:val="000000"/>
          <w:u w:val="single"/>
          <w:lang w:val="hu-HU"/>
        </w:rPr>
      </w:pPr>
      <w:r>
        <w:rPr>
          <w:color w:val="000000"/>
          <w:lang w:val="hu-HU"/>
        </w:rPr>
        <w:t>A rivaroxabánnal kezelt betegeknél a leggyakrabban jelentett mellékhatás a vérzés volt (2. táblázat) (lásd még 4.4 pont, valamint alább a „Kiválasztott mellékhatások leírása” cím alatt). A leggyakrabban jelentett vérzések közé az epistaxis (4,5%), illetve a gyomor- és bélrendszeri vérzések (3,8%) tartoztak.</w:t>
      </w:r>
    </w:p>
    <w:p w:rsidR="00224F0F" w:rsidRDefault="00224F0F">
      <w:pPr>
        <w:spacing w:line="240" w:lineRule="auto"/>
        <w:rPr>
          <w:color w:val="000000"/>
          <w:lang w:val="hu-HU"/>
        </w:rPr>
      </w:pPr>
    </w:p>
    <w:p w:rsidR="00224F0F" w:rsidRDefault="00485CCD" w:rsidP="00A54C3F">
      <w:pPr>
        <w:tabs>
          <w:tab w:val="clear" w:pos="567"/>
          <w:tab w:val="left" w:pos="1276"/>
        </w:tabs>
        <w:spacing w:line="240" w:lineRule="auto"/>
        <w:ind w:left="1276" w:hanging="1276"/>
        <w:rPr>
          <w:b/>
          <w:bCs/>
          <w:color w:val="000000"/>
        </w:rPr>
      </w:pPr>
      <w:r>
        <w:rPr>
          <w:b/>
          <w:bCs/>
          <w:color w:val="000000"/>
        </w:rPr>
        <w:t>2. táblázat:</w:t>
      </w:r>
      <w:r w:rsidR="00332B5A">
        <w:rPr>
          <w:b/>
          <w:bCs/>
          <w:color w:val="000000"/>
        </w:rPr>
        <w:tab/>
      </w:r>
      <w:r>
        <w:rPr>
          <w:b/>
          <w:bCs/>
          <w:color w:val="000000"/>
        </w:rPr>
        <w:t>A vérzés* és az anaemia eseteinek aránya a felnőtt valamint gyermek és serdülőkorú betegekkel végzett, befejezett III. fázisú vizsgálatokban</w:t>
      </w:r>
    </w:p>
    <w:p w:rsidR="00332B5A" w:rsidRDefault="00332B5A">
      <w:pPr>
        <w:spacing w:line="240" w:lineRule="auto"/>
        <w:rPr>
          <w:color w:val="000000"/>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72"/>
        <w:gridCol w:w="2495"/>
        <w:gridCol w:w="2194"/>
      </w:tblGrid>
      <w:tr w:rsidR="00224F0F">
        <w:tc>
          <w:tcPr>
            <w:tcW w:w="4372" w:type="dxa"/>
            <w:shd w:val="clear" w:color="auto" w:fill="auto"/>
          </w:tcPr>
          <w:p w:rsidR="00224F0F" w:rsidRDefault="00485CCD">
            <w:pPr>
              <w:spacing w:line="240" w:lineRule="auto"/>
              <w:rPr>
                <w:b/>
                <w:color w:val="000000"/>
                <w:lang w:val="hu-HU"/>
              </w:rPr>
            </w:pPr>
            <w:r>
              <w:rPr>
                <w:b/>
                <w:color w:val="000000"/>
                <w:lang w:val="hu-HU"/>
              </w:rPr>
              <w:t>Javallat</w:t>
            </w:r>
          </w:p>
        </w:tc>
        <w:tc>
          <w:tcPr>
            <w:tcW w:w="2495" w:type="dxa"/>
            <w:shd w:val="clear" w:color="auto" w:fill="auto"/>
          </w:tcPr>
          <w:p w:rsidR="00224F0F" w:rsidRDefault="00485CCD">
            <w:pPr>
              <w:pStyle w:val="Default"/>
              <w:rPr>
                <w:sz w:val="22"/>
                <w:szCs w:val="22"/>
              </w:rPr>
            </w:pPr>
            <w:r>
              <w:rPr>
                <w:b/>
                <w:bCs/>
                <w:sz w:val="22"/>
                <w:szCs w:val="22"/>
              </w:rPr>
              <w:t xml:space="preserve">Bármilyen vérzés </w:t>
            </w:r>
          </w:p>
        </w:tc>
        <w:tc>
          <w:tcPr>
            <w:tcW w:w="2194" w:type="dxa"/>
            <w:shd w:val="clear" w:color="auto" w:fill="auto"/>
          </w:tcPr>
          <w:p w:rsidR="00224F0F" w:rsidRDefault="00485CCD">
            <w:pPr>
              <w:pStyle w:val="Default"/>
              <w:rPr>
                <w:sz w:val="22"/>
                <w:szCs w:val="22"/>
              </w:rPr>
            </w:pPr>
            <w:r>
              <w:rPr>
                <w:b/>
                <w:bCs/>
                <w:sz w:val="22"/>
                <w:szCs w:val="22"/>
              </w:rPr>
              <w:t xml:space="preserve">Anaemia </w:t>
            </w:r>
          </w:p>
        </w:tc>
      </w:tr>
      <w:tr w:rsidR="00224F0F">
        <w:trPr>
          <w:trHeight w:val="774"/>
        </w:trPr>
        <w:tc>
          <w:tcPr>
            <w:tcW w:w="4372" w:type="dxa"/>
            <w:shd w:val="clear" w:color="auto" w:fill="auto"/>
          </w:tcPr>
          <w:p w:rsidR="00224F0F" w:rsidRDefault="00485CCD">
            <w:pPr>
              <w:pStyle w:val="Default"/>
              <w:spacing w:before="120" w:after="120"/>
              <w:rPr>
                <w:sz w:val="22"/>
                <w:szCs w:val="22"/>
              </w:rPr>
            </w:pPr>
            <w:r>
              <w:rPr>
                <w:sz w:val="22"/>
                <w:szCs w:val="22"/>
              </w:rPr>
              <w:t xml:space="preserve">VTE megelőzése elektív csípő- vagy térdprotézis műtéten áteső felnőtt betegeknél </w:t>
            </w:r>
          </w:p>
        </w:tc>
        <w:tc>
          <w:tcPr>
            <w:tcW w:w="2495" w:type="dxa"/>
            <w:shd w:val="clear" w:color="auto" w:fill="auto"/>
          </w:tcPr>
          <w:p w:rsidR="00224F0F" w:rsidRDefault="00485CCD">
            <w:pPr>
              <w:pStyle w:val="Default"/>
              <w:spacing w:before="120" w:after="120"/>
              <w:rPr>
                <w:sz w:val="22"/>
                <w:szCs w:val="22"/>
              </w:rPr>
            </w:pPr>
            <w:r>
              <w:rPr>
                <w:sz w:val="22"/>
                <w:szCs w:val="22"/>
              </w:rPr>
              <w:t xml:space="preserve">A betegek 6,8%-a </w:t>
            </w:r>
          </w:p>
        </w:tc>
        <w:tc>
          <w:tcPr>
            <w:tcW w:w="2194" w:type="dxa"/>
            <w:shd w:val="clear" w:color="auto" w:fill="auto"/>
          </w:tcPr>
          <w:p w:rsidR="00224F0F" w:rsidRDefault="00485CCD">
            <w:pPr>
              <w:pStyle w:val="Default"/>
              <w:spacing w:before="120" w:after="120"/>
              <w:rPr>
                <w:sz w:val="22"/>
                <w:szCs w:val="22"/>
              </w:rPr>
            </w:pPr>
            <w:r>
              <w:rPr>
                <w:sz w:val="22"/>
                <w:szCs w:val="22"/>
              </w:rPr>
              <w:t xml:space="preserve">A betegek 5,9%-a </w:t>
            </w:r>
          </w:p>
        </w:tc>
      </w:tr>
      <w:tr w:rsidR="00224F0F">
        <w:tc>
          <w:tcPr>
            <w:tcW w:w="4372" w:type="dxa"/>
            <w:shd w:val="clear" w:color="auto" w:fill="auto"/>
          </w:tcPr>
          <w:p w:rsidR="00224F0F" w:rsidRDefault="00485CCD">
            <w:pPr>
              <w:pStyle w:val="Default"/>
              <w:spacing w:before="120" w:after="120"/>
              <w:rPr>
                <w:sz w:val="22"/>
                <w:szCs w:val="22"/>
              </w:rPr>
            </w:pPr>
            <w:r>
              <w:rPr>
                <w:sz w:val="22"/>
                <w:szCs w:val="22"/>
              </w:rPr>
              <w:t xml:space="preserve">VTE megelőzése akut belgyógyászati betegségben szenvedő betegeknél </w:t>
            </w:r>
          </w:p>
        </w:tc>
        <w:tc>
          <w:tcPr>
            <w:tcW w:w="2495" w:type="dxa"/>
            <w:shd w:val="clear" w:color="auto" w:fill="auto"/>
          </w:tcPr>
          <w:p w:rsidR="00224F0F" w:rsidRDefault="00485CCD">
            <w:pPr>
              <w:pStyle w:val="Default"/>
              <w:spacing w:before="120" w:after="120"/>
              <w:rPr>
                <w:sz w:val="22"/>
                <w:szCs w:val="22"/>
              </w:rPr>
            </w:pPr>
            <w:r>
              <w:rPr>
                <w:sz w:val="22"/>
                <w:szCs w:val="22"/>
              </w:rPr>
              <w:t>A betegek 12,6%-a</w:t>
            </w:r>
          </w:p>
        </w:tc>
        <w:tc>
          <w:tcPr>
            <w:tcW w:w="2194" w:type="dxa"/>
            <w:shd w:val="clear" w:color="auto" w:fill="auto"/>
          </w:tcPr>
          <w:p w:rsidR="00224F0F" w:rsidRDefault="00485CCD">
            <w:pPr>
              <w:pStyle w:val="Default"/>
              <w:spacing w:before="120" w:after="120"/>
              <w:rPr>
                <w:sz w:val="22"/>
                <w:szCs w:val="22"/>
              </w:rPr>
            </w:pPr>
            <w:r>
              <w:rPr>
                <w:sz w:val="22"/>
                <w:szCs w:val="22"/>
              </w:rPr>
              <w:t>A betegek 2,1%-a</w:t>
            </w:r>
          </w:p>
        </w:tc>
      </w:tr>
      <w:tr w:rsidR="00224F0F">
        <w:tc>
          <w:tcPr>
            <w:tcW w:w="4372" w:type="dxa"/>
            <w:shd w:val="clear" w:color="auto" w:fill="auto"/>
          </w:tcPr>
          <w:p w:rsidR="00224F0F" w:rsidRDefault="00485CCD">
            <w:pPr>
              <w:pStyle w:val="Default"/>
              <w:spacing w:before="120" w:after="120"/>
              <w:rPr>
                <w:sz w:val="22"/>
                <w:szCs w:val="22"/>
              </w:rPr>
            </w:pPr>
            <w:r>
              <w:rPr>
                <w:sz w:val="22"/>
                <w:szCs w:val="22"/>
              </w:rPr>
              <w:t xml:space="preserve">MVT, PE kezelése, és a recidíva megelőzése </w:t>
            </w:r>
          </w:p>
        </w:tc>
        <w:tc>
          <w:tcPr>
            <w:tcW w:w="2495" w:type="dxa"/>
            <w:shd w:val="clear" w:color="auto" w:fill="auto"/>
          </w:tcPr>
          <w:p w:rsidR="00224F0F" w:rsidRDefault="00485CCD">
            <w:pPr>
              <w:pStyle w:val="Default"/>
              <w:spacing w:before="120" w:after="120"/>
              <w:rPr>
                <w:sz w:val="22"/>
                <w:szCs w:val="22"/>
              </w:rPr>
            </w:pPr>
            <w:r>
              <w:rPr>
                <w:sz w:val="22"/>
                <w:szCs w:val="22"/>
              </w:rPr>
              <w:t xml:space="preserve">A betegek 23%-a </w:t>
            </w:r>
          </w:p>
        </w:tc>
        <w:tc>
          <w:tcPr>
            <w:tcW w:w="2194" w:type="dxa"/>
            <w:shd w:val="clear" w:color="auto" w:fill="auto"/>
          </w:tcPr>
          <w:p w:rsidR="00224F0F" w:rsidRDefault="00485CCD">
            <w:pPr>
              <w:pStyle w:val="Default"/>
              <w:spacing w:before="120" w:after="120"/>
              <w:rPr>
                <w:sz w:val="22"/>
                <w:szCs w:val="22"/>
              </w:rPr>
            </w:pPr>
            <w:r>
              <w:rPr>
                <w:sz w:val="22"/>
                <w:szCs w:val="22"/>
              </w:rPr>
              <w:t>A betegek 1,6%-a</w:t>
            </w:r>
          </w:p>
        </w:tc>
      </w:tr>
      <w:tr w:rsidR="00224F0F">
        <w:tc>
          <w:tcPr>
            <w:tcW w:w="4372" w:type="dxa"/>
            <w:shd w:val="clear" w:color="auto" w:fill="auto"/>
          </w:tcPr>
          <w:p w:rsidR="00224F0F" w:rsidRDefault="00485CCD">
            <w:pPr>
              <w:pStyle w:val="Default"/>
              <w:spacing w:before="120" w:after="120"/>
              <w:rPr>
                <w:sz w:val="22"/>
                <w:szCs w:val="22"/>
              </w:rPr>
            </w:pPr>
            <w:r>
              <w:rPr>
                <w:sz w:val="22"/>
                <w:szCs w:val="22"/>
              </w:rPr>
              <w:t>A VTE kezelése és a VTE kiújulásának megelőzése újszülötteknél és 18 évesnél fiatalabb gyermekeknél a hagyományos véralvadásgátló kezelés megkezdését követően</w:t>
            </w:r>
          </w:p>
        </w:tc>
        <w:tc>
          <w:tcPr>
            <w:tcW w:w="2495" w:type="dxa"/>
            <w:shd w:val="clear" w:color="auto" w:fill="auto"/>
          </w:tcPr>
          <w:p w:rsidR="00224F0F" w:rsidRDefault="00485CCD">
            <w:pPr>
              <w:pStyle w:val="Default"/>
              <w:spacing w:before="120" w:after="120"/>
              <w:rPr>
                <w:sz w:val="22"/>
                <w:szCs w:val="22"/>
              </w:rPr>
            </w:pPr>
            <w:r>
              <w:rPr>
                <w:sz w:val="22"/>
                <w:szCs w:val="22"/>
              </w:rPr>
              <w:t xml:space="preserve">A betegek 39,5%-a </w:t>
            </w:r>
          </w:p>
        </w:tc>
        <w:tc>
          <w:tcPr>
            <w:tcW w:w="2194" w:type="dxa"/>
            <w:shd w:val="clear" w:color="auto" w:fill="auto"/>
          </w:tcPr>
          <w:p w:rsidR="00224F0F" w:rsidRDefault="00485CCD">
            <w:pPr>
              <w:pStyle w:val="Default"/>
              <w:spacing w:before="120" w:after="120"/>
              <w:rPr>
                <w:sz w:val="22"/>
                <w:szCs w:val="22"/>
              </w:rPr>
            </w:pPr>
            <w:r>
              <w:rPr>
                <w:sz w:val="22"/>
                <w:szCs w:val="22"/>
              </w:rPr>
              <w:t>A betegek 4,6%-a</w:t>
            </w:r>
          </w:p>
        </w:tc>
      </w:tr>
      <w:tr w:rsidR="00224F0F">
        <w:tc>
          <w:tcPr>
            <w:tcW w:w="4372" w:type="dxa"/>
            <w:shd w:val="clear" w:color="auto" w:fill="auto"/>
          </w:tcPr>
          <w:p w:rsidR="00224F0F" w:rsidRDefault="00485CCD">
            <w:pPr>
              <w:pStyle w:val="Default"/>
              <w:spacing w:before="120" w:after="120"/>
              <w:rPr>
                <w:sz w:val="22"/>
                <w:szCs w:val="22"/>
              </w:rPr>
            </w:pPr>
            <w:r>
              <w:rPr>
                <w:sz w:val="22"/>
                <w:szCs w:val="22"/>
              </w:rPr>
              <w:t xml:space="preserve">Stroke és systemás embolisatio megelőzése nem valvularis eredetű pitvarfibrillációban szenvedő betegeknél </w:t>
            </w:r>
          </w:p>
        </w:tc>
        <w:tc>
          <w:tcPr>
            <w:tcW w:w="2495" w:type="dxa"/>
            <w:shd w:val="clear" w:color="auto" w:fill="auto"/>
          </w:tcPr>
          <w:p w:rsidR="00224F0F" w:rsidRDefault="00485CCD">
            <w:pPr>
              <w:pStyle w:val="Default"/>
              <w:spacing w:before="120" w:after="120"/>
              <w:rPr>
                <w:sz w:val="22"/>
                <w:szCs w:val="22"/>
              </w:rPr>
            </w:pPr>
            <w:r>
              <w:rPr>
                <w:sz w:val="22"/>
                <w:szCs w:val="22"/>
              </w:rPr>
              <w:t>100 betegévenként 28</w:t>
            </w:r>
          </w:p>
        </w:tc>
        <w:tc>
          <w:tcPr>
            <w:tcW w:w="2194" w:type="dxa"/>
            <w:shd w:val="clear" w:color="auto" w:fill="auto"/>
          </w:tcPr>
          <w:p w:rsidR="00224F0F" w:rsidRDefault="00485CCD">
            <w:pPr>
              <w:pStyle w:val="Default"/>
              <w:spacing w:before="120" w:after="120"/>
              <w:rPr>
                <w:sz w:val="22"/>
                <w:szCs w:val="22"/>
              </w:rPr>
            </w:pPr>
            <w:r>
              <w:rPr>
                <w:sz w:val="22"/>
                <w:szCs w:val="22"/>
              </w:rPr>
              <w:t>100 betegévenként 2,5</w:t>
            </w:r>
          </w:p>
        </w:tc>
      </w:tr>
      <w:tr w:rsidR="00224F0F">
        <w:tc>
          <w:tcPr>
            <w:tcW w:w="4372" w:type="dxa"/>
            <w:shd w:val="clear" w:color="auto" w:fill="auto"/>
          </w:tcPr>
          <w:p w:rsidR="00224F0F" w:rsidRDefault="00485CCD">
            <w:pPr>
              <w:pStyle w:val="Default"/>
              <w:spacing w:before="120" w:after="120"/>
              <w:rPr>
                <w:sz w:val="22"/>
                <w:szCs w:val="22"/>
              </w:rPr>
            </w:pPr>
            <w:r>
              <w:rPr>
                <w:sz w:val="22"/>
                <w:szCs w:val="22"/>
              </w:rPr>
              <w:t xml:space="preserve">Atherothromboticus események megelőzése ACS-t követően </w:t>
            </w:r>
          </w:p>
        </w:tc>
        <w:tc>
          <w:tcPr>
            <w:tcW w:w="2495" w:type="dxa"/>
            <w:shd w:val="clear" w:color="auto" w:fill="auto"/>
          </w:tcPr>
          <w:p w:rsidR="00224F0F" w:rsidRDefault="00485CCD">
            <w:pPr>
              <w:pStyle w:val="Default"/>
              <w:spacing w:before="120" w:after="120"/>
              <w:rPr>
                <w:sz w:val="22"/>
                <w:szCs w:val="22"/>
              </w:rPr>
            </w:pPr>
            <w:r>
              <w:rPr>
                <w:sz w:val="22"/>
                <w:szCs w:val="22"/>
              </w:rPr>
              <w:t>100 betegévenként 22</w:t>
            </w:r>
          </w:p>
        </w:tc>
        <w:tc>
          <w:tcPr>
            <w:tcW w:w="2194" w:type="dxa"/>
            <w:shd w:val="clear" w:color="auto" w:fill="auto"/>
          </w:tcPr>
          <w:p w:rsidR="00224F0F" w:rsidRDefault="00485CCD">
            <w:pPr>
              <w:pStyle w:val="Default"/>
              <w:spacing w:before="120" w:after="120"/>
              <w:rPr>
                <w:sz w:val="22"/>
                <w:szCs w:val="22"/>
              </w:rPr>
            </w:pPr>
            <w:r>
              <w:rPr>
                <w:sz w:val="22"/>
                <w:szCs w:val="22"/>
              </w:rPr>
              <w:t>100 betegévenként 1,4</w:t>
            </w:r>
          </w:p>
        </w:tc>
      </w:tr>
      <w:tr w:rsidR="00224F0F">
        <w:tc>
          <w:tcPr>
            <w:tcW w:w="4372" w:type="dxa"/>
            <w:vMerge w:val="restart"/>
            <w:shd w:val="clear" w:color="auto" w:fill="auto"/>
          </w:tcPr>
          <w:p w:rsidR="00224F0F" w:rsidRDefault="00485CCD">
            <w:pPr>
              <w:pStyle w:val="Default"/>
              <w:rPr>
                <w:sz w:val="22"/>
                <w:szCs w:val="22"/>
              </w:rPr>
            </w:pPr>
            <w:r>
              <w:rPr>
                <w:sz w:val="22"/>
                <w:szCs w:val="22"/>
              </w:rPr>
              <w:t xml:space="preserve">Atherothromboticus események megelőzése CAD/PAD-ben szenvedő betegeknél </w:t>
            </w:r>
          </w:p>
        </w:tc>
        <w:tc>
          <w:tcPr>
            <w:tcW w:w="2495" w:type="dxa"/>
            <w:shd w:val="clear" w:color="auto" w:fill="auto"/>
          </w:tcPr>
          <w:p w:rsidR="00224F0F" w:rsidRDefault="00485CCD">
            <w:pPr>
              <w:pStyle w:val="Default"/>
              <w:rPr>
                <w:sz w:val="22"/>
                <w:szCs w:val="22"/>
              </w:rPr>
            </w:pPr>
            <w:r>
              <w:rPr>
                <w:sz w:val="22"/>
                <w:szCs w:val="22"/>
              </w:rPr>
              <w:t>100 betegévenként 6,7</w:t>
            </w:r>
          </w:p>
        </w:tc>
        <w:tc>
          <w:tcPr>
            <w:tcW w:w="2194" w:type="dxa"/>
            <w:shd w:val="clear" w:color="auto" w:fill="auto"/>
          </w:tcPr>
          <w:p w:rsidR="00224F0F" w:rsidRDefault="00485CCD">
            <w:pPr>
              <w:pStyle w:val="Default"/>
              <w:rPr>
                <w:sz w:val="22"/>
                <w:szCs w:val="22"/>
              </w:rPr>
            </w:pPr>
            <w:r>
              <w:rPr>
                <w:sz w:val="22"/>
                <w:szCs w:val="22"/>
              </w:rPr>
              <w:t>100 betegévenként 0,15**</w:t>
            </w:r>
          </w:p>
        </w:tc>
      </w:tr>
      <w:tr w:rsidR="00224F0F">
        <w:tc>
          <w:tcPr>
            <w:tcW w:w="4372" w:type="dxa"/>
            <w:vMerge/>
            <w:shd w:val="clear" w:color="auto" w:fill="auto"/>
          </w:tcPr>
          <w:p w:rsidR="00224F0F" w:rsidRDefault="00224F0F">
            <w:pPr>
              <w:pStyle w:val="Default"/>
              <w:rPr>
                <w:sz w:val="22"/>
                <w:szCs w:val="22"/>
              </w:rPr>
            </w:pPr>
          </w:p>
        </w:tc>
        <w:tc>
          <w:tcPr>
            <w:tcW w:w="2495" w:type="dxa"/>
            <w:shd w:val="clear" w:color="auto" w:fill="auto"/>
          </w:tcPr>
          <w:p w:rsidR="00224F0F" w:rsidRDefault="00485CCD">
            <w:pPr>
              <w:pStyle w:val="Default"/>
              <w:rPr>
                <w:sz w:val="22"/>
                <w:szCs w:val="22"/>
              </w:rPr>
            </w:pPr>
            <w:r>
              <w:rPr>
                <w:sz w:val="22"/>
                <w:szCs w:val="22"/>
              </w:rPr>
              <w:t>100 betegévenként 8,38#</w:t>
            </w:r>
          </w:p>
        </w:tc>
        <w:tc>
          <w:tcPr>
            <w:tcW w:w="2194" w:type="dxa"/>
            <w:shd w:val="clear" w:color="auto" w:fill="auto"/>
          </w:tcPr>
          <w:p w:rsidR="00224F0F" w:rsidRDefault="00485CCD">
            <w:pPr>
              <w:pStyle w:val="Default"/>
              <w:rPr>
                <w:sz w:val="22"/>
                <w:szCs w:val="22"/>
              </w:rPr>
            </w:pPr>
            <w:r>
              <w:rPr>
                <w:sz w:val="22"/>
                <w:szCs w:val="22"/>
              </w:rPr>
              <w:t>100 betegévenként 0,74*** #</w:t>
            </w:r>
          </w:p>
        </w:tc>
      </w:tr>
    </w:tbl>
    <w:p w:rsidR="00224F0F" w:rsidRDefault="00485CCD" w:rsidP="00A54C3F">
      <w:pPr>
        <w:pStyle w:val="Default"/>
        <w:tabs>
          <w:tab w:val="left" w:pos="426"/>
        </w:tabs>
        <w:ind w:left="426" w:hanging="426"/>
        <w:rPr>
          <w:sz w:val="22"/>
          <w:szCs w:val="22"/>
        </w:rPr>
      </w:pPr>
      <w:r>
        <w:rPr>
          <w:sz w:val="22"/>
          <w:szCs w:val="22"/>
        </w:rPr>
        <w:t>*</w:t>
      </w:r>
      <w:r w:rsidR="00332B5A">
        <w:rPr>
          <w:sz w:val="22"/>
          <w:szCs w:val="22"/>
        </w:rPr>
        <w:tab/>
      </w:r>
      <w:r>
        <w:rPr>
          <w:sz w:val="22"/>
          <w:szCs w:val="22"/>
        </w:rPr>
        <w:t>A rivaroxabánnal végzett valamennyi vizsgálatban az összes vérzéses eseményt regisztrálják, jelentik és elbírálják.</w:t>
      </w:r>
    </w:p>
    <w:p w:rsidR="00224F0F" w:rsidRDefault="00485CCD" w:rsidP="00A54C3F">
      <w:pPr>
        <w:tabs>
          <w:tab w:val="left" w:pos="426"/>
        </w:tabs>
        <w:spacing w:line="240" w:lineRule="auto"/>
        <w:ind w:left="426" w:hanging="426"/>
        <w:rPr>
          <w:color w:val="000000"/>
        </w:rPr>
      </w:pPr>
      <w:r>
        <w:rPr>
          <w:color w:val="000000"/>
        </w:rPr>
        <w:t>**</w:t>
      </w:r>
      <w:r w:rsidR="00332B5A">
        <w:rPr>
          <w:color w:val="000000"/>
        </w:rPr>
        <w:tab/>
      </w:r>
      <w:r>
        <w:rPr>
          <w:color w:val="000000"/>
        </w:rPr>
        <w:t>A COMPASS vizsgálatban alacsony az anaemia incidencia, mivel a nemkívánatos események regisztrálása tekintetében szelektív megközelítést alkalmaztak.</w:t>
      </w:r>
    </w:p>
    <w:p w:rsidR="00224F0F" w:rsidRDefault="00485CCD" w:rsidP="00A54C3F">
      <w:pPr>
        <w:tabs>
          <w:tab w:val="left" w:pos="426"/>
        </w:tabs>
        <w:spacing w:line="240" w:lineRule="auto"/>
        <w:ind w:left="426" w:hanging="426"/>
        <w:rPr>
          <w:color w:val="000000"/>
        </w:rPr>
      </w:pPr>
      <w:r>
        <w:rPr>
          <w:color w:val="000000"/>
        </w:rPr>
        <w:t>***</w:t>
      </w:r>
      <w:r w:rsidR="00332B5A">
        <w:rPr>
          <w:color w:val="000000"/>
        </w:rPr>
        <w:tab/>
      </w:r>
      <w:r>
        <w:rPr>
          <w:color w:val="000000"/>
        </w:rPr>
        <w:t>A nemkívánatos események regisztrálása tekintetében szelektív megközelítést alkalmaztak</w:t>
      </w:r>
    </w:p>
    <w:p w:rsidR="00224F0F" w:rsidRDefault="00485CCD" w:rsidP="00A54C3F">
      <w:pPr>
        <w:tabs>
          <w:tab w:val="left" w:pos="426"/>
        </w:tabs>
        <w:spacing w:line="240" w:lineRule="auto"/>
        <w:ind w:left="426" w:hanging="426"/>
        <w:rPr>
          <w:color w:val="000000"/>
        </w:rPr>
      </w:pPr>
      <w:r>
        <w:rPr>
          <w:color w:val="000000"/>
        </w:rPr>
        <w:t>#</w:t>
      </w:r>
      <w:r w:rsidR="00332B5A">
        <w:rPr>
          <w:color w:val="000000"/>
        </w:rPr>
        <w:tab/>
      </w:r>
      <w:r>
        <w:rPr>
          <w:color w:val="000000"/>
        </w:rPr>
        <w:t>A VOYAGER PAD vizsgálatból származó adat</w:t>
      </w:r>
    </w:p>
    <w:p w:rsidR="00224F0F" w:rsidRDefault="00224F0F">
      <w:pPr>
        <w:spacing w:line="240" w:lineRule="auto"/>
        <w:rPr>
          <w:color w:val="000000"/>
          <w:lang w:val="hu-HU"/>
        </w:rPr>
      </w:pPr>
    </w:p>
    <w:p w:rsidR="00224F0F" w:rsidRDefault="00485CCD">
      <w:pPr>
        <w:pStyle w:val="Default"/>
        <w:rPr>
          <w:sz w:val="22"/>
          <w:szCs w:val="22"/>
        </w:rPr>
      </w:pPr>
      <w:r>
        <w:rPr>
          <w:sz w:val="22"/>
          <w:szCs w:val="22"/>
          <w:u w:val="single"/>
        </w:rPr>
        <w:t>A mellékhatások táblázatos felsorolása</w:t>
      </w:r>
    </w:p>
    <w:p w:rsidR="00224F0F" w:rsidRDefault="00485CCD">
      <w:pPr>
        <w:pStyle w:val="Default"/>
        <w:rPr>
          <w:sz w:val="22"/>
          <w:szCs w:val="22"/>
        </w:rPr>
      </w:pPr>
      <w:r>
        <w:rPr>
          <w:sz w:val="22"/>
          <w:szCs w:val="22"/>
        </w:rPr>
        <w:t>A rivaroxabánnal kapcsolatosan felnőtteknél és gyermekgyógyászati betegeknél jelentett mellékhatások gyakorisága az alábbi, 3. táblázatban került összefoglalásra, szervrendszeri kategóriák (MedDRA alapján) és gyakoriság szerint.</w:t>
      </w:r>
    </w:p>
    <w:p w:rsidR="00224F0F" w:rsidRDefault="00224F0F">
      <w:pPr>
        <w:pStyle w:val="Default"/>
        <w:rPr>
          <w:sz w:val="22"/>
          <w:szCs w:val="22"/>
        </w:rPr>
      </w:pPr>
    </w:p>
    <w:p w:rsidR="00224F0F" w:rsidRDefault="00485CCD" w:rsidP="00A54C3F">
      <w:pPr>
        <w:pStyle w:val="Default"/>
        <w:keepNext/>
        <w:rPr>
          <w:sz w:val="22"/>
          <w:szCs w:val="22"/>
        </w:rPr>
      </w:pPr>
      <w:r>
        <w:rPr>
          <w:sz w:val="22"/>
          <w:szCs w:val="22"/>
        </w:rPr>
        <w:lastRenderedPageBreak/>
        <w:t>A gyakoriságok meghatározása:</w:t>
      </w:r>
    </w:p>
    <w:p w:rsidR="00224F0F" w:rsidRDefault="00485CCD">
      <w:pPr>
        <w:pStyle w:val="Default"/>
        <w:rPr>
          <w:sz w:val="22"/>
          <w:szCs w:val="22"/>
        </w:rPr>
      </w:pPr>
      <w:r>
        <w:rPr>
          <w:sz w:val="22"/>
          <w:szCs w:val="22"/>
        </w:rPr>
        <w:t>nagyon gyakori (≥ 1/10)</w:t>
      </w:r>
    </w:p>
    <w:p w:rsidR="00224F0F" w:rsidRDefault="00485CCD">
      <w:pPr>
        <w:pStyle w:val="Default"/>
        <w:rPr>
          <w:sz w:val="22"/>
          <w:szCs w:val="22"/>
        </w:rPr>
      </w:pPr>
      <w:r>
        <w:rPr>
          <w:sz w:val="22"/>
          <w:szCs w:val="22"/>
        </w:rPr>
        <w:t>gyakori (≥ 1/100 </w:t>
      </w:r>
      <w:r>
        <w:rPr>
          <w:b/>
          <w:bCs/>
          <w:sz w:val="22"/>
          <w:szCs w:val="22"/>
        </w:rPr>
        <w:t>– </w:t>
      </w:r>
      <w:r>
        <w:rPr>
          <w:sz w:val="22"/>
          <w:szCs w:val="22"/>
        </w:rPr>
        <w:t>&lt; 1/10)</w:t>
      </w:r>
    </w:p>
    <w:p w:rsidR="00224F0F" w:rsidRDefault="00485CCD">
      <w:pPr>
        <w:pStyle w:val="Default"/>
        <w:rPr>
          <w:sz w:val="22"/>
          <w:szCs w:val="22"/>
        </w:rPr>
      </w:pPr>
      <w:r>
        <w:rPr>
          <w:sz w:val="22"/>
          <w:szCs w:val="22"/>
        </w:rPr>
        <w:t>nem gyakori (≥ 1/1000 </w:t>
      </w:r>
      <w:r>
        <w:rPr>
          <w:b/>
          <w:bCs/>
          <w:sz w:val="22"/>
          <w:szCs w:val="22"/>
        </w:rPr>
        <w:t>– </w:t>
      </w:r>
      <w:r>
        <w:rPr>
          <w:sz w:val="22"/>
          <w:szCs w:val="22"/>
        </w:rPr>
        <w:t>&lt; 1/100)</w:t>
      </w:r>
    </w:p>
    <w:p w:rsidR="00224F0F" w:rsidRDefault="00485CCD">
      <w:pPr>
        <w:pStyle w:val="Default"/>
        <w:rPr>
          <w:sz w:val="22"/>
          <w:szCs w:val="22"/>
        </w:rPr>
      </w:pPr>
      <w:r>
        <w:rPr>
          <w:sz w:val="22"/>
          <w:szCs w:val="22"/>
        </w:rPr>
        <w:t>ritka (≥ 1/10 000 </w:t>
      </w:r>
      <w:r>
        <w:rPr>
          <w:b/>
          <w:bCs/>
          <w:sz w:val="22"/>
          <w:szCs w:val="22"/>
        </w:rPr>
        <w:t>– </w:t>
      </w:r>
      <w:r>
        <w:rPr>
          <w:sz w:val="22"/>
          <w:szCs w:val="22"/>
        </w:rPr>
        <w:t>&lt; 1/1000)</w:t>
      </w:r>
    </w:p>
    <w:p w:rsidR="00224F0F" w:rsidRDefault="00485CCD">
      <w:pPr>
        <w:pStyle w:val="Default"/>
        <w:rPr>
          <w:sz w:val="22"/>
          <w:szCs w:val="22"/>
        </w:rPr>
      </w:pPr>
      <w:r>
        <w:rPr>
          <w:sz w:val="22"/>
          <w:szCs w:val="22"/>
        </w:rPr>
        <w:t>nagyon ritka (&lt; 1/10 000)</w:t>
      </w:r>
    </w:p>
    <w:p w:rsidR="00224F0F" w:rsidRDefault="00485CCD">
      <w:pPr>
        <w:pStyle w:val="Default"/>
        <w:rPr>
          <w:sz w:val="22"/>
          <w:szCs w:val="22"/>
        </w:rPr>
      </w:pPr>
      <w:r>
        <w:rPr>
          <w:sz w:val="22"/>
          <w:szCs w:val="22"/>
        </w:rPr>
        <w:t>nem ismert: (a gyakoriság a rendelkezésre álló adatokból nem állapítható meg).</w:t>
      </w:r>
    </w:p>
    <w:p w:rsidR="00224F0F" w:rsidRDefault="00224F0F">
      <w:pPr>
        <w:pStyle w:val="Default"/>
        <w:rPr>
          <w:sz w:val="22"/>
          <w:szCs w:val="22"/>
        </w:rPr>
      </w:pPr>
    </w:p>
    <w:p w:rsidR="00224F0F" w:rsidRDefault="00485CCD" w:rsidP="00A54C3F">
      <w:pPr>
        <w:tabs>
          <w:tab w:val="clear" w:pos="567"/>
          <w:tab w:val="left" w:pos="1276"/>
        </w:tabs>
        <w:spacing w:line="240" w:lineRule="auto"/>
        <w:ind w:left="1276" w:hanging="1276"/>
        <w:rPr>
          <w:b/>
          <w:bCs/>
          <w:color w:val="000000"/>
          <w:lang w:val="hu-HU"/>
        </w:rPr>
      </w:pPr>
      <w:r>
        <w:rPr>
          <w:b/>
          <w:bCs/>
          <w:color w:val="000000"/>
          <w:lang w:val="hu-HU"/>
        </w:rPr>
        <w:t>3. táblázat:</w:t>
      </w:r>
      <w:r w:rsidR="00332B5A">
        <w:rPr>
          <w:b/>
          <w:bCs/>
          <w:color w:val="000000"/>
          <w:lang w:val="hu-HU"/>
        </w:rPr>
        <w:tab/>
      </w:r>
      <w:r>
        <w:rPr>
          <w:b/>
          <w:bCs/>
          <w:color w:val="000000"/>
          <w:lang w:val="hu-HU"/>
        </w:rPr>
        <w:t>A felnőtt betegeknél a III. fázisú vizsgálatokból, illetve a forgalomba hozatalt követő alkalmazás* során</w:t>
      </w:r>
      <w:r>
        <w:rPr>
          <w:b/>
          <w:noProof/>
          <w:lang w:val="hu-HU"/>
        </w:rPr>
        <w:t xml:space="preserve">; </w:t>
      </w:r>
      <w:r>
        <w:rPr>
          <w:b/>
          <w:bCs/>
          <w:color w:val="000000"/>
          <w:lang w:val="hu-HU"/>
        </w:rPr>
        <w:t>valamint két II. fázisú és két III. fázisú, gyermekgyógyászati betegekkel végzett vizsgálat során jelentett összes mellékhatás</w:t>
      </w:r>
    </w:p>
    <w:p w:rsidR="00332B5A" w:rsidRDefault="00332B5A" w:rsidP="00A54C3F">
      <w:pPr>
        <w:tabs>
          <w:tab w:val="clear" w:pos="567"/>
          <w:tab w:val="left" w:pos="1276"/>
        </w:tabs>
        <w:spacing w:line="240" w:lineRule="auto"/>
        <w:ind w:left="1276" w:hanging="1276"/>
        <w:rPr>
          <w:b/>
          <w:bCs/>
          <w:color w:val="000000"/>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2552"/>
        <w:gridCol w:w="1559"/>
        <w:gridCol w:w="1559"/>
        <w:gridCol w:w="1666"/>
      </w:tblGrid>
      <w:tr w:rsidR="00224F0F">
        <w:trPr>
          <w:tblHeader/>
        </w:trPr>
        <w:tc>
          <w:tcPr>
            <w:tcW w:w="1951" w:type="dxa"/>
            <w:shd w:val="pct15" w:color="auto" w:fill="auto"/>
          </w:tcPr>
          <w:p w:rsidR="00224F0F" w:rsidRDefault="00485CCD">
            <w:pPr>
              <w:spacing w:line="240" w:lineRule="auto"/>
              <w:rPr>
                <w:b/>
                <w:bCs/>
                <w:color w:val="000000"/>
                <w:lang w:val="hu-HU"/>
              </w:rPr>
            </w:pPr>
            <w:r>
              <w:rPr>
                <w:b/>
                <w:bCs/>
                <w:color w:val="000000"/>
                <w:lang w:val="hu-HU"/>
              </w:rPr>
              <w:t>Gyakori</w:t>
            </w:r>
          </w:p>
        </w:tc>
        <w:tc>
          <w:tcPr>
            <w:tcW w:w="2552" w:type="dxa"/>
            <w:shd w:val="pct15" w:color="auto" w:fill="auto"/>
          </w:tcPr>
          <w:p w:rsidR="00224F0F" w:rsidRDefault="00485CCD">
            <w:pPr>
              <w:spacing w:line="240" w:lineRule="auto"/>
              <w:rPr>
                <w:b/>
                <w:bCs/>
                <w:color w:val="000000"/>
                <w:lang w:val="hu-HU"/>
              </w:rPr>
            </w:pPr>
            <w:r>
              <w:rPr>
                <w:b/>
                <w:bCs/>
                <w:color w:val="000000"/>
                <w:lang w:val="hu-HU"/>
              </w:rPr>
              <w:t>Nem gyakori</w:t>
            </w:r>
          </w:p>
        </w:tc>
        <w:tc>
          <w:tcPr>
            <w:tcW w:w="1559" w:type="dxa"/>
            <w:shd w:val="pct15" w:color="auto" w:fill="auto"/>
          </w:tcPr>
          <w:p w:rsidR="00224F0F" w:rsidRDefault="00485CCD">
            <w:pPr>
              <w:spacing w:line="240" w:lineRule="auto"/>
              <w:rPr>
                <w:b/>
                <w:bCs/>
                <w:color w:val="000000"/>
                <w:lang w:val="hu-HU"/>
              </w:rPr>
            </w:pPr>
            <w:r>
              <w:rPr>
                <w:b/>
                <w:bCs/>
                <w:color w:val="000000"/>
                <w:lang w:val="hu-HU"/>
              </w:rPr>
              <w:t>Ritka</w:t>
            </w:r>
          </w:p>
        </w:tc>
        <w:tc>
          <w:tcPr>
            <w:tcW w:w="1559" w:type="dxa"/>
            <w:shd w:val="pct15" w:color="auto" w:fill="auto"/>
          </w:tcPr>
          <w:p w:rsidR="00224F0F" w:rsidRDefault="00485CCD">
            <w:pPr>
              <w:spacing w:line="240" w:lineRule="auto"/>
              <w:rPr>
                <w:b/>
                <w:bCs/>
                <w:color w:val="000000"/>
                <w:lang w:val="hu-HU"/>
              </w:rPr>
            </w:pPr>
            <w:r>
              <w:rPr>
                <w:b/>
                <w:bCs/>
                <w:color w:val="000000"/>
                <w:lang w:val="hu-HU"/>
              </w:rPr>
              <w:t>Nagyon ritka</w:t>
            </w:r>
          </w:p>
        </w:tc>
        <w:tc>
          <w:tcPr>
            <w:tcW w:w="1666" w:type="dxa"/>
            <w:shd w:val="pct15" w:color="auto" w:fill="auto"/>
          </w:tcPr>
          <w:p w:rsidR="00224F0F" w:rsidRDefault="00485CCD">
            <w:pPr>
              <w:spacing w:line="240" w:lineRule="auto"/>
              <w:rPr>
                <w:b/>
                <w:bCs/>
                <w:color w:val="000000"/>
                <w:lang w:val="hu-HU"/>
              </w:rPr>
            </w:pPr>
            <w:r>
              <w:rPr>
                <w:b/>
                <w:bCs/>
                <w:color w:val="000000"/>
                <w:lang w:val="hu-HU"/>
              </w:rPr>
              <w:t>Nem ismert</w:t>
            </w:r>
          </w:p>
        </w:tc>
      </w:tr>
      <w:tr w:rsidR="00224F0F">
        <w:tc>
          <w:tcPr>
            <w:tcW w:w="9287" w:type="dxa"/>
            <w:gridSpan w:val="5"/>
          </w:tcPr>
          <w:p w:rsidR="00224F0F" w:rsidRDefault="00485CCD">
            <w:pPr>
              <w:spacing w:line="240" w:lineRule="auto"/>
              <w:rPr>
                <w:b/>
                <w:bCs/>
                <w:color w:val="000000"/>
                <w:lang w:val="hu-HU"/>
              </w:rPr>
            </w:pPr>
            <w:r>
              <w:rPr>
                <w:b/>
                <w:bCs/>
                <w:color w:val="000000"/>
                <w:lang w:val="hu-HU"/>
              </w:rPr>
              <w:t>Vérképzőszervi és nyirokrendszeri betegségek és tünetek</w:t>
            </w:r>
          </w:p>
        </w:tc>
      </w:tr>
      <w:tr w:rsidR="00224F0F">
        <w:tc>
          <w:tcPr>
            <w:tcW w:w="1951" w:type="dxa"/>
            <w:tcBorders>
              <w:bottom w:val="single" w:sz="4" w:space="0" w:color="auto"/>
            </w:tcBorders>
            <w:shd w:val="clear" w:color="auto" w:fill="auto"/>
          </w:tcPr>
          <w:p w:rsidR="00224F0F" w:rsidRDefault="00485CCD">
            <w:pPr>
              <w:pStyle w:val="Default"/>
              <w:rPr>
                <w:b/>
                <w:bCs/>
                <w:sz w:val="22"/>
                <w:szCs w:val="22"/>
              </w:rPr>
            </w:pPr>
            <w:r>
              <w:rPr>
                <w:sz w:val="22"/>
                <w:szCs w:val="22"/>
              </w:rPr>
              <w:t>Anaemia (a megfelelő laboratóriumi paraméterekkel)</w:t>
            </w:r>
          </w:p>
        </w:tc>
        <w:tc>
          <w:tcPr>
            <w:tcW w:w="2552" w:type="dxa"/>
            <w:tcBorders>
              <w:bottom w:val="single" w:sz="4" w:space="0" w:color="auto"/>
            </w:tcBorders>
            <w:shd w:val="clear" w:color="auto" w:fill="auto"/>
          </w:tcPr>
          <w:p w:rsidR="00224F0F" w:rsidRDefault="00485CCD">
            <w:pPr>
              <w:pStyle w:val="Default"/>
              <w:rPr>
                <w:b/>
                <w:bCs/>
                <w:sz w:val="22"/>
                <w:szCs w:val="22"/>
                <w:vertAlign w:val="superscript"/>
              </w:rPr>
            </w:pPr>
            <w:r>
              <w:rPr>
                <w:sz w:val="22"/>
                <w:szCs w:val="22"/>
              </w:rPr>
              <w:t>Thrombocytosis (beleértve a vérlemezkeszám emelkedését is)</w:t>
            </w:r>
            <w:r>
              <w:rPr>
                <w:sz w:val="22"/>
                <w:szCs w:val="22"/>
                <w:vertAlign w:val="superscript"/>
              </w:rPr>
              <w:t xml:space="preserve">A, </w:t>
            </w:r>
            <w:r>
              <w:rPr>
                <w:sz w:val="22"/>
                <w:szCs w:val="22"/>
              </w:rPr>
              <w:t>thrombocytopenia</w:t>
            </w:r>
          </w:p>
        </w:tc>
        <w:tc>
          <w:tcPr>
            <w:tcW w:w="1559" w:type="dxa"/>
            <w:tcBorders>
              <w:bottom w:val="single" w:sz="4" w:space="0" w:color="auto"/>
            </w:tcBorders>
            <w:shd w:val="clear" w:color="auto" w:fill="auto"/>
          </w:tcPr>
          <w:p w:rsidR="00224F0F" w:rsidRDefault="00224F0F">
            <w:pPr>
              <w:spacing w:line="240" w:lineRule="auto"/>
              <w:rPr>
                <w:b/>
                <w:bCs/>
                <w:color w:val="000000"/>
                <w:lang w:val="hu-HU"/>
              </w:rPr>
            </w:pPr>
          </w:p>
        </w:tc>
        <w:tc>
          <w:tcPr>
            <w:tcW w:w="1559" w:type="dxa"/>
            <w:tcBorders>
              <w:bottom w:val="single" w:sz="4" w:space="0" w:color="auto"/>
            </w:tcBorders>
          </w:tcPr>
          <w:p w:rsidR="00224F0F" w:rsidRDefault="00224F0F">
            <w:pPr>
              <w:spacing w:line="240" w:lineRule="auto"/>
              <w:rPr>
                <w:b/>
                <w:bCs/>
                <w:color w:val="000000"/>
                <w:lang w:val="hu-HU"/>
              </w:rPr>
            </w:pPr>
          </w:p>
        </w:tc>
        <w:tc>
          <w:tcPr>
            <w:tcW w:w="1666" w:type="dxa"/>
            <w:tcBorders>
              <w:bottom w:val="single" w:sz="4" w:space="0" w:color="auto"/>
            </w:tcBorders>
            <w:shd w:val="clear" w:color="auto" w:fill="auto"/>
          </w:tcPr>
          <w:p w:rsidR="00224F0F" w:rsidRDefault="00224F0F">
            <w:pPr>
              <w:spacing w:line="240" w:lineRule="auto"/>
              <w:rPr>
                <w:b/>
                <w:bCs/>
                <w:color w:val="000000"/>
                <w:lang w:val="hu-HU"/>
              </w:rPr>
            </w:pPr>
          </w:p>
        </w:tc>
      </w:tr>
      <w:tr w:rsidR="00224F0F">
        <w:tc>
          <w:tcPr>
            <w:tcW w:w="9287" w:type="dxa"/>
            <w:gridSpan w:val="5"/>
          </w:tcPr>
          <w:p w:rsidR="00224F0F" w:rsidRDefault="00485CCD">
            <w:pPr>
              <w:pStyle w:val="Default"/>
              <w:rPr>
                <w:b/>
                <w:bCs/>
                <w:sz w:val="22"/>
                <w:szCs w:val="22"/>
              </w:rPr>
            </w:pPr>
            <w:r>
              <w:rPr>
                <w:b/>
                <w:bCs/>
                <w:sz w:val="22"/>
                <w:szCs w:val="22"/>
              </w:rPr>
              <w:t xml:space="preserve">Immunrendszeri betegségek és tünetek </w:t>
            </w:r>
          </w:p>
        </w:tc>
      </w:tr>
      <w:tr w:rsidR="00224F0F">
        <w:tc>
          <w:tcPr>
            <w:tcW w:w="1951" w:type="dxa"/>
            <w:shd w:val="clear" w:color="auto" w:fill="auto"/>
          </w:tcPr>
          <w:p w:rsidR="00224F0F" w:rsidRDefault="00224F0F">
            <w:pPr>
              <w:spacing w:line="240" w:lineRule="auto"/>
              <w:rPr>
                <w:b/>
                <w:bCs/>
                <w:color w:val="000000"/>
                <w:lang w:val="hu-HU"/>
              </w:rPr>
            </w:pPr>
          </w:p>
        </w:tc>
        <w:tc>
          <w:tcPr>
            <w:tcW w:w="2552" w:type="dxa"/>
            <w:shd w:val="clear" w:color="auto" w:fill="auto"/>
          </w:tcPr>
          <w:p w:rsidR="00224F0F" w:rsidRDefault="00485CCD">
            <w:pPr>
              <w:pStyle w:val="Default"/>
              <w:rPr>
                <w:b/>
                <w:bCs/>
                <w:sz w:val="22"/>
                <w:szCs w:val="22"/>
              </w:rPr>
            </w:pPr>
            <w:r>
              <w:rPr>
                <w:sz w:val="22"/>
                <w:szCs w:val="22"/>
              </w:rPr>
              <w:t xml:space="preserve">Allergiás reakció, allergiás dermatitis, angiooedema és allergiás oedema </w:t>
            </w:r>
          </w:p>
        </w:tc>
        <w:tc>
          <w:tcPr>
            <w:tcW w:w="1559" w:type="dxa"/>
            <w:shd w:val="clear" w:color="auto" w:fill="auto"/>
          </w:tcPr>
          <w:p w:rsidR="00224F0F" w:rsidRDefault="00224F0F">
            <w:pPr>
              <w:spacing w:line="240" w:lineRule="auto"/>
              <w:rPr>
                <w:b/>
                <w:bCs/>
                <w:color w:val="000000"/>
                <w:lang w:val="hu-HU"/>
              </w:rPr>
            </w:pPr>
          </w:p>
        </w:tc>
        <w:tc>
          <w:tcPr>
            <w:tcW w:w="1559" w:type="dxa"/>
          </w:tcPr>
          <w:p w:rsidR="00224F0F" w:rsidRDefault="00485CCD">
            <w:pPr>
              <w:pStyle w:val="Default"/>
              <w:rPr>
                <w:b/>
                <w:bCs/>
                <w:sz w:val="22"/>
                <w:szCs w:val="22"/>
              </w:rPr>
            </w:pPr>
            <w:r>
              <w:rPr>
                <w:sz w:val="22"/>
                <w:szCs w:val="22"/>
              </w:rPr>
              <w:t xml:space="preserve">Anaphylaxiás reakció, beleértve az anaphylaxiás sokkot is </w:t>
            </w:r>
          </w:p>
        </w:tc>
        <w:tc>
          <w:tcPr>
            <w:tcW w:w="1666" w:type="dxa"/>
            <w:shd w:val="clear" w:color="auto" w:fill="auto"/>
          </w:tcPr>
          <w:p w:rsidR="00224F0F" w:rsidRDefault="00224F0F">
            <w:pPr>
              <w:spacing w:line="240" w:lineRule="auto"/>
              <w:rPr>
                <w:b/>
                <w:bCs/>
                <w:color w:val="000000"/>
                <w:lang w:val="hu-HU"/>
              </w:rPr>
            </w:pPr>
          </w:p>
        </w:tc>
      </w:tr>
      <w:tr w:rsidR="00224F0F">
        <w:tc>
          <w:tcPr>
            <w:tcW w:w="9287" w:type="dxa"/>
            <w:gridSpan w:val="5"/>
          </w:tcPr>
          <w:p w:rsidR="00224F0F" w:rsidRDefault="00485CCD">
            <w:pPr>
              <w:pStyle w:val="Default"/>
              <w:rPr>
                <w:b/>
                <w:bCs/>
                <w:sz w:val="22"/>
                <w:szCs w:val="22"/>
              </w:rPr>
            </w:pPr>
            <w:r>
              <w:rPr>
                <w:b/>
                <w:bCs/>
                <w:sz w:val="22"/>
                <w:szCs w:val="22"/>
              </w:rPr>
              <w:t xml:space="preserve">Idegrendszeri betegségek és tünetek </w:t>
            </w:r>
          </w:p>
        </w:tc>
      </w:tr>
      <w:tr w:rsidR="00224F0F">
        <w:tc>
          <w:tcPr>
            <w:tcW w:w="1951" w:type="dxa"/>
            <w:tcBorders>
              <w:bottom w:val="single" w:sz="4" w:space="0" w:color="auto"/>
            </w:tcBorders>
            <w:shd w:val="clear" w:color="auto" w:fill="auto"/>
          </w:tcPr>
          <w:p w:rsidR="00224F0F" w:rsidRDefault="00485CCD">
            <w:pPr>
              <w:pStyle w:val="Default"/>
              <w:rPr>
                <w:b/>
                <w:bCs/>
                <w:sz w:val="22"/>
                <w:szCs w:val="22"/>
              </w:rPr>
            </w:pPr>
            <w:r>
              <w:rPr>
                <w:sz w:val="22"/>
                <w:szCs w:val="22"/>
              </w:rPr>
              <w:t>Szédülés, fejfájás</w:t>
            </w:r>
          </w:p>
        </w:tc>
        <w:tc>
          <w:tcPr>
            <w:tcW w:w="2552" w:type="dxa"/>
            <w:tcBorders>
              <w:bottom w:val="single" w:sz="4" w:space="0" w:color="auto"/>
            </w:tcBorders>
            <w:shd w:val="clear" w:color="auto" w:fill="auto"/>
          </w:tcPr>
          <w:p w:rsidR="00224F0F" w:rsidRDefault="00485CCD">
            <w:pPr>
              <w:pStyle w:val="Default"/>
              <w:rPr>
                <w:b/>
                <w:bCs/>
                <w:sz w:val="22"/>
                <w:szCs w:val="22"/>
              </w:rPr>
            </w:pPr>
            <w:r>
              <w:rPr>
                <w:sz w:val="22"/>
                <w:szCs w:val="22"/>
              </w:rPr>
              <w:t>Cerebralis és intracranialis vérzés, ájulás</w:t>
            </w:r>
          </w:p>
        </w:tc>
        <w:tc>
          <w:tcPr>
            <w:tcW w:w="1559" w:type="dxa"/>
            <w:tcBorders>
              <w:bottom w:val="single" w:sz="4" w:space="0" w:color="auto"/>
            </w:tcBorders>
            <w:shd w:val="clear" w:color="auto" w:fill="auto"/>
          </w:tcPr>
          <w:p w:rsidR="00224F0F" w:rsidRDefault="00224F0F">
            <w:pPr>
              <w:spacing w:line="240" w:lineRule="auto"/>
              <w:rPr>
                <w:b/>
                <w:bCs/>
                <w:color w:val="000000"/>
                <w:lang w:val="hu-HU"/>
              </w:rPr>
            </w:pPr>
          </w:p>
        </w:tc>
        <w:tc>
          <w:tcPr>
            <w:tcW w:w="1559" w:type="dxa"/>
            <w:tcBorders>
              <w:bottom w:val="single" w:sz="4" w:space="0" w:color="auto"/>
            </w:tcBorders>
          </w:tcPr>
          <w:p w:rsidR="00224F0F" w:rsidRDefault="00224F0F">
            <w:pPr>
              <w:spacing w:line="240" w:lineRule="auto"/>
              <w:rPr>
                <w:b/>
                <w:bCs/>
                <w:color w:val="000000"/>
                <w:lang w:val="hu-HU"/>
              </w:rPr>
            </w:pPr>
          </w:p>
        </w:tc>
        <w:tc>
          <w:tcPr>
            <w:tcW w:w="1666" w:type="dxa"/>
            <w:tcBorders>
              <w:bottom w:val="single" w:sz="4" w:space="0" w:color="auto"/>
            </w:tcBorders>
            <w:shd w:val="clear" w:color="auto" w:fill="auto"/>
          </w:tcPr>
          <w:p w:rsidR="00224F0F" w:rsidRDefault="00224F0F">
            <w:pPr>
              <w:spacing w:line="240" w:lineRule="auto"/>
              <w:rPr>
                <w:b/>
                <w:bCs/>
                <w:color w:val="000000"/>
                <w:lang w:val="hu-HU"/>
              </w:rPr>
            </w:pPr>
          </w:p>
        </w:tc>
      </w:tr>
      <w:tr w:rsidR="00224F0F">
        <w:tc>
          <w:tcPr>
            <w:tcW w:w="9287" w:type="dxa"/>
            <w:gridSpan w:val="5"/>
          </w:tcPr>
          <w:p w:rsidR="00224F0F" w:rsidRDefault="00485CCD">
            <w:pPr>
              <w:pStyle w:val="Default"/>
              <w:rPr>
                <w:b/>
                <w:bCs/>
                <w:sz w:val="22"/>
                <w:szCs w:val="22"/>
              </w:rPr>
            </w:pPr>
            <w:r>
              <w:rPr>
                <w:b/>
                <w:bCs/>
                <w:sz w:val="22"/>
                <w:szCs w:val="22"/>
              </w:rPr>
              <w:t xml:space="preserve">Szembetegségek és szemészeti tünetek </w:t>
            </w:r>
          </w:p>
        </w:tc>
      </w:tr>
      <w:tr w:rsidR="00224F0F">
        <w:tc>
          <w:tcPr>
            <w:tcW w:w="1951" w:type="dxa"/>
            <w:shd w:val="clear" w:color="auto" w:fill="auto"/>
          </w:tcPr>
          <w:p w:rsidR="00224F0F" w:rsidRDefault="00485CCD">
            <w:pPr>
              <w:pStyle w:val="Default"/>
              <w:rPr>
                <w:b/>
                <w:bCs/>
                <w:sz w:val="22"/>
                <w:szCs w:val="22"/>
              </w:rPr>
            </w:pPr>
            <w:r>
              <w:rPr>
                <w:sz w:val="22"/>
                <w:szCs w:val="22"/>
              </w:rPr>
              <w:t xml:space="preserve">Szemvérzés (beleértve a kötőhártyavérzést is) </w:t>
            </w:r>
          </w:p>
        </w:tc>
        <w:tc>
          <w:tcPr>
            <w:tcW w:w="2552" w:type="dxa"/>
            <w:shd w:val="clear" w:color="auto" w:fill="auto"/>
          </w:tcPr>
          <w:p w:rsidR="00224F0F" w:rsidRDefault="00224F0F">
            <w:pPr>
              <w:spacing w:line="240" w:lineRule="auto"/>
              <w:rPr>
                <w:b/>
                <w:bCs/>
                <w:color w:val="000000"/>
                <w:lang w:val="hu-HU"/>
              </w:rPr>
            </w:pPr>
          </w:p>
        </w:tc>
        <w:tc>
          <w:tcPr>
            <w:tcW w:w="1559" w:type="dxa"/>
            <w:shd w:val="clear" w:color="auto" w:fill="auto"/>
          </w:tcPr>
          <w:p w:rsidR="00224F0F" w:rsidRDefault="00224F0F">
            <w:pPr>
              <w:spacing w:line="240" w:lineRule="auto"/>
              <w:rPr>
                <w:b/>
                <w:bCs/>
                <w:color w:val="000000"/>
                <w:lang w:val="hu-HU"/>
              </w:rPr>
            </w:pPr>
          </w:p>
        </w:tc>
        <w:tc>
          <w:tcPr>
            <w:tcW w:w="1559" w:type="dxa"/>
          </w:tcPr>
          <w:p w:rsidR="00224F0F" w:rsidRDefault="00224F0F">
            <w:pPr>
              <w:spacing w:line="240" w:lineRule="auto"/>
              <w:rPr>
                <w:b/>
                <w:bCs/>
                <w:color w:val="000000"/>
                <w:lang w:val="hu-HU"/>
              </w:rPr>
            </w:pPr>
          </w:p>
        </w:tc>
        <w:tc>
          <w:tcPr>
            <w:tcW w:w="1666" w:type="dxa"/>
            <w:shd w:val="clear" w:color="auto" w:fill="auto"/>
          </w:tcPr>
          <w:p w:rsidR="00224F0F" w:rsidRDefault="00224F0F">
            <w:pPr>
              <w:spacing w:line="240" w:lineRule="auto"/>
              <w:rPr>
                <w:b/>
                <w:bCs/>
                <w:color w:val="000000"/>
                <w:lang w:val="hu-HU"/>
              </w:rPr>
            </w:pPr>
          </w:p>
        </w:tc>
      </w:tr>
      <w:tr w:rsidR="00224F0F">
        <w:tc>
          <w:tcPr>
            <w:tcW w:w="9287" w:type="dxa"/>
            <w:gridSpan w:val="5"/>
          </w:tcPr>
          <w:p w:rsidR="00224F0F" w:rsidRDefault="00485CCD">
            <w:pPr>
              <w:pStyle w:val="Default"/>
              <w:rPr>
                <w:b/>
                <w:bCs/>
                <w:sz w:val="22"/>
                <w:szCs w:val="22"/>
              </w:rPr>
            </w:pPr>
            <w:r>
              <w:rPr>
                <w:b/>
                <w:bCs/>
                <w:sz w:val="22"/>
                <w:szCs w:val="22"/>
              </w:rPr>
              <w:t xml:space="preserve">Szívbetegségek és a szívvel kapcsolatos tünetek </w:t>
            </w:r>
          </w:p>
        </w:tc>
      </w:tr>
      <w:tr w:rsidR="00224F0F">
        <w:tc>
          <w:tcPr>
            <w:tcW w:w="1951" w:type="dxa"/>
            <w:shd w:val="clear" w:color="auto" w:fill="auto"/>
          </w:tcPr>
          <w:p w:rsidR="00224F0F" w:rsidRDefault="00224F0F">
            <w:pPr>
              <w:spacing w:line="240" w:lineRule="auto"/>
              <w:rPr>
                <w:b/>
                <w:bCs/>
                <w:color w:val="000000"/>
                <w:lang w:val="hu-HU"/>
              </w:rPr>
            </w:pPr>
          </w:p>
        </w:tc>
        <w:tc>
          <w:tcPr>
            <w:tcW w:w="2552" w:type="dxa"/>
            <w:shd w:val="clear" w:color="auto" w:fill="auto"/>
          </w:tcPr>
          <w:p w:rsidR="00224F0F" w:rsidRDefault="00485CCD">
            <w:pPr>
              <w:pStyle w:val="Default"/>
              <w:rPr>
                <w:b/>
                <w:bCs/>
                <w:sz w:val="22"/>
                <w:szCs w:val="22"/>
              </w:rPr>
            </w:pPr>
            <w:r>
              <w:rPr>
                <w:sz w:val="22"/>
                <w:szCs w:val="22"/>
              </w:rPr>
              <w:t xml:space="preserve">Tachycardia </w:t>
            </w:r>
          </w:p>
        </w:tc>
        <w:tc>
          <w:tcPr>
            <w:tcW w:w="1559" w:type="dxa"/>
            <w:shd w:val="clear" w:color="auto" w:fill="auto"/>
          </w:tcPr>
          <w:p w:rsidR="00224F0F" w:rsidRDefault="00224F0F">
            <w:pPr>
              <w:spacing w:line="240" w:lineRule="auto"/>
              <w:rPr>
                <w:b/>
                <w:bCs/>
                <w:color w:val="000000"/>
                <w:lang w:val="hu-HU"/>
              </w:rPr>
            </w:pPr>
          </w:p>
        </w:tc>
        <w:tc>
          <w:tcPr>
            <w:tcW w:w="1559" w:type="dxa"/>
          </w:tcPr>
          <w:p w:rsidR="00224F0F" w:rsidRDefault="00224F0F">
            <w:pPr>
              <w:spacing w:line="240" w:lineRule="auto"/>
              <w:rPr>
                <w:b/>
                <w:bCs/>
                <w:color w:val="000000"/>
                <w:lang w:val="hu-HU"/>
              </w:rPr>
            </w:pPr>
          </w:p>
        </w:tc>
        <w:tc>
          <w:tcPr>
            <w:tcW w:w="1666" w:type="dxa"/>
            <w:shd w:val="clear" w:color="auto" w:fill="auto"/>
          </w:tcPr>
          <w:p w:rsidR="00224F0F" w:rsidRDefault="00224F0F">
            <w:pPr>
              <w:spacing w:line="240" w:lineRule="auto"/>
              <w:rPr>
                <w:b/>
                <w:bCs/>
                <w:color w:val="000000"/>
                <w:lang w:val="hu-HU"/>
              </w:rPr>
            </w:pPr>
          </w:p>
        </w:tc>
      </w:tr>
      <w:tr w:rsidR="00224F0F">
        <w:tc>
          <w:tcPr>
            <w:tcW w:w="9287" w:type="dxa"/>
            <w:gridSpan w:val="5"/>
          </w:tcPr>
          <w:p w:rsidR="00224F0F" w:rsidRDefault="00485CCD">
            <w:pPr>
              <w:pStyle w:val="Default"/>
              <w:rPr>
                <w:b/>
                <w:bCs/>
                <w:sz w:val="22"/>
                <w:szCs w:val="22"/>
              </w:rPr>
            </w:pPr>
            <w:r>
              <w:rPr>
                <w:b/>
                <w:bCs/>
                <w:sz w:val="22"/>
                <w:szCs w:val="22"/>
              </w:rPr>
              <w:t xml:space="preserve">Érbetegségek és tünetek </w:t>
            </w:r>
          </w:p>
        </w:tc>
      </w:tr>
      <w:tr w:rsidR="00224F0F">
        <w:tc>
          <w:tcPr>
            <w:tcW w:w="1951" w:type="dxa"/>
            <w:tcBorders>
              <w:bottom w:val="single" w:sz="4" w:space="0" w:color="auto"/>
            </w:tcBorders>
            <w:shd w:val="clear" w:color="auto" w:fill="auto"/>
          </w:tcPr>
          <w:p w:rsidR="00224F0F" w:rsidRDefault="00485CCD">
            <w:pPr>
              <w:pStyle w:val="Default"/>
              <w:rPr>
                <w:b/>
                <w:bCs/>
                <w:sz w:val="22"/>
                <w:szCs w:val="22"/>
              </w:rPr>
            </w:pPr>
            <w:r>
              <w:rPr>
                <w:sz w:val="22"/>
                <w:szCs w:val="22"/>
              </w:rPr>
              <w:t>Hypotonia, haematoma</w:t>
            </w:r>
          </w:p>
        </w:tc>
        <w:tc>
          <w:tcPr>
            <w:tcW w:w="2552" w:type="dxa"/>
            <w:tcBorders>
              <w:bottom w:val="single" w:sz="4" w:space="0" w:color="auto"/>
            </w:tcBorders>
            <w:shd w:val="clear" w:color="auto" w:fill="auto"/>
          </w:tcPr>
          <w:p w:rsidR="00224F0F" w:rsidRDefault="00224F0F">
            <w:pPr>
              <w:spacing w:line="240" w:lineRule="auto"/>
              <w:rPr>
                <w:b/>
                <w:bCs/>
                <w:color w:val="000000"/>
                <w:lang w:val="hu-HU"/>
              </w:rPr>
            </w:pPr>
          </w:p>
        </w:tc>
        <w:tc>
          <w:tcPr>
            <w:tcW w:w="1559" w:type="dxa"/>
            <w:tcBorders>
              <w:bottom w:val="single" w:sz="4" w:space="0" w:color="auto"/>
            </w:tcBorders>
            <w:shd w:val="clear" w:color="auto" w:fill="auto"/>
          </w:tcPr>
          <w:p w:rsidR="00224F0F" w:rsidRDefault="00224F0F">
            <w:pPr>
              <w:spacing w:line="240" w:lineRule="auto"/>
              <w:rPr>
                <w:b/>
                <w:bCs/>
                <w:color w:val="000000"/>
                <w:lang w:val="hu-HU"/>
              </w:rPr>
            </w:pPr>
          </w:p>
        </w:tc>
        <w:tc>
          <w:tcPr>
            <w:tcW w:w="1559" w:type="dxa"/>
            <w:tcBorders>
              <w:bottom w:val="single" w:sz="4" w:space="0" w:color="auto"/>
            </w:tcBorders>
          </w:tcPr>
          <w:p w:rsidR="00224F0F" w:rsidRDefault="00224F0F">
            <w:pPr>
              <w:spacing w:line="240" w:lineRule="auto"/>
              <w:rPr>
                <w:b/>
                <w:bCs/>
                <w:color w:val="000000"/>
                <w:lang w:val="hu-HU"/>
              </w:rPr>
            </w:pPr>
          </w:p>
        </w:tc>
        <w:tc>
          <w:tcPr>
            <w:tcW w:w="1666" w:type="dxa"/>
            <w:tcBorders>
              <w:bottom w:val="single" w:sz="4" w:space="0" w:color="auto"/>
            </w:tcBorders>
            <w:shd w:val="clear" w:color="auto" w:fill="auto"/>
          </w:tcPr>
          <w:p w:rsidR="00224F0F" w:rsidRDefault="00224F0F">
            <w:pPr>
              <w:spacing w:line="240" w:lineRule="auto"/>
              <w:rPr>
                <w:b/>
                <w:bCs/>
                <w:color w:val="000000"/>
                <w:lang w:val="hu-HU"/>
              </w:rPr>
            </w:pPr>
          </w:p>
        </w:tc>
      </w:tr>
      <w:tr w:rsidR="00224F0F">
        <w:tc>
          <w:tcPr>
            <w:tcW w:w="9287" w:type="dxa"/>
            <w:gridSpan w:val="5"/>
          </w:tcPr>
          <w:p w:rsidR="00224F0F" w:rsidRDefault="00485CCD">
            <w:pPr>
              <w:pStyle w:val="Default"/>
              <w:rPr>
                <w:b/>
                <w:bCs/>
                <w:sz w:val="22"/>
                <w:szCs w:val="22"/>
              </w:rPr>
            </w:pPr>
            <w:r>
              <w:rPr>
                <w:b/>
                <w:bCs/>
                <w:sz w:val="22"/>
                <w:szCs w:val="22"/>
              </w:rPr>
              <w:t xml:space="preserve">Légzőrendszeri, mellkasi és mediastinalis betegségek és tünetek </w:t>
            </w:r>
          </w:p>
        </w:tc>
      </w:tr>
      <w:tr w:rsidR="00224F0F">
        <w:tc>
          <w:tcPr>
            <w:tcW w:w="1951" w:type="dxa"/>
            <w:shd w:val="clear" w:color="auto" w:fill="auto"/>
          </w:tcPr>
          <w:p w:rsidR="00224F0F" w:rsidRDefault="00485CCD">
            <w:pPr>
              <w:pStyle w:val="Default"/>
              <w:rPr>
                <w:b/>
                <w:bCs/>
                <w:sz w:val="22"/>
                <w:szCs w:val="22"/>
              </w:rPr>
            </w:pPr>
            <w:r>
              <w:rPr>
                <w:sz w:val="22"/>
                <w:szCs w:val="22"/>
              </w:rPr>
              <w:t xml:space="preserve">Orrvérzés, haemoptoe </w:t>
            </w:r>
          </w:p>
        </w:tc>
        <w:tc>
          <w:tcPr>
            <w:tcW w:w="2552" w:type="dxa"/>
            <w:shd w:val="clear" w:color="auto" w:fill="auto"/>
          </w:tcPr>
          <w:p w:rsidR="00224F0F" w:rsidRDefault="00224F0F">
            <w:pPr>
              <w:spacing w:line="240" w:lineRule="auto"/>
              <w:rPr>
                <w:b/>
                <w:bCs/>
                <w:color w:val="000000"/>
                <w:lang w:val="hu-HU"/>
              </w:rPr>
            </w:pPr>
          </w:p>
        </w:tc>
        <w:tc>
          <w:tcPr>
            <w:tcW w:w="1559" w:type="dxa"/>
            <w:shd w:val="clear" w:color="auto" w:fill="auto"/>
          </w:tcPr>
          <w:p w:rsidR="00224F0F" w:rsidRDefault="00224F0F">
            <w:pPr>
              <w:spacing w:line="240" w:lineRule="auto"/>
              <w:rPr>
                <w:b/>
                <w:bCs/>
                <w:color w:val="000000"/>
                <w:lang w:val="hu-HU"/>
              </w:rPr>
            </w:pPr>
          </w:p>
        </w:tc>
        <w:tc>
          <w:tcPr>
            <w:tcW w:w="1559" w:type="dxa"/>
          </w:tcPr>
          <w:p w:rsidR="00224F0F" w:rsidRDefault="00485CCD">
            <w:pPr>
              <w:spacing w:line="240" w:lineRule="auto"/>
              <w:rPr>
                <w:color w:val="000000"/>
                <w:lang w:val="hu-HU"/>
              </w:rPr>
            </w:pPr>
            <w:r>
              <w:rPr>
                <w:color w:val="000000"/>
                <w:lang w:val="hu-HU"/>
              </w:rPr>
              <w:t>Eozinofil pneumonia</w:t>
            </w:r>
          </w:p>
        </w:tc>
        <w:tc>
          <w:tcPr>
            <w:tcW w:w="1666" w:type="dxa"/>
            <w:shd w:val="clear" w:color="auto" w:fill="auto"/>
          </w:tcPr>
          <w:p w:rsidR="00224F0F" w:rsidRDefault="00224F0F">
            <w:pPr>
              <w:spacing w:line="240" w:lineRule="auto"/>
              <w:rPr>
                <w:b/>
                <w:bCs/>
                <w:color w:val="000000"/>
                <w:lang w:val="hu-HU"/>
              </w:rPr>
            </w:pPr>
          </w:p>
        </w:tc>
      </w:tr>
      <w:tr w:rsidR="00224F0F">
        <w:tc>
          <w:tcPr>
            <w:tcW w:w="9287" w:type="dxa"/>
            <w:gridSpan w:val="5"/>
          </w:tcPr>
          <w:p w:rsidR="00224F0F" w:rsidRDefault="00485CCD">
            <w:pPr>
              <w:pStyle w:val="Default"/>
              <w:rPr>
                <w:b/>
                <w:bCs/>
                <w:sz w:val="22"/>
                <w:szCs w:val="22"/>
              </w:rPr>
            </w:pPr>
            <w:r>
              <w:rPr>
                <w:b/>
                <w:bCs/>
                <w:sz w:val="22"/>
                <w:szCs w:val="22"/>
              </w:rPr>
              <w:t xml:space="preserve">Emésztőrendszeri betegségek és tünetek </w:t>
            </w:r>
          </w:p>
        </w:tc>
      </w:tr>
      <w:tr w:rsidR="00224F0F">
        <w:tc>
          <w:tcPr>
            <w:tcW w:w="1951" w:type="dxa"/>
            <w:shd w:val="clear" w:color="auto" w:fill="auto"/>
          </w:tcPr>
          <w:p w:rsidR="00224F0F" w:rsidRDefault="00485CCD">
            <w:pPr>
              <w:pStyle w:val="Default"/>
              <w:rPr>
                <w:sz w:val="22"/>
                <w:szCs w:val="22"/>
              </w:rPr>
            </w:pPr>
            <w:r>
              <w:rPr>
                <w:sz w:val="22"/>
                <w:szCs w:val="22"/>
              </w:rPr>
              <w:t xml:space="preserve">Fogínyvérzés, gastrointestinalis vérzés (beleértve a rectalis vérzést) gastrointestinalis és hasi fájdalom, dyspepsia, hányinger, székrekedés </w:t>
            </w:r>
            <w:r>
              <w:rPr>
                <w:sz w:val="22"/>
                <w:szCs w:val="22"/>
                <w:vertAlign w:val="superscript"/>
              </w:rPr>
              <w:t>A</w:t>
            </w:r>
            <w:r>
              <w:rPr>
                <w:sz w:val="22"/>
                <w:szCs w:val="22"/>
              </w:rPr>
              <w:t xml:space="preserve">, hasmenés, hányás </w:t>
            </w:r>
            <w:r>
              <w:rPr>
                <w:sz w:val="22"/>
                <w:szCs w:val="22"/>
                <w:vertAlign w:val="superscript"/>
              </w:rPr>
              <w:t>A</w:t>
            </w:r>
          </w:p>
        </w:tc>
        <w:tc>
          <w:tcPr>
            <w:tcW w:w="2552" w:type="dxa"/>
            <w:shd w:val="clear" w:color="auto" w:fill="auto"/>
          </w:tcPr>
          <w:p w:rsidR="00224F0F" w:rsidRDefault="00485CCD">
            <w:pPr>
              <w:pStyle w:val="Default"/>
              <w:rPr>
                <w:b/>
                <w:bCs/>
                <w:sz w:val="22"/>
                <w:szCs w:val="22"/>
              </w:rPr>
            </w:pPr>
            <w:r>
              <w:rPr>
                <w:sz w:val="22"/>
                <w:szCs w:val="22"/>
              </w:rPr>
              <w:t>Szájszárazság</w:t>
            </w:r>
          </w:p>
        </w:tc>
        <w:tc>
          <w:tcPr>
            <w:tcW w:w="1559" w:type="dxa"/>
            <w:shd w:val="clear" w:color="auto" w:fill="auto"/>
          </w:tcPr>
          <w:p w:rsidR="00224F0F" w:rsidRDefault="00224F0F">
            <w:pPr>
              <w:spacing w:line="240" w:lineRule="auto"/>
              <w:rPr>
                <w:b/>
                <w:bCs/>
                <w:color w:val="000000"/>
                <w:lang w:val="hu-HU"/>
              </w:rPr>
            </w:pPr>
          </w:p>
        </w:tc>
        <w:tc>
          <w:tcPr>
            <w:tcW w:w="1559" w:type="dxa"/>
          </w:tcPr>
          <w:p w:rsidR="00224F0F" w:rsidRDefault="00224F0F">
            <w:pPr>
              <w:spacing w:line="240" w:lineRule="auto"/>
              <w:rPr>
                <w:b/>
                <w:bCs/>
                <w:color w:val="000000"/>
                <w:lang w:val="hu-HU"/>
              </w:rPr>
            </w:pPr>
          </w:p>
        </w:tc>
        <w:tc>
          <w:tcPr>
            <w:tcW w:w="1666" w:type="dxa"/>
            <w:shd w:val="clear" w:color="auto" w:fill="auto"/>
          </w:tcPr>
          <w:p w:rsidR="00224F0F" w:rsidRDefault="00224F0F">
            <w:pPr>
              <w:spacing w:line="240" w:lineRule="auto"/>
              <w:rPr>
                <w:b/>
                <w:bCs/>
                <w:color w:val="000000"/>
                <w:lang w:val="hu-HU"/>
              </w:rPr>
            </w:pPr>
          </w:p>
        </w:tc>
      </w:tr>
      <w:tr w:rsidR="00224F0F">
        <w:tc>
          <w:tcPr>
            <w:tcW w:w="9287" w:type="dxa"/>
            <w:gridSpan w:val="5"/>
          </w:tcPr>
          <w:p w:rsidR="00224F0F" w:rsidRDefault="00485CCD" w:rsidP="00A54C3F">
            <w:pPr>
              <w:pStyle w:val="Default"/>
              <w:keepNext/>
              <w:rPr>
                <w:b/>
                <w:bCs/>
                <w:sz w:val="22"/>
                <w:szCs w:val="22"/>
              </w:rPr>
            </w:pPr>
            <w:r>
              <w:rPr>
                <w:b/>
                <w:bCs/>
                <w:sz w:val="22"/>
                <w:szCs w:val="22"/>
              </w:rPr>
              <w:lastRenderedPageBreak/>
              <w:t xml:space="preserve">Máj- és epebetegségek, illetve tünetek </w:t>
            </w:r>
          </w:p>
        </w:tc>
      </w:tr>
      <w:tr w:rsidR="00224F0F">
        <w:tc>
          <w:tcPr>
            <w:tcW w:w="1951" w:type="dxa"/>
            <w:tcBorders>
              <w:bottom w:val="single" w:sz="4" w:space="0" w:color="auto"/>
            </w:tcBorders>
            <w:shd w:val="clear" w:color="auto" w:fill="auto"/>
          </w:tcPr>
          <w:p w:rsidR="00224F0F" w:rsidRDefault="00485CCD">
            <w:pPr>
              <w:pStyle w:val="Default"/>
              <w:rPr>
                <w:sz w:val="22"/>
                <w:szCs w:val="22"/>
              </w:rPr>
            </w:pPr>
            <w:r>
              <w:rPr>
                <w:sz w:val="22"/>
                <w:szCs w:val="22"/>
              </w:rPr>
              <w:t xml:space="preserve">Emelkedett transzamináz-szint </w:t>
            </w:r>
          </w:p>
          <w:p w:rsidR="00224F0F" w:rsidRDefault="00224F0F">
            <w:pPr>
              <w:spacing w:line="240" w:lineRule="auto"/>
              <w:rPr>
                <w:b/>
                <w:bCs/>
                <w:color w:val="000000"/>
                <w:lang w:val="hu-HU"/>
              </w:rPr>
            </w:pPr>
          </w:p>
        </w:tc>
        <w:tc>
          <w:tcPr>
            <w:tcW w:w="2552" w:type="dxa"/>
            <w:tcBorders>
              <w:bottom w:val="single" w:sz="4" w:space="0" w:color="auto"/>
            </w:tcBorders>
            <w:shd w:val="clear" w:color="auto" w:fill="auto"/>
          </w:tcPr>
          <w:p w:rsidR="00224F0F" w:rsidRDefault="00485CCD">
            <w:pPr>
              <w:pStyle w:val="Default"/>
              <w:rPr>
                <w:b/>
                <w:bCs/>
                <w:sz w:val="22"/>
                <w:szCs w:val="22"/>
              </w:rPr>
            </w:pPr>
            <w:r>
              <w:rPr>
                <w:sz w:val="22"/>
                <w:szCs w:val="22"/>
              </w:rPr>
              <w:t>Májkárosodás, emelkedett bilirubinszint, emelkedett alkalikus foszfatáz-szint</w:t>
            </w:r>
            <w:r>
              <w:rPr>
                <w:sz w:val="22"/>
                <w:szCs w:val="22"/>
                <w:vertAlign w:val="superscript"/>
              </w:rPr>
              <w:t>A,</w:t>
            </w:r>
            <w:r>
              <w:rPr>
                <w:sz w:val="22"/>
                <w:szCs w:val="22"/>
              </w:rPr>
              <w:t xml:space="preserve"> emelkedett GGT-szint</w:t>
            </w:r>
            <w:r>
              <w:rPr>
                <w:sz w:val="22"/>
                <w:szCs w:val="22"/>
                <w:vertAlign w:val="superscript"/>
              </w:rPr>
              <w:t xml:space="preserve">A. </w:t>
            </w:r>
          </w:p>
        </w:tc>
        <w:tc>
          <w:tcPr>
            <w:tcW w:w="1559" w:type="dxa"/>
            <w:tcBorders>
              <w:bottom w:val="single" w:sz="4" w:space="0" w:color="auto"/>
            </w:tcBorders>
            <w:shd w:val="clear" w:color="auto" w:fill="auto"/>
          </w:tcPr>
          <w:p w:rsidR="00224F0F" w:rsidRDefault="00485CCD">
            <w:pPr>
              <w:spacing w:line="240" w:lineRule="auto"/>
              <w:rPr>
                <w:bCs/>
                <w:color w:val="000000"/>
                <w:lang w:val="hu-HU"/>
              </w:rPr>
            </w:pPr>
            <w:r>
              <w:rPr>
                <w:bCs/>
                <w:color w:val="000000"/>
                <w:lang w:val="hu-HU"/>
              </w:rPr>
              <w:t xml:space="preserve">Sárgaság, </w:t>
            </w:r>
            <w:r>
              <w:t xml:space="preserve">konjugált bilirubin-szint emelkedés (a GPT egyidejű emelkedésével vagy anélkül), </w:t>
            </w:r>
            <w:r>
              <w:rPr>
                <w:color w:val="000000"/>
              </w:rPr>
              <w:t xml:space="preserve">cholestasis, hepatitis (beleértve a hepatocellularis károsodást is). </w:t>
            </w:r>
          </w:p>
        </w:tc>
        <w:tc>
          <w:tcPr>
            <w:tcW w:w="1559" w:type="dxa"/>
            <w:tcBorders>
              <w:bottom w:val="single" w:sz="4" w:space="0" w:color="auto"/>
            </w:tcBorders>
          </w:tcPr>
          <w:p w:rsidR="00224F0F" w:rsidRDefault="00224F0F">
            <w:pPr>
              <w:spacing w:line="240" w:lineRule="auto"/>
              <w:rPr>
                <w:b/>
                <w:bCs/>
                <w:color w:val="000000"/>
                <w:lang w:val="hu-HU"/>
              </w:rPr>
            </w:pPr>
          </w:p>
        </w:tc>
        <w:tc>
          <w:tcPr>
            <w:tcW w:w="1666" w:type="dxa"/>
            <w:tcBorders>
              <w:bottom w:val="single" w:sz="4" w:space="0" w:color="auto"/>
            </w:tcBorders>
            <w:shd w:val="clear" w:color="auto" w:fill="auto"/>
          </w:tcPr>
          <w:p w:rsidR="00224F0F" w:rsidRDefault="00224F0F">
            <w:pPr>
              <w:spacing w:line="240" w:lineRule="auto"/>
              <w:rPr>
                <w:b/>
                <w:bCs/>
                <w:color w:val="000000"/>
                <w:lang w:val="hu-HU"/>
              </w:rPr>
            </w:pPr>
          </w:p>
        </w:tc>
      </w:tr>
      <w:tr w:rsidR="00224F0F">
        <w:tc>
          <w:tcPr>
            <w:tcW w:w="9287" w:type="dxa"/>
            <w:gridSpan w:val="5"/>
          </w:tcPr>
          <w:p w:rsidR="00224F0F" w:rsidRDefault="00485CCD">
            <w:pPr>
              <w:pStyle w:val="Default"/>
              <w:rPr>
                <w:b/>
                <w:bCs/>
                <w:sz w:val="22"/>
                <w:szCs w:val="22"/>
              </w:rPr>
            </w:pPr>
            <w:r>
              <w:rPr>
                <w:b/>
                <w:bCs/>
                <w:sz w:val="22"/>
                <w:szCs w:val="22"/>
              </w:rPr>
              <w:t xml:space="preserve">A bőr és a bőr alatti szövet betegségei és tünetei </w:t>
            </w:r>
          </w:p>
        </w:tc>
      </w:tr>
      <w:tr w:rsidR="00224F0F">
        <w:tc>
          <w:tcPr>
            <w:tcW w:w="1951" w:type="dxa"/>
            <w:tcBorders>
              <w:bottom w:val="single" w:sz="4" w:space="0" w:color="auto"/>
            </w:tcBorders>
            <w:shd w:val="clear" w:color="auto" w:fill="auto"/>
          </w:tcPr>
          <w:p w:rsidR="00224F0F" w:rsidRDefault="00485CCD">
            <w:pPr>
              <w:pStyle w:val="Default"/>
              <w:rPr>
                <w:b/>
                <w:bCs/>
                <w:sz w:val="22"/>
                <w:szCs w:val="22"/>
              </w:rPr>
            </w:pPr>
            <w:r>
              <w:rPr>
                <w:sz w:val="22"/>
                <w:szCs w:val="22"/>
              </w:rPr>
              <w:t xml:space="preserve">Pruritus (beleértve a generalizált pruritus nem gyakori eseteit), kiütések, ecchymosis, bőrvérzés és subcutan vérzés </w:t>
            </w:r>
          </w:p>
        </w:tc>
        <w:tc>
          <w:tcPr>
            <w:tcW w:w="2552" w:type="dxa"/>
            <w:tcBorders>
              <w:bottom w:val="single" w:sz="4" w:space="0" w:color="auto"/>
            </w:tcBorders>
            <w:shd w:val="clear" w:color="auto" w:fill="auto"/>
          </w:tcPr>
          <w:p w:rsidR="00224F0F" w:rsidRDefault="00485CCD">
            <w:pPr>
              <w:pStyle w:val="Default"/>
              <w:rPr>
                <w:b/>
                <w:bCs/>
                <w:sz w:val="22"/>
                <w:szCs w:val="22"/>
              </w:rPr>
            </w:pPr>
            <w:r>
              <w:rPr>
                <w:sz w:val="22"/>
                <w:szCs w:val="22"/>
              </w:rPr>
              <w:t>Urticaria</w:t>
            </w:r>
          </w:p>
        </w:tc>
        <w:tc>
          <w:tcPr>
            <w:tcW w:w="1559" w:type="dxa"/>
            <w:tcBorders>
              <w:bottom w:val="single" w:sz="4" w:space="0" w:color="auto"/>
            </w:tcBorders>
            <w:shd w:val="clear" w:color="auto" w:fill="auto"/>
          </w:tcPr>
          <w:p w:rsidR="00224F0F" w:rsidRDefault="00224F0F">
            <w:pPr>
              <w:spacing w:line="240" w:lineRule="auto"/>
              <w:rPr>
                <w:b/>
                <w:bCs/>
                <w:color w:val="000000"/>
                <w:lang w:val="hu-HU"/>
              </w:rPr>
            </w:pPr>
          </w:p>
        </w:tc>
        <w:tc>
          <w:tcPr>
            <w:tcW w:w="1559" w:type="dxa"/>
            <w:tcBorders>
              <w:bottom w:val="single" w:sz="4" w:space="0" w:color="auto"/>
            </w:tcBorders>
          </w:tcPr>
          <w:p w:rsidR="00224F0F" w:rsidRDefault="00485CCD">
            <w:pPr>
              <w:pStyle w:val="Default"/>
              <w:rPr>
                <w:b/>
                <w:bCs/>
                <w:sz w:val="22"/>
                <w:szCs w:val="22"/>
              </w:rPr>
            </w:pPr>
            <w:r>
              <w:rPr>
                <w:sz w:val="22"/>
                <w:szCs w:val="22"/>
              </w:rPr>
              <w:t xml:space="preserve">Stevens–Johnson-szindróma /toxicus epidermalis necrolysis, DRESS szindróma </w:t>
            </w:r>
          </w:p>
        </w:tc>
        <w:tc>
          <w:tcPr>
            <w:tcW w:w="1666" w:type="dxa"/>
            <w:tcBorders>
              <w:bottom w:val="single" w:sz="4" w:space="0" w:color="auto"/>
            </w:tcBorders>
            <w:shd w:val="clear" w:color="auto" w:fill="auto"/>
          </w:tcPr>
          <w:p w:rsidR="00224F0F" w:rsidRDefault="00224F0F">
            <w:pPr>
              <w:spacing w:line="240" w:lineRule="auto"/>
              <w:rPr>
                <w:b/>
                <w:bCs/>
                <w:color w:val="000000"/>
                <w:lang w:val="hu-HU"/>
              </w:rPr>
            </w:pPr>
          </w:p>
        </w:tc>
      </w:tr>
      <w:tr w:rsidR="00224F0F">
        <w:tc>
          <w:tcPr>
            <w:tcW w:w="9287" w:type="dxa"/>
            <w:gridSpan w:val="5"/>
          </w:tcPr>
          <w:p w:rsidR="00224F0F" w:rsidRDefault="00485CCD">
            <w:pPr>
              <w:pStyle w:val="Default"/>
              <w:rPr>
                <w:b/>
                <w:bCs/>
                <w:sz w:val="22"/>
                <w:szCs w:val="22"/>
              </w:rPr>
            </w:pPr>
            <w:r>
              <w:rPr>
                <w:b/>
                <w:bCs/>
                <w:sz w:val="22"/>
                <w:szCs w:val="22"/>
              </w:rPr>
              <w:t xml:space="preserve">A csont- és izomrendszer, valamint a kötőszövet betegségei és tünetei </w:t>
            </w:r>
          </w:p>
        </w:tc>
      </w:tr>
      <w:tr w:rsidR="00224F0F">
        <w:tc>
          <w:tcPr>
            <w:tcW w:w="1951" w:type="dxa"/>
            <w:shd w:val="clear" w:color="auto" w:fill="auto"/>
          </w:tcPr>
          <w:p w:rsidR="00224F0F" w:rsidRDefault="00485CCD">
            <w:pPr>
              <w:pStyle w:val="Default"/>
              <w:rPr>
                <w:b/>
                <w:bCs/>
                <w:sz w:val="22"/>
                <w:szCs w:val="22"/>
              </w:rPr>
            </w:pPr>
            <w:r>
              <w:rPr>
                <w:sz w:val="22"/>
                <w:szCs w:val="22"/>
              </w:rPr>
              <w:t>Végtagfájdalom</w:t>
            </w:r>
            <w:r>
              <w:rPr>
                <w:position w:val="8"/>
                <w:sz w:val="22"/>
                <w:szCs w:val="22"/>
                <w:vertAlign w:val="superscript"/>
              </w:rPr>
              <w:t xml:space="preserve">A </w:t>
            </w:r>
          </w:p>
        </w:tc>
        <w:tc>
          <w:tcPr>
            <w:tcW w:w="2552" w:type="dxa"/>
            <w:shd w:val="clear" w:color="auto" w:fill="auto"/>
          </w:tcPr>
          <w:p w:rsidR="00224F0F" w:rsidRDefault="00485CCD">
            <w:pPr>
              <w:pStyle w:val="Default"/>
              <w:rPr>
                <w:b/>
                <w:bCs/>
                <w:sz w:val="22"/>
                <w:szCs w:val="22"/>
              </w:rPr>
            </w:pPr>
            <w:r>
              <w:rPr>
                <w:sz w:val="22"/>
                <w:szCs w:val="22"/>
              </w:rPr>
              <w:t>Haemarthrosis</w:t>
            </w:r>
          </w:p>
        </w:tc>
        <w:tc>
          <w:tcPr>
            <w:tcW w:w="1559" w:type="dxa"/>
            <w:shd w:val="clear" w:color="auto" w:fill="auto"/>
          </w:tcPr>
          <w:p w:rsidR="00224F0F" w:rsidRDefault="00485CCD">
            <w:pPr>
              <w:pStyle w:val="Default"/>
              <w:rPr>
                <w:b/>
                <w:bCs/>
                <w:sz w:val="22"/>
                <w:szCs w:val="22"/>
              </w:rPr>
            </w:pPr>
            <w:r>
              <w:rPr>
                <w:sz w:val="22"/>
                <w:szCs w:val="22"/>
              </w:rPr>
              <w:t>Izomvérzés</w:t>
            </w:r>
          </w:p>
        </w:tc>
        <w:tc>
          <w:tcPr>
            <w:tcW w:w="1559" w:type="dxa"/>
          </w:tcPr>
          <w:p w:rsidR="00224F0F" w:rsidRDefault="00224F0F">
            <w:pPr>
              <w:pStyle w:val="Default"/>
              <w:rPr>
                <w:sz w:val="22"/>
                <w:szCs w:val="22"/>
              </w:rPr>
            </w:pPr>
          </w:p>
        </w:tc>
        <w:tc>
          <w:tcPr>
            <w:tcW w:w="1666" w:type="dxa"/>
            <w:shd w:val="clear" w:color="auto" w:fill="auto"/>
          </w:tcPr>
          <w:p w:rsidR="00224F0F" w:rsidRDefault="00485CCD">
            <w:pPr>
              <w:pStyle w:val="Default"/>
              <w:rPr>
                <w:b/>
                <w:bCs/>
                <w:sz w:val="22"/>
                <w:szCs w:val="22"/>
              </w:rPr>
            </w:pPr>
            <w:r>
              <w:rPr>
                <w:sz w:val="22"/>
                <w:szCs w:val="22"/>
              </w:rPr>
              <w:t>A vérzés következtében kialakuló kompartment szindróma</w:t>
            </w:r>
          </w:p>
        </w:tc>
      </w:tr>
      <w:tr w:rsidR="00224F0F">
        <w:tc>
          <w:tcPr>
            <w:tcW w:w="9287" w:type="dxa"/>
            <w:gridSpan w:val="5"/>
          </w:tcPr>
          <w:p w:rsidR="00224F0F" w:rsidRDefault="00485CCD">
            <w:pPr>
              <w:pStyle w:val="Default"/>
              <w:rPr>
                <w:b/>
                <w:bCs/>
                <w:sz w:val="22"/>
                <w:szCs w:val="22"/>
              </w:rPr>
            </w:pPr>
            <w:r>
              <w:rPr>
                <w:b/>
                <w:bCs/>
                <w:sz w:val="22"/>
                <w:szCs w:val="22"/>
              </w:rPr>
              <w:t xml:space="preserve">Vese- és húgyúti betegségek és tünetek </w:t>
            </w:r>
          </w:p>
        </w:tc>
      </w:tr>
      <w:tr w:rsidR="00224F0F">
        <w:tc>
          <w:tcPr>
            <w:tcW w:w="1951" w:type="dxa"/>
            <w:shd w:val="clear" w:color="auto" w:fill="auto"/>
          </w:tcPr>
          <w:p w:rsidR="00224F0F" w:rsidRDefault="00485CCD">
            <w:pPr>
              <w:pStyle w:val="Default"/>
              <w:rPr>
                <w:b/>
                <w:bCs/>
                <w:sz w:val="22"/>
                <w:szCs w:val="22"/>
              </w:rPr>
            </w:pPr>
            <w:r>
              <w:rPr>
                <w:sz w:val="22"/>
                <w:szCs w:val="22"/>
              </w:rPr>
              <w:t xml:space="preserve">Húgyúti vérzés (beleértve a haematuriát és a menorrhagiát is) </w:t>
            </w:r>
            <w:r>
              <w:rPr>
                <w:sz w:val="22"/>
                <w:szCs w:val="22"/>
                <w:vertAlign w:val="superscript"/>
              </w:rPr>
              <w:t>B</w:t>
            </w:r>
            <w:r>
              <w:rPr>
                <w:sz w:val="22"/>
                <w:szCs w:val="22"/>
              </w:rPr>
              <w:t>, vesekárosodás (beleértve a vér kreatinin- és karbamidszintjének emelkedését)</w:t>
            </w:r>
            <w:r>
              <w:rPr>
                <w:position w:val="8"/>
                <w:sz w:val="22"/>
                <w:szCs w:val="22"/>
                <w:vertAlign w:val="superscript"/>
              </w:rPr>
              <w:t xml:space="preserve"> </w:t>
            </w:r>
          </w:p>
        </w:tc>
        <w:tc>
          <w:tcPr>
            <w:tcW w:w="2552" w:type="dxa"/>
            <w:shd w:val="clear" w:color="auto" w:fill="auto"/>
          </w:tcPr>
          <w:p w:rsidR="00224F0F" w:rsidRDefault="00224F0F">
            <w:pPr>
              <w:spacing w:line="240" w:lineRule="auto"/>
              <w:rPr>
                <w:b/>
                <w:bCs/>
                <w:color w:val="000000"/>
                <w:lang w:val="hu-HU"/>
              </w:rPr>
            </w:pPr>
          </w:p>
        </w:tc>
        <w:tc>
          <w:tcPr>
            <w:tcW w:w="1559" w:type="dxa"/>
            <w:shd w:val="clear" w:color="auto" w:fill="auto"/>
          </w:tcPr>
          <w:p w:rsidR="00224F0F" w:rsidRDefault="00224F0F">
            <w:pPr>
              <w:spacing w:line="240" w:lineRule="auto"/>
              <w:rPr>
                <w:b/>
                <w:bCs/>
                <w:color w:val="000000"/>
                <w:lang w:val="hu-HU"/>
              </w:rPr>
            </w:pPr>
          </w:p>
        </w:tc>
        <w:tc>
          <w:tcPr>
            <w:tcW w:w="1559" w:type="dxa"/>
          </w:tcPr>
          <w:p w:rsidR="00224F0F" w:rsidRDefault="00224F0F">
            <w:pPr>
              <w:pStyle w:val="Default"/>
              <w:rPr>
                <w:sz w:val="22"/>
                <w:szCs w:val="22"/>
              </w:rPr>
            </w:pPr>
          </w:p>
        </w:tc>
        <w:tc>
          <w:tcPr>
            <w:tcW w:w="1666" w:type="dxa"/>
            <w:shd w:val="clear" w:color="auto" w:fill="auto"/>
          </w:tcPr>
          <w:p w:rsidR="00224F0F" w:rsidRDefault="00485CCD">
            <w:pPr>
              <w:pStyle w:val="Default"/>
              <w:rPr>
                <w:b/>
                <w:bCs/>
                <w:sz w:val="22"/>
                <w:szCs w:val="22"/>
              </w:rPr>
            </w:pPr>
            <w:r>
              <w:rPr>
                <w:sz w:val="22"/>
                <w:szCs w:val="22"/>
              </w:rPr>
              <w:t>Veseelégtelen-ség/ akut veseelégtelen-ség, amely hypoperfusiót okozó vérzés miatt alakult ki, antikoagulánsokkal összefüggő nephropathia</w:t>
            </w:r>
          </w:p>
        </w:tc>
      </w:tr>
      <w:tr w:rsidR="00224F0F">
        <w:tc>
          <w:tcPr>
            <w:tcW w:w="9287" w:type="dxa"/>
            <w:gridSpan w:val="5"/>
          </w:tcPr>
          <w:p w:rsidR="00224F0F" w:rsidRDefault="00485CCD">
            <w:pPr>
              <w:pStyle w:val="Default"/>
              <w:rPr>
                <w:b/>
                <w:bCs/>
                <w:sz w:val="22"/>
                <w:szCs w:val="22"/>
              </w:rPr>
            </w:pPr>
            <w:r>
              <w:rPr>
                <w:b/>
                <w:bCs/>
                <w:sz w:val="22"/>
                <w:szCs w:val="22"/>
              </w:rPr>
              <w:t xml:space="preserve">Általános tünetek, az alkalmazás helyén fellépő reakciók </w:t>
            </w:r>
          </w:p>
        </w:tc>
      </w:tr>
      <w:tr w:rsidR="00224F0F">
        <w:tc>
          <w:tcPr>
            <w:tcW w:w="1951" w:type="dxa"/>
            <w:shd w:val="clear" w:color="auto" w:fill="auto"/>
          </w:tcPr>
          <w:p w:rsidR="00224F0F" w:rsidRDefault="00485CCD">
            <w:pPr>
              <w:pStyle w:val="Default"/>
              <w:rPr>
                <w:b/>
                <w:bCs/>
                <w:sz w:val="22"/>
                <w:szCs w:val="22"/>
              </w:rPr>
            </w:pPr>
            <w:r>
              <w:rPr>
                <w:sz w:val="22"/>
                <w:szCs w:val="22"/>
              </w:rPr>
              <w:t>Láz</w:t>
            </w:r>
            <w:r>
              <w:rPr>
                <w:position w:val="8"/>
                <w:sz w:val="22"/>
                <w:szCs w:val="22"/>
                <w:vertAlign w:val="superscript"/>
              </w:rPr>
              <w:t>A</w:t>
            </w:r>
            <w:r>
              <w:rPr>
                <w:sz w:val="22"/>
                <w:szCs w:val="22"/>
              </w:rPr>
              <w:t xml:space="preserve">, perifériás oedema, csökkent általános erőnlét és energia (beleértve a fáradtságot, astheniát is) </w:t>
            </w:r>
          </w:p>
        </w:tc>
        <w:tc>
          <w:tcPr>
            <w:tcW w:w="2552" w:type="dxa"/>
            <w:shd w:val="clear" w:color="auto" w:fill="auto"/>
          </w:tcPr>
          <w:p w:rsidR="00224F0F" w:rsidRDefault="00485CCD">
            <w:pPr>
              <w:pStyle w:val="Default"/>
              <w:rPr>
                <w:b/>
                <w:bCs/>
                <w:sz w:val="22"/>
                <w:szCs w:val="22"/>
              </w:rPr>
            </w:pPr>
            <w:r>
              <w:rPr>
                <w:sz w:val="22"/>
                <w:szCs w:val="22"/>
              </w:rPr>
              <w:t>Rossz közérzet (beleértve a gyengeséget is)</w:t>
            </w:r>
          </w:p>
        </w:tc>
        <w:tc>
          <w:tcPr>
            <w:tcW w:w="1559" w:type="dxa"/>
            <w:shd w:val="clear" w:color="auto" w:fill="auto"/>
          </w:tcPr>
          <w:p w:rsidR="00224F0F" w:rsidRDefault="00485CCD">
            <w:pPr>
              <w:pStyle w:val="Default"/>
              <w:rPr>
                <w:b/>
                <w:bCs/>
                <w:sz w:val="22"/>
                <w:szCs w:val="22"/>
              </w:rPr>
            </w:pPr>
            <w:r>
              <w:rPr>
                <w:sz w:val="22"/>
                <w:szCs w:val="22"/>
              </w:rPr>
              <w:t xml:space="preserve">Lokalizált oedema </w:t>
            </w:r>
            <w:r>
              <w:rPr>
                <w:sz w:val="22"/>
                <w:szCs w:val="22"/>
                <w:vertAlign w:val="superscript"/>
              </w:rPr>
              <w:t>A</w:t>
            </w:r>
          </w:p>
        </w:tc>
        <w:tc>
          <w:tcPr>
            <w:tcW w:w="1559" w:type="dxa"/>
          </w:tcPr>
          <w:p w:rsidR="00224F0F" w:rsidRDefault="00224F0F">
            <w:pPr>
              <w:spacing w:line="240" w:lineRule="auto"/>
              <w:rPr>
                <w:b/>
                <w:bCs/>
                <w:color w:val="000000"/>
                <w:lang w:val="hu-HU"/>
              </w:rPr>
            </w:pPr>
          </w:p>
        </w:tc>
        <w:tc>
          <w:tcPr>
            <w:tcW w:w="1666" w:type="dxa"/>
            <w:shd w:val="clear" w:color="auto" w:fill="auto"/>
          </w:tcPr>
          <w:p w:rsidR="00224F0F" w:rsidRDefault="00224F0F">
            <w:pPr>
              <w:spacing w:line="240" w:lineRule="auto"/>
              <w:rPr>
                <w:b/>
                <w:bCs/>
                <w:color w:val="000000"/>
                <w:lang w:val="hu-HU"/>
              </w:rPr>
            </w:pPr>
          </w:p>
        </w:tc>
      </w:tr>
      <w:tr w:rsidR="00224F0F">
        <w:tc>
          <w:tcPr>
            <w:tcW w:w="9287" w:type="dxa"/>
            <w:gridSpan w:val="5"/>
          </w:tcPr>
          <w:p w:rsidR="00224F0F" w:rsidRDefault="00485CCD">
            <w:pPr>
              <w:pStyle w:val="Default"/>
              <w:rPr>
                <w:b/>
                <w:bCs/>
                <w:sz w:val="22"/>
                <w:szCs w:val="22"/>
              </w:rPr>
            </w:pPr>
            <w:r>
              <w:rPr>
                <w:b/>
                <w:bCs/>
                <w:sz w:val="22"/>
                <w:szCs w:val="22"/>
              </w:rPr>
              <w:t xml:space="preserve">Laboratóriumi és egyéb vizsgálatok eredményei </w:t>
            </w:r>
          </w:p>
        </w:tc>
      </w:tr>
      <w:tr w:rsidR="00224F0F">
        <w:tc>
          <w:tcPr>
            <w:tcW w:w="1951" w:type="dxa"/>
            <w:tcBorders>
              <w:bottom w:val="single" w:sz="4" w:space="0" w:color="auto"/>
            </w:tcBorders>
            <w:shd w:val="clear" w:color="auto" w:fill="auto"/>
          </w:tcPr>
          <w:p w:rsidR="00224F0F" w:rsidRDefault="00224F0F">
            <w:pPr>
              <w:pStyle w:val="Default"/>
              <w:rPr>
                <w:b/>
                <w:bCs/>
                <w:sz w:val="22"/>
                <w:szCs w:val="22"/>
              </w:rPr>
            </w:pPr>
          </w:p>
        </w:tc>
        <w:tc>
          <w:tcPr>
            <w:tcW w:w="2552" w:type="dxa"/>
            <w:tcBorders>
              <w:bottom w:val="single" w:sz="4" w:space="0" w:color="auto"/>
            </w:tcBorders>
            <w:shd w:val="clear" w:color="auto" w:fill="auto"/>
          </w:tcPr>
          <w:p w:rsidR="00224F0F" w:rsidRDefault="00485CCD">
            <w:pPr>
              <w:spacing w:line="240" w:lineRule="auto"/>
              <w:rPr>
                <w:b/>
                <w:bCs/>
                <w:color w:val="000000"/>
                <w:lang w:val="hu-HU"/>
              </w:rPr>
            </w:pPr>
            <w:r>
              <w:rPr>
                <w:color w:val="000000"/>
                <w:lang w:val="hu-HU"/>
              </w:rPr>
              <w:t>Emelkedett LDH-szint</w:t>
            </w:r>
            <w:r>
              <w:rPr>
                <w:color w:val="000000"/>
                <w:position w:val="8"/>
                <w:vertAlign w:val="superscript"/>
                <w:lang w:val="hu-HU"/>
              </w:rPr>
              <w:t>A</w:t>
            </w:r>
            <w:r>
              <w:rPr>
                <w:color w:val="000000"/>
                <w:lang w:val="hu-HU"/>
              </w:rPr>
              <w:t xml:space="preserve"> emelkedett lipáz-szint</w:t>
            </w:r>
            <w:r>
              <w:rPr>
                <w:color w:val="000000"/>
                <w:position w:val="8"/>
                <w:vertAlign w:val="superscript"/>
                <w:lang w:val="hu-HU"/>
              </w:rPr>
              <w:t>A</w:t>
            </w:r>
            <w:r>
              <w:rPr>
                <w:color w:val="000000"/>
                <w:lang w:val="hu-HU"/>
              </w:rPr>
              <w:t xml:space="preserve"> emelkedett amiláz-szint</w:t>
            </w:r>
            <w:r>
              <w:rPr>
                <w:color w:val="000000"/>
                <w:position w:val="8"/>
                <w:vertAlign w:val="superscript"/>
                <w:lang w:val="hu-HU"/>
              </w:rPr>
              <w:t>A</w:t>
            </w:r>
          </w:p>
        </w:tc>
        <w:tc>
          <w:tcPr>
            <w:tcW w:w="1559" w:type="dxa"/>
            <w:tcBorders>
              <w:bottom w:val="single" w:sz="4" w:space="0" w:color="auto"/>
            </w:tcBorders>
            <w:shd w:val="clear" w:color="auto" w:fill="auto"/>
          </w:tcPr>
          <w:p w:rsidR="00224F0F" w:rsidRDefault="00224F0F">
            <w:pPr>
              <w:pStyle w:val="Default"/>
              <w:rPr>
                <w:b/>
                <w:bCs/>
                <w:sz w:val="22"/>
                <w:szCs w:val="22"/>
              </w:rPr>
            </w:pPr>
          </w:p>
        </w:tc>
        <w:tc>
          <w:tcPr>
            <w:tcW w:w="1559" w:type="dxa"/>
            <w:tcBorders>
              <w:bottom w:val="single" w:sz="4" w:space="0" w:color="auto"/>
            </w:tcBorders>
          </w:tcPr>
          <w:p w:rsidR="00224F0F" w:rsidRDefault="00224F0F">
            <w:pPr>
              <w:spacing w:line="240" w:lineRule="auto"/>
              <w:rPr>
                <w:b/>
                <w:bCs/>
                <w:color w:val="000000"/>
                <w:lang w:val="hu-HU"/>
              </w:rPr>
            </w:pPr>
          </w:p>
        </w:tc>
        <w:tc>
          <w:tcPr>
            <w:tcW w:w="1666" w:type="dxa"/>
            <w:tcBorders>
              <w:bottom w:val="single" w:sz="4" w:space="0" w:color="auto"/>
            </w:tcBorders>
            <w:shd w:val="clear" w:color="auto" w:fill="auto"/>
          </w:tcPr>
          <w:p w:rsidR="00224F0F" w:rsidRDefault="00224F0F">
            <w:pPr>
              <w:spacing w:line="240" w:lineRule="auto"/>
              <w:rPr>
                <w:b/>
                <w:bCs/>
                <w:color w:val="000000"/>
                <w:lang w:val="hu-HU"/>
              </w:rPr>
            </w:pPr>
          </w:p>
        </w:tc>
      </w:tr>
      <w:tr w:rsidR="00224F0F">
        <w:tc>
          <w:tcPr>
            <w:tcW w:w="9287" w:type="dxa"/>
            <w:gridSpan w:val="5"/>
          </w:tcPr>
          <w:p w:rsidR="00224F0F" w:rsidRDefault="00485CCD" w:rsidP="00A54C3F">
            <w:pPr>
              <w:pStyle w:val="Default"/>
              <w:keepNext/>
              <w:rPr>
                <w:b/>
                <w:bCs/>
                <w:sz w:val="22"/>
                <w:szCs w:val="22"/>
              </w:rPr>
            </w:pPr>
            <w:r>
              <w:rPr>
                <w:b/>
                <w:bCs/>
                <w:sz w:val="22"/>
                <w:szCs w:val="22"/>
              </w:rPr>
              <w:lastRenderedPageBreak/>
              <w:t xml:space="preserve">Sérülés, mérgezés és a beavatkozással kapcsolatos szövődmények </w:t>
            </w:r>
          </w:p>
        </w:tc>
      </w:tr>
      <w:tr w:rsidR="00224F0F">
        <w:tc>
          <w:tcPr>
            <w:tcW w:w="1951" w:type="dxa"/>
            <w:shd w:val="clear" w:color="auto" w:fill="auto"/>
          </w:tcPr>
          <w:p w:rsidR="00224F0F" w:rsidRDefault="00485CCD">
            <w:pPr>
              <w:pStyle w:val="Default"/>
              <w:rPr>
                <w:b/>
                <w:bCs/>
                <w:sz w:val="22"/>
                <w:szCs w:val="22"/>
              </w:rPr>
            </w:pPr>
            <w:r>
              <w:rPr>
                <w:sz w:val="22"/>
                <w:szCs w:val="22"/>
              </w:rPr>
              <w:t xml:space="preserve">Orvosi beavatkozást követő vérzés (beleértve a posztoperatív anaemiát és a sebvérzést is), contusio, sebváladékozás </w:t>
            </w:r>
            <w:r>
              <w:rPr>
                <w:sz w:val="22"/>
                <w:szCs w:val="22"/>
                <w:vertAlign w:val="superscript"/>
              </w:rPr>
              <w:t>A</w:t>
            </w:r>
            <w:r>
              <w:rPr>
                <w:position w:val="8"/>
                <w:sz w:val="22"/>
                <w:szCs w:val="22"/>
                <w:vertAlign w:val="superscript"/>
              </w:rPr>
              <w:t xml:space="preserve"> </w:t>
            </w:r>
          </w:p>
        </w:tc>
        <w:tc>
          <w:tcPr>
            <w:tcW w:w="2552" w:type="dxa"/>
            <w:shd w:val="clear" w:color="auto" w:fill="auto"/>
          </w:tcPr>
          <w:p w:rsidR="00224F0F" w:rsidRDefault="00224F0F">
            <w:pPr>
              <w:spacing w:line="240" w:lineRule="auto"/>
              <w:rPr>
                <w:b/>
                <w:bCs/>
                <w:color w:val="000000"/>
                <w:lang w:val="hu-HU"/>
              </w:rPr>
            </w:pPr>
          </w:p>
        </w:tc>
        <w:tc>
          <w:tcPr>
            <w:tcW w:w="1559" w:type="dxa"/>
            <w:shd w:val="clear" w:color="auto" w:fill="auto"/>
          </w:tcPr>
          <w:p w:rsidR="00224F0F" w:rsidRDefault="00485CCD">
            <w:pPr>
              <w:pStyle w:val="Default"/>
              <w:rPr>
                <w:b/>
                <w:bCs/>
                <w:sz w:val="22"/>
                <w:szCs w:val="22"/>
              </w:rPr>
            </w:pPr>
            <w:r>
              <w:rPr>
                <w:sz w:val="22"/>
                <w:szCs w:val="22"/>
              </w:rPr>
              <w:t xml:space="preserve">Vascularis pseudoane-urysma </w:t>
            </w:r>
            <w:r>
              <w:rPr>
                <w:sz w:val="22"/>
                <w:szCs w:val="22"/>
                <w:vertAlign w:val="superscript"/>
              </w:rPr>
              <w:t>C</w:t>
            </w:r>
          </w:p>
        </w:tc>
        <w:tc>
          <w:tcPr>
            <w:tcW w:w="1559" w:type="dxa"/>
          </w:tcPr>
          <w:p w:rsidR="00224F0F" w:rsidRDefault="00224F0F">
            <w:pPr>
              <w:spacing w:line="240" w:lineRule="auto"/>
              <w:rPr>
                <w:b/>
                <w:bCs/>
                <w:color w:val="000000"/>
                <w:lang w:val="hu-HU"/>
              </w:rPr>
            </w:pPr>
          </w:p>
        </w:tc>
        <w:tc>
          <w:tcPr>
            <w:tcW w:w="1666" w:type="dxa"/>
            <w:shd w:val="clear" w:color="auto" w:fill="auto"/>
          </w:tcPr>
          <w:p w:rsidR="00224F0F" w:rsidRDefault="00224F0F">
            <w:pPr>
              <w:spacing w:line="240" w:lineRule="auto"/>
              <w:rPr>
                <w:b/>
                <w:bCs/>
                <w:color w:val="000000"/>
                <w:lang w:val="hu-HU"/>
              </w:rPr>
            </w:pPr>
          </w:p>
        </w:tc>
      </w:tr>
    </w:tbl>
    <w:p w:rsidR="00224F0F" w:rsidRDefault="00485CCD" w:rsidP="00A54C3F">
      <w:pPr>
        <w:pStyle w:val="Default"/>
        <w:tabs>
          <w:tab w:val="left" w:pos="426"/>
        </w:tabs>
        <w:ind w:left="426" w:hanging="426"/>
        <w:rPr>
          <w:sz w:val="22"/>
          <w:szCs w:val="22"/>
        </w:rPr>
      </w:pPr>
      <w:r>
        <w:rPr>
          <w:sz w:val="22"/>
          <w:szCs w:val="22"/>
        </w:rPr>
        <w:t>A</w:t>
      </w:r>
      <w:r>
        <w:rPr>
          <w:sz w:val="22"/>
          <w:szCs w:val="22"/>
        </w:rPr>
        <w:tab/>
        <w:t>vénás thromboembolia (VTE) megelőzése esetén figyelték meg elektív csípő- vagy térdprotézis műtéten átesett felnőtt betegeknél</w:t>
      </w:r>
    </w:p>
    <w:p w:rsidR="00224F0F" w:rsidRDefault="00485CCD" w:rsidP="00A54C3F">
      <w:pPr>
        <w:pStyle w:val="Default"/>
        <w:tabs>
          <w:tab w:val="left" w:pos="426"/>
        </w:tabs>
        <w:ind w:left="426" w:hanging="426"/>
        <w:rPr>
          <w:sz w:val="22"/>
          <w:szCs w:val="22"/>
        </w:rPr>
      </w:pPr>
      <w:r>
        <w:rPr>
          <w:sz w:val="22"/>
          <w:szCs w:val="22"/>
        </w:rPr>
        <w:t>B</w:t>
      </w:r>
      <w:r>
        <w:rPr>
          <w:sz w:val="22"/>
          <w:szCs w:val="22"/>
        </w:rPr>
        <w:tab/>
        <w:t>az MVT, a PE kezelése és a rekurrencia megelőzése esetén figyelték meg nagyon gyakori mellékhatásként &lt; 55 éves nőknél</w:t>
      </w:r>
    </w:p>
    <w:p w:rsidR="00224F0F" w:rsidRDefault="00485CCD" w:rsidP="00A54C3F">
      <w:pPr>
        <w:tabs>
          <w:tab w:val="left" w:pos="426"/>
        </w:tabs>
        <w:spacing w:line="240" w:lineRule="auto"/>
        <w:ind w:left="426" w:hanging="426"/>
        <w:rPr>
          <w:color w:val="000000"/>
          <w:lang w:val="hu-HU"/>
        </w:rPr>
      </w:pPr>
      <w:r>
        <w:rPr>
          <w:color w:val="000000"/>
          <w:lang w:val="hu-HU"/>
        </w:rPr>
        <w:t>C</w:t>
      </w:r>
      <w:r>
        <w:rPr>
          <w:color w:val="000000"/>
          <w:lang w:val="hu-HU"/>
        </w:rPr>
        <w:tab/>
        <w:t>nem gyakori mellékhatásként figyelték meg ACS-t követő atherothrombotikus események megelőzése során (percutan coronaria beavatkozást követően)</w:t>
      </w:r>
    </w:p>
    <w:p w:rsidR="00224F0F" w:rsidRDefault="00485CCD" w:rsidP="00A54C3F">
      <w:pPr>
        <w:tabs>
          <w:tab w:val="left" w:pos="426"/>
        </w:tabs>
        <w:spacing w:line="240" w:lineRule="auto"/>
        <w:ind w:left="426" w:hanging="426"/>
        <w:rPr>
          <w:b/>
          <w:bCs/>
          <w:color w:val="000000"/>
          <w:lang w:val="hu-HU"/>
        </w:rPr>
      </w:pPr>
      <w:r>
        <w:rPr>
          <w:color w:val="000000"/>
        </w:rPr>
        <w:t>*</w:t>
      </w:r>
      <w:r>
        <w:rPr>
          <w:color w:val="000000"/>
        </w:rPr>
        <w:tab/>
        <w:t>A kiválasztott III. fázisú vizsgálatok esetén a nemkívánatos események regisztrálása tekintetében előre meghatározott szelektív megközelítést alkalmaztak. A vizsgálatok elemzése alapján a mellékhatások incidenciája nem növekedett, és új mellékhatást nem azonosítottak.</w:t>
      </w:r>
    </w:p>
    <w:p w:rsidR="00224F0F" w:rsidRDefault="00224F0F">
      <w:pPr>
        <w:spacing w:line="240" w:lineRule="auto"/>
        <w:rPr>
          <w:b/>
          <w:bCs/>
          <w:color w:val="000000"/>
          <w:lang w:val="hu-HU"/>
        </w:rPr>
      </w:pPr>
    </w:p>
    <w:p w:rsidR="00224F0F" w:rsidRDefault="00485CCD">
      <w:pPr>
        <w:pStyle w:val="Default"/>
        <w:rPr>
          <w:sz w:val="22"/>
          <w:szCs w:val="22"/>
        </w:rPr>
      </w:pPr>
      <w:r>
        <w:rPr>
          <w:sz w:val="22"/>
          <w:szCs w:val="22"/>
          <w:u w:val="single"/>
        </w:rPr>
        <w:t>Kiválasztott mellékhatások leírása</w:t>
      </w:r>
    </w:p>
    <w:p w:rsidR="00224F0F" w:rsidRDefault="00485CCD">
      <w:pPr>
        <w:pStyle w:val="Default"/>
        <w:rPr>
          <w:sz w:val="22"/>
          <w:szCs w:val="22"/>
        </w:rPr>
      </w:pPr>
      <w:r>
        <w:rPr>
          <w:sz w:val="22"/>
          <w:szCs w:val="22"/>
        </w:rPr>
        <w:t>Farmakológiai hatásmechanizmusa miatt a rivaroxabán alkalmazása kapcsolatba hozható bármely szövetből vagy szervből származó okkult vagy nyilvánvaló vérzés kockázatának növekedésével, ami posthaemorrhagiás anaemiához vezethet. A panaszok, a tünetek és a súlyosság (beleértve a halálos kimenetelt is) ilyenkor a vérzés és/vagy anaemia helyének és fokának, illetve kiterjedésének megfelelően változnak (lásd 4.9 pont, „A vérzés kezelése”). A klinikai vizsgálatok alatt gyakrabban észleltek nyálkahártyavérzést (epistaxis, fogíny, gastrointestinalis, urogenitalis, beleértve a kóros hüvelyi vérzést vagy fokozott menstruációs vérzést) és anaemiát a hosszú távú rivaroxabán-kezelés során, mint a KVA kezelés mellett. Így a megfelelő klinikai megfigyelésen felül a haemoglobin/haematokrit-érték laboratóriumi vizsgálata értékes lehet az okkult vérzés detektálásában és a nyilvánvaló vérzés klinikai jelentőségének számszerű meghatározásában, amennyiben szükségesnek ítélik. A vérzések kockázata bizonyos betegcsoportokban megnövekedhet, pl. a nem beállított, súlyos artériás hypertoniában szenvedő és/vagy egyidejűleg a hemosztázist befolyásoló gyógyszerekkel kezelt betegek esetén (lásd „Vérzés kockázata”, 4.4 pont). A menstruációs vérzés erősödhet és/vagy elhúzódhat.</w:t>
      </w:r>
    </w:p>
    <w:p w:rsidR="00224F0F" w:rsidRDefault="00485CCD">
      <w:pPr>
        <w:pStyle w:val="Default"/>
        <w:rPr>
          <w:sz w:val="22"/>
          <w:szCs w:val="22"/>
        </w:rPr>
      </w:pPr>
      <w:r>
        <w:rPr>
          <w:sz w:val="22"/>
          <w:szCs w:val="22"/>
        </w:rPr>
        <w:t>A vérzéses szövődmények gyengeség, sápadtság, szédülés, fejfájás vagy megmagyarázhatatlan duzzanat dyspnoe és megmagyarázhatatlan sokk formájában jelentkeznek. Bizonyos esetekben, az anaemia következtében cardialis ischaemiára jellemző mellkasi fájdalom vagy angina pectoris tüneteit figyelték meg.</w:t>
      </w:r>
    </w:p>
    <w:p w:rsidR="00224F0F" w:rsidRDefault="00485CCD">
      <w:pPr>
        <w:spacing w:line="240" w:lineRule="auto"/>
        <w:rPr>
          <w:color w:val="000000"/>
          <w:lang w:val="hu-HU"/>
        </w:rPr>
      </w:pPr>
      <w:r>
        <w:rPr>
          <w:color w:val="000000"/>
          <w:lang w:val="hu-HU"/>
        </w:rPr>
        <w:t xml:space="preserve">A súlyos vérzés ismert másodlagos szövődményeit, mint kompartment szindrómát vagy a hipoperfúzió következtében fellépő veseelégtelenséget </w:t>
      </w:r>
      <w:r>
        <w:rPr>
          <w:lang w:val="hu-HU"/>
        </w:rPr>
        <w:t xml:space="preserve">vagy az antikoagulánsokkal összefüggő nephropathiát </w:t>
      </w:r>
      <w:r>
        <w:rPr>
          <w:color w:val="000000"/>
          <w:lang w:val="hu-HU"/>
        </w:rPr>
        <w:t>jelentettek a rivaroxabánnal kapcsolatban. Ezért a vérzés lehetőségét minden antikoagulált beteg állapotának értékelésekor figyelembe kell venni.</w:t>
      </w:r>
    </w:p>
    <w:p w:rsidR="00224F0F" w:rsidRDefault="00224F0F">
      <w:pPr>
        <w:spacing w:line="240" w:lineRule="auto"/>
        <w:rPr>
          <w:color w:val="000000"/>
          <w:lang w:val="hu-HU"/>
        </w:rPr>
      </w:pPr>
    </w:p>
    <w:p w:rsidR="00224F0F" w:rsidRDefault="00485CCD">
      <w:pPr>
        <w:spacing w:line="240" w:lineRule="auto"/>
        <w:rPr>
          <w:color w:val="000000"/>
          <w:u w:val="single"/>
          <w:lang w:val="hu-HU"/>
        </w:rPr>
      </w:pPr>
      <w:r>
        <w:rPr>
          <w:color w:val="000000"/>
          <w:u w:val="single"/>
          <w:lang w:val="hu-HU"/>
        </w:rPr>
        <w:t>Gyermekek és serdülők</w:t>
      </w:r>
    </w:p>
    <w:p w:rsidR="00224F0F" w:rsidRDefault="00485CCD">
      <w:pPr>
        <w:spacing w:line="240" w:lineRule="auto"/>
        <w:rPr>
          <w:i/>
          <w:iCs/>
          <w:color w:val="000000"/>
          <w:lang w:val="hu-HU"/>
        </w:rPr>
      </w:pPr>
      <w:r>
        <w:rPr>
          <w:i/>
          <w:iCs/>
          <w:color w:val="000000"/>
          <w:lang w:val="hu-HU"/>
        </w:rPr>
        <w:t>A vénás thromboembolia (VTE) kezelése, valamint a VTE megelőzése</w:t>
      </w:r>
    </w:p>
    <w:p w:rsidR="00224F0F" w:rsidRDefault="00485CCD">
      <w:pPr>
        <w:spacing w:line="240" w:lineRule="auto"/>
        <w:rPr>
          <w:color w:val="000000"/>
          <w:lang w:val="hu-HU"/>
        </w:rPr>
      </w:pPr>
      <w:r>
        <w:rPr>
          <w:color w:val="000000"/>
          <w:lang w:val="hu-HU"/>
        </w:rPr>
        <w:t>A gyógyszerbiztonságosság értékelése gyermekeknél és serdülőknél két II. fázisú és egy III. fázisú, nyílt elrendezésű, aktív kontrollos, újszülöttől 18 éves kor alatti gyermekgyógyászati betegeken végzett vizsgálat biztonságossági adatain alapszik. A biztonságossági eredmények általában hasonlóak voltak a rivaroxabán és az összehasonlító készítmény esetében a különböző gyermekgyógyászati korcsoportokban. Összességében a rivaroxabánnal kezelt 412 gyermek és serdülő esetében a gyógyszerbiztonságossági profil hasonló volt a felnőtt populációban megfigyelthez és konzisztens volt a különböző életkorú alcsoportokban, mindazonáltal az értékelést korlátozza a betegek csekély száma.</w:t>
      </w:r>
    </w:p>
    <w:p w:rsidR="00224F0F" w:rsidRDefault="00485CCD">
      <w:pPr>
        <w:spacing w:line="240" w:lineRule="auto"/>
        <w:rPr>
          <w:color w:val="000000"/>
          <w:lang w:val="hu-HU"/>
        </w:rPr>
      </w:pPr>
      <w:r>
        <w:rPr>
          <w:color w:val="000000"/>
          <w:lang w:val="hu-HU"/>
        </w:rPr>
        <w:lastRenderedPageBreak/>
        <w:t>Gyermek- és serdülőkorú betegeknél a fejfájást (nagyon gyakori, 16,7%), a lázat (nagyon gyakori, 11,7%), az orrvérzést (nagyon gyakori, 11,2%), a hányást (nagyon gyakori, 10,7%), a tachycardiát (gyakori, 1,5%), a bilirubinszint emelkedését (gyakori, 1,5%) és a konjugált bilirubin szintjének emelkedését (nem gyakori, 0,7%) nagyobb gyakorisággal jelentették, mint a felnőtteknél. A felnőtt populációval konzisztensen a már menstruáló serdülő lányok 6,6%-ánál (gyakori) figyeltek meg menorrhagiát. A felnőtt populációban a forgalomba hozatalt követően megfigyelt thrombocytopenia a gyermekgyógyászati klinikai vizsgálatokban gyakori volt (4,6%). A gyógyszermellékhatások a gyermekgyógyászati betegeknél elsősorban enyhe–közepes súlyosságúak voltak.</w:t>
      </w:r>
    </w:p>
    <w:p w:rsidR="00224F0F" w:rsidRDefault="00224F0F">
      <w:pPr>
        <w:spacing w:line="240" w:lineRule="auto"/>
        <w:rPr>
          <w:b/>
          <w:bCs/>
          <w:color w:val="000000"/>
          <w:lang w:val="hu-HU"/>
        </w:rPr>
      </w:pPr>
    </w:p>
    <w:p w:rsidR="00224F0F" w:rsidRDefault="00485CCD">
      <w:pPr>
        <w:spacing w:line="240" w:lineRule="auto"/>
        <w:rPr>
          <w:color w:val="000000"/>
          <w:u w:val="single"/>
          <w:lang w:val="hu-HU"/>
        </w:rPr>
      </w:pPr>
      <w:r>
        <w:rPr>
          <w:color w:val="000000"/>
          <w:u w:val="single"/>
          <w:lang w:val="hu-HU"/>
        </w:rPr>
        <w:t>Feltételezett mellékhatások bejelentése</w:t>
      </w:r>
    </w:p>
    <w:p w:rsidR="00224F0F" w:rsidRDefault="00485CCD">
      <w:pPr>
        <w:spacing w:line="240" w:lineRule="auto"/>
        <w:rPr>
          <w:color w:val="000000"/>
          <w:lang w:val="hu-HU"/>
        </w:rPr>
      </w:pPr>
      <w:r>
        <w:rPr>
          <w:color w:val="000000"/>
          <w:lang w:val="hu-HU"/>
        </w:rPr>
        <w:t xml:space="preserve">A gyógyszer engedélyezését követően lényeges a feltételezett mellékhatások bejelentése, mert ez fontos eszköze annak, hogy a gyógyszer előny/kockázat profilját folyamatosan figyelemmel lehessen kísérni. </w:t>
      </w:r>
    </w:p>
    <w:p w:rsidR="00224F0F" w:rsidRDefault="00485CCD">
      <w:pPr>
        <w:spacing w:line="240" w:lineRule="auto"/>
        <w:rPr>
          <w:color w:val="000000"/>
          <w:lang w:val="hu-HU"/>
        </w:rPr>
      </w:pPr>
      <w:r>
        <w:rPr>
          <w:color w:val="000000"/>
          <w:lang w:val="hu-HU"/>
        </w:rPr>
        <w:t xml:space="preserve">Az egészségügyi szakembereket kérjük, hogy jelentsék be a feltételezett mellékhatásokat a hatóság részére az </w:t>
      </w:r>
      <w:hyperlink r:id="rId8" w:history="1">
        <w:r>
          <w:rPr>
            <w:rStyle w:val="Hiperhivatkozs"/>
            <w:color w:val="2F5496"/>
            <w:highlight w:val="lightGray"/>
          </w:rPr>
          <w:t>V. függelékben</w:t>
        </w:r>
      </w:hyperlink>
      <w:r>
        <w:rPr>
          <w:color w:val="000000"/>
          <w:highlight w:val="lightGray"/>
          <w:lang w:val="hu-HU"/>
        </w:rPr>
        <w:t xml:space="preserve"> található elérhetőségek valamelyikén keresztül</w:t>
      </w:r>
      <w:r>
        <w:rPr>
          <w:color w:val="000000"/>
          <w:lang w:val="hu-HU"/>
        </w:rPr>
        <w:t>.</w:t>
      </w:r>
    </w:p>
    <w:p w:rsidR="00224F0F" w:rsidRDefault="00224F0F">
      <w:pPr>
        <w:spacing w:line="240" w:lineRule="auto"/>
        <w:rPr>
          <w:color w:val="000000"/>
          <w:lang w:val="hu-HU"/>
        </w:rPr>
      </w:pPr>
    </w:p>
    <w:p w:rsidR="00224F0F" w:rsidRDefault="00485CCD">
      <w:pPr>
        <w:spacing w:line="240" w:lineRule="auto"/>
        <w:ind w:left="567" w:hanging="567"/>
        <w:outlineLvl w:val="0"/>
        <w:rPr>
          <w:b/>
          <w:noProof/>
          <w:color w:val="000000"/>
          <w:lang w:val="hu-HU"/>
        </w:rPr>
      </w:pPr>
      <w:r>
        <w:rPr>
          <w:b/>
          <w:noProof/>
          <w:color w:val="000000"/>
          <w:lang w:val="hu-HU"/>
        </w:rPr>
        <w:t>4.9</w:t>
      </w:r>
      <w:r>
        <w:rPr>
          <w:b/>
          <w:noProof/>
          <w:color w:val="000000"/>
          <w:lang w:val="hu-HU"/>
        </w:rPr>
        <w:tab/>
        <w:t>Túladagolás</w:t>
      </w:r>
    </w:p>
    <w:p w:rsidR="00224F0F" w:rsidRDefault="00224F0F">
      <w:pPr>
        <w:spacing w:line="240" w:lineRule="auto"/>
        <w:ind w:left="567" w:hanging="567"/>
        <w:outlineLvl w:val="0"/>
        <w:rPr>
          <w:b/>
          <w:color w:val="000000"/>
          <w:lang w:val="hu-HU"/>
        </w:rPr>
      </w:pPr>
    </w:p>
    <w:p w:rsidR="00224F0F" w:rsidRDefault="00485CCD">
      <w:pPr>
        <w:pStyle w:val="Default"/>
        <w:rPr>
          <w:sz w:val="22"/>
          <w:szCs w:val="22"/>
        </w:rPr>
      </w:pPr>
      <w:r>
        <w:rPr>
          <w:noProof/>
          <w:sz w:val="22"/>
          <w:szCs w:val="22"/>
        </w:rPr>
        <w:t>Felnőtteknél</w:t>
      </w:r>
      <w:r>
        <w:rPr>
          <w:sz w:val="22"/>
          <w:szCs w:val="22"/>
        </w:rPr>
        <w:t xml:space="preserve"> ritka esetekben, legfeljebb 1960 mg-mal történő túladagolásról számoltak be. Túladagolás esetén a beteget gondos megfigyelés alatt kell tartani vérzéses szövődmény vagy más mellékhatás szempontjából (lásd „Vérzés kezelése” szakaszt). Gyermekeknél korlátozott mennyiségű adat áll rendelkezésre. A korlátozott felszívódás és a „plafonhatás” következtében 50 mg-os vagy afeletti szupraterápiás dózisban alkalmazott rivaroxabán esetében nem számítanak az átlagos plazmakoncentráció további növekedésére felnőtteknél, gyermekeknél azonban nem állnak rendelkezésre a terápiás dózist meghaladó adagokra vonatkozó adatok.</w:t>
      </w:r>
    </w:p>
    <w:p w:rsidR="00224F0F" w:rsidRDefault="00485CCD">
      <w:pPr>
        <w:tabs>
          <w:tab w:val="clear" w:pos="567"/>
          <w:tab w:val="left" w:pos="0"/>
        </w:tabs>
        <w:spacing w:line="240" w:lineRule="auto"/>
        <w:outlineLvl w:val="0"/>
        <w:rPr>
          <w:color w:val="000000"/>
          <w:lang w:val="hu-HU" w:eastAsia="hu-HU"/>
        </w:rPr>
      </w:pPr>
      <w:r>
        <w:rPr>
          <w:color w:val="000000"/>
          <w:lang w:val="hu-HU" w:eastAsia="hu-HU"/>
        </w:rPr>
        <w:t>Rendelkezésre áll egy specifikus hatás-visszafordító szer (andexanet alfa), amely a rivaroxabán farmakodinámiás hatását antagonizálja felnőtteknél, gyermekeknél viszont az alkalmazása nem megalapozott (lásd andexanet alfa gyógyszeralkalmazási előírás).</w:t>
      </w:r>
    </w:p>
    <w:p w:rsidR="00224F0F" w:rsidRDefault="00485CCD">
      <w:pPr>
        <w:tabs>
          <w:tab w:val="clear" w:pos="567"/>
          <w:tab w:val="left" w:pos="0"/>
        </w:tabs>
        <w:spacing w:line="240" w:lineRule="auto"/>
        <w:outlineLvl w:val="0"/>
        <w:rPr>
          <w:color w:val="000000"/>
          <w:u w:val="single"/>
          <w:lang w:val="hu-HU"/>
        </w:rPr>
      </w:pPr>
      <w:r>
        <w:rPr>
          <w:color w:val="000000"/>
          <w:lang w:val="hu-HU"/>
        </w:rPr>
        <w:t>A rivaroxabán túladagolása esetén aktív orvosi szén alkalmazása mérlegelhető a gyógyszer felszívódásának csökkentésére.</w:t>
      </w:r>
    </w:p>
    <w:p w:rsidR="00224F0F" w:rsidRDefault="00224F0F">
      <w:pPr>
        <w:spacing w:line="240" w:lineRule="auto"/>
        <w:ind w:left="567" w:hanging="567"/>
        <w:outlineLvl w:val="0"/>
        <w:rPr>
          <w:color w:val="000000"/>
          <w:u w:val="single"/>
          <w:lang w:val="hu-HU"/>
        </w:rPr>
      </w:pPr>
    </w:p>
    <w:p w:rsidR="00224F0F" w:rsidRDefault="00485CCD">
      <w:pPr>
        <w:pStyle w:val="Default"/>
        <w:rPr>
          <w:sz w:val="22"/>
          <w:szCs w:val="22"/>
        </w:rPr>
      </w:pPr>
      <w:r>
        <w:rPr>
          <w:sz w:val="22"/>
          <w:szCs w:val="22"/>
          <w:u w:val="single"/>
        </w:rPr>
        <w:t>Vérzés kezelése</w:t>
      </w:r>
    </w:p>
    <w:p w:rsidR="00224F0F" w:rsidRDefault="00485CCD">
      <w:pPr>
        <w:pStyle w:val="Default"/>
        <w:rPr>
          <w:sz w:val="22"/>
          <w:szCs w:val="22"/>
        </w:rPr>
      </w:pPr>
      <w:r>
        <w:rPr>
          <w:sz w:val="22"/>
          <w:szCs w:val="22"/>
        </w:rPr>
        <w:t>Amennyiben vérzéses szövődmény lép fel egy rivaroxabánnal kezelt betegnél, akkor a rivaroxabán következő alkalmazását szükség szerint el kell halasztani vagy a kezelést le kell állítani. A rivaroxabán felezési ideje körülbelül 5 és 13 óra között van felnőtteknél. Gyermekeknél a populációs farmakokinetikai (popPK) modellezési megközelítések használatával becsült felezési idő rövidebb (lásd 5.2 pont). A kezelést a vérzés súlyosságának és lokalizációjának függvényében, személyre szabottan kell végezni. Szükség esetén megfelelő tüneti kezelés alkalmazható, úgymint mechanikus kompresszió (pl. súlyos orrvérzés esetén), műtéti vérzéscsillapítás a megfelelő vérzéscsillapító eljárásokkal, folyadékpótlás és haemodinamikai támogatás, vérkészítmények (a kialakult anaemia vagy coagulopathia függvényében vörösvértest</w:t>
      </w:r>
      <w:r>
        <w:rPr>
          <w:sz w:val="22"/>
          <w:szCs w:val="22"/>
        </w:rPr>
        <w:noBreakHyphen/>
        <w:t>koncentrátum vagy friss fagyasztott plazma) vagy thrombocyta</w:t>
      </w:r>
      <w:r>
        <w:rPr>
          <w:sz w:val="22"/>
          <w:szCs w:val="22"/>
        </w:rPr>
        <w:noBreakHyphen/>
        <w:t>transzfúzió.</w:t>
      </w:r>
    </w:p>
    <w:p w:rsidR="00224F0F" w:rsidRDefault="00224F0F">
      <w:pPr>
        <w:pStyle w:val="Default"/>
        <w:rPr>
          <w:sz w:val="22"/>
          <w:szCs w:val="22"/>
        </w:rPr>
      </w:pPr>
    </w:p>
    <w:p w:rsidR="00224F0F" w:rsidRDefault="00485CCD">
      <w:pPr>
        <w:pStyle w:val="Default"/>
        <w:rPr>
          <w:sz w:val="22"/>
          <w:szCs w:val="22"/>
        </w:rPr>
      </w:pPr>
      <w:r>
        <w:rPr>
          <w:sz w:val="22"/>
          <w:szCs w:val="22"/>
        </w:rPr>
        <w:t xml:space="preserve">Ha a vérzés a fent említett intézkedésekkel sem állítható el, akkor megfontolandó vagy a specifikus, a Xa-faktor inhibitor hatását </w:t>
      </w:r>
      <w:r>
        <w:rPr>
          <w:color w:val="auto"/>
          <w:sz w:val="22"/>
          <w:szCs w:val="22"/>
        </w:rPr>
        <w:t>visszafordító szer</w:t>
      </w:r>
      <w:r>
        <w:rPr>
          <w:sz w:val="22"/>
          <w:szCs w:val="22"/>
        </w:rPr>
        <w:t xml:space="preserve"> (andexanet alfa) alkalmazása, amely antagonizálja a rivaroxabán farmakodinámiás hatását, vagy egy specifikus prokoaguláns szer, úgymint prothrombinkomplex</w:t>
      </w:r>
      <w:r>
        <w:rPr>
          <w:sz w:val="22"/>
          <w:szCs w:val="22"/>
        </w:rPr>
        <w:noBreakHyphen/>
        <w:t>koncentrátum (PCC), aktivált prothrombinkomplex-koncentrátum (APCC), vagy rekombináns VIIa-faktor (r</w:t>
      </w:r>
      <w:r>
        <w:rPr>
          <w:sz w:val="22"/>
          <w:szCs w:val="22"/>
        </w:rPr>
        <w:noBreakHyphen/>
        <w:t>FVIIa) alkalmazása. Azonban jelenleg nagyon korlátozott tapasztalat áll rendelkezésre ezen készítmények rivaroxabánnal kezelt felnőtt és gyermek betegeknél történő alkalmazásával kapcsolatban. Az ajánlás korlátozott számú nem klinikai adaton is alapul. A vérzéses állapot javulásától függően megfontolandó a rekombináns VIIa-faktor ismételt adása és a dózis beállítása. Súlyos vérzés esetén fontolóra kell venni egy véralvadási szakértővel történő konzultációt, amennyiben helyileg elérhető (lásd 5.1 pont).</w:t>
      </w:r>
    </w:p>
    <w:p w:rsidR="00224F0F" w:rsidRDefault="00224F0F">
      <w:pPr>
        <w:pStyle w:val="Default"/>
        <w:rPr>
          <w:sz w:val="22"/>
          <w:szCs w:val="22"/>
        </w:rPr>
      </w:pPr>
    </w:p>
    <w:p w:rsidR="00224F0F" w:rsidRDefault="00485CCD">
      <w:pPr>
        <w:pStyle w:val="Default"/>
        <w:rPr>
          <w:sz w:val="22"/>
          <w:szCs w:val="22"/>
          <w:u w:val="single"/>
        </w:rPr>
      </w:pPr>
      <w:r>
        <w:rPr>
          <w:sz w:val="22"/>
          <w:szCs w:val="22"/>
        </w:rPr>
        <w:lastRenderedPageBreak/>
        <w:t>A protamin</w:t>
      </w:r>
      <w:r>
        <w:rPr>
          <w:sz w:val="22"/>
          <w:szCs w:val="22"/>
        </w:rPr>
        <w:noBreakHyphen/>
        <w:t>szulfát és a K</w:t>
      </w:r>
      <w:r>
        <w:rPr>
          <w:sz w:val="22"/>
          <w:szCs w:val="22"/>
        </w:rPr>
        <w:noBreakHyphen/>
        <w:t>vitamin várhatóan nem befolyásolják a rivaroxabán antikoaguláns hatását. A rivaroxabánnal kezelt felnőtteknél korlátozott tapasztalatok állnak rendelkezésre a tranexámsavval és nincsenek tapasztalatok az aminokapronsavval és az aprotininnel kapcsolatban. Nincsenek tapasztalatok ezeknek a szereknek a rivaroxabánt kapó gyermekeknél történő alkalmazásáról. A rivaroxabánt kapó betegek esetében a szisztémás haemostaticum dezmopresszin alkalmazásának hasznossága tudományosan nem megalapozott, és ezzel kapcsolatban tapasztalatok sincsenek. A plazmafehérjékhez való nagyfokú kötődése miatt a rivaroxabán várhatóan nem dializálható.</w:t>
      </w:r>
    </w:p>
    <w:p w:rsidR="00224F0F" w:rsidRDefault="00224F0F">
      <w:pPr>
        <w:spacing w:line="240" w:lineRule="auto"/>
        <w:ind w:left="567" w:hanging="567"/>
        <w:outlineLvl w:val="0"/>
        <w:rPr>
          <w:color w:val="000000"/>
          <w:u w:val="single"/>
          <w:lang w:val="hu-HU"/>
        </w:rPr>
      </w:pPr>
    </w:p>
    <w:p w:rsidR="00224F0F" w:rsidRDefault="00224F0F">
      <w:pPr>
        <w:spacing w:line="240" w:lineRule="auto"/>
        <w:ind w:left="567" w:hanging="567"/>
        <w:outlineLvl w:val="0"/>
        <w:rPr>
          <w:b/>
          <w:color w:val="000000"/>
          <w:lang w:val="hu-HU"/>
        </w:rPr>
      </w:pPr>
    </w:p>
    <w:p w:rsidR="00224F0F" w:rsidRDefault="00485CCD">
      <w:pPr>
        <w:spacing w:line="240" w:lineRule="auto"/>
        <w:ind w:left="567" w:hanging="567"/>
        <w:outlineLvl w:val="0"/>
        <w:rPr>
          <w:b/>
          <w:noProof/>
          <w:color w:val="000000"/>
          <w:lang w:val="hu-HU"/>
        </w:rPr>
      </w:pPr>
      <w:r>
        <w:rPr>
          <w:b/>
          <w:noProof/>
          <w:color w:val="000000"/>
          <w:lang w:val="hu-HU"/>
        </w:rPr>
        <w:t>5.</w:t>
      </w:r>
      <w:r>
        <w:rPr>
          <w:b/>
          <w:noProof/>
          <w:color w:val="000000"/>
          <w:lang w:val="hu-HU"/>
        </w:rPr>
        <w:tab/>
        <w:t>FARMAKOLÓGIAI TULAJDONSÁGOK</w:t>
      </w:r>
    </w:p>
    <w:p w:rsidR="00224F0F" w:rsidRDefault="00224F0F">
      <w:pPr>
        <w:spacing w:line="240" w:lineRule="auto"/>
        <w:ind w:left="567" w:hanging="567"/>
        <w:outlineLvl w:val="0"/>
        <w:rPr>
          <w:b/>
          <w:noProof/>
          <w:color w:val="000000"/>
          <w:lang w:val="hu-HU"/>
        </w:rPr>
      </w:pPr>
    </w:p>
    <w:p w:rsidR="00224F0F" w:rsidRDefault="00485CCD">
      <w:pPr>
        <w:spacing w:line="240" w:lineRule="auto"/>
        <w:ind w:left="567" w:hanging="567"/>
        <w:outlineLvl w:val="0"/>
        <w:rPr>
          <w:b/>
          <w:noProof/>
          <w:color w:val="000000"/>
          <w:lang w:val="hu-HU"/>
        </w:rPr>
      </w:pPr>
      <w:r>
        <w:rPr>
          <w:b/>
          <w:noProof/>
          <w:color w:val="000000"/>
          <w:lang w:val="hu-HU"/>
        </w:rPr>
        <w:t>5.1</w:t>
      </w:r>
      <w:r>
        <w:rPr>
          <w:b/>
          <w:noProof/>
          <w:color w:val="000000"/>
          <w:lang w:val="hu-HU"/>
        </w:rPr>
        <w:tab/>
        <w:t>Farmakodinámiás tulajdonságok</w:t>
      </w:r>
    </w:p>
    <w:p w:rsidR="00224F0F" w:rsidRDefault="00224F0F">
      <w:pPr>
        <w:spacing w:line="240" w:lineRule="auto"/>
        <w:rPr>
          <w:noProof/>
          <w:color w:val="000000"/>
          <w:lang w:val="hu-HU"/>
        </w:rPr>
      </w:pPr>
    </w:p>
    <w:p w:rsidR="00224F0F" w:rsidRDefault="00485CCD">
      <w:pPr>
        <w:pStyle w:val="Default"/>
        <w:rPr>
          <w:sz w:val="22"/>
          <w:szCs w:val="22"/>
        </w:rPr>
      </w:pPr>
      <w:r>
        <w:rPr>
          <w:sz w:val="22"/>
          <w:szCs w:val="22"/>
        </w:rPr>
        <w:t>Farmakoterápiás csoport: Antithrombotikus gyógyszerek, Xa faktor direkt inhibitorai, ATC kód: B01AF01</w:t>
      </w:r>
    </w:p>
    <w:p w:rsidR="00224F0F" w:rsidRDefault="00224F0F">
      <w:pPr>
        <w:pStyle w:val="Default"/>
        <w:rPr>
          <w:sz w:val="22"/>
          <w:szCs w:val="22"/>
        </w:rPr>
      </w:pPr>
    </w:p>
    <w:p w:rsidR="00224F0F" w:rsidRDefault="00485CCD">
      <w:pPr>
        <w:pStyle w:val="Default"/>
        <w:rPr>
          <w:sz w:val="22"/>
          <w:szCs w:val="22"/>
        </w:rPr>
      </w:pPr>
      <w:r>
        <w:rPr>
          <w:sz w:val="22"/>
          <w:szCs w:val="22"/>
          <w:u w:val="single"/>
        </w:rPr>
        <w:t>Hatásmechanizmus</w:t>
      </w:r>
    </w:p>
    <w:p w:rsidR="00224F0F" w:rsidRDefault="00485CCD">
      <w:pPr>
        <w:pStyle w:val="Default"/>
        <w:rPr>
          <w:sz w:val="22"/>
          <w:szCs w:val="22"/>
        </w:rPr>
      </w:pPr>
      <w:r>
        <w:rPr>
          <w:sz w:val="22"/>
          <w:szCs w:val="22"/>
        </w:rPr>
        <w:t>A rivaroxabán a Xa faktor nagy szelektivitású közvetlen inhibitora, ami orális biohasznosulást mutat.</w:t>
      </w:r>
    </w:p>
    <w:p w:rsidR="00224F0F" w:rsidRDefault="00485CCD">
      <w:pPr>
        <w:pStyle w:val="Default"/>
        <w:rPr>
          <w:sz w:val="22"/>
          <w:szCs w:val="22"/>
        </w:rPr>
      </w:pPr>
      <w:r>
        <w:rPr>
          <w:sz w:val="22"/>
          <w:szCs w:val="22"/>
        </w:rPr>
        <w:t>A Xa faktor gátlása megszakítja az intrinsic és extrinsic véralvadási kaszkád útvonalakat, gátolva mind a trombinképződést, mind a vérrögök kialakulását. A rivaroxabán nem gátolja a trombint (aktivált II. faktor) és nem mutattak ki hatást a vérlemezkékre.</w:t>
      </w:r>
    </w:p>
    <w:p w:rsidR="00224F0F" w:rsidRDefault="00224F0F">
      <w:pPr>
        <w:pStyle w:val="Default"/>
        <w:rPr>
          <w:sz w:val="22"/>
          <w:szCs w:val="22"/>
        </w:rPr>
      </w:pPr>
    </w:p>
    <w:p w:rsidR="00224F0F" w:rsidRDefault="00485CCD">
      <w:pPr>
        <w:pStyle w:val="Default"/>
        <w:rPr>
          <w:sz w:val="22"/>
          <w:szCs w:val="22"/>
        </w:rPr>
      </w:pPr>
      <w:r>
        <w:rPr>
          <w:sz w:val="22"/>
          <w:szCs w:val="22"/>
          <w:u w:val="single"/>
        </w:rPr>
        <w:t>Farmakodinámiás hatások</w:t>
      </w:r>
    </w:p>
    <w:p w:rsidR="00224F0F" w:rsidRDefault="00485CCD">
      <w:pPr>
        <w:pStyle w:val="Default"/>
        <w:rPr>
          <w:sz w:val="22"/>
          <w:szCs w:val="22"/>
        </w:rPr>
      </w:pPr>
      <w:r>
        <w:rPr>
          <w:sz w:val="22"/>
          <w:szCs w:val="22"/>
        </w:rPr>
        <w:t>Embernél a Xa faktor dózisfüggő gátlását figyelték meg. A rivaroxabán - szoros összefüggésben a plazmakoncentrációkkal (az r érték 0,98-dal egyenlő) – dózisfüggő módon befolyásolja a protrombin időt (PI), ha Neoplastint használnak a vizsgálathoz. Más reagensek ettől eltérő eredményt adhatnak. A PI eredményét másodpercekben kell megadni, mivel a nemzetközi normalizált arány (International Normalized Ratio – INR) csak a kumarin származékokra van kalibrálva és validálva, és nem alkalmazható egyéb antikoagulánsokra.</w:t>
      </w:r>
    </w:p>
    <w:p w:rsidR="00224F0F" w:rsidRDefault="00485CCD">
      <w:pPr>
        <w:pStyle w:val="Default"/>
        <w:rPr>
          <w:sz w:val="22"/>
          <w:szCs w:val="22"/>
        </w:rPr>
      </w:pPr>
      <w:r>
        <w:rPr>
          <w:sz w:val="22"/>
          <w:szCs w:val="22"/>
        </w:rPr>
        <w:t>A MVT és PE kezelésére és az ismétlődés megelőzésére rivaroxabánt szedő betegek esetén a PI (Neoplastin) 5/95 percentilis értéke 2-4 órával a tabletta bevétele után (azaz a maximális hatás időpontjában) naponta kétszer alkalmazott 15 mg rivaroxabán esetén 17 és 32 másodperc között változott, míg a naponta egyszer alkalmazott 20 mg rivaroxabán esetén 15 és 30 másodperc között változott. A minimális szintnél (8-16 órával a tabletta bevétele után) az 5/95 percentilis értéke naponta kétszer alkalmazott 15 mg rivaroxabán esetén 14 és 24 mp között változott, míg a naponta egyszer alkalmazott 20 mg rivaroxabán esetén (18-30 órával a tabletta bevétele után) 13 és 20 másodperc között változott.</w:t>
      </w:r>
    </w:p>
    <w:p w:rsidR="00224F0F" w:rsidRDefault="00224F0F">
      <w:pPr>
        <w:pStyle w:val="Default"/>
        <w:rPr>
          <w:sz w:val="22"/>
          <w:szCs w:val="22"/>
        </w:rPr>
      </w:pPr>
    </w:p>
    <w:p w:rsidR="00224F0F" w:rsidRDefault="00485CCD">
      <w:pPr>
        <w:pStyle w:val="Default"/>
        <w:rPr>
          <w:sz w:val="22"/>
          <w:szCs w:val="22"/>
        </w:rPr>
      </w:pPr>
      <w:r>
        <w:rPr>
          <w:sz w:val="22"/>
          <w:szCs w:val="22"/>
        </w:rPr>
        <w:t>A nem valvularis eredetű pitvarfibrillációban szenvedő, a stroke és systemás embolisatio megelőzésére rivaroxabánnal kezelt betegek esetében a PI (Neoplastin) 5/95 percentilis értéke 1-4 órával a tabletta bevétele után (azaz a maximális hatás idején) a naponta egyszer 20 mg-mal kezelt betegeknél 14 és 40 másodperc között változott, míg a közepes fokú vesekárosodásban szenvedő, naponta egyszer 15 mg-mal kezelt betegek esetében 10 és 50 másodperc között változott. A minimális szintnél (16</w:t>
      </w:r>
      <w:r w:rsidR="00332B5A">
        <w:rPr>
          <w:sz w:val="22"/>
          <w:szCs w:val="22"/>
        </w:rPr>
        <w:noBreakHyphen/>
      </w:r>
      <w:r>
        <w:rPr>
          <w:sz w:val="22"/>
          <w:szCs w:val="22"/>
        </w:rPr>
        <w:t>36 órával a tabletta bevétele után) az 5/95 percentilis értéke a naponta egyszer alkalmazott 20 mg rivaroxabán esetén 12 és 26 másodperc között változott, míg a közepesen súlyos vesekárosodásban szenvedő, naponta egyszer 15 mg-mal kezelt betegek esetében 12 és 26 másodperc között változott.</w:t>
      </w:r>
    </w:p>
    <w:p w:rsidR="00224F0F" w:rsidRDefault="00224F0F">
      <w:pPr>
        <w:pStyle w:val="Default"/>
        <w:rPr>
          <w:sz w:val="22"/>
          <w:szCs w:val="22"/>
        </w:rPr>
      </w:pPr>
    </w:p>
    <w:p w:rsidR="00224F0F" w:rsidRDefault="00485CCD">
      <w:pPr>
        <w:spacing w:line="240" w:lineRule="auto"/>
      </w:pPr>
      <w:r>
        <w:rPr>
          <w:color w:val="000000"/>
          <w:lang w:val="hu-HU" w:eastAsia="hu-HU"/>
        </w:rPr>
        <w:t>Egy egészséges felnőttekkel (n = 22) végzett klinikai farmakológiai vizsgálat során</w:t>
      </w:r>
      <w:bookmarkStart w:id="1" w:name="_Hlk161822140"/>
      <w:r>
        <w:rPr>
          <w:color w:val="000000"/>
          <w:lang w:val="hu-HU" w:eastAsia="hu-HU"/>
        </w:rPr>
        <w:t xml:space="preserve">, </w:t>
      </w:r>
      <w:bookmarkStart w:id="2" w:name="_Hlk161822456"/>
      <w:r>
        <w:rPr>
          <w:color w:val="000000"/>
          <w:lang w:val="hu-HU" w:eastAsia="hu-HU"/>
        </w:rPr>
        <w:t>melyben a rivaroxabán farmakodinámiás hatásának reverzibilitását vizsgálták, két különböző típusú protrombinkomplex-koncentrátum (PCC), egy 3 faktoros PCC (II, IX és X faktorok) és egy 4 faktoros PCC (II, VII, IX és X faktorok) egyszeri adagjainak (50 NE/ttkg) hatását értékelték. A 3 faktoros PCC a Neoplastin reagenssel meghatározott átlag PI-t 30 percen belül körülbelül 1,0 másodperccel csökkentette, míg a 4 faktoros PCC körülbelül 3,5 másodperccel. A 3 faktoros PCC ugyanakkor nagyobb és gyorsabb általános hatást fejtett ki az endogén trombinképződésben kialakult változások visszafordítására, mint a 4 faktoros PCC (lásd 4.9 pont).</w:t>
      </w:r>
      <w:bookmarkEnd w:id="1"/>
      <w:bookmarkEnd w:id="2"/>
    </w:p>
    <w:p w:rsidR="00224F0F" w:rsidRDefault="00485CCD">
      <w:pPr>
        <w:rPr>
          <w:color w:val="000000"/>
          <w:lang w:val="hu-HU"/>
        </w:rPr>
      </w:pPr>
      <w:r>
        <w:rPr>
          <w:color w:val="000000"/>
          <w:lang w:val="hu-HU"/>
        </w:rPr>
        <w:lastRenderedPageBreak/>
        <w:t>Az aktivált parciális thromboplasztin idő (aPTI) és a HepTest megnyúlása szintén dózisfüggő; ezek azonban nem javasoltak a rivaroxabán farmakodinámiás hatásának értékelésére. A rivaroxabán-kezelés során nem szükséges a véralvadási paraméterek monitorozása a klinikai gyakorlatban. Ugyanakkor, amennyiben klinikailag szükséges, a rivaroxabán-szinteket kalibrált kvantitatív anti-Xa faktor tesztekkel lehet mérni (lásd 5.2 pont).</w:t>
      </w:r>
    </w:p>
    <w:p w:rsidR="00224F0F" w:rsidRDefault="00224F0F">
      <w:pPr>
        <w:spacing w:line="240" w:lineRule="auto"/>
        <w:rPr>
          <w:color w:val="000000"/>
          <w:lang w:val="hu-HU"/>
        </w:rPr>
      </w:pPr>
    </w:p>
    <w:p w:rsidR="00224F0F" w:rsidRDefault="00485CCD">
      <w:pPr>
        <w:spacing w:line="240" w:lineRule="auto"/>
        <w:rPr>
          <w:color w:val="000000"/>
          <w:u w:val="single"/>
          <w:lang w:val="hu-HU"/>
        </w:rPr>
      </w:pPr>
      <w:r>
        <w:rPr>
          <w:color w:val="000000"/>
          <w:u w:val="single"/>
          <w:lang w:val="hu-HU"/>
        </w:rPr>
        <w:t>Gyermekek és serdülők</w:t>
      </w:r>
    </w:p>
    <w:p w:rsidR="00224F0F" w:rsidRDefault="00485CCD">
      <w:pPr>
        <w:spacing w:line="240" w:lineRule="auto"/>
        <w:rPr>
          <w:color w:val="000000"/>
          <w:lang w:val="hu-HU"/>
        </w:rPr>
      </w:pPr>
      <w:r>
        <w:rPr>
          <w:color w:val="000000"/>
          <w:lang w:val="hu-HU"/>
        </w:rPr>
        <w:t>A PI (Neoplastin reagens), az aPTI és az anti-Xa vizsgálata (kalibrált kvantitatív teszttel) szoros összefüggést mutat a plazmakoncentrációval gyermekeknél. Az anti-Xa és a plazmakoncentráció összefüggése lineáris, a görbe meredeksége közel 1. Előfordulhatnak a megfelelő plazmakoncentrációhoz képest magasabb vagy alacsonyabb anti-Xa-értékekkel járó egyedi eltérések. Nem szükséges a véralvadási paraméterek rutinszerű monitorozása a rivaroxabánnal végzett klinikai kezelés során. Klinikailag javallott esetben azonban a rivaroxabán koncentrációja megmérhető kalibrált, kvantitatív anti-Xa-faktor tesztekkel, µg/liter értékben kifejezve (az 5.2 pontban található 13. táblázat mutatja be a rivaroxabán gyermekeknél megfigyelt plazmakoncentrációit). A meghatározás alsó határértékét kell figyelembe venni, amikor anti-Xa teszttel végzik el a rivaroxabán plazmakoncentrációjának mennyiségi meghatározását gyermekeknél. Nem állapítottak meg hatásossági vagy biztonságossági eseményekre vonatkozó küszöbértéket.</w:t>
      </w:r>
    </w:p>
    <w:p w:rsidR="00224F0F" w:rsidRDefault="00224F0F">
      <w:pPr>
        <w:spacing w:line="240" w:lineRule="auto"/>
        <w:rPr>
          <w:color w:val="000000"/>
          <w:lang w:val="hu-HU"/>
        </w:rPr>
      </w:pPr>
    </w:p>
    <w:p w:rsidR="00224F0F" w:rsidRDefault="00485CCD">
      <w:pPr>
        <w:pStyle w:val="Default"/>
        <w:rPr>
          <w:sz w:val="22"/>
          <w:szCs w:val="22"/>
        </w:rPr>
      </w:pPr>
      <w:r>
        <w:rPr>
          <w:sz w:val="22"/>
          <w:szCs w:val="22"/>
          <w:u w:val="single"/>
        </w:rPr>
        <w:t>Klinikai hatásosság és biztonságosság</w:t>
      </w:r>
    </w:p>
    <w:p w:rsidR="00224F0F" w:rsidRDefault="00485CCD">
      <w:pPr>
        <w:pStyle w:val="Default"/>
        <w:rPr>
          <w:sz w:val="22"/>
          <w:szCs w:val="22"/>
        </w:rPr>
      </w:pPr>
      <w:r>
        <w:rPr>
          <w:i/>
          <w:iCs/>
          <w:sz w:val="22"/>
          <w:szCs w:val="22"/>
        </w:rPr>
        <w:t>A stroke és a systemás embolisatio megelőzése nem valvularis eredetű pitvarfibrillációban szenvedő betegeknél</w:t>
      </w:r>
    </w:p>
    <w:p w:rsidR="00224F0F" w:rsidRDefault="00485CCD">
      <w:pPr>
        <w:pStyle w:val="Default"/>
        <w:rPr>
          <w:sz w:val="22"/>
          <w:szCs w:val="22"/>
        </w:rPr>
      </w:pPr>
      <w:r>
        <w:rPr>
          <w:sz w:val="22"/>
          <w:szCs w:val="22"/>
        </w:rPr>
        <w:t>A rivaroxabán klinikai programját arra tervezték, hogy a nem valvularis eredetű pitvarfibrillációban szenvedő betegeknél kimutassa a rivaroxabánnak a stroke és a systemás embolisatio megelőzésében mutatott hatásosságát.</w:t>
      </w:r>
    </w:p>
    <w:p w:rsidR="00224F0F" w:rsidRDefault="00485CCD">
      <w:pPr>
        <w:pStyle w:val="Default"/>
        <w:rPr>
          <w:sz w:val="22"/>
          <w:szCs w:val="22"/>
        </w:rPr>
      </w:pPr>
      <w:r>
        <w:rPr>
          <w:sz w:val="22"/>
          <w:szCs w:val="22"/>
        </w:rPr>
        <w:t>A pivotális, kettős vak ROCKET AF-vizsgálatban 14 264 beteget soroltak be a naponta egyszer 20 mg rivaroxabánt (naponta egyszer 15 mg, ha a kreatinin-cleareance 30–49 ml/perc) kapó vagy 2,5-es INR célértékre (terápiás tartomány 2,0-3,0) titrált warfarin-terápiát kapó csoportba. A kezelési idő középértéke 19 hónap volt, míg az összesített kezelési időtartam legfeljebb 41 hónap volt.</w:t>
      </w:r>
    </w:p>
    <w:p w:rsidR="00224F0F" w:rsidRDefault="00485CCD">
      <w:pPr>
        <w:pStyle w:val="Default"/>
        <w:rPr>
          <w:sz w:val="22"/>
          <w:szCs w:val="22"/>
        </w:rPr>
      </w:pPr>
      <w:r>
        <w:rPr>
          <w:sz w:val="22"/>
          <w:szCs w:val="22"/>
        </w:rPr>
        <w:t>A betegek 34,9%-át kezelték acetilszalicilsavval, míg 11,4%-át III. osztályú antiaritmiás szerrel, beleértve az amiodaront is.</w:t>
      </w:r>
    </w:p>
    <w:p w:rsidR="00224F0F" w:rsidRDefault="00224F0F">
      <w:pPr>
        <w:pStyle w:val="Default"/>
        <w:rPr>
          <w:sz w:val="22"/>
          <w:szCs w:val="22"/>
        </w:rPr>
      </w:pPr>
    </w:p>
    <w:p w:rsidR="00224F0F" w:rsidRDefault="00485CCD">
      <w:pPr>
        <w:spacing w:line="240" w:lineRule="auto"/>
      </w:pPr>
      <w:r>
        <w:rPr>
          <w:color w:val="000000"/>
          <w:lang w:val="hu-HU"/>
        </w:rPr>
        <w:t xml:space="preserve">A rivaroxabán non-inferior volt a warfarinhoz képest a stroke és a nem központi idegrendszeri systemás embolisatio által alkotott elsődleges kompozit végpont tekintetében. A protokoll szerint kezelt populációban stroke vagy systemás embolisatio 188 rivaroxabánnal kezelt betegnél (1,71% évente) és 241 warfarinnal kezelt betegnél (2,16% évente) alakult ki (relatív hazárd 0,79; </w:t>
      </w:r>
      <w:r w:rsidR="00332B5A">
        <w:rPr>
          <w:color w:val="000000"/>
          <w:lang w:val="hu-HU"/>
        </w:rPr>
        <w:t>95%-os</w:t>
      </w:r>
      <w:r>
        <w:rPr>
          <w:color w:val="000000"/>
          <w:lang w:val="hu-HU"/>
        </w:rPr>
        <w:t xml:space="preserve"> CI</w:t>
      </w:r>
      <w:r w:rsidR="002C6FA3">
        <w:rPr>
          <w:color w:val="000000"/>
          <w:lang w:val="hu-HU"/>
        </w:rPr>
        <w:t>:</w:t>
      </w:r>
      <w:r>
        <w:rPr>
          <w:color w:val="000000"/>
          <w:lang w:val="hu-HU"/>
        </w:rPr>
        <w:t xml:space="preserve"> 0,66–0,96; non-inferioritási P &lt; 0,001). A kezelési szándék szerint (intention to treat, ITT) elemzett összes randomizált beteg között az elsődleges végpont 269 rivaroxabánnal kezelt betegnél (2,12% évente) és 306 warfarinnal kezelt betegnél (2,42% évente) fordultak elő (relatív hazárd 0,88; </w:t>
      </w:r>
      <w:r w:rsidR="00332B5A">
        <w:rPr>
          <w:color w:val="000000"/>
          <w:lang w:val="hu-HU"/>
        </w:rPr>
        <w:t>95%-os</w:t>
      </w:r>
      <w:r>
        <w:rPr>
          <w:color w:val="000000"/>
          <w:lang w:val="hu-HU"/>
        </w:rPr>
        <w:t xml:space="preserve"> CI</w:t>
      </w:r>
      <w:r w:rsidR="002C6FA3">
        <w:rPr>
          <w:color w:val="000000"/>
          <w:lang w:val="hu-HU"/>
        </w:rPr>
        <w:t>:</w:t>
      </w:r>
      <w:r>
        <w:rPr>
          <w:color w:val="000000"/>
          <w:lang w:val="hu-HU"/>
        </w:rPr>
        <w:t xml:space="preserve"> 0,74–1,03; non-inferioritási P &lt; 0,001; szuperioritási P = 0,117). A másodlagos végpontok eredményei a kezelési szándék szerinti elemzés szerinti hierarchia sorrendjében a 4. táblázatban találhatók. </w:t>
      </w:r>
      <w:r>
        <w:t>A warfarin-csoportba tartozó betegek között az INR-értékek a terápiás tartományba estek (2,0-3,0) az idő átlagosan 55%-ában (medián 58%, kvartilisek közötti távolság 43-71). A rivaroxabán hatása nem különbözött a TTR szintjének átlagától (Time in Target INR Range, INR céltartományban töltött idő; 2,0-3,0) az egyforma méretű kvartilisekben (interakciós P = 0,74). Az átlagok szerinti legmagasabb kvartilisben a rivaroxabán relatív hazárdja a warfarinhoz képest 0,74 volt (</w:t>
      </w:r>
      <w:r w:rsidR="00332B5A">
        <w:t>95%-os</w:t>
      </w:r>
      <w:r>
        <w:t xml:space="preserve"> CI</w:t>
      </w:r>
      <w:r w:rsidR="002C6FA3">
        <w:t>:</w:t>
      </w:r>
      <w:r>
        <w:t xml:space="preserve"> 0,49-1,12).</w:t>
      </w:r>
    </w:p>
    <w:p w:rsidR="00224F0F" w:rsidRDefault="00485CCD">
      <w:pPr>
        <w:spacing w:line="240" w:lineRule="auto"/>
        <w:rPr>
          <w:color w:val="000000"/>
          <w:lang w:val="hu-HU"/>
        </w:rPr>
      </w:pPr>
      <w:r>
        <w:rPr>
          <w:color w:val="000000"/>
          <w:lang w:val="hu-HU"/>
        </w:rPr>
        <w:t>A fő biztonságossági végponttal (súlyos és nem súlyos, klinikailag jelentős vérzéses események) kapcsolatos előfordulási arányok mindkét kezelési csoportban hasonlóak voltak (lásd 5.</w:t>
      </w:r>
      <w:r>
        <w:t> </w:t>
      </w:r>
      <w:r>
        <w:rPr>
          <w:color w:val="000000"/>
          <w:lang w:val="hu-HU"/>
        </w:rPr>
        <w:t>táblázat).</w:t>
      </w:r>
    </w:p>
    <w:p w:rsidR="00224F0F" w:rsidRDefault="00224F0F">
      <w:pPr>
        <w:spacing w:line="240" w:lineRule="auto"/>
        <w:rPr>
          <w:color w:val="000000"/>
          <w:lang w:val="hu-HU"/>
        </w:rPr>
      </w:pPr>
    </w:p>
    <w:p w:rsidR="00224F0F" w:rsidRDefault="00485CCD" w:rsidP="00A54C3F">
      <w:pPr>
        <w:keepNext/>
        <w:tabs>
          <w:tab w:val="left" w:pos="1276"/>
        </w:tabs>
        <w:spacing w:line="240" w:lineRule="auto"/>
        <w:rPr>
          <w:b/>
          <w:bCs/>
          <w:color w:val="000000"/>
          <w:lang w:val="hu-HU"/>
        </w:rPr>
      </w:pPr>
      <w:r>
        <w:rPr>
          <w:b/>
          <w:bCs/>
          <w:color w:val="000000"/>
          <w:lang w:val="hu-HU"/>
        </w:rPr>
        <w:lastRenderedPageBreak/>
        <w:t>4. táblázat:</w:t>
      </w:r>
      <w:r w:rsidR="002C6FA3">
        <w:rPr>
          <w:b/>
          <w:bCs/>
          <w:color w:val="000000"/>
          <w:lang w:val="hu-HU"/>
        </w:rPr>
        <w:tab/>
      </w:r>
      <w:r>
        <w:rPr>
          <w:b/>
          <w:bCs/>
          <w:color w:val="000000"/>
          <w:lang w:val="hu-HU"/>
        </w:rPr>
        <w:t>A III. fázisú ROCKET AF vizsgálat hatásossági eredményei</w:t>
      </w:r>
    </w:p>
    <w:p w:rsidR="002C6FA3" w:rsidRDefault="002C6FA3" w:rsidP="00A54C3F">
      <w:pPr>
        <w:keepNext/>
        <w:tabs>
          <w:tab w:val="left" w:pos="1276"/>
        </w:tabs>
        <w:spacing w:line="240" w:lineRule="auto"/>
        <w:rPr>
          <w:color w:val="000000"/>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0"/>
        <w:gridCol w:w="2279"/>
        <w:gridCol w:w="2279"/>
        <w:gridCol w:w="2244"/>
      </w:tblGrid>
      <w:tr w:rsidR="00224F0F">
        <w:tc>
          <w:tcPr>
            <w:tcW w:w="2302" w:type="dxa"/>
            <w:shd w:val="clear" w:color="auto" w:fill="auto"/>
          </w:tcPr>
          <w:p w:rsidR="00224F0F" w:rsidRDefault="00485CCD" w:rsidP="00A54C3F">
            <w:pPr>
              <w:pStyle w:val="Default"/>
              <w:keepNext/>
              <w:rPr>
                <w:b/>
                <w:sz w:val="22"/>
                <w:szCs w:val="22"/>
              </w:rPr>
            </w:pPr>
            <w:r>
              <w:rPr>
                <w:b/>
                <w:sz w:val="22"/>
                <w:szCs w:val="22"/>
              </w:rPr>
              <w:t>Vizsgálati populáció</w:t>
            </w:r>
          </w:p>
        </w:tc>
        <w:tc>
          <w:tcPr>
            <w:tcW w:w="6909" w:type="dxa"/>
            <w:gridSpan w:val="3"/>
            <w:shd w:val="clear" w:color="auto" w:fill="auto"/>
          </w:tcPr>
          <w:p w:rsidR="00224F0F" w:rsidRDefault="00485CCD" w:rsidP="00A54C3F">
            <w:pPr>
              <w:pStyle w:val="Default"/>
              <w:keepNext/>
              <w:rPr>
                <w:b/>
                <w:sz w:val="22"/>
                <w:szCs w:val="22"/>
              </w:rPr>
            </w:pPr>
            <w:r>
              <w:rPr>
                <w:b/>
                <w:sz w:val="22"/>
                <w:szCs w:val="22"/>
              </w:rPr>
              <w:t xml:space="preserve">ITT szerinti hatásosság elemzés nem valvularis eredetű pitvarfibrillációban szenvedő betegeknél </w:t>
            </w:r>
          </w:p>
        </w:tc>
      </w:tr>
      <w:tr w:rsidR="00224F0F">
        <w:tc>
          <w:tcPr>
            <w:tcW w:w="2302" w:type="dxa"/>
            <w:shd w:val="clear" w:color="auto" w:fill="auto"/>
          </w:tcPr>
          <w:p w:rsidR="00224F0F" w:rsidRDefault="00485CCD">
            <w:pPr>
              <w:pStyle w:val="Default"/>
              <w:spacing w:before="60" w:after="60"/>
              <w:rPr>
                <w:b/>
                <w:sz w:val="22"/>
                <w:szCs w:val="22"/>
              </w:rPr>
            </w:pPr>
            <w:r>
              <w:rPr>
                <w:b/>
                <w:sz w:val="22"/>
                <w:szCs w:val="22"/>
              </w:rPr>
              <w:t>Terápiás dózis</w:t>
            </w:r>
          </w:p>
          <w:p w:rsidR="00224F0F" w:rsidRDefault="00224F0F">
            <w:pPr>
              <w:spacing w:line="240" w:lineRule="auto"/>
              <w:rPr>
                <w:b/>
                <w:color w:val="000000"/>
                <w:lang w:val="hu-HU"/>
              </w:rPr>
            </w:pPr>
          </w:p>
        </w:tc>
        <w:tc>
          <w:tcPr>
            <w:tcW w:w="2303" w:type="dxa"/>
            <w:shd w:val="clear" w:color="auto" w:fill="auto"/>
          </w:tcPr>
          <w:p w:rsidR="00224F0F" w:rsidRDefault="00485CCD">
            <w:pPr>
              <w:pStyle w:val="Default"/>
              <w:rPr>
                <w:b/>
                <w:sz w:val="22"/>
                <w:szCs w:val="22"/>
              </w:rPr>
            </w:pPr>
            <w:r>
              <w:rPr>
                <w:b/>
                <w:sz w:val="22"/>
                <w:szCs w:val="22"/>
              </w:rPr>
              <w:t>Rivaroxabán naponta egyszer 20 mg (naponta egyszer 15 mg közepes fokú vesekárosodásban szenvedő betegeknél)</w:t>
            </w:r>
          </w:p>
          <w:p w:rsidR="00224F0F" w:rsidRDefault="00224F0F">
            <w:pPr>
              <w:pStyle w:val="Default"/>
              <w:rPr>
                <w:b/>
                <w:sz w:val="22"/>
                <w:szCs w:val="22"/>
              </w:rPr>
            </w:pPr>
          </w:p>
          <w:p w:rsidR="00224F0F" w:rsidRDefault="00485CCD">
            <w:pPr>
              <w:spacing w:line="240" w:lineRule="auto"/>
              <w:rPr>
                <w:b/>
                <w:color w:val="000000"/>
                <w:lang w:val="hu-HU"/>
              </w:rPr>
            </w:pPr>
            <w:r>
              <w:rPr>
                <w:b/>
                <w:color w:val="000000"/>
              </w:rPr>
              <w:t xml:space="preserve">Eseményhányados (100 betegév) </w:t>
            </w:r>
          </w:p>
        </w:tc>
        <w:tc>
          <w:tcPr>
            <w:tcW w:w="2303" w:type="dxa"/>
            <w:shd w:val="clear" w:color="auto" w:fill="auto"/>
          </w:tcPr>
          <w:p w:rsidR="00224F0F" w:rsidRDefault="00485CCD">
            <w:pPr>
              <w:pStyle w:val="Default"/>
              <w:spacing w:before="120" w:after="120"/>
              <w:rPr>
                <w:b/>
                <w:sz w:val="22"/>
                <w:szCs w:val="22"/>
              </w:rPr>
            </w:pPr>
            <w:r>
              <w:rPr>
                <w:b/>
                <w:sz w:val="22"/>
                <w:szCs w:val="22"/>
              </w:rPr>
              <w:t>Warfarin 2,5-ös INR-értékre titrálva (terápiás tartomány: 2,0-3,0)</w:t>
            </w:r>
          </w:p>
          <w:p w:rsidR="00224F0F" w:rsidRDefault="00224F0F">
            <w:pPr>
              <w:pStyle w:val="Default"/>
              <w:spacing w:before="120" w:after="120"/>
              <w:rPr>
                <w:b/>
                <w:sz w:val="22"/>
                <w:szCs w:val="22"/>
              </w:rPr>
            </w:pPr>
          </w:p>
          <w:p w:rsidR="00224F0F" w:rsidRDefault="00485CCD">
            <w:pPr>
              <w:spacing w:line="240" w:lineRule="auto"/>
              <w:rPr>
                <w:b/>
                <w:color w:val="000000"/>
                <w:lang w:val="hu-HU"/>
              </w:rPr>
            </w:pPr>
            <w:r>
              <w:rPr>
                <w:b/>
                <w:color w:val="000000"/>
              </w:rPr>
              <w:t xml:space="preserve">Eseményhányados (100 betegév) </w:t>
            </w:r>
          </w:p>
        </w:tc>
        <w:tc>
          <w:tcPr>
            <w:tcW w:w="2303" w:type="dxa"/>
            <w:shd w:val="clear" w:color="auto" w:fill="auto"/>
          </w:tcPr>
          <w:p w:rsidR="00224F0F" w:rsidRDefault="00485CCD">
            <w:pPr>
              <w:pStyle w:val="Default"/>
              <w:spacing w:before="120" w:after="120"/>
              <w:rPr>
                <w:b/>
                <w:sz w:val="22"/>
                <w:szCs w:val="22"/>
              </w:rPr>
            </w:pPr>
            <w:r>
              <w:rPr>
                <w:b/>
                <w:sz w:val="22"/>
                <w:szCs w:val="22"/>
              </w:rPr>
              <w:t>Relatív hazárd (</w:t>
            </w:r>
            <w:r w:rsidR="00332B5A">
              <w:rPr>
                <w:b/>
                <w:sz w:val="22"/>
                <w:szCs w:val="22"/>
              </w:rPr>
              <w:t>95%-os</w:t>
            </w:r>
            <w:r>
              <w:rPr>
                <w:b/>
                <w:sz w:val="22"/>
                <w:szCs w:val="22"/>
              </w:rPr>
              <w:t xml:space="preserve"> CI) p-érték, szuperioritás teszt</w:t>
            </w:r>
          </w:p>
        </w:tc>
      </w:tr>
      <w:tr w:rsidR="00224F0F">
        <w:tc>
          <w:tcPr>
            <w:tcW w:w="2302" w:type="dxa"/>
            <w:shd w:val="clear" w:color="auto" w:fill="auto"/>
          </w:tcPr>
          <w:p w:rsidR="00224F0F" w:rsidRDefault="00485CCD">
            <w:pPr>
              <w:pStyle w:val="Default"/>
              <w:spacing w:before="120" w:after="120"/>
              <w:rPr>
                <w:sz w:val="22"/>
                <w:szCs w:val="22"/>
              </w:rPr>
            </w:pPr>
            <w:r>
              <w:rPr>
                <w:sz w:val="22"/>
                <w:szCs w:val="22"/>
              </w:rPr>
              <w:t xml:space="preserve">Stroke és nem központi idegrendszeri systemás embolisatio </w:t>
            </w:r>
          </w:p>
        </w:tc>
        <w:tc>
          <w:tcPr>
            <w:tcW w:w="2303" w:type="dxa"/>
            <w:shd w:val="clear" w:color="auto" w:fill="auto"/>
          </w:tcPr>
          <w:p w:rsidR="00224F0F" w:rsidRDefault="00485CCD">
            <w:pPr>
              <w:pStyle w:val="Default"/>
              <w:jc w:val="center"/>
              <w:rPr>
                <w:sz w:val="22"/>
                <w:szCs w:val="22"/>
              </w:rPr>
            </w:pPr>
            <w:r>
              <w:rPr>
                <w:sz w:val="22"/>
                <w:szCs w:val="22"/>
              </w:rPr>
              <w:t>269</w:t>
            </w:r>
          </w:p>
          <w:p w:rsidR="00224F0F" w:rsidRDefault="00485CCD">
            <w:pPr>
              <w:pStyle w:val="Default"/>
              <w:jc w:val="center"/>
              <w:rPr>
                <w:sz w:val="22"/>
                <w:szCs w:val="22"/>
              </w:rPr>
            </w:pPr>
            <w:r>
              <w:rPr>
                <w:sz w:val="22"/>
                <w:szCs w:val="22"/>
              </w:rPr>
              <w:t xml:space="preserve"> (2,12)</w:t>
            </w:r>
          </w:p>
          <w:p w:rsidR="00224F0F" w:rsidRDefault="00224F0F">
            <w:pPr>
              <w:spacing w:line="240" w:lineRule="auto"/>
              <w:jc w:val="center"/>
              <w:rPr>
                <w:color w:val="000000"/>
                <w:lang w:val="hu-HU"/>
              </w:rPr>
            </w:pPr>
          </w:p>
        </w:tc>
        <w:tc>
          <w:tcPr>
            <w:tcW w:w="2303" w:type="dxa"/>
            <w:shd w:val="clear" w:color="auto" w:fill="auto"/>
          </w:tcPr>
          <w:p w:rsidR="00224F0F" w:rsidRDefault="00485CCD">
            <w:pPr>
              <w:pStyle w:val="Default"/>
              <w:jc w:val="center"/>
              <w:rPr>
                <w:sz w:val="22"/>
                <w:szCs w:val="22"/>
              </w:rPr>
            </w:pPr>
            <w:r>
              <w:rPr>
                <w:sz w:val="22"/>
                <w:szCs w:val="22"/>
              </w:rPr>
              <w:t>306</w:t>
            </w:r>
          </w:p>
          <w:p w:rsidR="00224F0F" w:rsidRDefault="00485CCD">
            <w:pPr>
              <w:pStyle w:val="Default"/>
              <w:jc w:val="center"/>
              <w:rPr>
                <w:sz w:val="22"/>
                <w:szCs w:val="22"/>
              </w:rPr>
            </w:pPr>
            <w:r>
              <w:rPr>
                <w:sz w:val="22"/>
                <w:szCs w:val="22"/>
              </w:rPr>
              <w:t xml:space="preserve"> (2,42)</w:t>
            </w:r>
          </w:p>
          <w:p w:rsidR="00224F0F" w:rsidRDefault="00224F0F">
            <w:pPr>
              <w:spacing w:line="240" w:lineRule="auto"/>
              <w:jc w:val="center"/>
              <w:rPr>
                <w:color w:val="000000"/>
                <w:lang w:val="hu-HU"/>
              </w:rPr>
            </w:pPr>
          </w:p>
        </w:tc>
        <w:tc>
          <w:tcPr>
            <w:tcW w:w="2303" w:type="dxa"/>
            <w:shd w:val="clear" w:color="auto" w:fill="auto"/>
          </w:tcPr>
          <w:p w:rsidR="00224F0F" w:rsidRDefault="00485CCD">
            <w:pPr>
              <w:pStyle w:val="Default"/>
              <w:jc w:val="center"/>
              <w:rPr>
                <w:sz w:val="22"/>
                <w:szCs w:val="22"/>
              </w:rPr>
            </w:pPr>
            <w:r>
              <w:rPr>
                <w:sz w:val="22"/>
                <w:szCs w:val="22"/>
              </w:rPr>
              <w:t>0,88</w:t>
            </w:r>
          </w:p>
          <w:p w:rsidR="00224F0F" w:rsidRDefault="00485CCD">
            <w:pPr>
              <w:spacing w:line="240" w:lineRule="auto"/>
              <w:jc w:val="center"/>
              <w:rPr>
                <w:color w:val="000000"/>
              </w:rPr>
            </w:pPr>
            <w:r>
              <w:rPr>
                <w:color w:val="000000"/>
              </w:rPr>
              <w:t xml:space="preserve">(0,74-1,03) </w:t>
            </w:r>
          </w:p>
          <w:p w:rsidR="00224F0F" w:rsidRDefault="00485CCD">
            <w:pPr>
              <w:spacing w:line="240" w:lineRule="auto"/>
              <w:jc w:val="center"/>
              <w:rPr>
                <w:color w:val="000000"/>
                <w:lang w:val="hu-HU"/>
              </w:rPr>
            </w:pPr>
            <w:r>
              <w:rPr>
                <w:color w:val="000000"/>
              </w:rPr>
              <w:t>0,117</w:t>
            </w:r>
          </w:p>
        </w:tc>
      </w:tr>
      <w:tr w:rsidR="00224F0F">
        <w:tc>
          <w:tcPr>
            <w:tcW w:w="2302" w:type="dxa"/>
            <w:shd w:val="clear" w:color="auto" w:fill="auto"/>
          </w:tcPr>
          <w:p w:rsidR="00224F0F" w:rsidRDefault="00485CCD">
            <w:pPr>
              <w:pStyle w:val="Default"/>
              <w:spacing w:before="120" w:after="120"/>
              <w:rPr>
                <w:sz w:val="22"/>
                <w:szCs w:val="22"/>
              </w:rPr>
            </w:pPr>
            <w:r>
              <w:rPr>
                <w:sz w:val="22"/>
                <w:szCs w:val="22"/>
              </w:rPr>
              <w:t>Stroke, nem központi idegrendszeri systemás embolisatio és vascularis eredetű halál</w:t>
            </w:r>
          </w:p>
        </w:tc>
        <w:tc>
          <w:tcPr>
            <w:tcW w:w="2303" w:type="dxa"/>
            <w:shd w:val="clear" w:color="auto" w:fill="auto"/>
          </w:tcPr>
          <w:p w:rsidR="00224F0F" w:rsidRDefault="00485CCD">
            <w:pPr>
              <w:pStyle w:val="Default"/>
              <w:jc w:val="center"/>
              <w:rPr>
                <w:sz w:val="22"/>
                <w:szCs w:val="22"/>
              </w:rPr>
            </w:pPr>
            <w:r>
              <w:rPr>
                <w:sz w:val="22"/>
                <w:szCs w:val="22"/>
              </w:rPr>
              <w:t>572</w:t>
            </w:r>
          </w:p>
          <w:p w:rsidR="00224F0F" w:rsidRDefault="00485CCD">
            <w:pPr>
              <w:pStyle w:val="Default"/>
              <w:jc w:val="center"/>
              <w:rPr>
                <w:sz w:val="22"/>
                <w:szCs w:val="22"/>
              </w:rPr>
            </w:pPr>
            <w:r>
              <w:rPr>
                <w:sz w:val="22"/>
                <w:szCs w:val="22"/>
              </w:rPr>
              <w:t xml:space="preserve"> (4,51)</w:t>
            </w:r>
          </w:p>
          <w:p w:rsidR="00224F0F" w:rsidRDefault="00224F0F">
            <w:pPr>
              <w:spacing w:line="240" w:lineRule="auto"/>
              <w:jc w:val="center"/>
              <w:rPr>
                <w:color w:val="000000"/>
                <w:lang w:val="hu-HU"/>
              </w:rPr>
            </w:pPr>
          </w:p>
        </w:tc>
        <w:tc>
          <w:tcPr>
            <w:tcW w:w="2303" w:type="dxa"/>
            <w:shd w:val="clear" w:color="auto" w:fill="auto"/>
          </w:tcPr>
          <w:p w:rsidR="00224F0F" w:rsidRDefault="00485CCD">
            <w:pPr>
              <w:pStyle w:val="Default"/>
              <w:jc w:val="center"/>
              <w:rPr>
                <w:sz w:val="22"/>
                <w:szCs w:val="22"/>
              </w:rPr>
            </w:pPr>
            <w:r>
              <w:rPr>
                <w:sz w:val="22"/>
                <w:szCs w:val="22"/>
              </w:rPr>
              <w:t>609</w:t>
            </w:r>
          </w:p>
          <w:p w:rsidR="00224F0F" w:rsidRDefault="00485CCD">
            <w:pPr>
              <w:pStyle w:val="Default"/>
              <w:jc w:val="center"/>
              <w:rPr>
                <w:sz w:val="22"/>
                <w:szCs w:val="22"/>
              </w:rPr>
            </w:pPr>
            <w:r>
              <w:rPr>
                <w:sz w:val="22"/>
                <w:szCs w:val="22"/>
              </w:rPr>
              <w:t>(4,81)</w:t>
            </w:r>
          </w:p>
          <w:p w:rsidR="00224F0F" w:rsidRDefault="00224F0F">
            <w:pPr>
              <w:spacing w:line="240" w:lineRule="auto"/>
              <w:jc w:val="center"/>
              <w:rPr>
                <w:color w:val="000000"/>
                <w:lang w:val="hu-HU"/>
              </w:rPr>
            </w:pPr>
          </w:p>
        </w:tc>
        <w:tc>
          <w:tcPr>
            <w:tcW w:w="2303" w:type="dxa"/>
            <w:shd w:val="clear" w:color="auto" w:fill="auto"/>
          </w:tcPr>
          <w:p w:rsidR="00224F0F" w:rsidRDefault="00485CCD">
            <w:pPr>
              <w:pStyle w:val="Default"/>
              <w:jc w:val="center"/>
              <w:rPr>
                <w:sz w:val="22"/>
                <w:szCs w:val="22"/>
              </w:rPr>
            </w:pPr>
            <w:r>
              <w:rPr>
                <w:sz w:val="22"/>
                <w:szCs w:val="22"/>
              </w:rPr>
              <w:t>0.94</w:t>
            </w:r>
          </w:p>
          <w:p w:rsidR="00224F0F" w:rsidRDefault="00485CCD">
            <w:pPr>
              <w:pStyle w:val="Default"/>
              <w:jc w:val="center"/>
              <w:rPr>
                <w:sz w:val="22"/>
                <w:szCs w:val="22"/>
              </w:rPr>
            </w:pPr>
            <w:r>
              <w:rPr>
                <w:sz w:val="22"/>
                <w:szCs w:val="22"/>
              </w:rPr>
              <w:t xml:space="preserve">(0,84-1,05) </w:t>
            </w:r>
          </w:p>
          <w:p w:rsidR="00224F0F" w:rsidRDefault="00485CCD">
            <w:pPr>
              <w:pStyle w:val="Default"/>
              <w:jc w:val="center"/>
              <w:rPr>
                <w:sz w:val="22"/>
                <w:szCs w:val="22"/>
              </w:rPr>
            </w:pPr>
            <w:r>
              <w:rPr>
                <w:sz w:val="22"/>
                <w:szCs w:val="22"/>
              </w:rPr>
              <w:t>0,265</w:t>
            </w:r>
          </w:p>
          <w:p w:rsidR="00224F0F" w:rsidRDefault="00224F0F">
            <w:pPr>
              <w:spacing w:line="240" w:lineRule="auto"/>
              <w:jc w:val="center"/>
              <w:rPr>
                <w:color w:val="000000"/>
                <w:lang w:val="hu-HU"/>
              </w:rPr>
            </w:pPr>
          </w:p>
        </w:tc>
      </w:tr>
      <w:tr w:rsidR="00224F0F">
        <w:tc>
          <w:tcPr>
            <w:tcW w:w="2302" w:type="dxa"/>
            <w:shd w:val="clear" w:color="auto" w:fill="auto"/>
          </w:tcPr>
          <w:p w:rsidR="00224F0F" w:rsidRDefault="00485CCD">
            <w:pPr>
              <w:pStyle w:val="Default"/>
              <w:spacing w:before="120" w:after="120"/>
              <w:rPr>
                <w:sz w:val="22"/>
                <w:szCs w:val="22"/>
              </w:rPr>
            </w:pPr>
            <w:r>
              <w:rPr>
                <w:sz w:val="22"/>
                <w:szCs w:val="22"/>
              </w:rPr>
              <w:t xml:space="preserve">Stroke, nem központi idegrendszeri systemás embolisatio, vascularis eredetű halál és myocardialis infarctus </w:t>
            </w:r>
          </w:p>
        </w:tc>
        <w:tc>
          <w:tcPr>
            <w:tcW w:w="2303" w:type="dxa"/>
            <w:shd w:val="clear" w:color="auto" w:fill="auto"/>
          </w:tcPr>
          <w:p w:rsidR="00224F0F" w:rsidRDefault="00485CCD">
            <w:pPr>
              <w:pStyle w:val="Default"/>
              <w:jc w:val="center"/>
              <w:rPr>
                <w:sz w:val="22"/>
                <w:szCs w:val="22"/>
              </w:rPr>
            </w:pPr>
            <w:r>
              <w:rPr>
                <w:sz w:val="22"/>
                <w:szCs w:val="22"/>
              </w:rPr>
              <w:t>659</w:t>
            </w:r>
          </w:p>
          <w:p w:rsidR="00224F0F" w:rsidRDefault="00485CCD">
            <w:pPr>
              <w:pStyle w:val="Default"/>
              <w:jc w:val="center"/>
              <w:rPr>
                <w:sz w:val="22"/>
                <w:szCs w:val="22"/>
              </w:rPr>
            </w:pPr>
            <w:r>
              <w:rPr>
                <w:sz w:val="22"/>
                <w:szCs w:val="22"/>
              </w:rPr>
              <w:t>(5,24)</w:t>
            </w:r>
          </w:p>
          <w:p w:rsidR="00224F0F" w:rsidRDefault="00224F0F">
            <w:pPr>
              <w:spacing w:line="240" w:lineRule="auto"/>
              <w:jc w:val="center"/>
              <w:rPr>
                <w:color w:val="000000"/>
                <w:lang w:val="hu-HU"/>
              </w:rPr>
            </w:pPr>
          </w:p>
        </w:tc>
        <w:tc>
          <w:tcPr>
            <w:tcW w:w="2303" w:type="dxa"/>
            <w:shd w:val="clear" w:color="auto" w:fill="auto"/>
          </w:tcPr>
          <w:p w:rsidR="00224F0F" w:rsidRDefault="00485CCD">
            <w:pPr>
              <w:pStyle w:val="Default"/>
              <w:jc w:val="center"/>
              <w:rPr>
                <w:sz w:val="22"/>
                <w:szCs w:val="22"/>
              </w:rPr>
            </w:pPr>
            <w:r>
              <w:rPr>
                <w:sz w:val="22"/>
                <w:szCs w:val="22"/>
              </w:rPr>
              <w:t>709</w:t>
            </w:r>
          </w:p>
          <w:p w:rsidR="00224F0F" w:rsidRDefault="00485CCD">
            <w:pPr>
              <w:pStyle w:val="Default"/>
              <w:jc w:val="center"/>
              <w:rPr>
                <w:sz w:val="22"/>
                <w:szCs w:val="22"/>
              </w:rPr>
            </w:pPr>
            <w:r>
              <w:rPr>
                <w:sz w:val="22"/>
                <w:szCs w:val="22"/>
              </w:rPr>
              <w:t>(5,65)</w:t>
            </w:r>
          </w:p>
          <w:p w:rsidR="00224F0F" w:rsidRDefault="00224F0F">
            <w:pPr>
              <w:spacing w:line="240" w:lineRule="auto"/>
              <w:jc w:val="center"/>
              <w:rPr>
                <w:color w:val="000000"/>
                <w:lang w:val="hu-HU"/>
              </w:rPr>
            </w:pPr>
          </w:p>
        </w:tc>
        <w:tc>
          <w:tcPr>
            <w:tcW w:w="2303" w:type="dxa"/>
            <w:shd w:val="clear" w:color="auto" w:fill="auto"/>
          </w:tcPr>
          <w:p w:rsidR="00224F0F" w:rsidRDefault="00485CCD">
            <w:pPr>
              <w:pStyle w:val="Default"/>
              <w:jc w:val="center"/>
              <w:rPr>
                <w:sz w:val="22"/>
                <w:szCs w:val="22"/>
              </w:rPr>
            </w:pPr>
            <w:r>
              <w:rPr>
                <w:sz w:val="22"/>
                <w:szCs w:val="22"/>
              </w:rPr>
              <w:t>0,93</w:t>
            </w:r>
          </w:p>
          <w:p w:rsidR="00224F0F" w:rsidRDefault="00485CCD">
            <w:pPr>
              <w:pStyle w:val="Default"/>
              <w:jc w:val="center"/>
              <w:rPr>
                <w:sz w:val="22"/>
                <w:szCs w:val="22"/>
              </w:rPr>
            </w:pPr>
            <w:r>
              <w:rPr>
                <w:sz w:val="22"/>
                <w:szCs w:val="22"/>
              </w:rPr>
              <w:t>(0,83 -1,03)</w:t>
            </w:r>
          </w:p>
          <w:p w:rsidR="00224F0F" w:rsidRDefault="00485CCD">
            <w:pPr>
              <w:pStyle w:val="Default"/>
              <w:jc w:val="center"/>
              <w:rPr>
                <w:sz w:val="22"/>
                <w:szCs w:val="22"/>
              </w:rPr>
            </w:pPr>
            <w:r>
              <w:rPr>
                <w:sz w:val="22"/>
                <w:szCs w:val="22"/>
              </w:rPr>
              <w:t xml:space="preserve"> 0,158</w:t>
            </w:r>
          </w:p>
          <w:p w:rsidR="00224F0F" w:rsidRDefault="00224F0F">
            <w:pPr>
              <w:spacing w:line="240" w:lineRule="auto"/>
              <w:jc w:val="center"/>
              <w:rPr>
                <w:color w:val="000000"/>
                <w:lang w:val="hu-HU"/>
              </w:rPr>
            </w:pPr>
          </w:p>
        </w:tc>
      </w:tr>
      <w:tr w:rsidR="00224F0F">
        <w:tc>
          <w:tcPr>
            <w:tcW w:w="2302" w:type="dxa"/>
            <w:shd w:val="clear" w:color="auto" w:fill="auto"/>
          </w:tcPr>
          <w:p w:rsidR="00224F0F" w:rsidRDefault="00485CCD">
            <w:pPr>
              <w:spacing w:line="240" w:lineRule="auto"/>
              <w:ind w:left="284"/>
              <w:rPr>
                <w:color w:val="000000"/>
                <w:lang w:val="hu-HU"/>
              </w:rPr>
            </w:pPr>
            <w:r>
              <w:rPr>
                <w:color w:val="000000"/>
                <w:lang w:val="hu-HU"/>
              </w:rPr>
              <w:t>Stroke</w:t>
            </w:r>
          </w:p>
        </w:tc>
        <w:tc>
          <w:tcPr>
            <w:tcW w:w="2303" w:type="dxa"/>
            <w:shd w:val="clear" w:color="auto" w:fill="auto"/>
          </w:tcPr>
          <w:p w:rsidR="00224F0F" w:rsidRDefault="00485CCD">
            <w:pPr>
              <w:pStyle w:val="Default"/>
              <w:jc w:val="center"/>
              <w:rPr>
                <w:sz w:val="22"/>
                <w:szCs w:val="22"/>
              </w:rPr>
            </w:pPr>
            <w:r>
              <w:rPr>
                <w:sz w:val="22"/>
                <w:szCs w:val="22"/>
              </w:rPr>
              <w:t>253</w:t>
            </w:r>
          </w:p>
          <w:p w:rsidR="00224F0F" w:rsidRDefault="00485CCD">
            <w:pPr>
              <w:pStyle w:val="Default"/>
              <w:jc w:val="center"/>
              <w:rPr>
                <w:sz w:val="22"/>
                <w:szCs w:val="22"/>
              </w:rPr>
            </w:pPr>
            <w:r>
              <w:rPr>
                <w:sz w:val="22"/>
                <w:szCs w:val="22"/>
              </w:rPr>
              <w:t xml:space="preserve"> (1,99)</w:t>
            </w:r>
          </w:p>
          <w:p w:rsidR="00224F0F" w:rsidRDefault="00224F0F">
            <w:pPr>
              <w:spacing w:line="240" w:lineRule="auto"/>
              <w:jc w:val="center"/>
              <w:rPr>
                <w:color w:val="000000"/>
                <w:lang w:val="hu-HU"/>
              </w:rPr>
            </w:pPr>
          </w:p>
        </w:tc>
        <w:tc>
          <w:tcPr>
            <w:tcW w:w="2303" w:type="dxa"/>
            <w:shd w:val="clear" w:color="auto" w:fill="auto"/>
          </w:tcPr>
          <w:p w:rsidR="00224F0F" w:rsidRDefault="00485CCD">
            <w:pPr>
              <w:pStyle w:val="Default"/>
              <w:jc w:val="center"/>
              <w:rPr>
                <w:sz w:val="22"/>
                <w:szCs w:val="22"/>
              </w:rPr>
            </w:pPr>
            <w:r>
              <w:rPr>
                <w:sz w:val="22"/>
                <w:szCs w:val="22"/>
              </w:rPr>
              <w:t>281</w:t>
            </w:r>
          </w:p>
          <w:p w:rsidR="00224F0F" w:rsidRDefault="00485CCD">
            <w:pPr>
              <w:pStyle w:val="Default"/>
              <w:jc w:val="center"/>
              <w:rPr>
                <w:sz w:val="22"/>
                <w:szCs w:val="22"/>
              </w:rPr>
            </w:pPr>
            <w:r>
              <w:rPr>
                <w:sz w:val="22"/>
                <w:szCs w:val="22"/>
              </w:rPr>
              <w:t>(2,22)</w:t>
            </w:r>
          </w:p>
          <w:p w:rsidR="00224F0F" w:rsidRDefault="00224F0F">
            <w:pPr>
              <w:spacing w:line="240" w:lineRule="auto"/>
              <w:jc w:val="center"/>
              <w:rPr>
                <w:color w:val="000000"/>
                <w:lang w:val="hu-HU"/>
              </w:rPr>
            </w:pPr>
          </w:p>
        </w:tc>
        <w:tc>
          <w:tcPr>
            <w:tcW w:w="2303" w:type="dxa"/>
            <w:shd w:val="clear" w:color="auto" w:fill="auto"/>
          </w:tcPr>
          <w:p w:rsidR="00224F0F" w:rsidRDefault="00485CCD">
            <w:pPr>
              <w:pStyle w:val="Default"/>
              <w:jc w:val="center"/>
              <w:rPr>
                <w:sz w:val="22"/>
                <w:szCs w:val="22"/>
              </w:rPr>
            </w:pPr>
            <w:r>
              <w:rPr>
                <w:sz w:val="22"/>
                <w:szCs w:val="22"/>
              </w:rPr>
              <w:t>0,90</w:t>
            </w:r>
          </w:p>
          <w:p w:rsidR="00224F0F" w:rsidRDefault="00485CCD">
            <w:pPr>
              <w:pStyle w:val="Default"/>
              <w:jc w:val="center"/>
              <w:rPr>
                <w:sz w:val="22"/>
                <w:szCs w:val="22"/>
              </w:rPr>
            </w:pPr>
            <w:r>
              <w:rPr>
                <w:sz w:val="22"/>
                <w:szCs w:val="22"/>
              </w:rPr>
              <w:t xml:space="preserve"> (0,76-1,07)</w:t>
            </w:r>
          </w:p>
          <w:p w:rsidR="00224F0F" w:rsidRDefault="00485CCD">
            <w:pPr>
              <w:pStyle w:val="Default"/>
              <w:jc w:val="center"/>
              <w:rPr>
                <w:sz w:val="22"/>
                <w:szCs w:val="22"/>
              </w:rPr>
            </w:pPr>
            <w:r>
              <w:rPr>
                <w:sz w:val="22"/>
                <w:szCs w:val="22"/>
              </w:rPr>
              <w:t>0,221</w:t>
            </w:r>
          </w:p>
          <w:p w:rsidR="00224F0F" w:rsidRDefault="00224F0F">
            <w:pPr>
              <w:spacing w:line="240" w:lineRule="auto"/>
              <w:jc w:val="center"/>
              <w:rPr>
                <w:color w:val="000000"/>
                <w:lang w:val="hu-HU"/>
              </w:rPr>
            </w:pPr>
          </w:p>
        </w:tc>
      </w:tr>
      <w:tr w:rsidR="00224F0F">
        <w:tc>
          <w:tcPr>
            <w:tcW w:w="2302" w:type="dxa"/>
            <w:shd w:val="clear" w:color="auto" w:fill="auto"/>
          </w:tcPr>
          <w:p w:rsidR="00224F0F" w:rsidRDefault="00485CCD">
            <w:pPr>
              <w:pStyle w:val="Default"/>
              <w:spacing w:before="120" w:after="120"/>
              <w:ind w:left="284"/>
              <w:rPr>
                <w:sz w:val="22"/>
                <w:szCs w:val="22"/>
              </w:rPr>
            </w:pPr>
            <w:r>
              <w:rPr>
                <w:sz w:val="22"/>
                <w:szCs w:val="22"/>
              </w:rPr>
              <w:t>Nem központi idegrendszeri systemás embolisatio</w:t>
            </w:r>
          </w:p>
        </w:tc>
        <w:tc>
          <w:tcPr>
            <w:tcW w:w="2303" w:type="dxa"/>
            <w:shd w:val="clear" w:color="auto" w:fill="auto"/>
          </w:tcPr>
          <w:p w:rsidR="00224F0F" w:rsidRDefault="00485CCD">
            <w:pPr>
              <w:pStyle w:val="Default"/>
              <w:jc w:val="center"/>
              <w:rPr>
                <w:sz w:val="22"/>
                <w:szCs w:val="22"/>
              </w:rPr>
            </w:pPr>
            <w:r>
              <w:rPr>
                <w:sz w:val="22"/>
                <w:szCs w:val="22"/>
              </w:rPr>
              <w:t xml:space="preserve">20 </w:t>
            </w:r>
          </w:p>
          <w:p w:rsidR="00224F0F" w:rsidRDefault="00485CCD">
            <w:pPr>
              <w:pStyle w:val="Default"/>
              <w:jc w:val="center"/>
              <w:rPr>
                <w:sz w:val="22"/>
                <w:szCs w:val="22"/>
              </w:rPr>
            </w:pPr>
            <w:r>
              <w:rPr>
                <w:sz w:val="22"/>
                <w:szCs w:val="22"/>
              </w:rPr>
              <w:t>(0,16)</w:t>
            </w:r>
          </w:p>
          <w:p w:rsidR="00224F0F" w:rsidRDefault="00224F0F">
            <w:pPr>
              <w:spacing w:line="240" w:lineRule="auto"/>
              <w:jc w:val="center"/>
              <w:rPr>
                <w:color w:val="000000"/>
                <w:lang w:val="hu-HU"/>
              </w:rPr>
            </w:pPr>
          </w:p>
        </w:tc>
        <w:tc>
          <w:tcPr>
            <w:tcW w:w="2303" w:type="dxa"/>
            <w:shd w:val="clear" w:color="auto" w:fill="auto"/>
          </w:tcPr>
          <w:p w:rsidR="00224F0F" w:rsidRDefault="00485CCD">
            <w:pPr>
              <w:pStyle w:val="Default"/>
              <w:jc w:val="center"/>
              <w:rPr>
                <w:sz w:val="22"/>
                <w:szCs w:val="22"/>
              </w:rPr>
            </w:pPr>
            <w:r>
              <w:rPr>
                <w:sz w:val="22"/>
                <w:szCs w:val="22"/>
              </w:rPr>
              <w:t>27</w:t>
            </w:r>
          </w:p>
          <w:p w:rsidR="00224F0F" w:rsidRDefault="00485CCD">
            <w:pPr>
              <w:pStyle w:val="Default"/>
              <w:jc w:val="center"/>
              <w:rPr>
                <w:sz w:val="22"/>
                <w:szCs w:val="22"/>
              </w:rPr>
            </w:pPr>
            <w:r>
              <w:rPr>
                <w:sz w:val="22"/>
                <w:szCs w:val="22"/>
              </w:rPr>
              <w:t xml:space="preserve"> (0,21)</w:t>
            </w:r>
          </w:p>
          <w:p w:rsidR="00224F0F" w:rsidRDefault="00224F0F">
            <w:pPr>
              <w:spacing w:line="240" w:lineRule="auto"/>
              <w:jc w:val="center"/>
              <w:rPr>
                <w:color w:val="000000"/>
                <w:lang w:val="hu-HU"/>
              </w:rPr>
            </w:pPr>
          </w:p>
        </w:tc>
        <w:tc>
          <w:tcPr>
            <w:tcW w:w="2303" w:type="dxa"/>
            <w:shd w:val="clear" w:color="auto" w:fill="auto"/>
          </w:tcPr>
          <w:p w:rsidR="00224F0F" w:rsidRDefault="00485CCD">
            <w:pPr>
              <w:pStyle w:val="Default"/>
              <w:jc w:val="center"/>
              <w:rPr>
                <w:sz w:val="22"/>
                <w:szCs w:val="22"/>
              </w:rPr>
            </w:pPr>
            <w:r>
              <w:rPr>
                <w:sz w:val="22"/>
                <w:szCs w:val="22"/>
              </w:rPr>
              <w:t xml:space="preserve">0,74 </w:t>
            </w:r>
          </w:p>
          <w:p w:rsidR="00224F0F" w:rsidRDefault="00485CCD">
            <w:pPr>
              <w:pStyle w:val="Default"/>
              <w:jc w:val="center"/>
              <w:rPr>
                <w:sz w:val="22"/>
                <w:szCs w:val="22"/>
              </w:rPr>
            </w:pPr>
            <w:r>
              <w:rPr>
                <w:sz w:val="22"/>
                <w:szCs w:val="22"/>
              </w:rPr>
              <w:t>(0,42-1,32)</w:t>
            </w:r>
          </w:p>
          <w:p w:rsidR="00224F0F" w:rsidRDefault="00485CCD">
            <w:pPr>
              <w:pStyle w:val="Default"/>
              <w:jc w:val="center"/>
              <w:rPr>
                <w:sz w:val="22"/>
                <w:szCs w:val="22"/>
              </w:rPr>
            </w:pPr>
            <w:r>
              <w:rPr>
                <w:sz w:val="22"/>
                <w:szCs w:val="22"/>
              </w:rPr>
              <w:t>0,308</w:t>
            </w:r>
          </w:p>
        </w:tc>
      </w:tr>
      <w:tr w:rsidR="00224F0F">
        <w:tc>
          <w:tcPr>
            <w:tcW w:w="2302" w:type="dxa"/>
            <w:shd w:val="clear" w:color="auto" w:fill="auto"/>
          </w:tcPr>
          <w:p w:rsidR="00224F0F" w:rsidRDefault="00485CCD">
            <w:pPr>
              <w:pStyle w:val="Default"/>
              <w:spacing w:before="120" w:after="120"/>
              <w:rPr>
                <w:sz w:val="22"/>
                <w:szCs w:val="22"/>
              </w:rPr>
            </w:pPr>
            <w:r>
              <w:rPr>
                <w:sz w:val="22"/>
                <w:szCs w:val="22"/>
              </w:rPr>
              <w:t xml:space="preserve">Myocardialis infarctus </w:t>
            </w:r>
          </w:p>
        </w:tc>
        <w:tc>
          <w:tcPr>
            <w:tcW w:w="2303" w:type="dxa"/>
            <w:shd w:val="clear" w:color="auto" w:fill="auto"/>
          </w:tcPr>
          <w:p w:rsidR="00224F0F" w:rsidRDefault="00485CCD">
            <w:pPr>
              <w:pStyle w:val="Default"/>
              <w:jc w:val="center"/>
              <w:rPr>
                <w:sz w:val="22"/>
                <w:szCs w:val="22"/>
              </w:rPr>
            </w:pPr>
            <w:r>
              <w:rPr>
                <w:sz w:val="22"/>
                <w:szCs w:val="22"/>
              </w:rPr>
              <w:t>130</w:t>
            </w:r>
          </w:p>
          <w:p w:rsidR="00224F0F" w:rsidRDefault="00485CCD">
            <w:pPr>
              <w:pStyle w:val="Default"/>
              <w:jc w:val="center"/>
              <w:rPr>
                <w:sz w:val="22"/>
                <w:szCs w:val="22"/>
              </w:rPr>
            </w:pPr>
            <w:r>
              <w:rPr>
                <w:sz w:val="22"/>
                <w:szCs w:val="22"/>
              </w:rPr>
              <w:t xml:space="preserve"> (1,02)</w:t>
            </w:r>
          </w:p>
          <w:p w:rsidR="00224F0F" w:rsidRDefault="00224F0F">
            <w:pPr>
              <w:spacing w:line="240" w:lineRule="auto"/>
              <w:jc w:val="center"/>
              <w:rPr>
                <w:color w:val="000000"/>
                <w:lang w:val="hu-HU"/>
              </w:rPr>
            </w:pPr>
          </w:p>
        </w:tc>
        <w:tc>
          <w:tcPr>
            <w:tcW w:w="2303" w:type="dxa"/>
            <w:shd w:val="clear" w:color="auto" w:fill="auto"/>
          </w:tcPr>
          <w:p w:rsidR="00224F0F" w:rsidRDefault="00485CCD">
            <w:pPr>
              <w:pStyle w:val="Default"/>
              <w:jc w:val="center"/>
              <w:rPr>
                <w:sz w:val="22"/>
                <w:szCs w:val="22"/>
              </w:rPr>
            </w:pPr>
            <w:r>
              <w:rPr>
                <w:sz w:val="22"/>
                <w:szCs w:val="22"/>
              </w:rPr>
              <w:t>142</w:t>
            </w:r>
          </w:p>
          <w:p w:rsidR="00224F0F" w:rsidRDefault="00485CCD">
            <w:pPr>
              <w:pStyle w:val="Default"/>
              <w:jc w:val="center"/>
              <w:rPr>
                <w:sz w:val="22"/>
                <w:szCs w:val="22"/>
              </w:rPr>
            </w:pPr>
            <w:r>
              <w:rPr>
                <w:sz w:val="22"/>
                <w:szCs w:val="22"/>
              </w:rPr>
              <w:t xml:space="preserve"> (1,11)</w:t>
            </w:r>
          </w:p>
          <w:p w:rsidR="00224F0F" w:rsidRDefault="00224F0F">
            <w:pPr>
              <w:spacing w:line="240" w:lineRule="auto"/>
              <w:jc w:val="center"/>
              <w:rPr>
                <w:color w:val="000000"/>
                <w:lang w:val="hu-HU"/>
              </w:rPr>
            </w:pPr>
          </w:p>
        </w:tc>
        <w:tc>
          <w:tcPr>
            <w:tcW w:w="2303" w:type="dxa"/>
            <w:shd w:val="clear" w:color="auto" w:fill="auto"/>
          </w:tcPr>
          <w:p w:rsidR="00224F0F" w:rsidRDefault="00485CCD">
            <w:pPr>
              <w:pStyle w:val="Default"/>
              <w:jc w:val="center"/>
              <w:rPr>
                <w:sz w:val="22"/>
                <w:szCs w:val="22"/>
              </w:rPr>
            </w:pPr>
            <w:r>
              <w:rPr>
                <w:sz w:val="22"/>
                <w:szCs w:val="22"/>
              </w:rPr>
              <w:t xml:space="preserve">0,91 </w:t>
            </w:r>
          </w:p>
          <w:p w:rsidR="00224F0F" w:rsidRDefault="00485CCD">
            <w:pPr>
              <w:pStyle w:val="Default"/>
              <w:jc w:val="center"/>
              <w:rPr>
                <w:sz w:val="22"/>
                <w:szCs w:val="22"/>
              </w:rPr>
            </w:pPr>
            <w:r>
              <w:rPr>
                <w:sz w:val="22"/>
                <w:szCs w:val="22"/>
              </w:rPr>
              <w:t>(0,72-1,16)</w:t>
            </w:r>
          </w:p>
          <w:p w:rsidR="00224F0F" w:rsidRDefault="00485CCD">
            <w:pPr>
              <w:pStyle w:val="Default"/>
              <w:jc w:val="center"/>
              <w:rPr>
                <w:sz w:val="22"/>
                <w:szCs w:val="22"/>
              </w:rPr>
            </w:pPr>
            <w:r>
              <w:rPr>
                <w:sz w:val="22"/>
                <w:szCs w:val="22"/>
              </w:rPr>
              <w:t>0,464</w:t>
            </w:r>
          </w:p>
        </w:tc>
      </w:tr>
    </w:tbl>
    <w:p w:rsidR="00224F0F" w:rsidRDefault="00224F0F">
      <w:pPr>
        <w:spacing w:line="240" w:lineRule="auto"/>
        <w:rPr>
          <w:color w:val="000000"/>
          <w:lang w:val="hu-HU"/>
        </w:rPr>
      </w:pPr>
    </w:p>
    <w:p w:rsidR="00224F0F" w:rsidRDefault="00485CCD" w:rsidP="00A54C3F">
      <w:pPr>
        <w:keepNext/>
        <w:tabs>
          <w:tab w:val="left" w:pos="1276"/>
        </w:tabs>
        <w:spacing w:line="240" w:lineRule="auto"/>
        <w:rPr>
          <w:b/>
          <w:bCs/>
          <w:color w:val="000000"/>
          <w:lang w:val="hu-HU"/>
        </w:rPr>
      </w:pPr>
      <w:r>
        <w:rPr>
          <w:b/>
          <w:bCs/>
          <w:color w:val="000000"/>
          <w:lang w:val="hu-HU"/>
        </w:rPr>
        <w:lastRenderedPageBreak/>
        <w:t>5. táblázat:</w:t>
      </w:r>
      <w:r w:rsidR="002C6FA3">
        <w:rPr>
          <w:b/>
          <w:bCs/>
          <w:color w:val="000000"/>
          <w:lang w:val="hu-HU"/>
        </w:rPr>
        <w:tab/>
      </w:r>
      <w:r>
        <w:rPr>
          <w:b/>
          <w:bCs/>
          <w:color w:val="000000"/>
          <w:lang w:val="hu-HU"/>
        </w:rPr>
        <w:t>A III. fázisú ROCKET AF vizsgálat biztonságossági eredményei</w:t>
      </w:r>
    </w:p>
    <w:p w:rsidR="00224F0F" w:rsidRDefault="00224F0F" w:rsidP="00A54C3F">
      <w:pPr>
        <w:keepNext/>
        <w:spacing w:line="240" w:lineRule="auto"/>
        <w:rPr>
          <w:color w:val="000000"/>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2"/>
        <w:gridCol w:w="2379"/>
        <w:gridCol w:w="2114"/>
        <w:gridCol w:w="2077"/>
      </w:tblGrid>
      <w:tr w:rsidR="00224F0F">
        <w:tc>
          <w:tcPr>
            <w:tcW w:w="2518" w:type="dxa"/>
            <w:shd w:val="clear" w:color="auto" w:fill="auto"/>
          </w:tcPr>
          <w:p w:rsidR="00224F0F" w:rsidRDefault="00485CCD" w:rsidP="00A54C3F">
            <w:pPr>
              <w:keepNext/>
              <w:spacing w:line="240" w:lineRule="auto"/>
              <w:rPr>
                <w:b/>
                <w:color w:val="000000"/>
                <w:lang w:val="hu-HU"/>
              </w:rPr>
            </w:pPr>
            <w:r>
              <w:rPr>
                <w:b/>
                <w:color w:val="000000"/>
                <w:lang w:val="hu-HU"/>
              </w:rPr>
              <w:t>Vizsgálati populáció</w:t>
            </w:r>
          </w:p>
        </w:tc>
        <w:tc>
          <w:tcPr>
            <w:tcW w:w="6693" w:type="dxa"/>
            <w:gridSpan w:val="3"/>
            <w:shd w:val="clear" w:color="auto" w:fill="auto"/>
          </w:tcPr>
          <w:p w:rsidR="00224F0F" w:rsidRDefault="00485CCD" w:rsidP="00A54C3F">
            <w:pPr>
              <w:pStyle w:val="Default"/>
              <w:keepNext/>
              <w:rPr>
                <w:b/>
                <w:sz w:val="22"/>
                <w:szCs w:val="22"/>
              </w:rPr>
            </w:pPr>
            <w:r>
              <w:rPr>
                <w:b/>
                <w:sz w:val="22"/>
                <w:szCs w:val="22"/>
              </w:rPr>
              <w:t>Nem valvularis eredetű pitvarfibrillációban szenvedő betegek</w:t>
            </w:r>
            <w:r>
              <w:rPr>
                <w:b/>
                <w:position w:val="8"/>
                <w:sz w:val="22"/>
                <w:szCs w:val="22"/>
                <w:vertAlign w:val="superscript"/>
              </w:rPr>
              <w:t xml:space="preserve">a) </w:t>
            </w:r>
          </w:p>
          <w:p w:rsidR="00224F0F" w:rsidRDefault="00224F0F" w:rsidP="00A54C3F">
            <w:pPr>
              <w:keepNext/>
              <w:spacing w:line="240" w:lineRule="auto"/>
              <w:rPr>
                <w:b/>
                <w:color w:val="000000"/>
                <w:lang w:val="hu-HU"/>
              </w:rPr>
            </w:pPr>
          </w:p>
        </w:tc>
      </w:tr>
      <w:tr w:rsidR="00224F0F">
        <w:tc>
          <w:tcPr>
            <w:tcW w:w="2518" w:type="dxa"/>
            <w:shd w:val="clear" w:color="auto" w:fill="auto"/>
          </w:tcPr>
          <w:p w:rsidR="00224F0F" w:rsidRDefault="00485CCD" w:rsidP="00A54C3F">
            <w:pPr>
              <w:pStyle w:val="Default"/>
              <w:keepNext/>
              <w:rPr>
                <w:b/>
                <w:sz w:val="22"/>
                <w:szCs w:val="22"/>
              </w:rPr>
            </w:pPr>
            <w:r>
              <w:rPr>
                <w:b/>
                <w:sz w:val="22"/>
                <w:szCs w:val="22"/>
              </w:rPr>
              <w:t>Terápiás dózis</w:t>
            </w:r>
          </w:p>
          <w:p w:rsidR="00224F0F" w:rsidRDefault="00224F0F" w:rsidP="00A54C3F">
            <w:pPr>
              <w:keepNext/>
              <w:spacing w:line="240" w:lineRule="auto"/>
              <w:rPr>
                <w:b/>
                <w:color w:val="000000"/>
                <w:lang w:val="hu-HU"/>
              </w:rPr>
            </w:pPr>
          </w:p>
        </w:tc>
        <w:tc>
          <w:tcPr>
            <w:tcW w:w="2410" w:type="dxa"/>
            <w:shd w:val="clear" w:color="auto" w:fill="auto"/>
          </w:tcPr>
          <w:p w:rsidR="00224F0F" w:rsidRDefault="00485CCD" w:rsidP="00A54C3F">
            <w:pPr>
              <w:pStyle w:val="Default"/>
              <w:keepNext/>
              <w:rPr>
                <w:b/>
                <w:sz w:val="22"/>
                <w:szCs w:val="22"/>
              </w:rPr>
            </w:pPr>
            <w:r>
              <w:rPr>
                <w:b/>
                <w:sz w:val="22"/>
                <w:szCs w:val="22"/>
              </w:rPr>
              <w:t>Rivaroxabán naponta egyszer 20 mg (naponta egyszer 15 mg közepes fokú vesekárosodásban szenvedő betegeknél)</w:t>
            </w:r>
          </w:p>
          <w:p w:rsidR="00224F0F" w:rsidRDefault="00224F0F" w:rsidP="00A54C3F">
            <w:pPr>
              <w:pStyle w:val="Default"/>
              <w:keepNext/>
              <w:rPr>
                <w:b/>
                <w:sz w:val="22"/>
                <w:szCs w:val="22"/>
              </w:rPr>
            </w:pPr>
          </w:p>
          <w:p w:rsidR="00224F0F" w:rsidRDefault="00485CCD" w:rsidP="00A54C3F">
            <w:pPr>
              <w:keepNext/>
              <w:spacing w:line="240" w:lineRule="auto"/>
              <w:rPr>
                <w:b/>
                <w:color w:val="000000"/>
                <w:lang w:val="hu-HU"/>
              </w:rPr>
            </w:pPr>
            <w:r>
              <w:rPr>
                <w:b/>
                <w:color w:val="000000"/>
              </w:rPr>
              <w:t xml:space="preserve">Eseményhányados (100 betegév) </w:t>
            </w:r>
          </w:p>
        </w:tc>
        <w:tc>
          <w:tcPr>
            <w:tcW w:w="2126" w:type="dxa"/>
            <w:shd w:val="clear" w:color="auto" w:fill="auto"/>
          </w:tcPr>
          <w:p w:rsidR="00224F0F" w:rsidRDefault="00485CCD" w:rsidP="00A54C3F">
            <w:pPr>
              <w:pStyle w:val="Default"/>
              <w:keepNext/>
              <w:spacing w:before="120" w:after="120"/>
              <w:rPr>
                <w:b/>
                <w:sz w:val="22"/>
                <w:szCs w:val="22"/>
              </w:rPr>
            </w:pPr>
            <w:r>
              <w:rPr>
                <w:b/>
                <w:sz w:val="22"/>
                <w:szCs w:val="22"/>
              </w:rPr>
              <w:t>Warfarin 2,5-ös INR-értékre titrálva (terápiás tartomány: 2,0–3,0)</w:t>
            </w:r>
          </w:p>
          <w:p w:rsidR="00224F0F" w:rsidRDefault="00224F0F" w:rsidP="00A54C3F">
            <w:pPr>
              <w:pStyle w:val="Default"/>
              <w:keepNext/>
              <w:spacing w:before="120" w:after="120"/>
              <w:rPr>
                <w:b/>
                <w:sz w:val="22"/>
                <w:szCs w:val="22"/>
              </w:rPr>
            </w:pPr>
          </w:p>
          <w:p w:rsidR="00224F0F" w:rsidRDefault="00485CCD" w:rsidP="00A54C3F">
            <w:pPr>
              <w:keepNext/>
              <w:spacing w:line="240" w:lineRule="auto"/>
              <w:rPr>
                <w:b/>
                <w:color w:val="000000"/>
                <w:lang w:val="hu-HU"/>
              </w:rPr>
            </w:pPr>
            <w:r>
              <w:rPr>
                <w:b/>
                <w:color w:val="000000"/>
              </w:rPr>
              <w:t xml:space="preserve">Eseményhányados (100 betegév) </w:t>
            </w:r>
          </w:p>
        </w:tc>
        <w:tc>
          <w:tcPr>
            <w:tcW w:w="2157" w:type="dxa"/>
            <w:shd w:val="clear" w:color="auto" w:fill="auto"/>
          </w:tcPr>
          <w:p w:rsidR="00224F0F" w:rsidRDefault="00485CCD" w:rsidP="00A54C3F">
            <w:pPr>
              <w:pStyle w:val="Default"/>
              <w:keepNext/>
              <w:spacing w:before="120" w:after="120"/>
              <w:rPr>
                <w:b/>
                <w:sz w:val="22"/>
                <w:szCs w:val="22"/>
              </w:rPr>
            </w:pPr>
            <w:r>
              <w:rPr>
                <w:b/>
                <w:sz w:val="22"/>
                <w:szCs w:val="22"/>
              </w:rPr>
              <w:t>Relatív hazárd (</w:t>
            </w:r>
            <w:r w:rsidR="00332B5A">
              <w:rPr>
                <w:b/>
                <w:sz w:val="22"/>
                <w:szCs w:val="22"/>
              </w:rPr>
              <w:t>95%-os</w:t>
            </w:r>
            <w:r>
              <w:rPr>
                <w:b/>
                <w:sz w:val="22"/>
                <w:szCs w:val="22"/>
              </w:rPr>
              <w:t xml:space="preserve"> CI) p</w:t>
            </w:r>
            <w:r w:rsidR="002C6FA3">
              <w:rPr>
                <w:b/>
                <w:sz w:val="22"/>
                <w:szCs w:val="22"/>
              </w:rPr>
              <w:noBreakHyphen/>
            </w:r>
            <w:r>
              <w:rPr>
                <w:b/>
                <w:sz w:val="22"/>
                <w:szCs w:val="22"/>
              </w:rPr>
              <w:t>érték</w:t>
            </w:r>
          </w:p>
          <w:p w:rsidR="00224F0F" w:rsidRDefault="00224F0F" w:rsidP="00A54C3F">
            <w:pPr>
              <w:keepNext/>
              <w:spacing w:line="240" w:lineRule="auto"/>
              <w:rPr>
                <w:b/>
                <w:color w:val="000000"/>
                <w:lang w:val="hu-HU"/>
              </w:rPr>
            </w:pPr>
          </w:p>
        </w:tc>
      </w:tr>
      <w:tr w:rsidR="00224F0F">
        <w:tc>
          <w:tcPr>
            <w:tcW w:w="2518" w:type="dxa"/>
            <w:shd w:val="clear" w:color="auto" w:fill="auto"/>
          </w:tcPr>
          <w:p w:rsidR="00224F0F" w:rsidRDefault="00485CCD">
            <w:pPr>
              <w:pStyle w:val="Default"/>
              <w:spacing w:before="120" w:after="120"/>
              <w:rPr>
                <w:sz w:val="22"/>
                <w:szCs w:val="22"/>
              </w:rPr>
            </w:pPr>
            <w:r>
              <w:rPr>
                <w:sz w:val="22"/>
                <w:szCs w:val="22"/>
              </w:rPr>
              <w:t xml:space="preserve">Súlyos és nem súlyos, klinikailag jelentős vérzéses események </w:t>
            </w:r>
          </w:p>
        </w:tc>
        <w:tc>
          <w:tcPr>
            <w:tcW w:w="2410" w:type="dxa"/>
            <w:shd w:val="clear" w:color="auto" w:fill="auto"/>
          </w:tcPr>
          <w:p w:rsidR="00224F0F" w:rsidRDefault="00485CCD">
            <w:pPr>
              <w:pStyle w:val="Default"/>
              <w:jc w:val="center"/>
              <w:rPr>
                <w:sz w:val="22"/>
                <w:szCs w:val="22"/>
              </w:rPr>
            </w:pPr>
            <w:r>
              <w:rPr>
                <w:sz w:val="22"/>
                <w:szCs w:val="22"/>
              </w:rPr>
              <w:t>1475</w:t>
            </w:r>
          </w:p>
          <w:p w:rsidR="00224F0F" w:rsidRDefault="00485CCD">
            <w:pPr>
              <w:pStyle w:val="Default"/>
              <w:jc w:val="center"/>
              <w:rPr>
                <w:sz w:val="22"/>
                <w:szCs w:val="22"/>
              </w:rPr>
            </w:pPr>
            <w:r>
              <w:rPr>
                <w:sz w:val="22"/>
                <w:szCs w:val="22"/>
              </w:rPr>
              <w:t xml:space="preserve"> (14,91)</w:t>
            </w:r>
          </w:p>
          <w:p w:rsidR="00224F0F" w:rsidRDefault="00224F0F">
            <w:pPr>
              <w:spacing w:line="240" w:lineRule="auto"/>
              <w:jc w:val="center"/>
              <w:rPr>
                <w:color w:val="000000"/>
                <w:lang w:val="hu-HU"/>
              </w:rPr>
            </w:pPr>
          </w:p>
        </w:tc>
        <w:tc>
          <w:tcPr>
            <w:tcW w:w="2126" w:type="dxa"/>
            <w:shd w:val="clear" w:color="auto" w:fill="auto"/>
          </w:tcPr>
          <w:p w:rsidR="00224F0F" w:rsidRDefault="00485CCD">
            <w:pPr>
              <w:pStyle w:val="Default"/>
              <w:jc w:val="center"/>
              <w:rPr>
                <w:sz w:val="22"/>
                <w:szCs w:val="22"/>
              </w:rPr>
            </w:pPr>
            <w:r>
              <w:rPr>
                <w:sz w:val="22"/>
                <w:szCs w:val="22"/>
              </w:rPr>
              <w:t>1449</w:t>
            </w:r>
          </w:p>
          <w:p w:rsidR="00224F0F" w:rsidRDefault="00485CCD">
            <w:pPr>
              <w:pStyle w:val="Default"/>
              <w:jc w:val="center"/>
              <w:rPr>
                <w:sz w:val="22"/>
                <w:szCs w:val="22"/>
              </w:rPr>
            </w:pPr>
            <w:r>
              <w:rPr>
                <w:sz w:val="22"/>
                <w:szCs w:val="22"/>
              </w:rPr>
              <w:t>(14,52)</w:t>
            </w:r>
          </w:p>
          <w:p w:rsidR="00224F0F" w:rsidRDefault="00224F0F">
            <w:pPr>
              <w:spacing w:line="240" w:lineRule="auto"/>
              <w:jc w:val="center"/>
              <w:rPr>
                <w:color w:val="000000"/>
                <w:lang w:val="hu-HU"/>
              </w:rPr>
            </w:pPr>
          </w:p>
        </w:tc>
        <w:tc>
          <w:tcPr>
            <w:tcW w:w="2157" w:type="dxa"/>
            <w:shd w:val="clear" w:color="auto" w:fill="auto"/>
          </w:tcPr>
          <w:p w:rsidR="00224F0F" w:rsidRDefault="00485CCD">
            <w:pPr>
              <w:pStyle w:val="Default"/>
              <w:jc w:val="center"/>
              <w:rPr>
                <w:sz w:val="22"/>
                <w:szCs w:val="22"/>
              </w:rPr>
            </w:pPr>
            <w:r>
              <w:rPr>
                <w:sz w:val="22"/>
                <w:szCs w:val="22"/>
              </w:rPr>
              <w:t>1,03 (0,96-1,11)</w:t>
            </w:r>
          </w:p>
          <w:p w:rsidR="00224F0F" w:rsidRDefault="00485CCD">
            <w:pPr>
              <w:pStyle w:val="Default"/>
              <w:jc w:val="center"/>
              <w:rPr>
                <w:sz w:val="22"/>
                <w:szCs w:val="22"/>
              </w:rPr>
            </w:pPr>
            <w:r>
              <w:rPr>
                <w:sz w:val="22"/>
                <w:szCs w:val="22"/>
              </w:rPr>
              <w:t>0,442</w:t>
            </w:r>
          </w:p>
          <w:p w:rsidR="00224F0F" w:rsidRDefault="00224F0F">
            <w:pPr>
              <w:spacing w:line="240" w:lineRule="auto"/>
              <w:ind w:firstLine="720"/>
              <w:jc w:val="center"/>
              <w:rPr>
                <w:color w:val="000000"/>
                <w:lang w:val="hu-HU"/>
              </w:rPr>
            </w:pPr>
          </w:p>
        </w:tc>
      </w:tr>
      <w:tr w:rsidR="00224F0F">
        <w:tc>
          <w:tcPr>
            <w:tcW w:w="2518" w:type="dxa"/>
            <w:shd w:val="clear" w:color="auto" w:fill="auto"/>
          </w:tcPr>
          <w:p w:rsidR="00224F0F" w:rsidRDefault="00485CCD">
            <w:pPr>
              <w:pStyle w:val="Default"/>
              <w:spacing w:before="120" w:after="120"/>
              <w:ind w:left="142"/>
              <w:rPr>
                <w:sz w:val="22"/>
                <w:szCs w:val="22"/>
              </w:rPr>
            </w:pPr>
            <w:r>
              <w:rPr>
                <w:sz w:val="22"/>
                <w:szCs w:val="22"/>
              </w:rPr>
              <w:t xml:space="preserve">Súlyos vérzéses események </w:t>
            </w:r>
          </w:p>
        </w:tc>
        <w:tc>
          <w:tcPr>
            <w:tcW w:w="2410" w:type="dxa"/>
            <w:shd w:val="clear" w:color="auto" w:fill="auto"/>
          </w:tcPr>
          <w:p w:rsidR="00224F0F" w:rsidRDefault="00485CCD">
            <w:pPr>
              <w:pStyle w:val="Default"/>
              <w:jc w:val="center"/>
              <w:rPr>
                <w:sz w:val="22"/>
                <w:szCs w:val="22"/>
              </w:rPr>
            </w:pPr>
            <w:r>
              <w:rPr>
                <w:sz w:val="22"/>
                <w:szCs w:val="22"/>
              </w:rPr>
              <w:t>395</w:t>
            </w:r>
          </w:p>
          <w:p w:rsidR="00224F0F" w:rsidRDefault="00485CCD">
            <w:pPr>
              <w:pStyle w:val="Default"/>
              <w:jc w:val="center"/>
              <w:rPr>
                <w:sz w:val="22"/>
                <w:szCs w:val="22"/>
              </w:rPr>
            </w:pPr>
            <w:r>
              <w:rPr>
                <w:sz w:val="22"/>
                <w:szCs w:val="22"/>
              </w:rPr>
              <w:t>(3,60)</w:t>
            </w:r>
          </w:p>
          <w:p w:rsidR="00224F0F" w:rsidRDefault="00224F0F">
            <w:pPr>
              <w:spacing w:line="240" w:lineRule="auto"/>
              <w:jc w:val="center"/>
              <w:rPr>
                <w:color w:val="000000"/>
                <w:lang w:val="hu-HU"/>
              </w:rPr>
            </w:pPr>
          </w:p>
        </w:tc>
        <w:tc>
          <w:tcPr>
            <w:tcW w:w="2126" w:type="dxa"/>
            <w:shd w:val="clear" w:color="auto" w:fill="auto"/>
          </w:tcPr>
          <w:p w:rsidR="00224F0F" w:rsidRDefault="00485CCD">
            <w:pPr>
              <w:pStyle w:val="Default"/>
              <w:jc w:val="center"/>
              <w:rPr>
                <w:sz w:val="22"/>
                <w:szCs w:val="22"/>
              </w:rPr>
            </w:pPr>
            <w:r>
              <w:rPr>
                <w:sz w:val="22"/>
                <w:szCs w:val="22"/>
              </w:rPr>
              <w:t>386</w:t>
            </w:r>
          </w:p>
          <w:p w:rsidR="00224F0F" w:rsidRDefault="00485CCD">
            <w:pPr>
              <w:pStyle w:val="Default"/>
              <w:jc w:val="center"/>
              <w:rPr>
                <w:sz w:val="22"/>
                <w:szCs w:val="22"/>
              </w:rPr>
            </w:pPr>
            <w:r>
              <w:rPr>
                <w:sz w:val="22"/>
                <w:szCs w:val="22"/>
              </w:rPr>
              <w:t>(3,45)</w:t>
            </w:r>
          </w:p>
          <w:p w:rsidR="00224F0F" w:rsidRDefault="00224F0F">
            <w:pPr>
              <w:spacing w:line="240" w:lineRule="auto"/>
              <w:jc w:val="center"/>
              <w:rPr>
                <w:color w:val="000000"/>
                <w:lang w:val="hu-HU"/>
              </w:rPr>
            </w:pPr>
          </w:p>
        </w:tc>
        <w:tc>
          <w:tcPr>
            <w:tcW w:w="2157" w:type="dxa"/>
            <w:shd w:val="clear" w:color="auto" w:fill="auto"/>
          </w:tcPr>
          <w:p w:rsidR="00224F0F" w:rsidRDefault="00485CCD">
            <w:pPr>
              <w:pStyle w:val="Default"/>
              <w:jc w:val="center"/>
              <w:rPr>
                <w:sz w:val="22"/>
                <w:szCs w:val="22"/>
              </w:rPr>
            </w:pPr>
            <w:r>
              <w:rPr>
                <w:sz w:val="22"/>
                <w:szCs w:val="22"/>
              </w:rPr>
              <w:t>1,04 (0,90-1,20)</w:t>
            </w:r>
          </w:p>
          <w:p w:rsidR="00224F0F" w:rsidRDefault="00485CCD">
            <w:pPr>
              <w:pStyle w:val="Default"/>
              <w:jc w:val="center"/>
              <w:rPr>
                <w:sz w:val="22"/>
                <w:szCs w:val="22"/>
              </w:rPr>
            </w:pPr>
            <w:r>
              <w:rPr>
                <w:sz w:val="22"/>
                <w:szCs w:val="22"/>
              </w:rPr>
              <w:t>0,576</w:t>
            </w:r>
          </w:p>
          <w:p w:rsidR="00224F0F" w:rsidRDefault="00224F0F">
            <w:pPr>
              <w:spacing w:line="240" w:lineRule="auto"/>
              <w:jc w:val="center"/>
              <w:rPr>
                <w:color w:val="000000"/>
                <w:lang w:val="hu-HU"/>
              </w:rPr>
            </w:pPr>
          </w:p>
        </w:tc>
      </w:tr>
      <w:tr w:rsidR="00224F0F">
        <w:tc>
          <w:tcPr>
            <w:tcW w:w="2518" w:type="dxa"/>
            <w:shd w:val="clear" w:color="auto" w:fill="auto"/>
          </w:tcPr>
          <w:p w:rsidR="00224F0F" w:rsidRDefault="00485CCD">
            <w:pPr>
              <w:pStyle w:val="Default"/>
              <w:spacing w:before="120" w:after="120"/>
              <w:ind w:left="284"/>
              <w:rPr>
                <w:sz w:val="22"/>
                <w:szCs w:val="22"/>
              </w:rPr>
            </w:pPr>
            <w:r>
              <w:rPr>
                <w:sz w:val="22"/>
                <w:szCs w:val="22"/>
              </w:rPr>
              <w:t xml:space="preserve">Vérzés miatt bekövetkező halál* </w:t>
            </w:r>
          </w:p>
        </w:tc>
        <w:tc>
          <w:tcPr>
            <w:tcW w:w="2410" w:type="dxa"/>
            <w:shd w:val="clear" w:color="auto" w:fill="auto"/>
          </w:tcPr>
          <w:p w:rsidR="00224F0F" w:rsidRDefault="00485CCD">
            <w:pPr>
              <w:pStyle w:val="Default"/>
              <w:jc w:val="center"/>
              <w:rPr>
                <w:sz w:val="22"/>
                <w:szCs w:val="22"/>
              </w:rPr>
            </w:pPr>
            <w:r>
              <w:rPr>
                <w:sz w:val="22"/>
                <w:szCs w:val="22"/>
              </w:rPr>
              <w:t>27</w:t>
            </w:r>
          </w:p>
          <w:p w:rsidR="00224F0F" w:rsidRDefault="00485CCD">
            <w:pPr>
              <w:pStyle w:val="Default"/>
              <w:jc w:val="center"/>
              <w:rPr>
                <w:sz w:val="22"/>
                <w:szCs w:val="22"/>
              </w:rPr>
            </w:pPr>
            <w:r>
              <w:rPr>
                <w:sz w:val="22"/>
                <w:szCs w:val="22"/>
              </w:rPr>
              <w:t xml:space="preserve"> (0,24)</w:t>
            </w:r>
          </w:p>
          <w:p w:rsidR="00224F0F" w:rsidRDefault="00224F0F">
            <w:pPr>
              <w:spacing w:line="240" w:lineRule="auto"/>
              <w:jc w:val="center"/>
              <w:rPr>
                <w:color w:val="000000"/>
                <w:lang w:val="hu-HU"/>
              </w:rPr>
            </w:pPr>
          </w:p>
        </w:tc>
        <w:tc>
          <w:tcPr>
            <w:tcW w:w="2126" w:type="dxa"/>
            <w:shd w:val="clear" w:color="auto" w:fill="auto"/>
          </w:tcPr>
          <w:p w:rsidR="00224F0F" w:rsidRDefault="00485CCD">
            <w:pPr>
              <w:pStyle w:val="Default"/>
              <w:jc w:val="center"/>
              <w:rPr>
                <w:sz w:val="22"/>
                <w:szCs w:val="22"/>
              </w:rPr>
            </w:pPr>
            <w:r>
              <w:rPr>
                <w:sz w:val="22"/>
                <w:szCs w:val="22"/>
              </w:rPr>
              <w:t>55</w:t>
            </w:r>
          </w:p>
          <w:p w:rsidR="00224F0F" w:rsidRDefault="00485CCD">
            <w:pPr>
              <w:pStyle w:val="Default"/>
              <w:jc w:val="center"/>
              <w:rPr>
                <w:sz w:val="22"/>
                <w:szCs w:val="22"/>
              </w:rPr>
            </w:pPr>
            <w:r>
              <w:rPr>
                <w:sz w:val="22"/>
                <w:szCs w:val="22"/>
              </w:rPr>
              <w:t xml:space="preserve"> (0,48)</w:t>
            </w:r>
          </w:p>
          <w:p w:rsidR="00224F0F" w:rsidRDefault="00224F0F">
            <w:pPr>
              <w:spacing w:line="240" w:lineRule="auto"/>
              <w:jc w:val="center"/>
              <w:rPr>
                <w:color w:val="000000"/>
                <w:lang w:val="hu-HU"/>
              </w:rPr>
            </w:pPr>
          </w:p>
        </w:tc>
        <w:tc>
          <w:tcPr>
            <w:tcW w:w="2157" w:type="dxa"/>
            <w:shd w:val="clear" w:color="auto" w:fill="auto"/>
          </w:tcPr>
          <w:p w:rsidR="00224F0F" w:rsidRDefault="00485CCD">
            <w:pPr>
              <w:pStyle w:val="Default"/>
              <w:jc w:val="center"/>
              <w:rPr>
                <w:sz w:val="22"/>
                <w:szCs w:val="22"/>
              </w:rPr>
            </w:pPr>
            <w:r>
              <w:rPr>
                <w:sz w:val="22"/>
                <w:szCs w:val="22"/>
              </w:rPr>
              <w:t>0,50 (0,31-0,79)</w:t>
            </w:r>
          </w:p>
          <w:p w:rsidR="00224F0F" w:rsidRDefault="00485CCD">
            <w:pPr>
              <w:pStyle w:val="Default"/>
              <w:jc w:val="center"/>
              <w:rPr>
                <w:sz w:val="22"/>
                <w:szCs w:val="22"/>
              </w:rPr>
            </w:pPr>
            <w:r>
              <w:rPr>
                <w:sz w:val="22"/>
                <w:szCs w:val="22"/>
              </w:rPr>
              <w:t>0,003</w:t>
            </w:r>
          </w:p>
          <w:p w:rsidR="00224F0F" w:rsidRDefault="00224F0F">
            <w:pPr>
              <w:spacing w:line="240" w:lineRule="auto"/>
              <w:jc w:val="center"/>
              <w:rPr>
                <w:color w:val="000000"/>
                <w:lang w:val="hu-HU"/>
              </w:rPr>
            </w:pPr>
          </w:p>
        </w:tc>
      </w:tr>
      <w:tr w:rsidR="00224F0F">
        <w:tc>
          <w:tcPr>
            <w:tcW w:w="2518" w:type="dxa"/>
            <w:shd w:val="clear" w:color="auto" w:fill="auto"/>
          </w:tcPr>
          <w:p w:rsidR="00224F0F" w:rsidRDefault="00485CCD">
            <w:pPr>
              <w:pStyle w:val="Default"/>
              <w:spacing w:before="120" w:after="120"/>
              <w:ind w:left="284"/>
              <w:rPr>
                <w:sz w:val="22"/>
                <w:szCs w:val="22"/>
              </w:rPr>
            </w:pPr>
            <w:r>
              <w:rPr>
                <w:sz w:val="22"/>
                <w:szCs w:val="22"/>
              </w:rPr>
              <w:t xml:space="preserve">Kritikus szervbe történő vérzés* </w:t>
            </w:r>
          </w:p>
        </w:tc>
        <w:tc>
          <w:tcPr>
            <w:tcW w:w="2410" w:type="dxa"/>
            <w:shd w:val="clear" w:color="auto" w:fill="auto"/>
          </w:tcPr>
          <w:p w:rsidR="00224F0F" w:rsidRDefault="00485CCD">
            <w:pPr>
              <w:pStyle w:val="Default"/>
              <w:jc w:val="center"/>
              <w:rPr>
                <w:sz w:val="22"/>
                <w:szCs w:val="22"/>
              </w:rPr>
            </w:pPr>
            <w:r>
              <w:rPr>
                <w:sz w:val="22"/>
                <w:szCs w:val="22"/>
              </w:rPr>
              <w:t>91</w:t>
            </w:r>
          </w:p>
          <w:p w:rsidR="00224F0F" w:rsidRDefault="00485CCD">
            <w:pPr>
              <w:pStyle w:val="Default"/>
              <w:jc w:val="center"/>
              <w:rPr>
                <w:sz w:val="22"/>
                <w:szCs w:val="22"/>
              </w:rPr>
            </w:pPr>
            <w:r>
              <w:rPr>
                <w:sz w:val="22"/>
                <w:szCs w:val="22"/>
              </w:rPr>
              <w:t>(0,82)</w:t>
            </w:r>
          </w:p>
          <w:p w:rsidR="00224F0F" w:rsidRDefault="00224F0F">
            <w:pPr>
              <w:spacing w:line="240" w:lineRule="auto"/>
              <w:jc w:val="center"/>
              <w:rPr>
                <w:color w:val="000000"/>
                <w:lang w:val="hu-HU"/>
              </w:rPr>
            </w:pPr>
          </w:p>
        </w:tc>
        <w:tc>
          <w:tcPr>
            <w:tcW w:w="2126" w:type="dxa"/>
            <w:shd w:val="clear" w:color="auto" w:fill="auto"/>
          </w:tcPr>
          <w:p w:rsidR="00224F0F" w:rsidRDefault="00485CCD">
            <w:pPr>
              <w:pStyle w:val="Default"/>
              <w:jc w:val="center"/>
              <w:rPr>
                <w:sz w:val="22"/>
                <w:szCs w:val="22"/>
              </w:rPr>
            </w:pPr>
            <w:r>
              <w:rPr>
                <w:sz w:val="22"/>
                <w:szCs w:val="22"/>
              </w:rPr>
              <w:t>133</w:t>
            </w:r>
          </w:p>
          <w:p w:rsidR="00224F0F" w:rsidRDefault="00485CCD">
            <w:pPr>
              <w:pStyle w:val="Default"/>
              <w:jc w:val="center"/>
              <w:rPr>
                <w:sz w:val="22"/>
                <w:szCs w:val="22"/>
              </w:rPr>
            </w:pPr>
            <w:r>
              <w:rPr>
                <w:sz w:val="22"/>
                <w:szCs w:val="22"/>
              </w:rPr>
              <w:t>(1,18)</w:t>
            </w:r>
          </w:p>
          <w:p w:rsidR="00224F0F" w:rsidRDefault="00224F0F">
            <w:pPr>
              <w:spacing w:line="240" w:lineRule="auto"/>
              <w:jc w:val="center"/>
              <w:rPr>
                <w:color w:val="000000"/>
                <w:lang w:val="hu-HU"/>
              </w:rPr>
            </w:pPr>
          </w:p>
        </w:tc>
        <w:tc>
          <w:tcPr>
            <w:tcW w:w="2157" w:type="dxa"/>
            <w:shd w:val="clear" w:color="auto" w:fill="auto"/>
          </w:tcPr>
          <w:p w:rsidR="00224F0F" w:rsidRDefault="00485CCD">
            <w:pPr>
              <w:pStyle w:val="Default"/>
              <w:jc w:val="center"/>
              <w:rPr>
                <w:sz w:val="22"/>
                <w:szCs w:val="22"/>
              </w:rPr>
            </w:pPr>
            <w:r>
              <w:rPr>
                <w:sz w:val="22"/>
                <w:szCs w:val="22"/>
              </w:rPr>
              <w:t>0,69 (0,53-0,91)</w:t>
            </w:r>
          </w:p>
          <w:p w:rsidR="00224F0F" w:rsidRDefault="00485CCD">
            <w:pPr>
              <w:pStyle w:val="Default"/>
              <w:jc w:val="center"/>
              <w:rPr>
                <w:sz w:val="22"/>
                <w:szCs w:val="22"/>
              </w:rPr>
            </w:pPr>
            <w:r>
              <w:rPr>
                <w:sz w:val="22"/>
                <w:szCs w:val="22"/>
              </w:rPr>
              <w:t xml:space="preserve"> 0,007</w:t>
            </w:r>
          </w:p>
          <w:p w:rsidR="00224F0F" w:rsidRDefault="00224F0F">
            <w:pPr>
              <w:spacing w:line="240" w:lineRule="auto"/>
              <w:jc w:val="center"/>
              <w:rPr>
                <w:color w:val="000000"/>
                <w:lang w:val="hu-HU"/>
              </w:rPr>
            </w:pPr>
          </w:p>
        </w:tc>
      </w:tr>
      <w:tr w:rsidR="00224F0F">
        <w:tc>
          <w:tcPr>
            <w:tcW w:w="2518" w:type="dxa"/>
            <w:shd w:val="clear" w:color="auto" w:fill="auto"/>
          </w:tcPr>
          <w:p w:rsidR="00224F0F" w:rsidRDefault="00485CCD">
            <w:pPr>
              <w:pStyle w:val="Default"/>
              <w:spacing w:before="120" w:after="120"/>
              <w:ind w:left="284"/>
              <w:rPr>
                <w:sz w:val="22"/>
                <w:szCs w:val="22"/>
              </w:rPr>
            </w:pPr>
            <w:r>
              <w:rPr>
                <w:sz w:val="22"/>
                <w:szCs w:val="22"/>
              </w:rPr>
              <w:t>Intracranialis vérzés*</w:t>
            </w:r>
          </w:p>
        </w:tc>
        <w:tc>
          <w:tcPr>
            <w:tcW w:w="2410" w:type="dxa"/>
            <w:shd w:val="clear" w:color="auto" w:fill="auto"/>
          </w:tcPr>
          <w:p w:rsidR="00224F0F" w:rsidRDefault="00485CCD">
            <w:pPr>
              <w:pStyle w:val="Default"/>
              <w:jc w:val="center"/>
              <w:rPr>
                <w:sz w:val="22"/>
                <w:szCs w:val="22"/>
              </w:rPr>
            </w:pPr>
            <w:r>
              <w:rPr>
                <w:sz w:val="22"/>
                <w:szCs w:val="22"/>
              </w:rPr>
              <w:t>55</w:t>
            </w:r>
          </w:p>
          <w:p w:rsidR="00224F0F" w:rsidRDefault="00485CCD">
            <w:pPr>
              <w:pStyle w:val="Default"/>
              <w:jc w:val="center"/>
              <w:rPr>
                <w:sz w:val="22"/>
                <w:szCs w:val="22"/>
              </w:rPr>
            </w:pPr>
            <w:r>
              <w:rPr>
                <w:sz w:val="22"/>
                <w:szCs w:val="22"/>
              </w:rPr>
              <w:t>(0,49)</w:t>
            </w:r>
          </w:p>
        </w:tc>
        <w:tc>
          <w:tcPr>
            <w:tcW w:w="2126" w:type="dxa"/>
            <w:shd w:val="clear" w:color="auto" w:fill="auto"/>
          </w:tcPr>
          <w:p w:rsidR="00224F0F" w:rsidRDefault="00485CCD">
            <w:pPr>
              <w:pStyle w:val="Default"/>
              <w:jc w:val="center"/>
              <w:rPr>
                <w:sz w:val="22"/>
                <w:szCs w:val="22"/>
              </w:rPr>
            </w:pPr>
            <w:r>
              <w:rPr>
                <w:sz w:val="22"/>
                <w:szCs w:val="22"/>
              </w:rPr>
              <w:t xml:space="preserve">84 </w:t>
            </w:r>
          </w:p>
          <w:p w:rsidR="00224F0F" w:rsidRDefault="00485CCD">
            <w:pPr>
              <w:pStyle w:val="Default"/>
              <w:jc w:val="center"/>
              <w:rPr>
                <w:sz w:val="22"/>
                <w:szCs w:val="22"/>
              </w:rPr>
            </w:pPr>
            <w:r>
              <w:rPr>
                <w:sz w:val="22"/>
                <w:szCs w:val="22"/>
              </w:rPr>
              <w:t>(0,74)</w:t>
            </w:r>
          </w:p>
          <w:p w:rsidR="00224F0F" w:rsidRDefault="00224F0F">
            <w:pPr>
              <w:spacing w:line="240" w:lineRule="auto"/>
              <w:jc w:val="center"/>
              <w:rPr>
                <w:color w:val="000000"/>
                <w:lang w:val="hu-HU"/>
              </w:rPr>
            </w:pPr>
          </w:p>
        </w:tc>
        <w:tc>
          <w:tcPr>
            <w:tcW w:w="2157" w:type="dxa"/>
            <w:shd w:val="clear" w:color="auto" w:fill="auto"/>
          </w:tcPr>
          <w:p w:rsidR="00224F0F" w:rsidRDefault="00485CCD">
            <w:pPr>
              <w:pStyle w:val="Default"/>
              <w:jc w:val="center"/>
              <w:rPr>
                <w:sz w:val="22"/>
                <w:szCs w:val="22"/>
              </w:rPr>
            </w:pPr>
            <w:r>
              <w:rPr>
                <w:sz w:val="22"/>
                <w:szCs w:val="22"/>
              </w:rPr>
              <w:t>0,67 (0,47-0,93)</w:t>
            </w:r>
          </w:p>
          <w:p w:rsidR="00224F0F" w:rsidRDefault="00485CCD">
            <w:pPr>
              <w:pStyle w:val="Default"/>
              <w:jc w:val="center"/>
              <w:rPr>
                <w:sz w:val="22"/>
                <w:szCs w:val="22"/>
              </w:rPr>
            </w:pPr>
            <w:r>
              <w:rPr>
                <w:sz w:val="22"/>
                <w:szCs w:val="22"/>
              </w:rPr>
              <w:t>0,019</w:t>
            </w:r>
          </w:p>
        </w:tc>
      </w:tr>
      <w:tr w:rsidR="00224F0F">
        <w:tc>
          <w:tcPr>
            <w:tcW w:w="2518" w:type="dxa"/>
            <w:shd w:val="clear" w:color="auto" w:fill="auto"/>
          </w:tcPr>
          <w:p w:rsidR="00224F0F" w:rsidRDefault="00485CCD">
            <w:pPr>
              <w:pStyle w:val="Default"/>
              <w:spacing w:before="120" w:after="120"/>
              <w:ind w:left="284"/>
              <w:rPr>
                <w:sz w:val="22"/>
                <w:szCs w:val="22"/>
              </w:rPr>
            </w:pPr>
            <w:r>
              <w:rPr>
                <w:sz w:val="22"/>
                <w:szCs w:val="22"/>
              </w:rPr>
              <w:t xml:space="preserve">Haemoglobinszint csökkenése* </w:t>
            </w:r>
          </w:p>
        </w:tc>
        <w:tc>
          <w:tcPr>
            <w:tcW w:w="2410" w:type="dxa"/>
            <w:shd w:val="clear" w:color="auto" w:fill="auto"/>
          </w:tcPr>
          <w:p w:rsidR="00224F0F" w:rsidRDefault="00485CCD">
            <w:pPr>
              <w:pStyle w:val="Default"/>
              <w:jc w:val="center"/>
              <w:rPr>
                <w:sz w:val="22"/>
                <w:szCs w:val="22"/>
              </w:rPr>
            </w:pPr>
            <w:r>
              <w:rPr>
                <w:sz w:val="22"/>
                <w:szCs w:val="22"/>
              </w:rPr>
              <w:t>305</w:t>
            </w:r>
          </w:p>
          <w:p w:rsidR="00224F0F" w:rsidRDefault="00485CCD">
            <w:pPr>
              <w:pStyle w:val="Default"/>
              <w:jc w:val="center"/>
              <w:rPr>
                <w:sz w:val="22"/>
                <w:szCs w:val="22"/>
              </w:rPr>
            </w:pPr>
            <w:r>
              <w:rPr>
                <w:sz w:val="22"/>
                <w:szCs w:val="22"/>
              </w:rPr>
              <w:t>(2,77)</w:t>
            </w:r>
          </w:p>
          <w:p w:rsidR="00224F0F" w:rsidRDefault="00224F0F">
            <w:pPr>
              <w:spacing w:line="240" w:lineRule="auto"/>
              <w:jc w:val="center"/>
              <w:rPr>
                <w:color w:val="000000"/>
                <w:lang w:val="hu-HU"/>
              </w:rPr>
            </w:pPr>
          </w:p>
        </w:tc>
        <w:tc>
          <w:tcPr>
            <w:tcW w:w="2126" w:type="dxa"/>
            <w:shd w:val="clear" w:color="auto" w:fill="auto"/>
          </w:tcPr>
          <w:p w:rsidR="00224F0F" w:rsidRDefault="00485CCD">
            <w:pPr>
              <w:pStyle w:val="Default"/>
              <w:jc w:val="center"/>
              <w:rPr>
                <w:sz w:val="22"/>
                <w:szCs w:val="22"/>
              </w:rPr>
            </w:pPr>
            <w:r>
              <w:rPr>
                <w:sz w:val="22"/>
                <w:szCs w:val="22"/>
              </w:rPr>
              <w:t>254</w:t>
            </w:r>
          </w:p>
          <w:p w:rsidR="00224F0F" w:rsidRDefault="00485CCD">
            <w:pPr>
              <w:pStyle w:val="Default"/>
              <w:jc w:val="center"/>
              <w:rPr>
                <w:sz w:val="22"/>
                <w:szCs w:val="22"/>
              </w:rPr>
            </w:pPr>
            <w:r>
              <w:rPr>
                <w:sz w:val="22"/>
                <w:szCs w:val="22"/>
              </w:rPr>
              <w:t>(2,26)</w:t>
            </w:r>
          </w:p>
          <w:p w:rsidR="00224F0F" w:rsidRDefault="00224F0F">
            <w:pPr>
              <w:spacing w:line="240" w:lineRule="auto"/>
              <w:ind w:firstLine="720"/>
              <w:jc w:val="center"/>
              <w:rPr>
                <w:color w:val="000000"/>
                <w:lang w:val="hu-HU"/>
              </w:rPr>
            </w:pPr>
          </w:p>
        </w:tc>
        <w:tc>
          <w:tcPr>
            <w:tcW w:w="2157" w:type="dxa"/>
            <w:shd w:val="clear" w:color="auto" w:fill="auto"/>
          </w:tcPr>
          <w:p w:rsidR="00224F0F" w:rsidRDefault="00485CCD">
            <w:pPr>
              <w:pStyle w:val="Default"/>
              <w:jc w:val="center"/>
              <w:rPr>
                <w:sz w:val="22"/>
                <w:szCs w:val="22"/>
              </w:rPr>
            </w:pPr>
            <w:r>
              <w:rPr>
                <w:sz w:val="22"/>
                <w:szCs w:val="22"/>
              </w:rPr>
              <w:t>1,22 (1,03-1,44)</w:t>
            </w:r>
          </w:p>
          <w:p w:rsidR="00224F0F" w:rsidRDefault="00485CCD">
            <w:pPr>
              <w:pStyle w:val="Default"/>
              <w:jc w:val="center"/>
              <w:rPr>
                <w:sz w:val="22"/>
                <w:szCs w:val="22"/>
              </w:rPr>
            </w:pPr>
            <w:r>
              <w:rPr>
                <w:sz w:val="22"/>
                <w:szCs w:val="22"/>
              </w:rPr>
              <w:t xml:space="preserve"> 0,019</w:t>
            </w:r>
          </w:p>
          <w:p w:rsidR="00224F0F" w:rsidRDefault="00224F0F">
            <w:pPr>
              <w:spacing w:line="240" w:lineRule="auto"/>
              <w:jc w:val="center"/>
              <w:rPr>
                <w:color w:val="000000"/>
                <w:lang w:val="hu-HU"/>
              </w:rPr>
            </w:pPr>
          </w:p>
        </w:tc>
      </w:tr>
      <w:tr w:rsidR="00224F0F">
        <w:tc>
          <w:tcPr>
            <w:tcW w:w="2518" w:type="dxa"/>
            <w:shd w:val="clear" w:color="auto" w:fill="auto"/>
          </w:tcPr>
          <w:p w:rsidR="00224F0F" w:rsidRDefault="00485CCD">
            <w:pPr>
              <w:pStyle w:val="Default"/>
              <w:spacing w:before="120" w:after="120"/>
              <w:ind w:left="284"/>
              <w:rPr>
                <w:sz w:val="22"/>
                <w:szCs w:val="22"/>
              </w:rPr>
            </w:pPr>
            <w:r>
              <w:rPr>
                <w:sz w:val="22"/>
                <w:szCs w:val="22"/>
              </w:rPr>
              <w:t xml:space="preserve">2 vagy több egység vörösvértest-koncentrátum vagy teljes vér transzfúziója* </w:t>
            </w:r>
          </w:p>
        </w:tc>
        <w:tc>
          <w:tcPr>
            <w:tcW w:w="2410" w:type="dxa"/>
            <w:shd w:val="clear" w:color="auto" w:fill="auto"/>
          </w:tcPr>
          <w:p w:rsidR="00224F0F" w:rsidRDefault="00485CCD">
            <w:pPr>
              <w:pStyle w:val="Default"/>
              <w:jc w:val="center"/>
              <w:rPr>
                <w:sz w:val="22"/>
                <w:szCs w:val="22"/>
              </w:rPr>
            </w:pPr>
            <w:r>
              <w:rPr>
                <w:sz w:val="22"/>
                <w:szCs w:val="22"/>
              </w:rPr>
              <w:t>183</w:t>
            </w:r>
          </w:p>
          <w:p w:rsidR="00224F0F" w:rsidRDefault="00485CCD">
            <w:pPr>
              <w:pStyle w:val="Default"/>
              <w:jc w:val="center"/>
              <w:rPr>
                <w:sz w:val="22"/>
                <w:szCs w:val="22"/>
              </w:rPr>
            </w:pPr>
            <w:r>
              <w:rPr>
                <w:sz w:val="22"/>
                <w:szCs w:val="22"/>
              </w:rPr>
              <w:t>(1,65)</w:t>
            </w:r>
          </w:p>
          <w:p w:rsidR="00224F0F" w:rsidRDefault="00224F0F">
            <w:pPr>
              <w:spacing w:line="240" w:lineRule="auto"/>
              <w:jc w:val="center"/>
              <w:rPr>
                <w:color w:val="000000"/>
                <w:lang w:val="hu-HU"/>
              </w:rPr>
            </w:pPr>
          </w:p>
        </w:tc>
        <w:tc>
          <w:tcPr>
            <w:tcW w:w="2126" w:type="dxa"/>
            <w:shd w:val="clear" w:color="auto" w:fill="auto"/>
          </w:tcPr>
          <w:tbl>
            <w:tblPr>
              <w:tblW w:w="0" w:type="auto"/>
              <w:jc w:val="center"/>
              <w:tblBorders>
                <w:top w:val="nil"/>
                <w:left w:val="nil"/>
                <w:bottom w:val="nil"/>
                <w:right w:val="nil"/>
              </w:tblBorders>
              <w:tblLook w:val="0000" w:firstRow="0" w:lastRow="0" w:firstColumn="0" w:lastColumn="0" w:noHBand="0" w:noVBand="0"/>
            </w:tblPr>
            <w:tblGrid>
              <w:gridCol w:w="803"/>
              <w:gridCol w:w="222"/>
            </w:tblGrid>
            <w:tr w:rsidR="00224F0F">
              <w:trPr>
                <w:trHeight w:val="274"/>
                <w:jc w:val="center"/>
              </w:trPr>
              <w:tc>
                <w:tcPr>
                  <w:tcW w:w="0" w:type="auto"/>
                </w:tcPr>
                <w:p w:rsidR="00224F0F" w:rsidRDefault="00485CCD">
                  <w:pPr>
                    <w:pStyle w:val="Default"/>
                    <w:jc w:val="center"/>
                    <w:rPr>
                      <w:sz w:val="22"/>
                      <w:szCs w:val="22"/>
                    </w:rPr>
                  </w:pPr>
                  <w:r>
                    <w:rPr>
                      <w:sz w:val="22"/>
                      <w:szCs w:val="22"/>
                    </w:rPr>
                    <w:t>149</w:t>
                  </w:r>
                </w:p>
                <w:p w:rsidR="00224F0F" w:rsidRDefault="00485CCD">
                  <w:pPr>
                    <w:pStyle w:val="Default"/>
                    <w:jc w:val="center"/>
                    <w:rPr>
                      <w:sz w:val="22"/>
                      <w:szCs w:val="22"/>
                    </w:rPr>
                  </w:pPr>
                  <w:r>
                    <w:rPr>
                      <w:sz w:val="22"/>
                      <w:szCs w:val="22"/>
                    </w:rPr>
                    <w:t xml:space="preserve"> (1,32)</w:t>
                  </w:r>
                </w:p>
              </w:tc>
              <w:tc>
                <w:tcPr>
                  <w:tcW w:w="0" w:type="auto"/>
                </w:tcPr>
                <w:p w:rsidR="00224F0F" w:rsidRDefault="00224F0F">
                  <w:pPr>
                    <w:pStyle w:val="Default"/>
                    <w:jc w:val="center"/>
                    <w:rPr>
                      <w:sz w:val="22"/>
                      <w:szCs w:val="22"/>
                    </w:rPr>
                  </w:pPr>
                </w:p>
              </w:tc>
            </w:tr>
          </w:tbl>
          <w:p w:rsidR="00224F0F" w:rsidRDefault="00224F0F">
            <w:pPr>
              <w:spacing w:line="240" w:lineRule="auto"/>
              <w:jc w:val="center"/>
              <w:rPr>
                <w:color w:val="000000"/>
                <w:lang w:val="hu-HU"/>
              </w:rPr>
            </w:pPr>
          </w:p>
        </w:tc>
        <w:tc>
          <w:tcPr>
            <w:tcW w:w="2157" w:type="dxa"/>
            <w:shd w:val="clear" w:color="auto" w:fill="auto"/>
          </w:tcPr>
          <w:tbl>
            <w:tblPr>
              <w:tblW w:w="0" w:type="auto"/>
              <w:tblBorders>
                <w:top w:val="nil"/>
                <w:left w:val="nil"/>
                <w:bottom w:val="nil"/>
                <w:right w:val="nil"/>
              </w:tblBorders>
              <w:tblLook w:val="0000" w:firstRow="0" w:lastRow="0" w:firstColumn="0" w:lastColumn="0" w:noHBand="0" w:noVBand="0"/>
            </w:tblPr>
            <w:tblGrid>
              <w:gridCol w:w="1861"/>
            </w:tblGrid>
            <w:tr w:rsidR="00224F0F">
              <w:trPr>
                <w:trHeight w:val="274"/>
              </w:trPr>
              <w:tc>
                <w:tcPr>
                  <w:tcW w:w="0" w:type="auto"/>
                </w:tcPr>
                <w:p w:rsidR="00224F0F" w:rsidRDefault="00485CCD">
                  <w:pPr>
                    <w:pStyle w:val="Default"/>
                    <w:jc w:val="center"/>
                    <w:rPr>
                      <w:sz w:val="22"/>
                      <w:szCs w:val="22"/>
                    </w:rPr>
                  </w:pPr>
                  <w:r>
                    <w:rPr>
                      <w:sz w:val="22"/>
                      <w:szCs w:val="22"/>
                    </w:rPr>
                    <w:t>1,25 (1,01-1,55) 0,044</w:t>
                  </w:r>
                </w:p>
              </w:tc>
            </w:tr>
          </w:tbl>
          <w:p w:rsidR="00224F0F" w:rsidRDefault="00224F0F">
            <w:pPr>
              <w:spacing w:line="240" w:lineRule="auto"/>
              <w:jc w:val="center"/>
              <w:rPr>
                <w:color w:val="000000"/>
                <w:lang w:val="hu-HU"/>
              </w:rPr>
            </w:pPr>
          </w:p>
        </w:tc>
      </w:tr>
      <w:tr w:rsidR="00224F0F">
        <w:tc>
          <w:tcPr>
            <w:tcW w:w="2518" w:type="dxa"/>
            <w:shd w:val="clear" w:color="auto" w:fill="auto"/>
          </w:tcPr>
          <w:p w:rsidR="00224F0F" w:rsidRDefault="00485CCD">
            <w:pPr>
              <w:pStyle w:val="Default"/>
              <w:spacing w:before="120" w:after="120"/>
              <w:ind w:left="142"/>
              <w:rPr>
                <w:sz w:val="22"/>
                <w:szCs w:val="22"/>
              </w:rPr>
            </w:pPr>
            <w:r>
              <w:rPr>
                <w:sz w:val="22"/>
                <w:szCs w:val="22"/>
              </w:rPr>
              <w:t xml:space="preserve">Nem súlyos, klinikailag jelentős vérzéses események </w:t>
            </w:r>
          </w:p>
        </w:tc>
        <w:tc>
          <w:tcPr>
            <w:tcW w:w="2410" w:type="dxa"/>
            <w:shd w:val="clear" w:color="auto" w:fill="auto"/>
          </w:tcPr>
          <w:p w:rsidR="00224F0F" w:rsidRDefault="00485CCD">
            <w:pPr>
              <w:pStyle w:val="Default"/>
              <w:jc w:val="center"/>
              <w:rPr>
                <w:sz w:val="22"/>
                <w:szCs w:val="22"/>
              </w:rPr>
            </w:pPr>
            <w:r>
              <w:rPr>
                <w:sz w:val="22"/>
                <w:szCs w:val="22"/>
              </w:rPr>
              <w:t>1185</w:t>
            </w:r>
          </w:p>
          <w:p w:rsidR="00224F0F" w:rsidRDefault="00485CCD">
            <w:pPr>
              <w:pStyle w:val="Default"/>
              <w:jc w:val="center"/>
              <w:rPr>
                <w:sz w:val="22"/>
                <w:szCs w:val="22"/>
              </w:rPr>
            </w:pPr>
            <w:r>
              <w:rPr>
                <w:sz w:val="22"/>
                <w:szCs w:val="22"/>
              </w:rPr>
              <w:t>(11,80)</w:t>
            </w:r>
          </w:p>
          <w:p w:rsidR="00224F0F" w:rsidRDefault="00224F0F">
            <w:pPr>
              <w:spacing w:line="240" w:lineRule="auto"/>
              <w:jc w:val="center"/>
              <w:rPr>
                <w:color w:val="000000"/>
                <w:lang w:val="hu-HU"/>
              </w:rPr>
            </w:pPr>
          </w:p>
        </w:tc>
        <w:tc>
          <w:tcPr>
            <w:tcW w:w="2126" w:type="dxa"/>
            <w:shd w:val="clear" w:color="auto" w:fill="auto"/>
          </w:tcPr>
          <w:p w:rsidR="00224F0F" w:rsidRDefault="00485CCD">
            <w:pPr>
              <w:pStyle w:val="Default"/>
              <w:jc w:val="center"/>
              <w:rPr>
                <w:sz w:val="22"/>
                <w:szCs w:val="22"/>
              </w:rPr>
            </w:pPr>
            <w:r>
              <w:rPr>
                <w:sz w:val="22"/>
                <w:szCs w:val="22"/>
              </w:rPr>
              <w:t>1151</w:t>
            </w:r>
          </w:p>
          <w:p w:rsidR="00224F0F" w:rsidRDefault="00485CCD">
            <w:pPr>
              <w:pStyle w:val="Default"/>
              <w:jc w:val="center"/>
              <w:rPr>
                <w:sz w:val="22"/>
                <w:szCs w:val="22"/>
              </w:rPr>
            </w:pPr>
            <w:r>
              <w:rPr>
                <w:sz w:val="22"/>
                <w:szCs w:val="22"/>
              </w:rPr>
              <w:t xml:space="preserve"> (11,37)</w:t>
            </w:r>
          </w:p>
          <w:p w:rsidR="00224F0F" w:rsidRDefault="00224F0F">
            <w:pPr>
              <w:spacing w:line="240" w:lineRule="auto"/>
              <w:jc w:val="center"/>
              <w:rPr>
                <w:color w:val="000000"/>
                <w:lang w:val="hu-HU"/>
              </w:rPr>
            </w:pPr>
          </w:p>
        </w:tc>
        <w:tc>
          <w:tcPr>
            <w:tcW w:w="2157" w:type="dxa"/>
            <w:shd w:val="clear" w:color="auto" w:fill="auto"/>
          </w:tcPr>
          <w:p w:rsidR="00224F0F" w:rsidRDefault="00485CCD">
            <w:pPr>
              <w:pStyle w:val="Default"/>
              <w:jc w:val="center"/>
              <w:rPr>
                <w:sz w:val="22"/>
                <w:szCs w:val="22"/>
              </w:rPr>
            </w:pPr>
            <w:r>
              <w:rPr>
                <w:sz w:val="22"/>
                <w:szCs w:val="22"/>
              </w:rPr>
              <w:t>1,04 (0,96-1,13)</w:t>
            </w:r>
          </w:p>
          <w:p w:rsidR="00224F0F" w:rsidRDefault="00485CCD">
            <w:pPr>
              <w:pStyle w:val="Default"/>
              <w:jc w:val="center"/>
              <w:rPr>
                <w:sz w:val="22"/>
                <w:szCs w:val="22"/>
              </w:rPr>
            </w:pPr>
            <w:r>
              <w:rPr>
                <w:sz w:val="22"/>
                <w:szCs w:val="22"/>
              </w:rPr>
              <w:t>0,345</w:t>
            </w:r>
          </w:p>
          <w:p w:rsidR="00224F0F" w:rsidRDefault="00224F0F">
            <w:pPr>
              <w:spacing w:line="240" w:lineRule="auto"/>
              <w:jc w:val="center"/>
              <w:rPr>
                <w:color w:val="000000"/>
                <w:lang w:val="hu-HU"/>
              </w:rPr>
            </w:pPr>
          </w:p>
        </w:tc>
      </w:tr>
      <w:tr w:rsidR="00224F0F">
        <w:tc>
          <w:tcPr>
            <w:tcW w:w="2518" w:type="dxa"/>
            <w:shd w:val="clear" w:color="auto" w:fill="auto"/>
          </w:tcPr>
          <w:p w:rsidR="00224F0F" w:rsidRDefault="00485CCD">
            <w:pPr>
              <w:pStyle w:val="Default"/>
              <w:spacing w:before="120" w:after="120"/>
              <w:rPr>
                <w:sz w:val="22"/>
                <w:szCs w:val="22"/>
              </w:rPr>
            </w:pPr>
            <w:r>
              <w:rPr>
                <w:sz w:val="22"/>
                <w:szCs w:val="22"/>
              </w:rPr>
              <w:t xml:space="preserve">Összhalálozás </w:t>
            </w:r>
          </w:p>
          <w:p w:rsidR="00224F0F" w:rsidRDefault="00224F0F">
            <w:pPr>
              <w:spacing w:line="240" w:lineRule="auto"/>
              <w:rPr>
                <w:color w:val="000000"/>
                <w:lang w:val="hu-HU"/>
              </w:rPr>
            </w:pPr>
          </w:p>
        </w:tc>
        <w:tc>
          <w:tcPr>
            <w:tcW w:w="2410" w:type="dxa"/>
            <w:shd w:val="clear" w:color="auto" w:fill="auto"/>
          </w:tcPr>
          <w:p w:rsidR="00224F0F" w:rsidRDefault="00485CCD">
            <w:pPr>
              <w:pStyle w:val="Default"/>
              <w:jc w:val="center"/>
              <w:rPr>
                <w:sz w:val="22"/>
                <w:szCs w:val="22"/>
              </w:rPr>
            </w:pPr>
            <w:r>
              <w:rPr>
                <w:sz w:val="22"/>
                <w:szCs w:val="22"/>
              </w:rPr>
              <w:t>208</w:t>
            </w:r>
          </w:p>
          <w:p w:rsidR="00224F0F" w:rsidRDefault="00485CCD">
            <w:pPr>
              <w:pStyle w:val="Default"/>
              <w:jc w:val="center"/>
              <w:rPr>
                <w:sz w:val="22"/>
                <w:szCs w:val="22"/>
              </w:rPr>
            </w:pPr>
            <w:r>
              <w:rPr>
                <w:sz w:val="22"/>
                <w:szCs w:val="22"/>
              </w:rPr>
              <w:t>(1,87)</w:t>
            </w:r>
          </w:p>
        </w:tc>
        <w:tc>
          <w:tcPr>
            <w:tcW w:w="2126" w:type="dxa"/>
            <w:shd w:val="clear" w:color="auto" w:fill="auto"/>
          </w:tcPr>
          <w:p w:rsidR="00224F0F" w:rsidRDefault="00485CCD">
            <w:pPr>
              <w:pStyle w:val="Default"/>
              <w:ind w:hanging="142"/>
              <w:jc w:val="center"/>
              <w:rPr>
                <w:sz w:val="22"/>
                <w:szCs w:val="22"/>
              </w:rPr>
            </w:pPr>
            <w:r>
              <w:rPr>
                <w:sz w:val="22"/>
                <w:szCs w:val="22"/>
              </w:rPr>
              <w:t>250</w:t>
            </w:r>
          </w:p>
          <w:p w:rsidR="00224F0F" w:rsidRDefault="00485CCD">
            <w:pPr>
              <w:pStyle w:val="Default"/>
              <w:ind w:hanging="142"/>
              <w:jc w:val="center"/>
              <w:rPr>
                <w:sz w:val="22"/>
                <w:szCs w:val="22"/>
              </w:rPr>
            </w:pPr>
            <w:r>
              <w:rPr>
                <w:sz w:val="22"/>
                <w:szCs w:val="22"/>
              </w:rPr>
              <w:t>(2,21)</w:t>
            </w:r>
          </w:p>
        </w:tc>
        <w:tc>
          <w:tcPr>
            <w:tcW w:w="2157" w:type="dxa"/>
            <w:shd w:val="clear" w:color="auto" w:fill="auto"/>
          </w:tcPr>
          <w:p w:rsidR="00224F0F" w:rsidRDefault="00485CCD">
            <w:pPr>
              <w:pStyle w:val="Default"/>
              <w:jc w:val="center"/>
              <w:rPr>
                <w:sz w:val="22"/>
                <w:szCs w:val="22"/>
              </w:rPr>
            </w:pPr>
            <w:r>
              <w:rPr>
                <w:sz w:val="22"/>
                <w:szCs w:val="22"/>
              </w:rPr>
              <w:t>0,85 (0,70-1,02)</w:t>
            </w:r>
          </w:p>
          <w:p w:rsidR="00224F0F" w:rsidRDefault="00485CCD">
            <w:pPr>
              <w:pStyle w:val="Default"/>
              <w:jc w:val="center"/>
              <w:rPr>
                <w:sz w:val="22"/>
                <w:szCs w:val="22"/>
              </w:rPr>
            </w:pPr>
            <w:r>
              <w:rPr>
                <w:sz w:val="22"/>
                <w:szCs w:val="22"/>
              </w:rPr>
              <w:t>0,073</w:t>
            </w:r>
          </w:p>
        </w:tc>
      </w:tr>
    </w:tbl>
    <w:p w:rsidR="00224F0F" w:rsidRDefault="00485CCD" w:rsidP="00A54C3F">
      <w:pPr>
        <w:pStyle w:val="Default"/>
        <w:tabs>
          <w:tab w:val="left" w:pos="426"/>
        </w:tabs>
        <w:rPr>
          <w:sz w:val="22"/>
          <w:szCs w:val="22"/>
        </w:rPr>
      </w:pPr>
      <w:r>
        <w:rPr>
          <w:sz w:val="22"/>
          <w:szCs w:val="22"/>
        </w:rPr>
        <w:t>a</w:t>
      </w:r>
      <w:r w:rsidR="002C6FA3">
        <w:rPr>
          <w:sz w:val="22"/>
          <w:szCs w:val="22"/>
        </w:rPr>
        <w:t>)</w:t>
      </w:r>
      <w:r w:rsidR="002C6FA3">
        <w:rPr>
          <w:sz w:val="22"/>
          <w:szCs w:val="22"/>
        </w:rPr>
        <w:tab/>
      </w:r>
      <w:r>
        <w:rPr>
          <w:sz w:val="22"/>
          <w:szCs w:val="22"/>
        </w:rPr>
        <w:t>biztonsági populáció, kezelés alatt</w:t>
      </w:r>
    </w:p>
    <w:p w:rsidR="00224F0F" w:rsidRDefault="002C6FA3" w:rsidP="00A54C3F">
      <w:pPr>
        <w:tabs>
          <w:tab w:val="left" w:pos="426"/>
        </w:tabs>
        <w:spacing w:line="240" w:lineRule="auto"/>
        <w:rPr>
          <w:color w:val="000000"/>
          <w:lang w:val="hu-HU"/>
        </w:rPr>
      </w:pPr>
      <w:r>
        <w:rPr>
          <w:color w:val="000000"/>
          <w:lang w:val="hu-HU"/>
        </w:rPr>
        <w:t>*</w:t>
      </w:r>
      <w:r>
        <w:rPr>
          <w:color w:val="000000"/>
          <w:lang w:val="hu-HU"/>
        </w:rPr>
        <w:tab/>
      </w:r>
      <w:r w:rsidR="00485CCD">
        <w:rPr>
          <w:color w:val="000000"/>
          <w:lang w:val="hu-HU"/>
        </w:rPr>
        <w:t>névlegesen szignifikáns</w:t>
      </w:r>
    </w:p>
    <w:p w:rsidR="00224F0F" w:rsidRDefault="00224F0F">
      <w:pPr>
        <w:spacing w:line="240" w:lineRule="auto"/>
        <w:rPr>
          <w:color w:val="000000"/>
          <w:lang w:val="hu-HU"/>
        </w:rPr>
      </w:pPr>
    </w:p>
    <w:p w:rsidR="00224F0F" w:rsidRDefault="00485CCD">
      <w:pPr>
        <w:spacing w:line="240" w:lineRule="auto"/>
      </w:pPr>
      <w:r>
        <w:rPr>
          <w:color w:val="000000"/>
          <w:lang w:val="hu-HU"/>
        </w:rPr>
        <w:t xml:space="preserve">A III. fázisú ROCKET AF vizsgálaton túl egy prospektív, egykarú, engedélyezést követő, beavatkozással nem járó, nyílt kohorsz vizsgálatot (XANTUS) végeztek központosított kiértékeléssel, beleértve a thromboemboliás eseményeket és a jelentős vérzést. 6704, nem valvuláris eredetű pitvarfibrillációban szenvedő beteget vontak be a stroke és a nem központi idegrendszeri eredetű systemas embolisatio klinikai gyakorlatban történő megelőzésének vizsgálatába. Az átlag CHADS2 és HAS-BLED pontszámok a XANTUS során mind 2,0-nek adódtak, szemben a ROCKET-AF átlag </w:t>
      </w:r>
      <w:r>
        <w:rPr>
          <w:color w:val="000000"/>
          <w:lang w:val="hu-HU"/>
        </w:rPr>
        <w:lastRenderedPageBreak/>
        <w:t>3,5</w:t>
      </w:r>
      <w:r w:rsidR="002C6FA3">
        <w:rPr>
          <w:color w:val="000000"/>
          <w:lang w:val="hu-HU"/>
        </w:rPr>
        <w:noBreakHyphen/>
      </w:r>
      <w:r>
        <w:rPr>
          <w:color w:val="000000"/>
          <w:lang w:val="hu-HU"/>
        </w:rPr>
        <w:t xml:space="preserve">es és 2,8-es CHADS2, illetve HAS-BLED pontszámaival. Jelentős vérzés 2,1 per 100 betegév gyakorisággal jelentkezett. Halálos vérzést 0,2 per 100 betegév gyakorisággal, és intracranialis vérzést 0,4 per 100 betegév gyakorisággal jelentettek. </w:t>
      </w:r>
      <w:r>
        <w:t>Stroke-ot vagy nem központi idegrendszeri eredetű systemas embolisatiót 0,8 per 100 betegév gyakorisággal jegyeztek fel.</w:t>
      </w:r>
    </w:p>
    <w:p w:rsidR="00224F0F" w:rsidRDefault="00485CCD">
      <w:pPr>
        <w:pStyle w:val="Default"/>
        <w:rPr>
          <w:sz w:val="22"/>
          <w:szCs w:val="22"/>
        </w:rPr>
      </w:pPr>
      <w:r>
        <w:rPr>
          <w:sz w:val="22"/>
          <w:szCs w:val="22"/>
        </w:rPr>
        <w:t>Ezek a klinikai gyakorlatból származó megfigyelések konzisztensek az ebben az indikációban megállapított biztonságossági profillal.</w:t>
      </w:r>
    </w:p>
    <w:p w:rsidR="00224F0F" w:rsidRDefault="00224F0F">
      <w:pPr>
        <w:pStyle w:val="Default"/>
        <w:rPr>
          <w:sz w:val="22"/>
          <w:szCs w:val="22"/>
        </w:rPr>
      </w:pPr>
    </w:p>
    <w:p w:rsidR="00224F0F" w:rsidRDefault="00485CCD">
      <w:pPr>
        <w:pStyle w:val="Default"/>
        <w:rPr>
          <w:sz w:val="22"/>
          <w:szCs w:val="22"/>
        </w:rPr>
      </w:pPr>
      <w:r>
        <w:rPr>
          <w:sz w:val="22"/>
          <w:szCs w:val="22"/>
          <w:lang w:val="en-GB"/>
        </w:rPr>
        <w:t>A forgalombahozatali engedély kiadása utáni, beavatkozással nem járó, négy országban több mint 162 000 beteg bevonásával járó vizsgálatban rivaroxabánt rendeltek a stroke és a szisztémás embólia megelőzésére nem valvuláris eredetű pitvarfibrillációban szenvedő betegeknél. Az ischaemiás stroke esemény előfordulási aránya 0,70 (95%-os CI</w:t>
      </w:r>
      <w:r w:rsidR="002C6FA3">
        <w:rPr>
          <w:sz w:val="22"/>
          <w:szCs w:val="22"/>
          <w:lang w:val="en-GB"/>
        </w:rPr>
        <w:t>:</w:t>
      </w:r>
      <w:r>
        <w:rPr>
          <w:sz w:val="22"/>
          <w:szCs w:val="22"/>
          <w:lang w:val="en-GB"/>
        </w:rPr>
        <w:t xml:space="preserve"> 0,44–1,13) volt 100 betegévre vetítve. Kórházi kezelést igénylő vérzések a következő esemény/100 betegév arányban fordultak elő: 0,43 (95%-os CI</w:t>
      </w:r>
      <w:r w:rsidR="002C6FA3">
        <w:rPr>
          <w:sz w:val="22"/>
          <w:szCs w:val="22"/>
          <w:lang w:val="en-GB"/>
        </w:rPr>
        <w:t>:</w:t>
      </w:r>
      <w:r>
        <w:rPr>
          <w:sz w:val="22"/>
          <w:szCs w:val="22"/>
          <w:lang w:val="en-GB"/>
        </w:rPr>
        <w:t xml:space="preserve"> 0,31</w:t>
      </w:r>
      <w:r w:rsidR="002C6FA3">
        <w:rPr>
          <w:sz w:val="22"/>
          <w:szCs w:val="22"/>
          <w:lang w:val="en-GB"/>
        </w:rPr>
        <w:noBreakHyphen/>
      </w:r>
      <w:r>
        <w:rPr>
          <w:sz w:val="22"/>
          <w:szCs w:val="22"/>
          <w:lang w:val="en-GB"/>
        </w:rPr>
        <w:t>0,59) intracranialis vérzések; 1,04 (95%-os CI</w:t>
      </w:r>
      <w:r w:rsidR="002C6FA3">
        <w:rPr>
          <w:sz w:val="22"/>
          <w:szCs w:val="22"/>
          <w:lang w:val="en-GB"/>
        </w:rPr>
        <w:t>:</w:t>
      </w:r>
      <w:r>
        <w:rPr>
          <w:sz w:val="22"/>
          <w:szCs w:val="22"/>
          <w:lang w:val="en-GB"/>
        </w:rPr>
        <w:t xml:space="preserve"> 0,65–1,66) gasztrointesztinális vérzések; 0,41 (95%-os CI</w:t>
      </w:r>
      <w:r w:rsidR="002C6FA3">
        <w:rPr>
          <w:sz w:val="22"/>
          <w:szCs w:val="22"/>
          <w:lang w:val="en-GB"/>
        </w:rPr>
        <w:t>:</w:t>
      </w:r>
      <w:r>
        <w:rPr>
          <w:sz w:val="22"/>
          <w:szCs w:val="22"/>
          <w:lang w:val="en-GB"/>
        </w:rPr>
        <w:t xml:space="preserve"> 0</w:t>
      </w:r>
      <w:r w:rsidR="002C6FA3">
        <w:rPr>
          <w:sz w:val="22"/>
          <w:szCs w:val="22"/>
          <w:lang w:val="en-GB"/>
        </w:rPr>
        <w:t>,</w:t>
      </w:r>
      <w:r>
        <w:rPr>
          <w:sz w:val="22"/>
          <w:szCs w:val="22"/>
          <w:lang w:val="en-GB"/>
        </w:rPr>
        <w:t>31–0</w:t>
      </w:r>
      <w:r w:rsidR="002C6FA3">
        <w:rPr>
          <w:sz w:val="22"/>
          <w:szCs w:val="22"/>
          <w:lang w:val="en-GB"/>
        </w:rPr>
        <w:t>,</w:t>
      </w:r>
      <w:r>
        <w:rPr>
          <w:sz w:val="22"/>
          <w:szCs w:val="22"/>
          <w:lang w:val="en-GB"/>
        </w:rPr>
        <w:t>53) urogenitális vérzések és 0,40 (95%-os CI</w:t>
      </w:r>
      <w:r w:rsidR="002C6FA3">
        <w:rPr>
          <w:sz w:val="22"/>
          <w:szCs w:val="22"/>
          <w:lang w:val="en-GB"/>
        </w:rPr>
        <w:t>:</w:t>
      </w:r>
      <w:r>
        <w:rPr>
          <w:sz w:val="22"/>
          <w:szCs w:val="22"/>
          <w:lang w:val="en-GB"/>
        </w:rPr>
        <w:t xml:space="preserve"> 0,25–0,65) egyéb vérzések.</w:t>
      </w:r>
    </w:p>
    <w:p w:rsidR="00224F0F" w:rsidRDefault="00224F0F">
      <w:pPr>
        <w:pStyle w:val="Default"/>
        <w:rPr>
          <w:sz w:val="22"/>
          <w:szCs w:val="22"/>
        </w:rPr>
      </w:pPr>
    </w:p>
    <w:p w:rsidR="00224F0F" w:rsidRDefault="00485CCD">
      <w:pPr>
        <w:pStyle w:val="Default"/>
        <w:rPr>
          <w:sz w:val="22"/>
          <w:szCs w:val="22"/>
        </w:rPr>
      </w:pPr>
      <w:r>
        <w:rPr>
          <w:sz w:val="22"/>
          <w:szCs w:val="22"/>
          <w:u w:val="single"/>
        </w:rPr>
        <w:t>Kardioverzión áteső betegek</w:t>
      </w:r>
    </w:p>
    <w:p w:rsidR="00224F0F" w:rsidRDefault="00485CCD">
      <w:pPr>
        <w:spacing w:line="240" w:lineRule="auto"/>
        <w:rPr>
          <w:color w:val="000000"/>
          <w:lang w:val="hu-HU"/>
        </w:rPr>
      </w:pPr>
      <w:r>
        <w:rPr>
          <w:color w:val="000000"/>
          <w:lang w:val="hu-HU"/>
        </w:rPr>
        <w:t>A rivaroxabán kardiovaszkuláris események megelőzése szempontjából dózismódosított KVA-val (2:1 randomizált) történő összehasonlítása céljából egy prospektív, randomizált, nyílt, multicentrikus, vakosított végpontú tanulmányozó vizsgálatot (X-VERT) végeztek 1504 nem-valvularis eredetű pitvarfibrillációban szenvedő, kardioverzióra előjegyzett beteg (orális antikoaguláns terápiában nem részesült és előkezelt) bevonásával. A TEE irányított (1–5 napig előkezelt) vagy a hagyományos kardioverzió (legalább három hétig előkezelt) stratégiákat alkalmazták. Az elsődleges hatékonysági végpont (minden stroke, tranziens ischemiás attack, nem-CNS-szisztémás embólia, MI és kardiovaszkuláris halál) 5 beteg (0,5%) esetében jelentkezett a rivaroxabán csoportban (n</w:t>
      </w:r>
      <w:r w:rsidR="002C6FA3">
        <w:rPr>
          <w:color w:val="000000"/>
          <w:lang w:val="hu-HU"/>
        </w:rPr>
        <w:t> </w:t>
      </w:r>
      <w:r>
        <w:rPr>
          <w:color w:val="000000"/>
          <w:lang w:val="hu-HU"/>
        </w:rPr>
        <w:t>=</w:t>
      </w:r>
      <w:r w:rsidR="002C6FA3">
        <w:rPr>
          <w:color w:val="000000"/>
          <w:lang w:val="hu-HU"/>
        </w:rPr>
        <w:t> </w:t>
      </w:r>
      <w:r>
        <w:rPr>
          <w:color w:val="000000"/>
          <w:lang w:val="hu-HU"/>
        </w:rPr>
        <w:t xml:space="preserve">978) és 5 beteg (1,0%) esetében a KVA csoportban (n = 492, RR 0,50, </w:t>
      </w:r>
      <w:r w:rsidR="00332B5A">
        <w:rPr>
          <w:color w:val="000000"/>
          <w:lang w:val="hu-HU"/>
        </w:rPr>
        <w:t>95%-os</w:t>
      </w:r>
      <w:r>
        <w:rPr>
          <w:color w:val="000000"/>
          <w:lang w:val="hu-HU"/>
        </w:rPr>
        <w:t xml:space="preserve"> CI</w:t>
      </w:r>
      <w:r w:rsidR="002C6FA3">
        <w:rPr>
          <w:color w:val="000000"/>
          <w:lang w:val="hu-HU"/>
        </w:rPr>
        <w:t>:</w:t>
      </w:r>
      <w:r>
        <w:rPr>
          <w:color w:val="000000"/>
          <w:lang w:val="hu-HU"/>
        </w:rPr>
        <w:t xml:space="preserve"> 15-1,73, módosított ITT populáció). Az elsődleges biztonságossági kimenetel (jelentős vérzés) 6 (0,6 %) és 4 (0,8 %) beteg esetében történt a rivaroxabán (n = 988) ill. a KVA (n = 499) csoportokban (RR 0,76, 95%</w:t>
      </w:r>
      <w:r w:rsidR="002C6FA3">
        <w:rPr>
          <w:color w:val="000000"/>
          <w:lang w:val="hu-HU"/>
        </w:rPr>
        <w:noBreakHyphen/>
        <w:t>os</w:t>
      </w:r>
      <w:r>
        <w:rPr>
          <w:color w:val="000000"/>
          <w:lang w:val="hu-HU"/>
        </w:rPr>
        <w:t xml:space="preserve"> CI</w:t>
      </w:r>
      <w:r w:rsidR="002C6FA3">
        <w:rPr>
          <w:color w:val="000000"/>
          <w:lang w:val="hu-HU"/>
        </w:rPr>
        <w:t>:</w:t>
      </w:r>
      <w:r>
        <w:rPr>
          <w:color w:val="000000"/>
          <w:lang w:val="hu-HU"/>
        </w:rPr>
        <w:t xml:space="preserve"> 0,21-2,67; biztonsági populáció). Ez a feltáró vizsgálat hasonló hatékonyságot és biztonságosságot mutatott a rivaroxabán és a KVA kezelt betegcsoportokban a kardioverzió tekintetében.</w:t>
      </w:r>
    </w:p>
    <w:p w:rsidR="00224F0F" w:rsidRDefault="00224F0F">
      <w:pPr>
        <w:spacing w:line="240" w:lineRule="auto"/>
        <w:rPr>
          <w:color w:val="000000"/>
          <w:lang w:val="hu-HU"/>
        </w:rPr>
      </w:pPr>
    </w:p>
    <w:p w:rsidR="00224F0F" w:rsidRDefault="00485CCD">
      <w:pPr>
        <w:tabs>
          <w:tab w:val="clear" w:pos="567"/>
        </w:tabs>
        <w:autoSpaceDE w:val="0"/>
        <w:autoSpaceDN w:val="0"/>
        <w:adjustRightInd w:val="0"/>
        <w:spacing w:line="240" w:lineRule="auto"/>
        <w:rPr>
          <w:color w:val="000000"/>
          <w:u w:val="single"/>
          <w:lang w:val="hu-HU" w:eastAsia="hu-HU"/>
        </w:rPr>
      </w:pPr>
      <w:r>
        <w:rPr>
          <w:color w:val="000000"/>
          <w:u w:val="single"/>
          <w:lang w:val="hu-HU" w:eastAsia="hu-HU"/>
        </w:rPr>
        <w:t>Stent beültetésessel járó percután coronaria intervención (PCI) átes</w:t>
      </w:r>
      <w:r>
        <w:rPr>
          <w:rFonts w:eastAsia="TimesNewRomanPSMT"/>
          <w:color w:val="000000"/>
          <w:u w:val="single"/>
          <w:lang w:val="hu-HU" w:eastAsia="hu-HU"/>
        </w:rPr>
        <w:t>ő</w:t>
      </w:r>
      <w:r>
        <w:rPr>
          <w:color w:val="000000"/>
          <w:u w:val="single"/>
          <w:lang w:val="hu-HU" w:eastAsia="hu-HU"/>
        </w:rPr>
        <w:t>, nem-valvularis eredet</w:t>
      </w:r>
      <w:r>
        <w:rPr>
          <w:rFonts w:eastAsia="TimesNewRomanPSMT"/>
          <w:color w:val="000000"/>
          <w:u w:val="single"/>
          <w:lang w:val="hu-HU" w:eastAsia="hu-HU"/>
        </w:rPr>
        <w:t xml:space="preserve">ű </w:t>
      </w:r>
      <w:r>
        <w:rPr>
          <w:color w:val="000000"/>
          <w:u w:val="single"/>
          <w:lang w:val="hu-HU" w:eastAsia="hu-HU"/>
        </w:rPr>
        <w:t>pitvarfibrillációban szenved</w:t>
      </w:r>
      <w:r>
        <w:rPr>
          <w:rFonts w:eastAsia="TimesNewRomanPSMT"/>
          <w:color w:val="000000"/>
          <w:u w:val="single"/>
          <w:lang w:val="hu-HU" w:eastAsia="hu-HU"/>
        </w:rPr>
        <w:t xml:space="preserve">ő </w:t>
      </w:r>
      <w:r>
        <w:rPr>
          <w:color w:val="000000"/>
          <w:u w:val="single"/>
          <w:lang w:val="hu-HU" w:eastAsia="hu-HU"/>
        </w:rPr>
        <w:t>betegek</w:t>
      </w:r>
    </w:p>
    <w:p w:rsidR="00224F0F" w:rsidRDefault="00485CCD">
      <w:pPr>
        <w:tabs>
          <w:tab w:val="clear" w:pos="567"/>
        </w:tabs>
        <w:autoSpaceDE w:val="0"/>
        <w:autoSpaceDN w:val="0"/>
        <w:adjustRightInd w:val="0"/>
        <w:spacing w:line="240" w:lineRule="auto"/>
        <w:rPr>
          <w:color w:val="000000"/>
          <w:lang w:val="hu-HU" w:eastAsia="hu-HU"/>
        </w:rPr>
      </w:pPr>
      <w:r>
        <w:rPr>
          <w:color w:val="000000"/>
          <w:lang w:val="hu-HU" w:eastAsia="hu-HU"/>
        </w:rPr>
        <w:t>Két rivaroxabán és egy KVA kezelési rend biztonságosságának összehasonlítására egy randomizált, nyílt, multicentrikus vizsgálatot (PIONEER AF-PCI) végeztek 2124, nem-valvuláris eredet</w:t>
      </w:r>
      <w:r>
        <w:rPr>
          <w:rFonts w:eastAsia="TimesNewRomanPSMT"/>
          <w:color w:val="000000"/>
          <w:lang w:val="hu-HU" w:eastAsia="hu-HU"/>
        </w:rPr>
        <w:t xml:space="preserve">ű </w:t>
      </w:r>
      <w:r>
        <w:rPr>
          <w:color w:val="000000"/>
          <w:lang w:val="hu-HU" w:eastAsia="hu-HU"/>
        </w:rPr>
        <w:t>pitvarfibrillációban szenved</w:t>
      </w:r>
      <w:r>
        <w:rPr>
          <w:rFonts w:eastAsia="TimesNewRomanPSMT"/>
          <w:color w:val="000000"/>
          <w:lang w:val="hu-HU" w:eastAsia="hu-HU"/>
        </w:rPr>
        <w:t>ő</w:t>
      </w:r>
      <w:r>
        <w:rPr>
          <w:color w:val="000000"/>
          <w:lang w:val="hu-HU" w:eastAsia="hu-HU"/>
        </w:rPr>
        <w:t>, primer atherosclerosis miatt stent beültetéses PCI kezelésen átesett beteggel. A betegeket 1:1:1 arányban randomizálták egy összesen 12 hónapos kezelésre. Azok a betegek, akiknek a kórel</w:t>
      </w:r>
      <w:r>
        <w:rPr>
          <w:rFonts w:eastAsia="TimesNewRomanPSMT"/>
          <w:color w:val="000000"/>
          <w:lang w:val="hu-HU" w:eastAsia="hu-HU"/>
        </w:rPr>
        <w:t>ő</w:t>
      </w:r>
      <w:r>
        <w:rPr>
          <w:color w:val="000000"/>
          <w:lang w:val="hu-HU" w:eastAsia="hu-HU"/>
        </w:rPr>
        <w:t>zményében stroke vagy TIA szerepelt, kizárásra kerültek.</w:t>
      </w:r>
    </w:p>
    <w:p w:rsidR="00224F0F" w:rsidRDefault="00485CCD">
      <w:pPr>
        <w:tabs>
          <w:tab w:val="clear" w:pos="567"/>
        </w:tabs>
        <w:autoSpaceDE w:val="0"/>
        <w:autoSpaceDN w:val="0"/>
        <w:adjustRightInd w:val="0"/>
        <w:spacing w:line="240" w:lineRule="auto"/>
        <w:rPr>
          <w:color w:val="000000"/>
          <w:lang w:val="hu-HU" w:eastAsia="hu-HU"/>
        </w:rPr>
      </w:pPr>
      <w:r>
        <w:rPr>
          <w:color w:val="000000"/>
          <w:lang w:val="hu-HU" w:eastAsia="hu-HU"/>
        </w:rPr>
        <w:t>Az 1. csoport 15 mg rivaroxabánt kapott naponta egyszer (naponta egyszer 10 mg-ot azok a betegek, akiknek a kreatinin-clearence-e 30 – 49 ml/perc volt) és mellé P2Y12 inhibitort. A 2. csoport 2,5 mg rivaroxabánt kapott naponta kétszer, és mellé kett</w:t>
      </w:r>
      <w:r>
        <w:rPr>
          <w:rFonts w:eastAsia="TimesNewRomanPSMT"/>
          <w:color w:val="000000"/>
          <w:lang w:val="hu-HU" w:eastAsia="hu-HU"/>
        </w:rPr>
        <w:t>ő</w:t>
      </w:r>
      <w:r>
        <w:rPr>
          <w:color w:val="000000"/>
          <w:lang w:val="hu-HU" w:eastAsia="hu-HU"/>
        </w:rPr>
        <w:t>s TAG-ot (kett</w:t>
      </w:r>
      <w:r>
        <w:rPr>
          <w:rFonts w:eastAsia="TimesNewRomanPSMT"/>
          <w:color w:val="000000"/>
          <w:lang w:val="hu-HU" w:eastAsia="hu-HU"/>
        </w:rPr>
        <w:t>ő</w:t>
      </w:r>
      <w:r>
        <w:rPr>
          <w:color w:val="000000"/>
          <w:lang w:val="hu-HU" w:eastAsia="hu-HU"/>
        </w:rPr>
        <w:t>s thrombocyta-aggregáció-gátló kezelés, például klopidogrel 75 mg [vagy alternatívaként P2Y12 inhibitor], alacsony dózisú acetilszalicilsavval [ASA] 1, 6 vagy 12 hónapig, majd naponta egyszer 15 mg rivaroxabánt (vagy 10 mg azok a betegek esetében, akiknek a kreatinin-clearence-e 30–49 ml/perc volt) és mellé alacsony dózisú ASA-t. A 3. csoport beállított dózisú KVA-t és kett</w:t>
      </w:r>
      <w:r>
        <w:rPr>
          <w:rFonts w:eastAsia="TimesNewRomanPSMT"/>
          <w:color w:val="000000"/>
          <w:lang w:val="hu-HU" w:eastAsia="hu-HU"/>
        </w:rPr>
        <w:t>ő</w:t>
      </w:r>
      <w:r>
        <w:rPr>
          <w:color w:val="000000"/>
          <w:lang w:val="hu-HU" w:eastAsia="hu-HU"/>
        </w:rPr>
        <w:t>s TAG-ot kapott 1, 6 vagy 12 hónapon keresztül, majd beállított dózisú KVA-t és alacsony dózisú ASA-t.</w:t>
      </w:r>
    </w:p>
    <w:p w:rsidR="00224F0F" w:rsidRDefault="00485CCD">
      <w:pPr>
        <w:tabs>
          <w:tab w:val="clear" w:pos="567"/>
        </w:tabs>
        <w:autoSpaceDE w:val="0"/>
        <w:autoSpaceDN w:val="0"/>
        <w:adjustRightInd w:val="0"/>
        <w:spacing w:line="240" w:lineRule="auto"/>
        <w:rPr>
          <w:color w:val="000000"/>
          <w:lang w:val="hu-HU" w:eastAsia="hu-HU"/>
        </w:rPr>
      </w:pPr>
      <w:r>
        <w:rPr>
          <w:color w:val="000000"/>
          <w:lang w:val="hu-HU" w:eastAsia="hu-HU"/>
        </w:rPr>
        <w:t>Az els</w:t>
      </w:r>
      <w:r>
        <w:rPr>
          <w:rFonts w:eastAsia="TimesNewRomanPSMT"/>
          <w:color w:val="000000"/>
          <w:lang w:val="hu-HU" w:eastAsia="hu-HU"/>
        </w:rPr>
        <w:t>ő</w:t>
      </w:r>
      <w:r>
        <w:rPr>
          <w:color w:val="000000"/>
          <w:lang w:val="hu-HU" w:eastAsia="hu-HU"/>
        </w:rPr>
        <w:t>dleges biztonságossági végpont, a klinikailag jelent</w:t>
      </w:r>
      <w:r>
        <w:rPr>
          <w:rFonts w:eastAsia="TimesNewRomanPSMT"/>
          <w:color w:val="000000"/>
          <w:lang w:val="hu-HU" w:eastAsia="hu-HU"/>
        </w:rPr>
        <w:t>ő</w:t>
      </w:r>
      <w:r>
        <w:rPr>
          <w:color w:val="000000"/>
          <w:lang w:val="hu-HU" w:eastAsia="hu-HU"/>
        </w:rPr>
        <w:t>s vérzéses események sorrendben 109 (15,7%), 117 (16,6%) és 167 (24%) betegnél jelentkeztek az 1. csoportban, a 2. csoportban és a 3. csoportban (HR</w:t>
      </w:r>
      <w:r w:rsidR="002C6FA3">
        <w:rPr>
          <w:color w:val="000000"/>
          <w:lang w:val="hu-HU" w:eastAsia="hu-HU"/>
        </w:rPr>
        <w:t>:</w:t>
      </w:r>
      <w:r>
        <w:rPr>
          <w:color w:val="000000"/>
          <w:lang w:val="hu-HU" w:eastAsia="hu-HU"/>
        </w:rPr>
        <w:t xml:space="preserve"> 0,59; 95%-os CI</w:t>
      </w:r>
      <w:r w:rsidR="002C6FA3">
        <w:rPr>
          <w:color w:val="000000"/>
          <w:lang w:val="hu-HU" w:eastAsia="hu-HU"/>
        </w:rPr>
        <w:t>:</w:t>
      </w:r>
      <w:r>
        <w:rPr>
          <w:color w:val="000000"/>
          <w:lang w:val="hu-HU" w:eastAsia="hu-HU"/>
        </w:rPr>
        <w:t xml:space="preserve"> 0,47-0,76; p &lt; 0,001</w:t>
      </w:r>
      <w:r w:rsidR="002C6FA3">
        <w:rPr>
          <w:color w:val="000000"/>
          <w:lang w:val="hu-HU" w:eastAsia="hu-HU"/>
        </w:rPr>
        <w:t>;</w:t>
      </w:r>
      <w:r>
        <w:rPr>
          <w:color w:val="000000"/>
          <w:lang w:val="hu-HU" w:eastAsia="hu-HU"/>
        </w:rPr>
        <w:t xml:space="preserve"> és HR</w:t>
      </w:r>
      <w:r w:rsidR="002C6FA3">
        <w:rPr>
          <w:color w:val="000000"/>
          <w:lang w:val="hu-HU" w:eastAsia="hu-HU"/>
        </w:rPr>
        <w:t>:</w:t>
      </w:r>
      <w:r>
        <w:rPr>
          <w:color w:val="000000"/>
          <w:lang w:val="hu-HU" w:eastAsia="hu-HU"/>
        </w:rPr>
        <w:t xml:space="preserve"> 0,63</w:t>
      </w:r>
      <w:r w:rsidR="002C6FA3">
        <w:rPr>
          <w:color w:val="000000"/>
          <w:lang w:val="hu-HU" w:eastAsia="hu-HU"/>
        </w:rPr>
        <w:t>;</w:t>
      </w:r>
      <w:r>
        <w:rPr>
          <w:color w:val="000000"/>
          <w:lang w:val="hu-HU" w:eastAsia="hu-HU"/>
        </w:rPr>
        <w:t xml:space="preserve"> </w:t>
      </w:r>
      <w:r w:rsidR="00332B5A">
        <w:rPr>
          <w:color w:val="000000"/>
          <w:lang w:val="hu-HU" w:eastAsia="hu-HU"/>
        </w:rPr>
        <w:t>95%-os</w:t>
      </w:r>
      <w:r>
        <w:rPr>
          <w:color w:val="000000"/>
          <w:lang w:val="hu-HU" w:eastAsia="hu-HU"/>
        </w:rPr>
        <w:t xml:space="preserve"> CI</w:t>
      </w:r>
      <w:r w:rsidR="002C6FA3">
        <w:rPr>
          <w:color w:val="000000"/>
          <w:lang w:val="hu-HU" w:eastAsia="hu-HU"/>
        </w:rPr>
        <w:t>:</w:t>
      </w:r>
      <w:r>
        <w:rPr>
          <w:color w:val="000000"/>
          <w:lang w:val="hu-HU" w:eastAsia="hu-HU"/>
        </w:rPr>
        <w:t xml:space="preserve"> 0,50-0,80; p &lt; 0,001</w:t>
      </w:r>
      <w:r w:rsidR="002C6FA3">
        <w:rPr>
          <w:color w:val="000000"/>
          <w:lang w:val="hu-HU" w:eastAsia="hu-HU"/>
        </w:rPr>
        <w:t>;</w:t>
      </w:r>
      <w:r>
        <w:rPr>
          <w:color w:val="000000"/>
          <w:lang w:val="hu-HU" w:eastAsia="hu-HU"/>
        </w:rPr>
        <w:t xml:space="preserve"> sorrendben). A másodlagos végpont (CV halál, MI vagy stroke cardiovascularis eseményekb</w:t>
      </w:r>
      <w:r>
        <w:rPr>
          <w:rFonts w:eastAsia="TimesNewRomanPSMT"/>
          <w:color w:val="000000"/>
          <w:lang w:val="hu-HU" w:eastAsia="hu-HU"/>
        </w:rPr>
        <w:t>ő</w:t>
      </w:r>
      <w:r>
        <w:rPr>
          <w:color w:val="000000"/>
          <w:lang w:val="hu-HU" w:eastAsia="hu-HU"/>
        </w:rPr>
        <w:t>l álló összetett végpont) 41 (5,9%), 36 (5,1%) és 36 (5,2%) betegnél jelentkezett rendre az 1. csoportban, a 2. csoportban és a 3. csoportban. Mindegyik rivaroxabán kezelési rend esetében a klinikailag jelent</w:t>
      </w:r>
      <w:r>
        <w:rPr>
          <w:rFonts w:eastAsia="TimesNewRomanPSMT"/>
          <w:color w:val="000000"/>
          <w:lang w:val="hu-HU" w:eastAsia="hu-HU"/>
        </w:rPr>
        <w:t>ő</w:t>
      </w:r>
      <w:r>
        <w:rPr>
          <w:color w:val="000000"/>
          <w:lang w:val="hu-HU" w:eastAsia="hu-HU"/>
        </w:rPr>
        <w:t>s vérzéses események jelent</w:t>
      </w:r>
      <w:r>
        <w:rPr>
          <w:rFonts w:eastAsia="TimesNewRomanPSMT"/>
          <w:color w:val="000000"/>
          <w:lang w:val="hu-HU" w:eastAsia="hu-HU"/>
        </w:rPr>
        <w:t>ő</w:t>
      </w:r>
      <w:r>
        <w:rPr>
          <w:color w:val="000000"/>
          <w:lang w:val="hu-HU" w:eastAsia="hu-HU"/>
        </w:rPr>
        <w:t>s csökkenése látszott a KVA kezeléshez képest a stent beültetéses percutan coronaria intervención (PCI) átes</w:t>
      </w:r>
      <w:r>
        <w:rPr>
          <w:rFonts w:eastAsia="TimesNewRomanPSMT"/>
          <w:color w:val="000000"/>
          <w:lang w:val="hu-HU" w:eastAsia="hu-HU"/>
        </w:rPr>
        <w:t xml:space="preserve">ő </w:t>
      </w:r>
      <w:r>
        <w:rPr>
          <w:color w:val="000000"/>
          <w:lang w:val="hu-HU" w:eastAsia="hu-HU"/>
        </w:rPr>
        <w:t>nem-valvuláris eredet</w:t>
      </w:r>
      <w:r>
        <w:rPr>
          <w:rFonts w:eastAsia="TimesNewRomanPSMT"/>
          <w:color w:val="000000"/>
          <w:lang w:val="hu-HU" w:eastAsia="hu-HU"/>
        </w:rPr>
        <w:t xml:space="preserve">ű </w:t>
      </w:r>
      <w:r>
        <w:rPr>
          <w:color w:val="000000"/>
          <w:lang w:val="hu-HU" w:eastAsia="hu-HU"/>
        </w:rPr>
        <w:t>pitvarfibrillációban szenved</w:t>
      </w:r>
      <w:r>
        <w:rPr>
          <w:rFonts w:eastAsia="TimesNewRomanPSMT"/>
          <w:color w:val="000000"/>
          <w:lang w:val="hu-HU" w:eastAsia="hu-HU"/>
        </w:rPr>
        <w:t xml:space="preserve">ő </w:t>
      </w:r>
      <w:r>
        <w:rPr>
          <w:color w:val="000000"/>
          <w:lang w:val="hu-HU" w:eastAsia="hu-HU"/>
        </w:rPr>
        <w:t>betegeknél.</w:t>
      </w:r>
    </w:p>
    <w:p w:rsidR="00224F0F" w:rsidRDefault="00485CCD">
      <w:pPr>
        <w:tabs>
          <w:tab w:val="clear" w:pos="567"/>
        </w:tabs>
        <w:autoSpaceDE w:val="0"/>
        <w:autoSpaceDN w:val="0"/>
        <w:adjustRightInd w:val="0"/>
        <w:spacing w:line="240" w:lineRule="auto"/>
        <w:rPr>
          <w:color w:val="000000"/>
          <w:lang w:val="hu-HU"/>
        </w:rPr>
      </w:pPr>
      <w:r>
        <w:rPr>
          <w:color w:val="000000"/>
          <w:lang w:val="hu-HU" w:eastAsia="hu-HU"/>
        </w:rPr>
        <w:lastRenderedPageBreak/>
        <w:t>A PIONEER AF-PCI els</w:t>
      </w:r>
      <w:r>
        <w:rPr>
          <w:rFonts w:eastAsia="TimesNewRomanPSMT"/>
          <w:color w:val="000000"/>
          <w:lang w:val="hu-HU" w:eastAsia="hu-HU"/>
        </w:rPr>
        <w:t>ő</w:t>
      </w:r>
      <w:r>
        <w:rPr>
          <w:color w:val="000000"/>
          <w:lang w:val="hu-HU" w:eastAsia="hu-HU"/>
        </w:rPr>
        <w:t>dleges célja a biztonságosság értékelése volt. A hatásosságra vonatkozó adatok (beleértve a thromboemboliás eseményeket is) ebben a populációban korlátozottak.</w:t>
      </w:r>
    </w:p>
    <w:p w:rsidR="00224F0F" w:rsidRDefault="00224F0F">
      <w:pPr>
        <w:spacing w:line="240" w:lineRule="auto"/>
        <w:rPr>
          <w:color w:val="000000"/>
          <w:lang w:val="hu-HU"/>
        </w:rPr>
      </w:pPr>
    </w:p>
    <w:p w:rsidR="00224F0F" w:rsidRDefault="00485CCD">
      <w:pPr>
        <w:pStyle w:val="Default"/>
        <w:rPr>
          <w:sz w:val="22"/>
          <w:szCs w:val="22"/>
          <w:u w:val="single"/>
        </w:rPr>
      </w:pPr>
      <w:r>
        <w:rPr>
          <w:i/>
          <w:iCs/>
          <w:sz w:val="22"/>
          <w:szCs w:val="22"/>
          <w:u w:val="single"/>
        </w:rPr>
        <w:t>MVT, PE kezelése és a visszatérő MVT és PE megelőzése</w:t>
      </w:r>
    </w:p>
    <w:p w:rsidR="00224F0F" w:rsidRDefault="00485CCD">
      <w:pPr>
        <w:pStyle w:val="Default"/>
        <w:rPr>
          <w:sz w:val="22"/>
          <w:szCs w:val="22"/>
        </w:rPr>
      </w:pPr>
      <w:r>
        <w:rPr>
          <w:sz w:val="22"/>
          <w:szCs w:val="22"/>
        </w:rPr>
        <w:t>A rivaroxabán klinikai programját arra tervezték, hogy igazolja a rivaroxabánnak az akut MVT és PE kezdeti és folyamatos kezelésében, valamint az ismételt fellépés megelőzésében mutatott hatásosságát.</w:t>
      </w:r>
    </w:p>
    <w:p w:rsidR="00224F0F" w:rsidRDefault="00485CCD">
      <w:pPr>
        <w:pStyle w:val="Default"/>
        <w:rPr>
          <w:sz w:val="22"/>
          <w:szCs w:val="22"/>
        </w:rPr>
      </w:pPr>
      <w:r>
        <w:rPr>
          <w:sz w:val="22"/>
          <w:szCs w:val="22"/>
        </w:rPr>
        <w:t>Több mint 12 800 beteget értékeltek négy randomizált, kontrollos, III. fázisú klinikai vizsgálatban (Einstein DVT, Einstein PE, Einstein Extension és Einstein Choice), továbbá elvégezték az Einstein DVT és Einstein PE vizsgálatok egy előre meghatározott összesített elemzését is. Az összesített, kombinált kezelési időtartam minden vizsgálat esetében legfeljebb 21 hónap volt.</w:t>
      </w:r>
    </w:p>
    <w:p w:rsidR="00224F0F" w:rsidRDefault="00224F0F">
      <w:pPr>
        <w:pStyle w:val="Default"/>
        <w:rPr>
          <w:sz w:val="22"/>
          <w:szCs w:val="22"/>
        </w:rPr>
      </w:pPr>
    </w:p>
    <w:p w:rsidR="00224F0F" w:rsidRDefault="00485CCD">
      <w:pPr>
        <w:pStyle w:val="Default"/>
        <w:rPr>
          <w:sz w:val="22"/>
          <w:szCs w:val="22"/>
        </w:rPr>
      </w:pPr>
      <w:r>
        <w:rPr>
          <w:sz w:val="22"/>
          <w:szCs w:val="22"/>
        </w:rPr>
        <w:t>Az Einstein DVT-ben 3449, akut MVT-ban szenvedő betegnél vizsgálták a MVT kezelését és a visszatérő MVT és PE megelőzését (a tünetekkel járó PE-ban szenvedő betegeket kizárták ebből a vizsgálatból). A vizsgálóorvos klinikai megítélése alapján a kezelés időtartama 3, 6 vagy 12 hónap volt.</w:t>
      </w:r>
    </w:p>
    <w:p w:rsidR="00224F0F" w:rsidRDefault="00485CCD">
      <w:pPr>
        <w:pStyle w:val="Default"/>
        <w:rPr>
          <w:sz w:val="22"/>
          <w:szCs w:val="22"/>
        </w:rPr>
      </w:pPr>
      <w:r>
        <w:rPr>
          <w:sz w:val="22"/>
          <w:szCs w:val="22"/>
        </w:rPr>
        <w:t>Az első három hétben az akut MVT kezelésére naponta kétszer 15 mg rivaroxabánt adtak. Ezután 20 mg rivaroxabánt alkalmaztak naponta egyszer.</w:t>
      </w:r>
    </w:p>
    <w:p w:rsidR="00224F0F" w:rsidRDefault="00224F0F">
      <w:pPr>
        <w:pStyle w:val="Default"/>
        <w:rPr>
          <w:sz w:val="22"/>
          <w:szCs w:val="22"/>
        </w:rPr>
      </w:pPr>
    </w:p>
    <w:p w:rsidR="00224F0F" w:rsidRDefault="00485CCD">
      <w:pPr>
        <w:spacing w:line="240" w:lineRule="auto"/>
        <w:rPr>
          <w:color w:val="000000"/>
          <w:lang w:val="hu-HU"/>
        </w:rPr>
      </w:pPr>
      <w:r>
        <w:rPr>
          <w:color w:val="000000"/>
          <w:lang w:val="hu-HU"/>
        </w:rPr>
        <w:t>Az Einstein PE-ben 4832, akut PE-ben szenvedő betegnél vizsgálták a PE kezelését és a visszatérő MVT és PE megelőzését. A vizsgálatot végző orvos klinikai megítélése alapján a kezelés időtartama 3, 6 vagy 12 hónap volt.</w:t>
      </w:r>
    </w:p>
    <w:p w:rsidR="00224F0F" w:rsidRDefault="00485CCD">
      <w:pPr>
        <w:spacing w:line="240" w:lineRule="auto"/>
        <w:rPr>
          <w:color w:val="000000"/>
          <w:lang w:val="hu-HU"/>
        </w:rPr>
      </w:pPr>
      <w:r>
        <w:rPr>
          <w:color w:val="000000"/>
          <w:lang w:val="hu-HU"/>
        </w:rPr>
        <w:t>Az első három hétben az akut PE kezelésére naponta kétszer 15 mg rivaroxabánt adtak. Ezután 20 mg rivaroxabánt alkalmaztak naponta egyszer.</w:t>
      </w:r>
    </w:p>
    <w:p w:rsidR="00224F0F" w:rsidRDefault="00224F0F">
      <w:pPr>
        <w:spacing w:line="240" w:lineRule="auto"/>
        <w:rPr>
          <w:color w:val="000000"/>
          <w:lang w:val="hu-HU"/>
        </w:rPr>
      </w:pPr>
    </w:p>
    <w:p w:rsidR="00224F0F" w:rsidRDefault="00485CCD">
      <w:pPr>
        <w:pStyle w:val="Default"/>
        <w:rPr>
          <w:sz w:val="22"/>
          <w:szCs w:val="22"/>
        </w:rPr>
      </w:pPr>
      <w:r>
        <w:rPr>
          <w:sz w:val="22"/>
          <w:szCs w:val="22"/>
        </w:rPr>
        <w:t>Mind az Einstein DVT, mind az Einstein PE vizsgálatban az összehasonlító kezelés legalább 5 napig alkalmazott enoxaparinból állt, amelyet K-vitamin-antagonistával történő kezeléssel kombináltak addig, amíg a PI/INR a terápiás tartományba nem került (≥ 2,0). A kezelést K-vitamin-antagonistával folytatták, amelynek dózisát úgy állították be, hogy biztosítsa a 2,0-3,0-ás terápiás tartományba eső INR-értéket.</w:t>
      </w:r>
    </w:p>
    <w:p w:rsidR="00224F0F" w:rsidRDefault="00224F0F">
      <w:pPr>
        <w:pStyle w:val="Default"/>
        <w:rPr>
          <w:sz w:val="22"/>
          <w:szCs w:val="22"/>
        </w:rPr>
      </w:pPr>
    </w:p>
    <w:p w:rsidR="00224F0F" w:rsidRDefault="00485CCD">
      <w:pPr>
        <w:pStyle w:val="Default"/>
        <w:rPr>
          <w:sz w:val="22"/>
          <w:szCs w:val="22"/>
        </w:rPr>
      </w:pPr>
      <w:r>
        <w:rPr>
          <w:sz w:val="22"/>
          <w:szCs w:val="22"/>
        </w:rPr>
        <w:t>Az Einstein Extension vizsgálatban 1197, MVT-ban vagy PE-ban szenvedő betegnél értékelték a visszatérő MVT és PE megelőzését. A vizsgálóorvos klinikai megítélése alapján a kezelés időtartama további 6 vagy 12 hónap volt azoknál a betegeknél, akik befejeztek 6 vagy 12 hónap vénás thromboembolia kezelést. A naponta egyszeri 20 mg rivaroxabánt placebóval hasonlították össze.</w:t>
      </w:r>
    </w:p>
    <w:p w:rsidR="00224F0F" w:rsidRDefault="00485CCD">
      <w:pPr>
        <w:pStyle w:val="Default"/>
        <w:rPr>
          <w:sz w:val="22"/>
          <w:szCs w:val="22"/>
        </w:rPr>
      </w:pPr>
      <w:r>
        <w:rPr>
          <w:sz w:val="22"/>
          <w:szCs w:val="22"/>
        </w:rPr>
        <w:t>Az Einstein DVT, PE és Extension vizsgálatban ugyanazokat az előre meghatározott elsődleges és másodlagos hatásossági végpontokat alkalmazták. Az elsődleges hatásossági végpont a tünetekkel járó, visszatérő VTE volt, amely meghatározás szerint a recidiváló MVT vagy fatális vagy nem fatális PE által alkotott összetett végpont volt. A meghatározás szerint a másodlagos hatásossági végpont a recidiváló MVT, a nem fatális PE és az összmortalitás által alkotott összetett végpont volt.</w:t>
      </w:r>
    </w:p>
    <w:p w:rsidR="00224F0F" w:rsidRDefault="00224F0F">
      <w:pPr>
        <w:pStyle w:val="Default"/>
        <w:rPr>
          <w:sz w:val="22"/>
          <w:szCs w:val="22"/>
        </w:rPr>
      </w:pPr>
    </w:p>
    <w:p w:rsidR="00224F0F" w:rsidRDefault="00485CCD">
      <w:pPr>
        <w:pStyle w:val="Default"/>
        <w:rPr>
          <w:sz w:val="22"/>
          <w:szCs w:val="22"/>
        </w:rPr>
      </w:pPr>
      <w:r>
        <w:rPr>
          <w:sz w:val="22"/>
          <w:szCs w:val="22"/>
        </w:rPr>
        <w:t>Az Einstein Choice vizsgálatban a fatális PE, illetve nem fatális, tünetekkel járó recidiváló MVT, illetve PE megelőzését vizsgálaták 3396, igazolt, tünetekkel járó MVT-on és/vagy PE-n átesett betegnél, akik befejezték a 6 – 12 hónapos antikoaguláns kezelést. Azokat a betegeket, akiknél folyamatos terápiás dózisú antikoaguláció javallata állt fenn, kizárták a vizsgálatból. A kezelés időtartama az egyén randomizálásnak dátumától függően legfeljebb 12 hónap volt (medián: 351 nap). A naponta egyszer adott 20 mg rivaroxabánt és a naponta egyszer adott 10 mg rivaroxabánt 100 mg acetilszalicilsav napi egyszeri alkalmazásával hasonlították össze.</w:t>
      </w:r>
    </w:p>
    <w:p w:rsidR="00224F0F" w:rsidRDefault="00485CCD">
      <w:pPr>
        <w:pStyle w:val="Default"/>
        <w:rPr>
          <w:sz w:val="22"/>
          <w:szCs w:val="22"/>
        </w:rPr>
      </w:pPr>
      <w:r>
        <w:rPr>
          <w:sz w:val="22"/>
          <w:szCs w:val="22"/>
        </w:rPr>
        <w:t>Az elsődleges hatásossági végpont a tünetekkel járó, visszatérő VTE volt, amely meghatározás szerint a recidiváló MVT vagy fatális vagy nem fatális PE által alkotott összetett végpont volt.</w:t>
      </w:r>
    </w:p>
    <w:p w:rsidR="00224F0F" w:rsidRDefault="00224F0F">
      <w:pPr>
        <w:pStyle w:val="Default"/>
        <w:rPr>
          <w:sz w:val="22"/>
          <w:szCs w:val="22"/>
        </w:rPr>
      </w:pPr>
    </w:p>
    <w:p w:rsidR="00224F0F" w:rsidRDefault="00485CCD">
      <w:pPr>
        <w:pStyle w:val="Default"/>
        <w:rPr>
          <w:sz w:val="22"/>
          <w:szCs w:val="22"/>
        </w:rPr>
      </w:pPr>
      <w:r>
        <w:rPr>
          <w:sz w:val="22"/>
          <w:szCs w:val="22"/>
        </w:rPr>
        <w:t>Az Einstein DVT vizsgálatban (lásd 6. táblázat) a rivaroxabánról igazolták, hogy az elsődleges hatásossági végpont tekintetében non-inferior az enoxaparin/KVA-hoz képest (p &lt; 0,0001 [non-inferioritási próba]; relatív hazárd: 0,680 [0,443–1,042], p = 0,076 [szuperioritási próba]). Az előre meghatározott nettó klinikai előny (elsődleges hatásossági végpont plusz a súlyos vérzéses események) tekintetében 0,67-es relatív hazárdról ([</w:t>
      </w:r>
      <w:r w:rsidR="00332B5A">
        <w:rPr>
          <w:sz w:val="22"/>
          <w:szCs w:val="22"/>
        </w:rPr>
        <w:t>95%-os</w:t>
      </w:r>
      <w:r>
        <w:rPr>
          <w:sz w:val="22"/>
          <w:szCs w:val="22"/>
        </w:rPr>
        <w:t xml:space="preserve"> CI: 0,47 – 0,95], névleges p-érték: </w:t>
      </w:r>
      <w:r>
        <w:rPr>
          <w:sz w:val="22"/>
          <w:szCs w:val="22"/>
        </w:rPr>
        <w:lastRenderedPageBreak/>
        <w:t>p = 0,027) számoltak be a rivaroxabán javára. A kezelési időtartam átlagosan 189 nap volt, amely alatt az INR-értékek átlagosan 60,3%-ban a 3 hónaposra tervezett kezelések alatt az idő 55,4% ában, a 6 hónaposra tervezett kezelések alatt az idő 60,1% ában és a 12 hónaposra tervezett kezelések alatt az idő 62,8% ában – a terápiás tartományba estek.. Az enoxaparin/KVA csoportban nem volt egyértelmű összefüggés az átlagos TTR - értékei (Time in Target INR Range, INR céltartomány 2,0 - 3,0) és a visszetérő MVT incidenciája (interakciós P = 0,932) között, azonos méretű tercilisekben mérve. Az átlagok alapján mért legmagasabb tercilisben a rivaroxabán relatív hazárdja a warfarinhoz képest 0,69 volt (</w:t>
      </w:r>
      <w:r w:rsidR="00332B5A">
        <w:rPr>
          <w:sz w:val="22"/>
          <w:szCs w:val="22"/>
        </w:rPr>
        <w:t>95%-os</w:t>
      </w:r>
      <w:r>
        <w:rPr>
          <w:sz w:val="22"/>
          <w:szCs w:val="22"/>
        </w:rPr>
        <w:t xml:space="preserve"> CI: 0,35-1,35).</w:t>
      </w:r>
    </w:p>
    <w:p w:rsidR="00224F0F" w:rsidRDefault="00224F0F">
      <w:pPr>
        <w:spacing w:line="240" w:lineRule="auto"/>
        <w:rPr>
          <w:color w:val="000000"/>
        </w:rPr>
      </w:pPr>
    </w:p>
    <w:p w:rsidR="00224F0F" w:rsidRDefault="00485CCD">
      <w:pPr>
        <w:spacing w:line="240" w:lineRule="auto"/>
        <w:rPr>
          <w:color w:val="000000"/>
          <w:lang w:val="hu-HU"/>
        </w:rPr>
      </w:pPr>
      <w:r>
        <w:rPr>
          <w:color w:val="000000"/>
          <w:lang w:val="hu-HU"/>
        </w:rPr>
        <w:t>Az elsődleges biztonságossági végpontokra vonatkozó előfordulási arányok (súlyos vagy klinikailag jelentős, nem súlyos vérzéses események), valamint a másodlagos biztonságossági végpontok (súlyos vérzéses események) hasonlóak voltak mindkét kezelési csoport esetén.</w:t>
      </w:r>
    </w:p>
    <w:p w:rsidR="00224F0F" w:rsidRDefault="00224F0F">
      <w:pPr>
        <w:spacing w:line="240" w:lineRule="auto"/>
        <w:rPr>
          <w:color w:val="000000"/>
          <w:lang w:val="hu-HU"/>
        </w:rPr>
      </w:pPr>
    </w:p>
    <w:p w:rsidR="00224F0F" w:rsidRDefault="00485CCD" w:rsidP="00A54C3F">
      <w:pPr>
        <w:pStyle w:val="Default"/>
        <w:tabs>
          <w:tab w:val="left" w:pos="1276"/>
        </w:tabs>
        <w:rPr>
          <w:b/>
          <w:bCs/>
          <w:sz w:val="22"/>
          <w:szCs w:val="22"/>
        </w:rPr>
      </w:pPr>
      <w:r>
        <w:rPr>
          <w:b/>
          <w:bCs/>
          <w:sz w:val="22"/>
          <w:szCs w:val="22"/>
        </w:rPr>
        <w:t>6. táblázat:</w:t>
      </w:r>
      <w:r w:rsidR="006A0BAE">
        <w:rPr>
          <w:b/>
          <w:bCs/>
          <w:sz w:val="22"/>
          <w:szCs w:val="22"/>
        </w:rPr>
        <w:tab/>
      </w:r>
      <w:r>
        <w:rPr>
          <w:b/>
          <w:bCs/>
          <w:sz w:val="22"/>
          <w:szCs w:val="22"/>
        </w:rPr>
        <w:t>A III. fázisú Einstein DVT vizsgálat hatásossági és biztonságossági eredményei</w:t>
      </w:r>
    </w:p>
    <w:p w:rsidR="006A0BAE" w:rsidRDefault="006A0BAE" w:rsidP="00A54C3F">
      <w:pPr>
        <w:pStyle w:val="Default"/>
        <w:tabs>
          <w:tab w:val="left" w:pos="1276"/>
        </w:tabs>
        <w:rPr>
          <w:sz w:val="22"/>
          <w:szCs w:val="22"/>
        </w:rPr>
      </w:pP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2977"/>
        <w:gridCol w:w="2724"/>
        <w:gridCol w:w="336"/>
      </w:tblGrid>
      <w:tr w:rsidR="00224F0F">
        <w:trPr>
          <w:gridAfter w:val="1"/>
          <w:wAfter w:w="336" w:type="dxa"/>
        </w:trPr>
        <w:tc>
          <w:tcPr>
            <w:tcW w:w="3510" w:type="dxa"/>
            <w:shd w:val="clear" w:color="auto" w:fill="auto"/>
          </w:tcPr>
          <w:p w:rsidR="00224F0F" w:rsidRDefault="00485CCD">
            <w:pPr>
              <w:spacing w:line="240" w:lineRule="auto"/>
              <w:rPr>
                <w:b/>
                <w:color w:val="000000"/>
                <w:lang w:val="hu-HU"/>
              </w:rPr>
            </w:pPr>
            <w:r>
              <w:rPr>
                <w:b/>
                <w:color w:val="000000"/>
                <w:lang w:val="hu-HU"/>
              </w:rPr>
              <w:t>Vizsgálati populáció</w:t>
            </w:r>
          </w:p>
        </w:tc>
        <w:tc>
          <w:tcPr>
            <w:tcW w:w="5701" w:type="dxa"/>
            <w:gridSpan w:val="2"/>
            <w:shd w:val="clear" w:color="auto" w:fill="auto"/>
          </w:tcPr>
          <w:p w:rsidR="00224F0F" w:rsidRDefault="00485CCD">
            <w:pPr>
              <w:pStyle w:val="Default"/>
              <w:rPr>
                <w:b/>
                <w:sz w:val="22"/>
                <w:szCs w:val="22"/>
              </w:rPr>
            </w:pPr>
            <w:r>
              <w:rPr>
                <w:b/>
                <w:sz w:val="22"/>
                <w:szCs w:val="22"/>
              </w:rPr>
              <w:t>3449, tünetekkel járó, akut mélyvénás thrombosisban szenvedő beteg</w:t>
            </w:r>
          </w:p>
        </w:tc>
      </w:tr>
      <w:tr w:rsidR="00224F0F">
        <w:trPr>
          <w:gridAfter w:val="1"/>
          <w:wAfter w:w="336" w:type="dxa"/>
        </w:trPr>
        <w:tc>
          <w:tcPr>
            <w:tcW w:w="3510" w:type="dxa"/>
            <w:shd w:val="clear" w:color="auto" w:fill="auto"/>
          </w:tcPr>
          <w:p w:rsidR="00224F0F" w:rsidRDefault="00485CCD">
            <w:pPr>
              <w:pStyle w:val="Default"/>
              <w:rPr>
                <w:b/>
                <w:sz w:val="22"/>
                <w:szCs w:val="22"/>
              </w:rPr>
            </w:pPr>
            <w:r>
              <w:rPr>
                <w:b/>
                <w:sz w:val="22"/>
                <w:szCs w:val="22"/>
              </w:rPr>
              <w:t xml:space="preserve">Terápiás dózis és kezelési időtartam </w:t>
            </w:r>
          </w:p>
        </w:tc>
        <w:tc>
          <w:tcPr>
            <w:tcW w:w="2977" w:type="dxa"/>
            <w:shd w:val="clear" w:color="auto" w:fill="auto"/>
          </w:tcPr>
          <w:p w:rsidR="00224F0F" w:rsidRDefault="00485CCD">
            <w:pPr>
              <w:pStyle w:val="Default"/>
              <w:jc w:val="center"/>
              <w:rPr>
                <w:b/>
                <w:sz w:val="22"/>
                <w:szCs w:val="22"/>
              </w:rPr>
            </w:pPr>
            <w:r>
              <w:rPr>
                <w:b/>
                <w:sz w:val="22"/>
                <w:szCs w:val="22"/>
              </w:rPr>
              <w:t>Rivaroxabán</w:t>
            </w:r>
            <w:r>
              <w:rPr>
                <w:b/>
                <w:position w:val="8"/>
                <w:sz w:val="22"/>
                <w:szCs w:val="22"/>
                <w:vertAlign w:val="superscript"/>
              </w:rPr>
              <w:t>a)</w:t>
            </w:r>
          </w:p>
          <w:p w:rsidR="00224F0F" w:rsidRDefault="00485CCD">
            <w:pPr>
              <w:pStyle w:val="Default"/>
              <w:jc w:val="center"/>
              <w:rPr>
                <w:b/>
                <w:sz w:val="22"/>
                <w:szCs w:val="22"/>
              </w:rPr>
            </w:pPr>
            <w:r>
              <w:rPr>
                <w:b/>
                <w:sz w:val="22"/>
                <w:szCs w:val="22"/>
              </w:rPr>
              <w:t>3, 6 vagy 12 hónap</w:t>
            </w:r>
          </w:p>
          <w:p w:rsidR="00224F0F" w:rsidRDefault="00485CCD">
            <w:pPr>
              <w:spacing w:line="240" w:lineRule="auto"/>
              <w:jc w:val="center"/>
              <w:rPr>
                <w:b/>
                <w:color w:val="000000"/>
                <w:lang w:val="hu-HU"/>
              </w:rPr>
            </w:pPr>
            <w:r>
              <w:rPr>
                <w:b/>
                <w:color w:val="000000"/>
              </w:rPr>
              <w:t>N = 1731</w:t>
            </w:r>
          </w:p>
        </w:tc>
        <w:tc>
          <w:tcPr>
            <w:tcW w:w="2724" w:type="dxa"/>
            <w:shd w:val="clear" w:color="auto" w:fill="auto"/>
          </w:tcPr>
          <w:p w:rsidR="00224F0F" w:rsidRDefault="00485CCD">
            <w:pPr>
              <w:pStyle w:val="Default"/>
              <w:jc w:val="center"/>
              <w:rPr>
                <w:b/>
                <w:sz w:val="22"/>
                <w:szCs w:val="22"/>
              </w:rPr>
            </w:pPr>
            <w:r>
              <w:rPr>
                <w:b/>
                <w:sz w:val="22"/>
                <w:szCs w:val="22"/>
              </w:rPr>
              <w:t>Enoxaparin/KVA</w:t>
            </w:r>
            <w:r>
              <w:rPr>
                <w:b/>
                <w:position w:val="8"/>
                <w:sz w:val="22"/>
                <w:szCs w:val="22"/>
                <w:vertAlign w:val="superscript"/>
              </w:rPr>
              <w:t>b)</w:t>
            </w:r>
          </w:p>
          <w:p w:rsidR="00224F0F" w:rsidRDefault="00485CCD">
            <w:pPr>
              <w:pStyle w:val="Default"/>
              <w:jc w:val="center"/>
              <w:rPr>
                <w:b/>
                <w:sz w:val="22"/>
                <w:szCs w:val="22"/>
              </w:rPr>
            </w:pPr>
            <w:r>
              <w:rPr>
                <w:b/>
                <w:sz w:val="22"/>
                <w:szCs w:val="22"/>
              </w:rPr>
              <w:t>3, 6 vagy 12 hónap</w:t>
            </w:r>
          </w:p>
          <w:p w:rsidR="00224F0F" w:rsidRDefault="00485CCD">
            <w:pPr>
              <w:spacing w:line="240" w:lineRule="auto"/>
              <w:jc w:val="center"/>
              <w:rPr>
                <w:b/>
                <w:color w:val="000000"/>
                <w:lang w:val="hu-HU"/>
              </w:rPr>
            </w:pPr>
            <w:r>
              <w:rPr>
                <w:b/>
                <w:color w:val="000000"/>
              </w:rPr>
              <w:t>N = 1718</w:t>
            </w:r>
          </w:p>
        </w:tc>
      </w:tr>
      <w:tr w:rsidR="00224F0F">
        <w:trPr>
          <w:gridAfter w:val="1"/>
          <w:wAfter w:w="336" w:type="dxa"/>
        </w:trPr>
        <w:tc>
          <w:tcPr>
            <w:tcW w:w="3510" w:type="dxa"/>
            <w:shd w:val="clear" w:color="auto" w:fill="auto"/>
          </w:tcPr>
          <w:p w:rsidR="00224F0F" w:rsidRDefault="00485CCD">
            <w:pPr>
              <w:pStyle w:val="Default"/>
              <w:rPr>
                <w:sz w:val="22"/>
                <w:szCs w:val="22"/>
              </w:rPr>
            </w:pPr>
            <w:r>
              <w:rPr>
                <w:sz w:val="22"/>
                <w:szCs w:val="22"/>
              </w:rPr>
              <w:t xml:space="preserve">Tünetekkel járó, visszatérő VTE* </w:t>
            </w:r>
          </w:p>
        </w:tc>
        <w:tc>
          <w:tcPr>
            <w:tcW w:w="2977" w:type="dxa"/>
            <w:shd w:val="clear" w:color="auto" w:fill="auto"/>
          </w:tcPr>
          <w:p w:rsidR="00224F0F" w:rsidRDefault="00485CCD">
            <w:pPr>
              <w:pStyle w:val="Default"/>
              <w:jc w:val="center"/>
              <w:rPr>
                <w:sz w:val="22"/>
                <w:szCs w:val="22"/>
              </w:rPr>
            </w:pPr>
            <w:r>
              <w:rPr>
                <w:sz w:val="22"/>
                <w:szCs w:val="22"/>
              </w:rPr>
              <w:t>36</w:t>
            </w:r>
          </w:p>
          <w:p w:rsidR="00224F0F" w:rsidRDefault="00485CCD">
            <w:pPr>
              <w:pStyle w:val="Default"/>
              <w:jc w:val="center"/>
              <w:rPr>
                <w:sz w:val="22"/>
                <w:szCs w:val="22"/>
              </w:rPr>
            </w:pPr>
            <w:r>
              <w:rPr>
                <w:sz w:val="22"/>
                <w:szCs w:val="22"/>
              </w:rPr>
              <w:t>(2,1%)</w:t>
            </w:r>
          </w:p>
        </w:tc>
        <w:tc>
          <w:tcPr>
            <w:tcW w:w="2724" w:type="dxa"/>
            <w:shd w:val="clear" w:color="auto" w:fill="auto"/>
          </w:tcPr>
          <w:p w:rsidR="00224F0F" w:rsidRDefault="00485CCD">
            <w:pPr>
              <w:pStyle w:val="Default"/>
              <w:jc w:val="center"/>
              <w:rPr>
                <w:sz w:val="22"/>
                <w:szCs w:val="22"/>
              </w:rPr>
            </w:pPr>
            <w:r>
              <w:rPr>
                <w:sz w:val="22"/>
                <w:szCs w:val="22"/>
              </w:rPr>
              <w:t>51</w:t>
            </w:r>
          </w:p>
          <w:p w:rsidR="00224F0F" w:rsidRDefault="00485CCD">
            <w:pPr>
              <w:pStyle w:val="Default"/>
              <w:jc w:val="center"/>
              <w:rPr>
                <w:sz w:val="22"/>
                <w:szCs w:val="22"/>
              </w:rPr>
            </w:pPr>
            <w:r>
              <w:rPr>
                <w:sz w:val="22"/>
                <w:szCs w:val="22"/>
              </w:rPr>
              <w:t xml:space="preserve"> (3,0%)</w:t>
            </w:r>
          </w:p>
        </w:tc>
      </w:tr>
      <w:tr w:rsidR="00224F0F">
        <w:trPr>
          <w:gridAfter w:val="1"/>
          <w:wAfter w:w="336" w:type="dxa"/>
        </w:trPr>
        <w:tc>
          <w:tcPr>
            <w:tcW w:w="3510" w:type="dxa"/>
            <w:shd w:val="clear" w:color="auto" w:fill="auto"/>
          </w:tcPr>
          <w:p w:rsidR="00224F0F" w:rsidRDefault="00485CCD">
            <w:pPr>
              <w:pStyle w:val="Default"/>
              <w:ind w:left="284"/>
              <w:rPr>
                <w:sz w:val="22"/>
                <w:szCs w:val="22"/>
              </w:rPr>
            </w:pPr>
            <w:r>
              <w:rPr>
                <w:sz w:val="22"/>
                <w:szCs w:val="22"/>
              </w:rPr>
              <w:t>Tünetekkel járó, visszatérő PE</w:t>
            </w:r>
          </w:p>
        </w:tc>
        <w:tc>
          <w:tcPr>
            <w:tcW w:w="2977" w:type="dxa"/>
            <w:shd w:val="clear" w:color="auto" w:fill="auto"/>
          </w:tcPr>
          <w:p w:rsidR="00224F0F" w:rsidRDefault="00485CCD">
            <w:pPr>
              <w:pStyle w:val="Default"/>
              <w:jc w:val="center"/>
              <w:rPr>
                <w:sz w:val="22"/>
                <w:szCs w:val="22"/>
              </w:rPr>
            </w:pPr>
            <w:r>
              <w:rPr>
                <w:sz w:val="22"/>
                <w:szCs w:val="22"/>
              </w:rPr>
              <w:t>20</w:t>
            </w:r>
          </w:p>
          <w:p w:rsidR="00224F0F" w:rsidRDefault="00485CCD">
            <w:pPr>
              <w:pStyle w:val="Default"/>
              <w:jc w:val="center"/>
              <w:rPr>
                <w:sz w:val="22"/>
                <w:szCs w:val="22"/>
              </w:rPr>
            </w:pPr>
            <w:r>
              <w:rPr>
                <w:sz w:val="22"/>
                <w:szCs w:val="22"/>
              </w:rPr>
              <w:t>(1,2%)</w:t>
            </w:r>
          </w:p>
        </w:tc>
        <w:tc>
          <w:tcPr>
            <w:tcW w:w="2724" w:type="dxa"/>
            <w:shd w:val="clear" w:color="auto" w:fill="auto"/>
          </w:tcPr>
          <w:p w:rsidR="00224F0F" w:rsidRDefault="00485CCD">
            <w:pPr>
              <w:pStyle w:val="Default"/>
              <w:jc w:val="center"/>
              <w:rPr>
                <w:sz w:val="22"/>
                <w:szCs w:val="22"/>
              </w:rPr>
            </w:pPr>
            <w:r>
              <w:rPr>
                <w:sz w:val="22"/>
                <w:szCs w:val="22"/>
              </w:rPr>
              <w:t xml:space="preserve">18 </w:t>
            </w:r>
          </w:p>
          <w:p w:rsidR="00224F0F" w:rsidRDefault="00485CCD">
            <w:pPr>
              <w:pStyle w:val="Default"/>
              <w:jc w:val="center"/>
              <w:rPr>
                <w:sz w:val="22"/>
                <w:szCs w:val="22"/>
              </w:rPr>
            </w:pPr>
            <w:r>
              <w:rPr>
                <w:sz w:val="22"/>
                <w:szCs w:val="22"/>
              </w:rPr>
              <w:t>(1,0%)</w:t>
            </w:r>
          </w:p>
        </w:tc>
      </w:tr>
      <w:tr w:rsidR="00224F0F">
        <w:trPr>
          <w:gridAfter w:val="1"/>
          <w:wAfter w:w="336" w:type="dxa"/>
        </w:trPr>
        <w:tc>
          <w:tcPr>
            <w:tcW w:w="3510" w:type="dxa"/>
            <w:shd w:val="clear" w:color="auto" w:fill="auto"/>
          </w:tcPr>
          <w:p w:rsidR="00224F0F" w:rsidRDefault="00485CCD">
            <w:pPr>
              <w:pStyle w:val="Default"/>
              <w:ind w:left="284"/>
              <w:rPr>
                <w:sz w:val="22"/>
                <w:szCs w:val="22"/>
              </w:rPr>
            </w:pPr>
            <w:r>
              <w:rPr>
                <w:sz w:val="22"/>
                <w:szCs w:val="22"/>
              </w:rPr>
              <w:t xml:space="preserve">Tünetekkel járó, visszatérő MVT </w:t>
            </w:r>
          </w:p>
        </w:tc>
        <w:tc>
          <w:tcPr>
            <w:tcW w:w="2977" w:type="dxa"/>
            <w:shd w:val="clear" w:color="auto" w:fill="auto"/>
          </w:tcPr>
          <w:p w:rsidR="00224F0F" w:rsidRDefault="00485CCD">
            <w:pPr>
              <w:pStyle w:val="Default"/>
              <w:ind w:hanging="284"/>
              <w:jc w:val="center"/>
              <w:rPr>
                <w:sz w:val="22"/>
                <w:szCs w:val="22"/>
              </w:rPr>
            </w:pPr>
            <w:r>
              <w:rPr>
                <w:sz w:val="22"/>
                <w:szCs w:val="22"/>
              </w:rPr>
              <w:t>14</w:t>
            </w:r>
          </w:p>
          <w:p w:rsidR="00224F0F" w:rsidRDefault="00485CCD">
            <w:pPr>
              <w:pStyle w:val="Default"/>
              <w:ind w:hanging="284"/>
              <w:jc w:val="center"/>
              <w:rPr>
                <w:sz w:val="22"/>
                <w:szCs w:val="22"/>
              </w:rPr>
            </w:pPr>
            <w:r>
              <w:rPr>
                <w:sz w:val="22"/>
                <w:szCs w:val="22"/>
              </w:rPr>
              <w:t>(0,8%)</w:t>
            </w:r>
          </w:p>
        </w:tc>
        <w:tc>
          <w:tcPr>
            <w:tcW w:w="2724" w:type="dxa"/>
            <w:shd w:val="clear" w:color="auto" w:fill="auto"/>
          </w:tcPr>
          <w:p w:rsidR="00224F0F" w:rsidRDefault="00485CCD">
            <w:pPr>
              <w:pStyle w:val="Default"/>
              <w:jc w:val="center"/>
              <w:rPr>
                <w:sz w:val="22"/>
                <w:szCs w:val="22"/>
              </w:rPr>
            </w:pPr>
            <w:r>
              <w:rPr>
                <w:sz w:val="22"/>
                <w:szCs w:val="22"/>
              </w:rPr>
              <w:t>28</w:t>
            </w:r>
          </w:p>
          <w:p w:rsidR="00224F0F" w:rsidRDefault="00485CCD">
            <w:pPr>
              <w:pStyle w:val="Default"/>
              <w:jc w:val="center"/>
              <w:rPr>
                <w:sz w:val="22"/>
                <w:szCs w:val="22"/>
              </w:rPr>
            </w:pPr>
            <w:r>
              <w:rPr>
                <w:sz w:val="22"/>
                <w:szCs w:val="22"/>
              </w:rPr>
              <w:t xml:space="preserve"> (1,6%)</w:t>
            </w:r>
          </w:p>
        </w:tc>
      </w:tr>
      <w:tr w:rsidR="00224F0F">
        <w:trPr>
          <w:gridAfter w:val="1"/>
          <w:wAfter w:w="336" w:type="dxa"/>
        </w:trPr>
        <w:tc>
          <w:tcPr>
            <w:tcW w:w="3510" w:type="dxa"/>
            <w:shd w:val="clear" w:color="auto" w:fill="auto"/>
          </w:tcPr>
          <w:p w:rsidR="00224F0F" w:rsidRDefault="00485CCD">
            <w:pPr>
              <w:pStyle w:val="Default"/>
              <w:ind w:left="284"/>
              <w:rPr>
                <w:sz w:val="22"/>
                <w:szCs w:val="22"/>
              </w:rPr>
            </w:pPr>
            <w:r>
              <w:rPr>
                <w:sz w:val="22"/>
                <w:szCs w:val="22"/>
              </w:rPr>
              <w:t xml:space="preserve">Tünetekkel járó PE és MVT </w:t>
            </w:r>
          </w:p>
        </w:tc>
        <w:tc>
          <w:tcPr>
            <w:tcW w:w="2977" w:type="dxa"/>
            <w:shd w:val="clear" w:color="auto" w:fill="auto"/>
          </w:tcPr>
          <w:p w:rsidR="00224F0F" w:rsidRDefault="00485CCD">
            <w:pPr>
              <w:pStyle w:val="Default"/>
              <w:jc w:val="center"/>
              <w:rPr>
                <w:sz w:val="22"/>
                <w:szCs w:val="22"/>
              </w:rPr>
            </w:pPr>
            <w:r>
              <w:rPr>
                <w:sz w:val="22"/>
                <w:szCs w:val="22"/>
              </w:rPr>
              <w:t>1</w:t>
            </w:r>
          </w:p>
          <w:p w:rsidR="00224F0F" w:rsidRDefault="00485CCD">
            <w:pPr>
              <w:spacing w:line="240" w:lineRule="auto"/>
              <w:jc w:val="center"/>
              <w:rPr>
                <w:color w:val="000000"/>
                <w:lang w:val="hu-HU"/>
              </w:rPr>
            </w:pPr>
            <w:r>
              <w:rPr>
                <w:color w:val="000000"/>
              </w:rPr>
              <w:t>(0,1%)</w:t>
            </w:r>
          </w:p>
        </w:tc>
        <w:tc>
          <w:tcPr>
            <w:tcW w:w="2724" w:type="dxa"/>
            <w:shd w:val="clear" w:color="auto" w:fill="auto"/>
          </w:tcPr>
          <w:p w:rsidR="00224F0F" w:rsidRDefault="00485CCD">
            <w:pPr>
              <w:spacing w:line="240" w:lineRule="auto"/>
              <w:jc w:val="center"/>
              <w:rPr>
                <w:color w:val="000000"/>
                <w:lang w:val="hu-HU"/>
              </w:rPr>
            </w:pPr>
            <w:r>
              <w:rPr>
                <w:color w:val="000000"/>
                <w:lang w:val="hu-HU"/>
              </w:rPr>
              <w:t>0</w:t>
            </w:r>
          </w:p>
        </w:tc>
      </w:tr>
      <w:tr w:rsidR="00224F0F">
        <w:trPr>
          <w:gridAfter w:val="1"/>
          <w:wAfter w:w="336" w:type="dxa"/>
        </w:trPr>
        <w:tc>
          <w:tcPr>
            <w:tcW w:w="3510" w:type="dxa"/>
            <w:shd w:val="clear" w:color="auto" w:fill="auto"/>
          </w:tcPr>
          <w:p w:rsidR="00224F0F" w:rsidRDefault="00485CCD">
            <w:pPr>
              <w:pStyle w:val="Default"/>
              <w:ind w:left="284"/>
              <w:rPr>
                <w:sz w:val="22"/>
                <w:szCs w:val="22"/>
              </w:rPr>
            </w:pPr>
            <w:r>
              <w:rPr>
                <w:sz w:val="22"/>
                <w:szCs w:val="22"/>
              </w:rPr>
              <w:t xml:space="preserve">Fatális PE/haláleset, amelynél nem lehet kizárni a PE-t </w:t>
            </w:r>
          </w:p>
        </w:tc>
        <w:tc>
          <w:tcPr>
            <w:tcW w:w="2977" w:type="dxa"/>
            <w:shd w:val="clear" w:color="auto" w:fill="auto"/>
          </w:tcPr>
          <w:p w:rsidR="00224F0F" w:rsidRDefault="00485CCD">
            <w:pPr>
              <w:spacing w:line="240" w:lineRule="auto"/>
              <w:jc w:val="center"/>
              <w:rPr>
                <w:color w:val="000000"/>
                <w:lang w:val="hu-HU"/>
              </w:rPr>
            </w:pPr>
            <w:r>
              <w:rPr>
                <w:color w:val="000000"/>
                <w:lang w:val="hu-HU"/>
              </w:rPr>
              <w:t>4</w:t>
            </w:r>
          </w:p>
          <w:p w:rsidR="00224F0F" w:rsidRDefault="00485CCD">
            <w:pPr>
              <w:spacing w:line="240" w:lineRule="auto"/>
              <w:jc w:val="center"/>
              <w:rPr>
                <w:color w:val="000000"/>
                <w:lang w:val="hu-HU"/>
              </w:rPr>
            </w:pPr>
            <w:r>
              <w:rPr>
                <w:color w:val="000000"/>
                <w:lang w:val="hu-HU"/>
              </w:rPr>
              <w:t>(0,2%)</w:t>
            </w:r>
          </w:p>
        </w:tc>
        <w:tc>
          <w:tcPr>
            <w:tcW w:w="2724" w:type="dxa"/>
            <w:shd w:val="clear" w:color="auto" w:fill="auto"/>
          </w:tcPr>
          <w:p w:rsidR="00224F0F" w:rsidRDefault="00485CCD">
            <w:pPr>
              <w:spacing w:line="240" w:lineRule="auto"/>
              <w:jc w:val="center"/>
              <w:rPr>
                <w:color w:val="000000"/>
                <w:lang w:val="hu-HU"/>
              </w:rPr>
            </w:pPr>
            <w:r>
              <w:rPr>
                <w:color w:val="000000"/>
                <w:lang w:val="hu-HU"/>
              </w:rPr>
              <w:t>6</w:t>
            </w:r>
          </w:p>
          <w:p w:rsidR="00224F0F" w:rsidRDefault="00485CCD">
            <w:pPr>
              <w:spacing w:line="240" w:lineRule="auto"/>
              <w:jc w:val="center"/>
              <w:rPr>
                <w:color w:val="000000"/>
                <w:lang w:val="hu-HU"/>
              </w:rPr>
            </w:pPr>
            <w:r>
              <w:rPr>
                <w:color w:val="000000"/>
                <w:lang w:val="hu-HU"/>
              </w:rPr>
              <w:t>(0,3%)</w:t>
            </w:r>
          </w:p>
        </w:tc>
      </w:tr>
      <w:tr w:rsidR="00224F0F">
        <w:trPr>
          <w:gridAfter w:val="1"/>
          <w:wAfter w:w="336" w:type="dxa"/>
        </w:trPr>
        <w:tc>
          <w:tcPr>
            <w:tcW w:w="3510" w:type="dxa"/>
            <w:shd w:val="clear" w:color="auto" w:fill="auto"/>
          </w:tcPr>
          <w:p w:rsidR="00224F0F" w:rsidRDefault="00485CCD">
            <w:pPr>
              <w:pStyle w:val="Default"/>
              <w:rPr>
                <w:sz w:val="22"/>
                <w:szCs w:val="22"/>
              </w:rPr>
            </w:pPr>
            <w:r>
              <w:rPr>
                <w:sz w:val="22"/>
                <w:szCs w:val="22"/>
              </w:rPr>
              <w:t xml:space="preserve">Súlyos vagy klinikailag jelentős, nem súlyos vérzés </w:t>
            </w:r>
          </w:p>
        </w:tc>
        <w:tc>
          <w:tcPr>
            <w:tcW w:w="2977" w:type="dxa"/>
            <w:shd w:val="clear" w:color="auto" w:fill="auto"/>
          </w:tcPr>
          <w:p w:rsidR="00224F0F" w:rsidRDefault="00485CCD">
            <w:pPr>
              <w:spacing w:line="240" w:lineRule="auto"/>
              <w:jc w:val="center"/>
              <w:rPr>
                <w:color w:val="000000"/>
                <w:lang w:val="hu-HU"/>
              </w:rPr>
            </w:pPr>
            <w:r>
              <w:rPr>
                <w:color w:val="000000"/>
                <w:lang w:val="hu-HU"/>
              </w:rPr>
              <w:t>139</w:t>
            </w:r>
          </w:p>
          <w:p w:rsidR="00224F0F" w:rsidRDefault="00485CCD">
            <w:pPr>
              <w:spacing w:line="240" w:lineRule="auto"/>
              <w:jc w:val="center"/>
              <w:rPr>
                <w:color w:val="000000"/>
                <w:lang w:val="hu-HU"/>
              </w:rPr>
            </w:pPr>
            <w:r>
              <w:rPr>
                <w:color w:val="000000"/>
                <w:lang w:val="hu-HU"/>
              </w:rPr>
              <w:t>(8,1%)</w:t>
            </w:r>
          </w:p>
        </w:tc>
        <w:tc>
          <w:tcPr>
            <w:tcW w:w="2724" w:type="dxa"/>
            <w:shd w:val="clear" w:color="auto" w:fill="auto"/>
          </w:tcPr>
          <w:p w:rsidR="00224F0F" w:rsidRDefault="00485CCD">
            <w:pPr>
              <w:spacing w:line="240" w:lineRule="auto"/>
              <w:jc w:val="center"/>
              <w:rPr>
                <w:color w:val="000000"/>
                <w:lang w:val="hu-HU"/>
              </w:rPr>
            </w:pPr>
            <w:r>
              <w:rPr>
                <w:color w:val="000000"/>
                <w:lang w:val="hu-HU"/>
              </w:rPr>
              <w:t>138</w:t>
            </w:r>
          </w:p>
          <w:p w:rsidR="00224F0F" w:rsidRDefault="00485CCD">
            <w:pPr>
              <w:spacing w:line="240" w:lineRule="auto"/>
              <w:jc w:val="center"/>
              <w:rPr>
                <w:color w:val="000000"/>
                <w:lang w:val="hu-HU"/>
              </w:rPr>
            </w:pPr>
            <w:r>
              <w:rPr>
                <w:color w:val="000000"/>
                <w:lang w:val="hu-HU"/>
              </w:rPr>
              <w:t>(8,1%)</w:t>
            </w:r>
          </w:p>
        </w:tc>
      </w:tr>
      <w:tr w:rsidR="00224F0F">
        <w:trPr>
          <w:gridAfter w:val="1"/>
          <w:wAfter w:w="336" w:type="dxa"/>
        </w:trPr>
        <w:tc>
          <w:tcPr>
            <w:tcW w:w="3510" w:type="dxa"/>
            <w:shd w:val="clear" w:color="auto" w:fill="auto"/>
          </w:tcPr>
          <w:p w:rsidR="00224F0F" w:rsidRDefault="00485CCD">
            <w:pPr>
              <w:pStyle w:val="Default"/>
              <w:rPr>
                <w:sz w:val="22"/>
                <w:szCs w:val="22"/>
              </w:rPr>
            </w:pPr>
            <w:r>
              <w:rPr>
                <w:sz w:val="22"/>
                <w:szCs w:val="22"/>
              </w:rPr>
              <w:t>Súlyos vérzéses esemény</w:t>
            </w:r>
          </w:p>
        </w:tc>
        <w:tc>
          <w:tcPr>
            <w:tcW w:w="2977" w:type="dxa"/>
            <w:shd w:val="clear" w:color="auto" w:fill="auto"/>
          </w:tcPr>
          <w:p w:rsidR="00224F0F" w:rsidRDefault="00485CCD">
            <w:pPr>
              <w:spacing w:line="240" w:lineRule="auto"/>
              <w:jc w:val="center"/>
              <w:rPr>
                <w:color w:val="000000"/>
                <w:lang w:val="hu-HU"/>
              </w:rPr>
            </w:pPr>
            <w:r>
              <w:rPr>
                <w:color w:val="000000"/>
                <w:lang w:val="hu-HU"/>
              </w:rPr>
              <w:t>14</w:t>
            </w:r>
          </w:p>
          <w:p w:rsidR="00224F0F" w:rsidRDefault="00485CCD">
            <w:pPr>
              <w:spacing w:line="240" w:lineRule="auto"/>
              <w:jc w:val="center"/>
              <w:rPr>
                <w:color w:val="000000"/>
                <w:lang w:val="hu-HU"/>
              </w:rPr>
            </w:pPr>
            <w:r>
              <w:rPr>
                <w:color w:val="000000"/>
                <w:lang w:val="hu-HU"/>
              </w:rPr>
              <w:t>(0,8%)</w:t>
            </w:r>
          </w:p>
        </w:tc>
        <w:tc>
          <w:tcPr>
            <w:tcW w:w="2724" w:type="dxa"/>
            <w:shd w:val="clear" w:color="auto" w:fill="auto"/>
          </w:tcPr>
          <w:p w:rsidR="00224F0F" w:rsidRDefault="00485CCD">
            <w:pPr>
              <w:spacing w:line="240" w:lineRule="auto"/>
              <w:jc w:val="center"/>
              <w:rPr>
                <w:color w:val="000000"/>
                <w:lang w:val="hu-HU"/>
              </w:rPr>
            </w:pPr>
            <w:r>
              <w:rPr>
                <w:color w:val="000000"/>
                <w:lang w:val="hu-HU"/>
              </w:rPr>
              <w:t>20</w:t>
            </w:r>
          </w:p>
          <w:p w:rsidR="00224F0F" w:rsidRDefault="00485CCD">
            <w:pPr>
              <w:spacing w:line="240" w:lineRule="auto"/>
              <w:jc w:val="center"/>
              <w:rPr>
                <w:color w:val="000000"/>
                <w:lang w:val="hu-HU"/>
              </w:rPr>
            </w:pPr>
            <w:r>
              <w:rPr>
                <w:color w:val="000000"/>
                <w:lang w:val="hu-HU"/>
              </w:rPr>
              <w:t>(1,2%)</w:t>
            </w:r>
          </w:p>
        </w:tc>
      </w:tr>
      <w:tr w:rsidR="00224F0F">
        <w:tblPrEx>
          <w:tblBorders>
            <w:top w:val="nil"/>
            <w:left w:val="nil"/>
            <w:bottom w:val="nil"/>
            <w:right w:val="nil"/>
            <w:insideH w:val="none" w:sz="0" w:space="0" w:color="auto"/>
            <w:insideV w:val="none" w:sz="0" w:space="0" w:color="auto"/>
          </w:tblBorders>
          <w:tblLook w:val="0000" w:firstRow="0" w:lastRow="0" w:firstColumn="0" w:lastColumn="0" w:noHBand="0" w:noVBand="0"/>
        </w:tblPrEx>
        <w:trPr>
          <w:trHeight w:val="535"/>
        </w:trPr>
        <w:tc>
          <w:tcPr>
            <w:tcW w:w="9547" w:type="dxa"/>
            <w:gridSpan w:val="4"/>
          </w:tcPr>
          <w:p w:rsidR="00224F0F" w:rsidRDefault="00485CCD" w:rsidP="00A54C3F">
            <w:pPr>
              <w:pStyle w:val="Default"/>
              <w:tabs>
                <w:tab w:val="left" w:pos="420"/>
              </w:tabs>
              <w:ind w:left="459" w:hanging="459"/>
              <w:rPr>
                <w:sz w:val="22"/>
                <w:szCs w:val="22"/>
              </w:rPr>
            </w:pPr>
            <w:r>
              <w:rPr>
                <w:sz w:val="22"/>
                <w:szCs w:val="22"/>
              </w:rPr>
              <w:t>a)</w:t>
            </w:r>
            <w:r w:rsidR="00764E87">
              <w:tab/>
            </w:r>
            <w:r>
              <w:rPr>
                <w:sz w:val="22"/>
                <w:szCs w:val="22"/>
              </w:rPr>
              <w:t>Naponta kétszer 15 mg rivaroxabán 3 hétig, utána naponta egyszer 20 mg</w:t>
            </w:r>
          </w:p>
          <w:p w:rsidR="00224F0F" w:rsidRDefault="00485CCD" w:rsidP="00A54C3F">
            <w:pPr>
              <w:pStyle w:val="Default"/>
              <w:tabs>
                <w:tab w:val="left" w:pos="420"/>
              </w:tabs>
              <w:ind w:left="459" w:hanging="459"/>
              <w:rPr>
                <w:sz w:val="22"/>
                <w:szCs w:val="22"/>
              </w:rPr>
            </w:pPr>
            <w:r>
              <w:rPr>
                <w:sz w:val="22"/>
                <w:szCs w:val="22"/>
              </w:rPr>
              <w:t>b)</w:t>
            </w:r>
            <w:r w:rsidR="00764E87">
              <w:tab/>
            </w:r>
            <w:r>
              <w:rPr>
                <w:sz w:val="22"/>
                <w:szCs w:val="22"/>
              </w:rPr>
              <w:t>Legalább 5 napig enoxaparin, KVA-val átfedésben, utána KVA</w:t>
            </w:r>
          </w:p>
          <w:p w:rsidR="00224F0F" w:rsidRDefault="00485CCD" w:rsidP="00A54C3F">
            <w:pPr>
              <w:pStyle w:val="Default"/>
              <w:tabs>
                <w:tab w:val="left" w:pos="420"/>
              </w:tabs>
              <w:ind w:left="459" w:hanging="459"/>
              <w:rPr>
                <w:sz w:val="22"/>
                <w:szCs w:val="22"/>
              </w:rPr>
            </w:pPr>
            <w:r>
              <w:rPr>
                <w:sz w:val="22"/>
                <w:szCs w:val="22"/>
              </w:rPr>
              <w:t>*</w:t>
            </w:r>
            <w:r w:rsidR="00764E87">
              <w:tab/>
            </w:r>
            <w:r>
              <w:rPr>
                <w:sz w:val="22"/>
                <w:szCs w:val="22"/>
              </w:rPr>
              <w:t xml:space="preserve">p &lt; 0,0001 (non-inferioritás az előre meghatározott 2,0 relatív hazárdhoz); relatív hazárd: 0,680 (0,443 – 1,042), p = 0,076 (szuperioritás) </w:t>
            </w:r>
          </w:p>
        </w:tc>
      </w:tr>
    </w:tbl>
    <w:p w:rsidR="00224F0F" w:rsidRDefault="00224F0F">
      <w:pPr>
        <w:spacing w:line="240" w:lineRule="auto"/>
        <w:rPr>
          <w:color w:val="000000"/>
          <w:lang w:val="hu-HU"/>
        </w:rPr>
      </w:pPr>
    </w:p>
    <w:p w:rsidR="00224F0F" w:rsidRDefault="00485CCD">
      <w:pPr>
        <w:pStyle w:val="Nincstrkz"/>
      </w:pPr>
      <w:r>
        <w:t>Az Einstein PE vizsgálatban (lásd 7. táblázat) a rivaroxabánról igazolták, hogy az elsődleges hatásossági végpont tekintetében non-inferior az enoxaparin/KVA-hoz képest p = 0,0026 (non-inferioritási próba); relatív hazárd: 1,123 (0,749 - 1,684)). Az előre meghatározott nettó klinikai előny (elsődleges hatásossági végpont plusz a súlyos vérzéses események) tekintetében 0,849-es relatív hazárdról számoltak be ((</w:t>
      </w:r>
      <w:r w:rsidR="00332B5A">
        <w:t>95%-os</w:t>
      </w:r>
      <w:r>
        <w:t xml:space="preserve"> CI: 0,633-1,139), névleges p-érték p = 0,275). A kezelési időtartam átlagosan 215 nap volt, amely alatt az INR-értékek átlagosan 63%-ban (a 3 hónaposra tervezett kezelések alatt az idő 57% ában, a 6 hónaposra tervezett kezelések alatt az idő 62% ában, illetve a 12 hónaposra tervezett kezelések alatt az idő 65% ában) a terápiás tartományba estek. Az enoxaparin/KVA</w:t>
      </w:r>
      <w:r w:rsidR="00764E87">
        <w:t>-</w:t>
      </w:r>
      <w:r>
        <w:t>csoportban nem volt egyértelmű összefüggés az azonos méretű tercilisekben az átlagos TTR-értékei (Time in Target INR Range, INR céltartomány 2,0 - 3,0) és a vissz</w:t>
      </w:r>
      <w:r w:rsidR="00764E87">
        <w:t>a</w:t>
      </w:r>
      <w:r>
        <w:t>térő VTE incidenciája (interakciós p = 0,082) között. A legnagyobb átlagú tercilisben a rivaroxabán relatív hazárdja a warfarinhoz képest 0,642 volt (</w:t>
      </w:r>
      <w:r w:rsidR="00332B5A">
        <w:t>95%-os</w:t>
      </w:r>
      <w:r>
        <w:t xml:space="preserve"> CI: 0,277-1,484).</w:t>
      </w:r>
    </w:p>
    <w:p w:rsidR="00224F0F" w:rsidRDefault="00224F0F">
      <w:pPr>
        <w:pStyle w:val="Default"/>
        <w:rPr>
          <w:sz w:val="22"/>
          <w:szCs w:val="22"/>
        </w:rPr>
      </w:pPr>
    </w:p>
    <w:p w:rsidR="00224F0F" w:rsidRDefault="00485CCD">
      <w:pPr>
        <w:spacing w:line="240" w:lineRule="auto"/>
        <w:rPr>
          <w:color w:val="000000"/>
          <w:lang w:val="hu-HU"/>
        </w:rPr>
      </w:pPr>
      <w:r>
        <w:rPr>
          <w:color w:val="000000"/>
          <w:lang w:val="hu-HU"/>
        </w:rPr>
        <w:t xml:space="preserve">Az elsődleges biztonságossági végpontokra vonatkozó előfordulási arányok (súlyos vagy klinikailag jelentős, nem súlyos vérzéses események) valamivel alacsonyabbak voltak a rivaroxabán kezelési </w:t>
      </w:r>
      <w:r>
        <w:rPr>
          <w:color w:val="000000"/>
          <w:lang w:val="hu-HU"/>
        </w:rPr>
        <w:lastRenderedPageBreak/>
        <w:t>csoportban (10,3% (249/2412)), mint az enoxaparin/KVA kezelési csoportban (11,4% (274/2405)). A másodlagos biztonságossági végpontok (súlyos vérzéses események) előfordulása alacsonyabb volt a rivaroxabán kezelési csoportban (1,1% (26/2412)), mint az enoxaparin/KVA kezelési csoportban (2,2% (52/2405)), a relatív hazárd 0,493 volt (</w:t>
      </w:r>
      <w:r w:rsidR="00332B5A">
        <w:rPr>
          <w:color w:val="000000"/>
          <w:lang w:val="hu-HU"/>
        </w:rPr>
        <w:t>95%-os</w:t>
      </w:r>
      <w:r>
        <w:rPr>
          <w:color w:val="000000"/>
          <w:lang w:val="hu-HU"/>
        </w:rPr>
        <w:t xml:space="preserve"> CI: 0,308–0,789).</w:t>
      </w:r>
    </w:p>
    <w:p w:rsidR="00224F0F" w:rsidRDefault="00224F0F">
      <w:pPr>
        <w:spacing w:line="240" w:lineRule="auto"/>
        <w:rPr>
          <w:color w:val="000000"/>
          <w:lang w:val="hu-HU"/>
        </w:rPr>
      </w:pPr>
    </w:p>
    <w:p w:rsidR="00224F0F" w:rsidRDefault="00485CCD" w:rsidP="00A54C3F">
      <w:pPr>
        <w:pStyle w:val="Default"/>
        <w:tabs>
          <w:tab w:val="left" w:pos="1276"/>
        </w:tabs>
        <w:rPr>
          <w:b/>
          <w:bCs/>
          <w:sz w:val="22"/>
          <w:szCs w:val="22"/>
        </w:rPr>
      </w:pPr>
      <w:r>
        <w:rPr>
          <w:b/>
          <w:bCs/>
          <w:sz w:val="22"/>
          <w:szCs w:val="22"/>
        </w:rPr>
        <w:t>7. táblázat:</w:t>
      </w:r>
      <w:r w:rsidR="00764E87">
        <w:rPr>
          <w:b/>
          <w:bCs/>
          <w:sz w:val="22"/>
          <w:szCs w:val="22"/>
        </w:rPr>
        <w:tab/>
      </w:r>
      <w:r>
        <w:rPr>
          <w:b/>
          <w:bCs/>
          <w:sz w:val="22"/>
          <w:szCs w:val="22"/>
        </w:rPr>
        <w:t>A III. fázisú Einstein PE vizsgálat hatásossági és biztonságossági eredményei</w:t>
      </w:r>
    </w:p>
    <w:p w:rsidR="00764E87" w:rsidRDefault="00764E87">
      <w:pPr>
        <w:pStyle w:val="Defaul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4"/>
        <w:gridCol w:w="2650"/>
        <w:gridCol w:w="2698"/>
      </w:tblGrid>
      <w:tr w:rsidR="00224F0F">
        <w:tc>
          <w:tcPr>
            <w:tcW w:w="3794" w:type="dxa"/>
            <w:shd w:val="clear" w:color="auto" w:fill="auto"/>
          </w:tcPr>
          <w:p w:rsidR="00224F0F" w:rsidRDefault="00485CCD">
            <w:pPr>
              <w:pStyle w:val="Default"/>
              <w:rPr>
                <w:b/>
                <w:sz w:val="22"/>
                <w:szCs w:val="22"/>
              </w:rPr>
            </w:pPr>
            <w:r>
              <w:rPr>
                <w:b/>
                <w:sz w:val="22"/>
                <w:szCs w:val="22"/>
              </w:rPr>
              <w:t>Vizsgálati populáció</w:t>
            </w:r>
          </w:p>
        </w:tc>
        <w:tc>
          <w:tcPr>
            <w:tcW w:w="5417" w:type="dxa"/>
            <w:gridSpan w:val="2"/>
            <w:shd w:val="clear" w:color="auto" w:fill="auto"/>
          </w:tcPr>
          <w:p w:rsidR="00224F0F" w:rsidRDefault="00485CCD">
            <w:pPr>
              <w:pStyle w:val="Default"/>
              <w:rPr>
                <w:b/>
                <w:sz w:val="22"/>
                <w:szCs w:val="22"/>
              </w:rPr>
            </w:pPr>
            <w:r>
              <w:rPr>
                <w:b/>
                <w:sz w:val="22"/>
                <w:szCs w:val="22"/>
              </w:rPr>
              <w:t>4832 tünetekkel járó, akut pulmonalis emboliában szenvedő beteg</w:t>
            </w:r>
          </w:p>
        </w:tc>
      </w:tr>
      <w:tr w:rsidR="00224F0F">
        <w:tc>
          <w:tcPr>
            <w:tcW w:w="3794" w:type="dxa"/>
            <w:shd w:val="clear" w:color="auto" w:fill="auto"/>
          </w:tcPr>
          <w:p w:rsidR="00224F0F" w:rsidRDefault="00485CCD">
            <w:pPr>
              <w:pStyle w:val="Default"/>
              <w:rPr>
                <w:b/>
                <w:sz w:val="22"/>
                <w:szCs w:val="22"/>
              </w:rPr>
            </w:pPr>
            <w:r>
              <w:rPr>
                <w:b/>
                <w:sz w:val="22"/>
                <w:szCs w:val="22"/>
              </w:rPr>
              <w:t>Terápiás dózis és kezelési időtartam</w:t>
            </w:r>
          </w:p>
        </w:tc>
        <w:tc>
          <w:tcPr>
            <w:tcW w:w="2693" w:type="dxa"/>
            <w:shd w:val="clear" w:color="auto" w:fill="auto"/>
          </w:tcPr>
          <w:p w:rsidR="00224F0F" w:rsidRDefault="00485CCD">
            <w:pPr>
              <w:pStyle w:val="Default"/>
              <w:jc w:val="center"/>
              <w:rPr>
                <w:b/>
                <w:sz w:val="22"/>
                <w:szCs w:val="22"/>
              </w:rPr>
            </w:pPr>
            <w:r>
              <w:rPr>
                <w:b/>
                <w:sz w:val="22"/>
                <w:szCs w:val="22"/>
              </w:rPr>
              <w:t>Rivaroxabán</w:t>
            </w:r>
            <w:r>
              <w:rPr>
                <w:b/>
                <w:position w:val="8"/>
                <w:sz w:val="22"/>
                <w:szCs w:val="22"/>
                <w:vertAlign w:val="superscript"/>
              </w:rPr>
              <w:t>a)</w:t>
            </w:r>
          </w:p>
          <w:p w:rsidR="00224F0F" w:rsidRDefault="00485CCD">
            <w:pPr>
              <w:pStyle w:val="Default"/>
              <w:jc w:val="center"/>
              <w:rPr>
                <w:b/>
                <w:sz w:val="22"/>
                <w:szCs w:val="22"/>
              </w:rPr>
            </w:pPr>
            <w:r>
              <w:rPr>
                <w:b/>
                <w:sz w:val="22"/>
                <w:szCs w:val="22"/>
              </w:rPr>
              <w:t>3, 6 vagy 12 hónap</w:t>
            </w:r>
          </w:p>
          <w:p w:rsidR="00224F0F" w:rsidRDefault="00485CCD">
            <w:pPr>
              <w:spacing w:line="240" w:lineRule="auto"/>
              <w:jc w:val="center"/>
              <w:rPr>
                <w:b/>
                <w:color w:val="000000"/>
                <w:lang w:val="hu-HU"/>
              </w:rPr>
            </w:pPr>
            <w:r>
              <w:rPr>
                <w:b/>
                <w:color w:val="000000"/>
              </w:rPr>
              <w:t>N = 2419</w:t>
            </w:r>
          </w:p>
        </w:tc>
        <w:tc>
          <w:tcPr>
            <w:tcW w:w="2724" w:type="dxa"/>
            <w:shd w:val="clear" w:color="auto" w:fill="auto"/>
          </w:tcPr>
          <w:p w:rsidR="00224F0F" w:rsidRDefault="00485CCD">
            <w:pPr>
              <w:pStyle w:val="Default"/>
              <w:jc w:val="center"/>
              <w:rPr>
                <w:b/>
                <w:sz w:val="22"/>
                <w:szCs w:val="22"/>
              </w:rPr>
            </w:pPr>
            <w:r>
              <w:rPr>
                <w:b/>
                <w:sz w:val="22"/>
                <w:szCs w:val="22"/>
              </w:rPr>
              <w:t>Enoxaparin/KVA</w:t>
            </w:r>
            <w:r>
              <w:rPr>
                <w:b/>
                <w:position w:val="8"/>
                <w:sz w:val="22"/>
                <w:szCs w:val="22"/>
                <w:vertAlign w:val="superscript"/>
              </w:rPr>
              <w:t>b)</w:t>
            </w:r>
          </w:p>
          <w:p w:rsidR="00224F0F" w:rsidRDefault="00485CCD">
            <w:pPr>
              <w:pStyle w:val="Default"/>
              <w:jc w:val="center"/>
              <w:rPr>
                <w:b/>
                <w:sz w:val="22"/>
                <w:szCs w:val="22"/>
              </w:rPr>
            </w:pPr>
            <w:r>
              <w:rPr>
                <w:b/>
                <w:sz w:val="22"/>
                <w:szCs w:val="22"/>
              </w:rPr>
              <w:t>3, 6 vagy 12 hónap</w:t>
            </w:r>
          </w:p>
          <w:p w:rsidR="00224F0F" w:rsidRDefault="00485CCD">
            <w:pPr>
              <w:spacing w:line="240" w:lineRule="auto"/>
              <w:jc w:val="center"/>
              <w:rPr>
                <w:b/>
                <w:color w:val="000000"/>
                <w:lang w:val="hu-HU"/>
              </w:rPr>
            </w:pPr>
            <w:r>
              <w:rPr>
                <w:b/>
                <w:color w:val="000000"/>
              </w:rPr>
              <w:t>N = 2413</w:t>
            </w:r>
          </w:p>
        </w:tc>
      </w:tr>
      <w:tr w:rsidR="00224F0F">
        <w:tc>
          <w:tcPr>
            <w:tcW w:w="3794" w:type="dxa"/>
            <w:shd w:val="clear" w:color="auto" w:fill="auto"/>
          </w:tcPr>
          <w:p w:rsidR="00224F0F" w:rsidRDefault="00485CCD">
            <w:pPr>
              <w:pStyle w:val="Default"/>
              <w:rPr>
                <w:sz w:val="22"/>
                <w:szCs w:val="22"/>
              </w:rPr>
            </w:pPr>
            <w:r>
              <w:rPr>
                <w:sz w:val="22"/>
                <w:szCs w:val="22"/>
              </w:rPr>
              <w:t>Tünetekkel járó, visszatérő VTE*</w:t>
            </w:r>
          </w:p>
        </w:tc>
        <w:tc>
          <w:tcPr>
            <w:tcW w:w="2693" w:type="dxa"/>
            <w:shd w:val="clear" w:color="auto" w:fill="auto"/>
          </w:tcPr>
          <w:p w:rsidR="00224F0F" w:rsidRDefault="00485CCD">
            <w:pPr>
              <w:pStyle w:val="Default"/>
              <w:jc w:val="center"/>
              <w:rPr>
                <w:sz w:val="22"/>
                <w:szCs w:val="22"/>
              </w:rPr>
            </w:pPr>
            <w:r>
              <w:rPr>
                <w:sz w:val="22"/>
                <w:szCs w:val="22"/>
              </w:rPr>
              <w:t>50</w:t>
            </w:r>
          </w:p>
          <w:p w:rsidR="00224F0F" w:rsidRDefault="00485CCD">
            <w:pPr>
              <w:spacing w:line="240" w:lineRule="auto"/>
              <w:jc w:val="center"/>
              <w:rPr>
                <w:color w:val="000000"/>
                <w:lang w:val="hu-HU"/>
              </w:rPr>
            </w:pPr>
            <w:r>
              <w:rPr>
                <w:color w:val="000000"/>
              </w:rPr>
              <w:t>(2,1%)</w:t>
            </w:r>
          </w:p>
        </w:tc>
        <w:tc>
          <w:tcPr>
            <w:tcW w:w="2724" w:type="dxa"/>
            <w:shd w:val="clear" w:color="auto" w:fill="auto"/>
          </w:tcPr>
          <w:p w:rsidR="00224F0F" w:rsidRDefault="00485CCD">
            <w:pPr>
              <w:pStyle w:val="Default"/>
              <w:jc w:val="center"/>
              <w:rPr>
                <w:sz w:val="22"/>
                <w:szCs w:val="22"/>
              </w:rPr>
            </w:pPr>
            <w:r>
              <w:rPr>
                <w:sz w:val="22"/>
                <w:szCs w:val="22"/>
              </w:rPr>
              <w:t>44</w:t>
            </w:r>
          </w:p>
          <w:p w:rsidR="00224F0F" w:rsidRDefault="00485CCD">
            <w:pPr>
              <w:spacing w:line="240" w:lineRule="auto"/>
              <w:jc w:val="center"/>
              <w:rPr>
                <w:color w:val="000000"/>
                <w:lang w:val="hu-HU"/>
              </w:rPr>
            </w:pPr>
            <w:r>
              <w:rPr>
                <w:color w:val="000000"/>
              </w:rPr>
              <w:t>(1,8%)</w:t>
            </w:r>
          </w:p>
        </w:tc>
      </w:tr>
      <w:tr w:rsidR="00224F0F">
        <w:tc>
          <w:tcPr>
            <w:tcW w:w="3794" w:type="dxa"/>
            <w:shd w:val="clear" w:color="auto" w:fill="auto"/>
          </w:tcPr>
          <w:p w:rsidR="00224F0F" w:rsidRDefault="00485CCD">
            <w:pPr>
              <w:pStyle w:val="Default"/>
              <w:ind w:left="284"/>
              <w:rPr>
                <w:sz w:val="22"/>
                <w:szCs w:val="22"/>
              </w:rPr>
            </w:pPr>
            <w:r>
              <w:rPr>
                <w:sz w:val="22"/>
                <w:szCs w:val="22"/>
              </w:rPr>
              <w:t>Tünetekkel járó, visszatérő PE</w:t>
            </w:r>
          </w:p>
        </w:tc>
        <w:tc>
          <w:tcPr>
            <w:tcW w:w="2693" w:type="dxa"/>
            <w:shd w:val="clear" w:color="auto" w:fill="auto"/>
          </w:tcPr>
          <w:p w:rsidR="00224F0F" w:rsidRDefault="00485CCD">
            <w:pPr>
              <w:pStyle w:val="Default"/>
              <w:jc w:val="center"/>
              <w:rPr>
                <w:sz w:val="22"/>
                <w:szCs w:val="22"/>
              </w:rPr>
            </w:pPr>
            <w:r>
              <w:rPr>
                <w:sz w:val="22"/>
                <w:szCs w:val="22"/>
              </w:rPr>
              <w:t>23</w:t>
            </w:r>
          </w:p>
          <w:p w:rsidR="00224F0F" w:rsidRDefault="00485CCD">
            <w:pPr>
              <w:spacing w:line="240" w:lineRule="auto"/>
              <w:jc w:val="center"/>
              <w:rPr>
                <w:color w:val="000000"/>
                <w:lang w:val="hu-HU"/>
              </w:rPr>
            </w:pPr>
            <w:r>
              <w:rPr>
                <w:color w:val="000000"/>
              </w:rPr>
              <w:t>(1,0%)</w:t>
            </w:r>
          </w:p>
        </w:tc>
        <w:tc>
          <w:tcPr>
            <w:tcW w:w="2724" w:type="dxa"/>
            <w:shd w:val="clear" w:color="auto" w:fill="auto"/>
          </w:tcPr>
          <w:p w:rsidR="00224F0F" w:rsidRDefault="00485CCD">
            <w:pPr>
              <w:pStyle w:val="Default"/>
              <w:jc w:val="center"/>
              <w:rPr>
                <w:sz w:val="22"/>
                <w:szCs w:val="22"/>
              </w:rPr>
            </w:pPr>
            <w:r>
              <w:rPr>
                <w:sz w:val="22"/>
                <w:szCs w:val="22"/>
              </w:rPr>
              <w:t>20</w:t>
            </w:r>
          </w:p>
          <w:p w:rsidR="00224F0F" w:rsidRDefault="00485CCD">
            <w:pPr>
              <w:spacing w:line="240" w:lineRule="auto"/>
              <w:jc w:val="center"/>
              <w:rPr>
                <w:color w:val="000000"/>
                <w:lang w:val="hu-HU"/>
              </w:rPr>
            </w:pPr>
            <w:r>
              <w:rPr>
                <w:color w:val="000000"/>
              </w:rPr>
              <w:t>(0,8%)</w:t>
            </w:r>
          </w:p>
        </w:tc>
      </w:tr>
      <w:tr w:rsidR="00224F0F">
        <w:tc>
          <w:tcPr>
            <w:tcW w:w="3794" w:type="dxa"/>
            <w:shd w:val="clear" w:color="auto" w:fill="auto"/>
          </w:tcPr>
          <w:p w:rsidR="00224F0F" w:rsidRDefault="00485CCD">
            <w:pPr>
              <w:pStyle w:val="Default"/>
              <w:ind w:left="284"/>
              <w:rPr>
                <w:sz w:val="22"/>
                <w:szCs w:val="22"/>
              </w:rPr>
            </w:pPr>
            <w:r>
              <w:rPr>
                <w:sz w:val="22"/>
                <w:szCs w:val="22"/>
              </w:rPr>
              <w:t>Tünetekkel járó, visszatérő MVT</w:t>
            </w:r>
          </w:p>
        </w:tc>
        <w:tc>
          <w:tcPr>
            <w:tcW w:w="2693" w:type="dxa"/>
            <w:shd w:val="clear" w:color="auto" w:fill="auto"/>
          </w:tcPr>
          <w:p w:rsidR="00224F0F" w:rsidRDefault="00485CCD">
            <w:pPr>
              <w:pStyle w:val="Default"/>
              <w:jc w:val="center"/>
              <w:rPr>
                <w:sz w:val="22"/>
                <w:szCs w:val="22"/>
              </w:rPr>
            </w:pPr>
            <w:r>
              <w:rPr>
                <w:sz w:val="22"/>
                <w:szCs w:val="22"/>
              </w:rPr>
              <w:t>18</w:t>
            </w:r>
          </w:p>
          <w:p w:rsidR="00224F0F" w:rsidRDefault="00485CCD">
            <w:pPr>
              <w:spacing w:line="240" w:lineRule="auto"/>
              <w:jc w:val="center"/>
              <w:rPr>
                <w:color w:val="000000"/>
                <w:lang w:val="hu-HU"/>
              </w:rPr>
            </w:pPr>
            <w:r>
              <w:rPr>
                <w:color w:val="000000"/>
              </w:rPr>
              <w:t>(0,7%)</w:t>
            </w:r>
          </w:p>
        </w:tc>
        <w:tc>
          <w:tcPr>
            <w:tcW w:w="2724" w:type="dxa"/>
            <w:shd w:val="clear" w:color="auto" w:fill="auto"/>
          </w:tcPr>
          <w:p w:rsidR="00224F0F" w:rsidRDefault="00485CCD">
            <w:pPr>
              <w:pStyle w:val="Default"/>
              <w:jc w:val="center"/>
              <w:rPr>
                <w:sz w:val="22"/>
                <w:szCs w:val="22"/>
              </w:rPr>
            </w:pPr>
            <w:r>
              <w:rPr>
                <w:sz w:val="22"/>
                <w:szCs w:val="22"/>
              </w:rPr>
              <w:t>17</w:t>
            </w:r>
          </w:p>
          <w:p w:rsidR="00224F0F" w:rsidRDefault="00485CCD">
            <w:pPr>
              <w:spacing w:line="240" w:lineRule="auto"/>
              <w:jc w:val="center"/>
              <w:rPr>
                <w:color w:val="000000"/>
                <w:lang w:val="hu-HU"/>
              </w:rPr>
            </w:pPr>
            <w:r>
              <w:rPr>
                <w:color w:val="000000"/>
              </w:rPr>
              <w:t>(0,7%)</w:t>
            </w:r>
          </w:p>
        </w:tc>
      </w:tr>
      <w:tr w:rsidR="00224F0F">
        <w:tc>
          <w:tcPr>
            <w:tcW w:w="3794" w:type="dxa"/>
            <w:shd w:val="clear" w:color="auto" w:fill="auto"/>
          </w:tcPr>
          <w:p w:rsidR="00224F0F" w:rsidRDefault="00485CCD">
            <w:pPr>
              <w:pStyle w:val="Default"/>
              <w:ind w:left="284"/>
              <w:rPr>
                <w:sz w:val="22"/>
                <w:szCs w:val="22"/>
              </w:rPr>
            </w:pPr>
            <w:r>
              <w:rPr>
                <w:sz w:val="22"/>
                <w:szCs w:val="22"/>
              </w:rPr>
              <w:t>Tünetekkel járó PE és MVT</w:t>
            </w:r>
          </w:p>
        </w:tc>
        <w:tc>
          <w:tcPr>
            <w:tcW w:w="2693" w:type="dxa"/>
            <w:shd w:val="clear" w:color="auto" w:fill="auto"/>
          </w:tcPr>
          <w:p w:rsidR="00224F0F" w:rsidRDefault="00485CCD">
            <w:pPr>
              <w:spacing w:line="240" w:lineRule="auto"/>
              <w:jc w:val="center"/>
              <w:rPr>
                <w:color w:val="000000"/>
                <w:lang w:val="hu-HU"/>
              </w:rPr>
            </w:pPr>
            <w:r>
              <w:rPr>
                <w:color w:val="000000"/>
                <w:lang w:val="hu-HU"/>
              </w:rPr>
              <w:t>0</w:t>
            </w:r>
          </w:p>
        </w:tc>
        <w:tc>
          <w:tcPr>
            <w:tcW w:w="2724" w:type="dxa"/>
            <w:shd w:val="clear" w:color="auto" w:fill="auto"/>
          </w:tcPr>
          <w:p w:rsidR="00224F0F" w:rsidRDefault="00485CCD">
            <w:pPr>
              <w:pStyle w:val="Default"/>
              <w:jc w:val="center"/>
              <w:rPr>
                <w:sz w:val="22"/>
                <w:szCs w:val="22"/>
              </w:rPr>
            </w:pPr>
            <w:r>
              <w:rPr>
                <w:sz w:val="22"/>
                <w:szCs w:val="22"/>
              </w:rPr>
              <w:t>2</w:t>
            </w:r>
          </w:p>
          <w:p w:rsidR="00224F0F" w:rsidRDefault="00485CCD">
            <w:pPr>
              <w:spacing w:line="240" w:lineRule="auto"/>
              <w:jc w:val="center"/>
              <w:rPr>
                <w:color w:val="000000"/>
                <w:lang w:val="hu-HU"/>
              </w:rPr>
            </w:pPr>
            <w:r>
              <w:rPr>
                <w:color w:val="000000"/>
              </w:rPr>
              <w:t>(&lt;0,1%)</w:t>
            </w:r>
          </w:p>
        </w:tc>
      </w:tr>
      <w:tr w:rsidR="00224F0F">
        <w:tc>
          <w:tcPr>
            <w:tcW w:w="3794" w:type="dxa"/>
            <w:shd w:val="clear" w:color="auto" w:fill="auto"/>
          </w:tcPr>
          <w:p w:rsidR="00224F0F" w:rsidRDefault="00485CCD">
            <w:pPr>
              <w:pStyle w:val="Default"/>
              <w:ind w:left="284"/>
              <w:rPr>
                <w:sz w:val="22"/>
                <w:szCs w:val="22"/>
              </w:rPr>
            </w:pPr>
            <w:r>
              <w:rPr>
                <w:sz w:val="22"/>
                <w:szCs w:val="22"/>
              </w:rPr>
              <w:t>Fatális PE/haláleset, amelynél nem lehet kizárni a PE-t</w:t>
            </w:r>
          </w:p>
        </w:tc>
        <w:tc>
          <w:tcPr>
            <w:tcW w:w="2693" w:type="dxa"/>
            <w:shd w:val="clear" w:color="auto" w:fill="auto"/>
          </w:tcPr>
          <w:p w:rsidR="00224F0F" w:rsidRDefault="00485CCD">
            <w:pPr>
              <w:pStyle w:val="Default"/>
              <w:jc w:val="center"/>
              <w:rPr>
                <w:sz w:val="22"/>
                <w:szCs w:val="22"/>
              </w:rPr>
            </w:pPr>
            <w:r>
              <w:rPr>
                <w:sz w:val="22"/>
                <w:szCs w:val="22"/>
              </w:rPr>
              <w:t>11</w:t>
            </w:r>
          </w:p>
          <w:p w:rsidR="00224F0F" w:rsidRDefault="00485CCD">
            <w:pPr>
              <w:spacing w:line="240" w:lineRule="auto"/>
              <w:jc w:val="center"/>
              <w:rPr>
                <w:color w:val="000000"/>
                <w:lang w:val="hu-HU"/>
              </w:rPr>
            </w:pPr>
            <w:r>
              <w:rPr>
                <w:color w:val="000000"/>
              </w:rPr>
              <w:t>(0,5%)</w:t>
            </w:r>
          </w:p>
        </w:tc>
        <w:tc>
          <w:tcPr>
            <w:tcW w:w="2724" w:type="dxa"/>
            <w:shd w:val="clear" w:color="auto" w:fill="auto"/>
          </w:tcPr>
          <w:p w:rsidR="00224F0F" w:rsidRDefault="00485CCD">
            <w:pPr>
              <w:pStyle w:val="Default"/>
              <w:jc w:val="center"/>
              <w:rPr>
                <w:sz w:val="22"/>
                <w:szCs w:val="22"/>
              </w:rPr>
            </w:pPr>
            <w:r>
              <w:rPr>
                <w:sz w:val="22"/>
                <w:szCs w:val="22"/>
              </w:rPr>
              <w:t>7</w:t>
            </w:r>
          </w:p>
          <w:p w:rsidR="00224F0F" w:rsidRDefault="00485CCD">
            <w:pPr>
              <w:spacing w:line="240" w:lineRule="auto"/>
              <w:jc w:val="center"/>
              <w:rPr>
                <w:color w:val="000000"/>
                <w:lang w:val="hu-HU"/>
              </w:rPr>
            </w:pPr>
            <w:r>
              <w:rPr>
                <w:color w:val="000000"/>
              </w:rPr>
              <w:t>(0,3%)</w:t>
            </w:r>
          </w:p>
        </w:tc>
      </w:tr>
      <w:tr w:rsidR="00224F0F">
        <w:tc>
          <w:tcPr>
            <w:tcW w:w="3794" w:type="dxa"/>
            <w:shd w:val="clear" w:color="auto" w:fill="auto"/>
          </w:tcPr>
          <w:p w:rsidR="00224F0F" w:rsidRDefault="00485CCD">
            <w:pPr>
              <w:pStyle w:val="Default"/>
              <w:rPr>
                <w:sz w:val="22"/>
                <w:szCs w:val="22"/>
              </w:rPr>
            </w:pPr>
            <w:r>
              <w:rPr>
                <w:sz w:val="22"/>
                <w:szCs w:val="22"/>
              </w:rPr>
              <w:t>Súlyos vagy klinikailag jelentős, nem súlyos vérzés</w:t>
            </w:r>
          </w:p>
        </w:tc>
        <w:tc>
          <w:tcPr>
            <w:tcW w:w="2693" w:type="dxa"/>
            <w:shd w:val="clear" w:color="auto" w:fill="auto"/>
          </w:tcPr>
          <w:p w:rsidR="00224F0F" w:rsidRDefault="00485CCD">
            <w:pPr>
              <w:pStyle w:val="Default"/>
              <w:jc w:val="center"/>
              <w:rPr>
                <w:sz w:val="22"/>
                <w:szCs w:val="22"/>
              </w:rPr>
            </w:pPr>
            <w:r>
              <w:rPr>
                <w:sz w:val="22"/>
                <w:szCs w:val="22"/>
              </w:rPr>
              <w:t>249</w:t>
            </w:r>
          </w:p>
          <w:p w:rsidR="00224F0F" w:rsidRDefault="00485CCD">
            <w:pPr>
              <w:spacing w:line="240" w:lineRule="auto"/>
              <w:jc w:val="center"/>
              <w:rPr>
                <w:color w:val="000000"/>
                <w:lang w:val="hu-HU"/>
              </w:rPr>
            </w:pPr>
            <w:r>
              <w:rPr>
                <w:color w:val="000000"/>
              </w:rPr>
              <w:t>(10,3%)</w:t>
            </w:r>
          </w:p>
        </w:tc>
        <w:tc>
          <w:tcPr>
            <w:tcW w:w="2724" w:type="dxa"/>
            <w:shd w:val="clear" w:color="auto" w:fill="auto"/>
          </w:tcPr>
          <w:p w:rsidR="00224F0F" w:rsidRDefault="00485CCD">
            <w:pPr>
              <w:pStyle w:val="Default"/>
              <w:jc w:val="center"/>
              <w:rPr>
                <w:sz w:val="22"/>
                <w:szCs w:val="22"/>
              </w:rPr>
            </w:pPr>
            <w:r>
              <w:rPr>
                <w:sz w:val="22"/>
                <w:szCs w:val="22"/>
              </w:rPr>
              <w:t>274</w:t>
            </w:r>
          </w:p>
          <w:p w:rsidR="00224F0F" w:rsidRDefault="00485CCD">
            <w:pPr>
              <w:spacing w:line="240" w:lineRule="auto"/>
              <w:jc w:val="center"/>
              <w:rPr>
                <w:color w:val="000000"/>
                <w:lang w:val="hu-HU"/>
              </w:rPr>
            </w:pPr>
            <w:r>
              <w:rPr>
                <w:color w:val="000000"/>
              </w:rPr>
              <w:t>(11,4%)</w:t>
            </w:r>
          </w:p>
        </w:tc>
      </w:tr>
      <w:tr w:rsidR="00224F0F">
        <w:tc>
          <w:tcPr>
            <w:tcW w:w="3794" w:type="dxa"/>
            <w:shd w:val="clear" w:color="auto" w:fill="auto"/>
          </w:tcPr>
          <w:p w:rsidR="00224F0F" w:rsidRDefault="00485CCD">
            <w:pPr>
              <w:pStyle w:val="Default"/>
              <w:rPr>
                <w:sz w:val="22"/>
                <w:szCs w:val="22"/>
              </w:rPr>
            </w:pPr>
            <w:r>
              <w:rPr>
                <w:sz w:val="22"/>
                <w:szCs w:val="22"/>
              </w:rPr>
              <w:t>Súlyos vérzéses esemény</w:t>
            </w:r>
          </w:p>
        </w:tc>
        <w:tc>
          <w:tcPr>
            <w:tcW w:w="2693" w:type="dxa"/>
            <w:shd w:val="clear" w:color="auto" w:fill="auto"/>
          </w:tcPr>
          <w:p w:rsidR="00224F0F" w:rsidRDefault="00485CCD">
            <w:pPr>
              <w:pStyle w:val="Default"/>
              <w:jc w:val="center"/>
              <w:rPr>
                <w:sz w:val="22"/>
                <w:szCs w:val="22"/>
              </w:rPr>
            </w:pPr>
            <w:r>
              <w:rPr>
                <w:sz w:val="22"/>
                <w:szCs w:val="22"/>
              </w:rPr>
              <w:t>26</w:t>
            </w:r>
          </w:p>
          <w:p w:rsidR="00224F0F" w:rsidRDefault="00485CCD">
            <w:pPr>
              <w:spacing w:line="240" w:lineRule="auto"/>
              <w:jc w:val="center"/>
              <w:rPr>
                <w:color w:val="000000"/>
                <w:lang w:val="hu-HU"/>
              </w:rPr>
            </w:pPr>
            <w:r>
              <w:rPr>
                <w:color w:val="000000"/>
              </w:rPr>
              <w:t>(1,1%)</w:t>
            </w:r>
          </w:p>
        </w:tc>
        <w:tc>
          <w:tcPr>
            <w:tcW w:w="2724" w:type="dxa"/>
            <w:shd w:val="clear" w:color="auto" w:fill="auto"/>
          </w:tcPr>
          <w:p w:rsidR="00224F0F" w:rsidRDefault="00485CCD">
            <w:pPr>
              <w:pStyle w:val="Default"/>
              <w:jc w:val="center"/>
              <w:rPr>
                <w:sz w:val="22"/>
                <w:szCs w:val="22"/>
              </w:rPr>
            </w:pPr>
            <w:r>
              <w:rPr>
                <w:sz w:val="22"/>
                <w:szCs w:val="22"/>
              </w:rPr>
              <w:t>52</w:t>
            </w:r>
          </w:p>
          <w:p w:rsidR="00224F0F" w:rsidRDefault="00485CCD">
            <w:pPr>
              <w:spacing w:line="240" w:lineRule="auto"/>
              <w:jc w:val="center"/>
              <w:rPr>
                <w:color w:val="000000"/>
                <w:lang w:val="hu-HU"/>
              </w:rPr>
            </w:pPr>
            <w:r>
              <w:rPr>
                <w:color w:val="000000"/>
              </w:rPr>
              <w:t>(2,2%)</w:t>
            </w:r>
          </w:p>
        </w:tc>
      </w:tr>
      <w:tr w:rsidR="00224F0F">
        <w:tblPrEx>
          <w:tblBorders>
            <w:top w:val="nil"/>
            <w:left w:val="nil"/>
            <w:bottom w:val="nil"/>
            <w:right w:val="nil"/>
            <w:insideH w:val="none" w:sz="0" w:space="0" w:color="auto"/>
            <w:insideV w:val="none" w:sz="0" w:space="0" w:color="auto"/>
          </w:tblBorders>
          <w:tblLook w:val="0000" w:firstRow="0" w:lastRow="0" w:firstColumn="0" w:lastColumn="0" w:noHBand="0" w:noVBand="0"/>
        </w:tblPrEx>
        <w:trPr>
          <w:trHeight w:val="535"/>
        </w:trPr>
        <w:tc>
          <w:tcPr>
            <w:tcW w:w="9212" w:type="dxa"/>
            <w:gridSpan w:val="3"/>
          </w:tcPr>
          <w:p w:rsidR="00224F0F" w:rsidRDefault="00485CCD" w:rsidP="00A54C3F">
            <w:pPr>
              <w:pStyle w:val="Default"/>
              <w:tabs>
                <w:tab w:val="left" w:pos="444"/>
              </w:tabs>
              <w:ind w:left="459" w:hanging="459"/>
              <w:rPr>
                <w:sz w:val="22"/>
                <w:szCs w:val="22"/>
              </w:rPr>
            </w:pPr>
            <w:r>
              <w:rPr>
                <w:sz w:val="22"/>
                <w:szCs w:val="22"/>
              </w:rPr>
              <w:t>a)</w:t>
            </w:r>
            <w:r w:rsidR="00764E87">
              <w:tab/>
            </w:r>
            <w:r>
              <w:rPr>
                <w:sz w:val="22"/>
                <w:szCs w:val="22"/>
              </w:rPr>
              <w:t>Naponta kétszer 15 mg rivaroxabán 3 hétig, utána naponta egyszer 20 mg</w:t>
            </w:r>
          </w:p>
          <w:p w:rsidR="00224F0F" w:rsidRDefault="00485CCD" w:rsidP="00A54C3F">
            <w:pPr>
              <w:pStyle w:val="Default"/>
              <w:tabs>
                <w:tab w:val="left" w:pos="444"/>
              </w:tabs>
              <w:ind w:left="459" w:hanging="459"/>
              <w:rPr>
                <w:sz w:val="22"/>
                <w:szCs w:val="22"/>
              </w:rPr>
            </w:pPr>
            <w:r>
              <w:rPr>
                <w:sz w:val="22"/>
                <w:szCs w:val="22"/>
              </w:rPr>
              <w:t>b)</w:t>
            </w:r>
            <w:r w:rsidR="00764E87">
              <w:tab/>
            </w:r>
            <w:r>
              <w:rPr>
                <w:sz w:val="22"/>
                <w:szCs w:val="22"/>
              </w:rPr>
              <w:t>Legalább 5 napig enoxaparin, KVA-val átfedésben, utána KVA</w:t>
            </w:r>
          </w:p>
          <w:p w:rsidR="00224F0F" w:rsidRDefault="00485CCD" w:rsidP="00A54C3F">
            <w:pPr>
              <w:pStyle w:val="Default"/>
              <w:tabs>
                <w:tab w:val="left" w:pos="444"/>
              </w:tabs>
              <w:ind w:left="459" w:hanging="459"/>
              <w:rPr>
                <w:sz w:val="22"/>
                <w:szCs w:val="22"/>
              </w:rPr>
            </w:pPr>
            <w:r>
              <w:rPr>
                <w:sz w:val="22"/>
                <w:szCs w:val="22"/>
              </w:rPr>
              <w:t>*</w:t>
            </w:r>
            <w:r w:rsidR="00764E87">
              <w:tab/>
            </w:r>
            <w:r>
              <w:rPr>
                <w:sz w:val="22"/>
                <w:szCs w:val="22"/>
              </w:rPr>
              <w:t xml:space="preserve">p &lt; 0,0026 (non-inferioritás az előre meghatározott 2,0 relatív hazárdhoz); relatív hazárd: 1,123 (0,749–1,684) </w:t>
            </w:r>
          </w:p>
        </w:tc>
      </w:tr>
    </w:tbl>
    <w:p w:rsidR="00224F0F" w:rsidRDefault="00224F0F">
      <w:pPr>
        <w:spacing w:line="240" w:lineRule="auto"/>
        <w:rPr>
          <w:color w:val="000000"/>
          <w:lang w:val="hu-HU"/>
        </w:rPr>
      </w:pPr>
    </w:p>
    <w:p w:rsidR="00224F0F" w:rsidRDefault="00485CCD">
      <w:pPr>
        <w:spacing w:line="240" w:lineRule="auto"/>
        <w:rPr>
          <w:color w:val="000000"/>
          <w:lang w:val="hu-HU"/>
        </w:rPr>
      </w:pPr>
      <w:r>
        <w:rPr>
          <w:color w:val="000000"/>
          <w:lang w:val="hu-HU"/>
        </w:rPr>
        <w:t>Elvégezték az Einstein DVT és Einstein PE vizsgálatok eredményének egy előre meghatározott, összesített elemzését (lásd 8. táblázat).</w:t>
      </w:r>
    </w:p>
    <w:p w:rsidR="00224F0F" w:rsidRDefault="00224F0F">
      <w:pPr>
        <w:spacing w:line="240" w:lineRule="auto"/>
        <w:rPr>
          <w:color w:val="000000"/>
          <w:lang w:val="hu-HU"/>
        </w:rPr>
      </w:pPr>
    </w:p>
    <w:p w:rsidR="00224F0F" w:rsidRDefault="00485CCD" w:rsidP="00A54C3F">
      <w:pPr>
        <w:pStyle w:val="Default"/>
        <w:tabs>
          <w:tab w:val="left" w:pos="1276"/>
        </w:tabs>
        <w:ind w:left="1276" w:hanging="1276"/>
        <w:rPr>
          <w:b/>
          <w:bCs/>
          <w:sz w:val="22"/>
          <w:szCs w:val="22"/>
        </w:rPr>
      </w:pPr>
      <w:r>
        <w:rPr>
          <w:b/>
          <w:bCs/>
          <w:sz w:val="22"/>
          <w:szCs w:val="22"/>
        </w:rPr>
        <w:t>8. táblázat:</w:t>
      </w:r>
      <w:r w:rsidR="00764E87" w:rsidRPr="00764E87">
        <w:t xml:space="preserve"> </w:t>
      </w:r>
      <w:r w:rsidR="00764E87">
        <w:tab/>
      </w:r>
      <w:r>
        <w:rPr>
          <w:b/>
          <w:bCs/>
          <w:sz w:val="22"/>
          <w:szCs w:val="22"/>
        </w:rPr>
        <w:t>A III. fázisú Einstein DVT és PE vizsgálatok összesített hatásossági és biztonságossági eredményei</w:t>
      </w:r>
    </w:p>
    <w:p w:rsidR="00764E87" w:rsidRDefault="00764E87" w:rsidP="00A54C3F">
      <w:pPr>
        <w:pStyle w:val="Default"/>
        <w:tabs>
          <w:tab w:val="left" w:pos="1276"/>
        </w:tabs>
        <w:ind w:left="1276" w:hanging="1276"/>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4"/>
        <w:gridCol w:w="3060"/>
        <w:gridCol w:w="2288"/>
      </w:tblGrid>
      <w:tr w:rsidR="00224F0F">
        <w:tc>
          <w:tcPr>
            <w:tcW w:w="3794" w:type="dxa"/>
            <w:shd w:val="clear" w:color="auto" w:fill="auto"/>
          </w:tcPr>
          <w:p w:rsidR="00224F0F" w:rsidRDefault="00485CCD">
            <w:pPr>
              <w:pStyle w:val="Default"/>
              <w:rPr>
                <w:b/>
                <w:sz w:val="22"/>
                <w:szCs w:val="22"/>
              </w:rPr>
            </w:pPr>
            <w:r>
              <w:rPr>
                <w:b/>
                <w:sz w:val="22"/>
                <w:szCs w:val="22"/>
              </w:rPr>
              <w:t>Vizsgálati populáció</w:t>
            </w:r>
          </w:p>
        </w:tc>
        <w:tc>
          <w:tcPr>
            <w:tcW w:w="5417" w:type="dxa"/>
            <w:gridSpan w:val="2"/>
            <w:shd w:val="clear" w:color="auto" w:fill="auto"/>
          </w:tcPr>
          <w:p w:rsidR="00224F0F" w:rsidRDefault="00485CCD">
            <w:pPr>
              <w:pStyle w:val="Default"/>
              <w:rPr>
                <w:b/>
                <w:sz w:val="22"/>
                <w:szCs w:val="22"/>
              </w:rPr>
            </w:pPr>
            <w:r>
              <w:rPr>
                <w:b/>
                <w:sz w:val="22"/>
                <w:szCs w:val="22"/>
              </w:rPr>
              <w:t xml:space="preserve">8281 tünetekkel járó, akut mélyvénás trombózisban vagy pulmonalis emboliában szenvedő beteg </w:t>
            </w:r>
          </w:p>
        </w:tc>
      </w:tr>
      <w:tr w:rsidR="00224F0F">
        <w:tc>
          <w:tcPr>
            <w:tcW w:w="3794" w:type="dxa"/>
            <w:shd w:val="clear" w:color="auto" w:fill="auto"/>
          </w:tcPr>
          <w:p w:rsidR="00224F0F" w:rsidRDefault="00485CCD">
            <w:pPr>
              <w:pStyle w:val="Default"/>
              <w:rPr>
                <w:b/>
                <w:sz w:val="22"/>
                <w:szCs w:val="22"/>
              </w:rPr>
            </w:pPr>
            <w:r>
              <w:rPr>
                <w:b/>
                <w:sz w:val="22"/>
                <w:szCs w:val="22"/>
              </w:rPr>
              <w:t>Terápiás dózis és kezelési időtartam</w:t>
            </w:r>
          </w:p>
        </w:tc>
        <w:tc>
          <w:tcPr>
            <w:tcW w:w="3118" w:type="dxa"/>
            <w:shd w:val="clear" w:color="auto" w:fill="auto"/>
          </w:tcPr>
          <w:p w:rsidR="00224F0F" w:rsidRDefault="00485CCD">
            <w:pPr>
              <w:pStyle w:val="Default"/>
              <w:jc w:val="center"/>
              <w:rPr>
                <w:b/>
                <w:sz w:val="22"/>
                <w:szCs w:val="22"/>
              </w:rPr>
            </w:pPr>
            <w:r>
              <w:rPr>
                <w:b/>
                <w:sz w:val="22"/>
                <w:szCs w:val="22"/>
              </w:rPr>
              <w:t>Rivaroxabán</w:t>
            </w:r>
            <w:r>
              <w:rPr>
                <w:b/>
                <w:position w:val="8"/>
                <w:sz w:val="22"/>
                <w:szCs w:val="22"/>
                <w:vertAlign w:val="superscript"/>
              </w:rPr>
              <w:t>a)</w:t>
            </w:r>
          </w:p>
          <w:p w:rsidR="00224F0F" w:rsidRDefault="00485CCD">
            <w:pPr>
              <w:pStyle w:val="Default"/>
              <w:jc w:val="center"/>
              <w:rPr>
                <w:b/>
                <w:sz w:val="22"/>
                <w:szCs w:val="22"/>
              </w:rPr>
            </w:pPr>
            <w:r>
              <w:rPr>
                <w:b/>
                <w:sz w:val="22"/>
                <w:szCs w:val="22"/>
              </w:rPr>
              <w:t>3, 6 vagy 12 hónap</w:t>
            </w:r>
          </w:p>
          <w:p w:rsidR="00224F0F" w:rsidRDefault="00485CCD">
            <w:pPr>
              <w:spacing w:line="240" w:lineRule="auto"/>
              <w:jc w:val="center"/>
              <w:rPr>
                <w:b/>
                <w:color w:val="000000"/>
                <w:lang w:val="hu-HU"/>
              </w:rPr>
            </w:pPr>
            <w:r>
              <w:rPr>
                <w:b/>
                <w:color w:val="000000"/>
              </w:rPr>
              <w:t>N = 4150</w:t>
            </w:r>
          </w:p>
        </w:tc>
        <w:tc>
          <w:tcPr>
            <w:tcW w:w="2299" w:type="dxa"/>
            <w:shd w:val="clear" w:color="auto" w:fill="auto"/>
          </w:tcPr>
          <w:p w:rsidR="00224F0F" w:rsidRDefault="00485CCD">
            <w:pPr>
              <w:pStyle w:val="Default"/>
              <w:jc w:val="center"/>
              <w:rPr>
                <w:b/>
                <w:sz w:val="22"/>
                <w:szCs w:val="22"/>
              </w:rPr>
            </w:pPr>
            <w:r>
              <w:rPr>
                <w:b/>
                <w:sz w:val="22"/>
                <w:szCs w:val="22"/>
              </w:rPr>
              <w:t>Enoxaparin/KVA</w:t>
            </w:r>
            <w:r>
              <w:rPr>
                <w:b/>
                <w:position w:val="8"/>
                <w:sz w:val="22"/>
                <w:szCs w:val="22"/>
                <w:vertAlign w:val="superscript"/>
              </w:rPr>
              <w:t>b)</w:t>
            </w:r>
          </w:p>
          <w:p w:rsidR="00224F0F" w:rsidRDefault="00485CCD">
            <w:pPr>
              <w:pStyle w:val="Default"/>
              <w:jc w:val="center"/>
              <w:rPr>
                <w:b/>
                <w:sz w:val="22"/>
                <w:szCs w:val="22"/>
              </w:rPr>
            </w:pPr>
            <w:r>
              <w:rPr>
                <w:b/>
                <w:sz w:val="22"/>
                <w:szCs w:val="22"/>
              </w:rPr>
              <w:t>3, 6 vagy 12 hónap</w:t>
            </w:r>
          </w:p>
          <w:p w:rsidR="00224F0F" w:rsidRDefault="00485CCD">
            <w:pPr>
              <w:spacing w:line="240" w:lineRule="auto"/>
              <w:jc w:val="center"/>
              <w:rPr>
                <w:b/>
                <w:color w:val="000000"/>
                <w:lang w:val="hu-HU"/>
              </w:rPr>
            </w:pPr>
            <w:r>
              <w:rPr>
                <w:b/>
                <w:color w:val="000000"/>
              </w:rPr>
              <w:t>N = 4131</w:t>
            </w:r>
          </w:p>
        </w:tc>
      </w:tr>
      <w:tr w:rsidR="00224F0F">
        <w:tc>
          <w:tcPr>
            <w:tcW w:w="3794" w:type="dxa"/>
            <w:shd w:val="clear" w:color="auto" w:fill="auto"/>
          </w:tcPr>
          <w:p w:rsidR="00224F0F" w:rsidRDefault="00485CCD">
            <w:pPr>
              <w:pStyle w:val="Default"/>
              <w:rPr>
                <w:sz w:val="22"/>
                <w:szCs w:val="22"/>
              </w:rPr>
            </w:pPr>
            <w:r>
              <w:rPr>
                <w:sz w:val="22"/>
                <w:szCs w:val="22"/>
              </w:rPr>
              <w:t xml:space="preserve">Tünetekkel járó, visszatérő VTE* </w:t>
            </w:r>
          </w:p>
        </w:tc>
        <w:tc>
          <w:tcPr>
            <w:tcW w:w="3118" w:type="dxa"/>
            <w:shd w:val="clear" w:color="auto" w:fill="auto"/>
          </w:tcPr>
          <w:p w:rsidR="00224F0F" w:rsidRDefault="00485CCD">
            <w:pPr>
              <w:pStyle w:val="Default"/>
              <w:jc w:val="center"/>
              <w:rPr>
                <w:sz w:val="22"/>
                <w:szCs w:val="22"/>
              </w:rPr>
            </w:pPr>
            <w:r>
              <w:rPr>
                <w:sz w:val="22"/>
                <w:szCs w:val="22"/>
              </w:rPr>
              <w:t>86</w:t>
            </w:r>
          </w:p>
          <w:p w:rsidR="00224F0F" w:rsidRDefault="00485CCD">
            <w:pPr>
              <w:spacing w:line="240" w:lineRule="auto"/>
              <w:jc w:val="center"/>
              <w:rPr>
                <w:color w:val="000000"/>
                <w:lang w:val="hu-HU"/>
              </w:rPr>
            </w:pPr>
            <w:r>
              <w:rPr>
                <w:color w:val="000000"/>
              </w:rPr>
              <w:t>(2,1%)</w:t>
            </w:r>
          </w:p>
        </w:tc>
        <w:tc>
          <w:tcPr>
            <w:tcW w:w="2299" w:type="dxa"/>
            <w:shd w:val="clear" w:color="auto" w:fill="auto"/>
          </w:tcPr>
          <w:p w:rsidR="00224F0F" w:rsidRDefault="00485CCD">
            <w:pPr>
              <w:pStyle w:val="Default"/>
              <w:jc w:val="center"/>
              <w:rPr>
                <w:sz w:val="22"/>
                <w:szCs w:val="22"/>
              </w:rPr>
            </w:pPr>
            <w:r>
              <w:rPr>
                <w:sz w:val="22"/>
                <w:szCs w:val="22"/>
              </w:rPr>
              <w:t>95</w:t>
            </w:r>
          </w:p>
          <w:p w:rsidR="00224F0F" w:rsidRDefault="00485CCD">
            <w:pPr>
              <w:spacing w:line="240" w:lineRule="auto"/>
              <w:jc w:val="center"/>
              <w:rPr>
                <w:color w:val="000000"/>
                <w:lang w:val="hu-HU"/>
              </w:rPr>
            </w:pPr>
            <w:r>
              <w:rPr>
                <w:color w:val="000000"/>
              </w:rPr>
              <w:t>(2,3%)</w:t>
            </w:r>
          </w:p>
        </w:tc>
      </w:tr>
      <w:tr w:rsidR="00224F0F">
        <w:tc>
          <w:tcPr>
            <w:tcW w:w="3794" w:type="dxa"/>
            <w:shd w:val="clear" w:color="auto" w:fill="auto"/>
          </w:tcPr>
          <w:p w:rsidR="00224F0F" w:rsidRDefault="00485CCD">
            <w:pPr>
              <w:pStyle w:val="Default"/>
              <w:ind w:left="284"/>
              <w:rPr>
                <w:sz w:val="22"/>
                <w:szCs w:val="22"/>
              </w:rPr>
            </w:pPr>
            <w:r>
              <w:rPr>
                <w:sz w:val="22"/>
                <w:szCs w:val="22"/>
              </w:rPr>
              <w:t>Tünetekkel járó, visszatérő PE</w:t>
            </w:r>
          </w:p>
        </w:tc>
        <w:tc>
          <w:tcPr>
            <w:tcW w:w="3118" w:type="dxa"/>
            <w:shd w:val="clear" w:color="auto" w:fill="auto"/>
          </w:tcPr>
          <w:p w:rsidR="00224F0F" w:rsidRDefault="00485CCD">
            <w:pPr>
              <w:pStyle w:val="Default"/>
              <w:jc w:val="center"/>
              <w:rPr>
                <w:sz w:val="22"/>
                <w:szCs w:val="22"/>
              </w:rPr>
            </w:pPr>
            <w:r>
              <w:rPr>
                <w:sz w:val="22"/>
                <w:szCs w:val="22"/>
              </w:rPr>
              <w:t>43</w:t>
            </w:r>
          </w:p>
          <w:p w:rsidR="00224F0F" w:rsidRDefault="00485CCD">
            <w:pPr>
              <w:spacing w:line="240" w:lineRule="auto"/>
              <w:jc w:val="center"/>
              <w:rPr>
                <w:color w:val="000000"/>
                <w:lang w:val="hu-HU"/>
              </w:rPr>
            </w:pPr>
            <w:r>
              <w:rPr>
                <w:color w:val="000000"/>
              </w:rPr>
              <w:t>(1,0%)</w:t>
            </w:r>
          </w:p>
        </w:tc>
        <w:tc>
          <w:tcPr>
            <w:tcW w:w="2299" w:type="dxa"/>
            <w:shd w:val="clear" w:color="auto" w:fill="auto"/>
          </w:tcPr>
          <w:p w:rsidR="00224F0F" w:rsidRDefault="00485CCD">
            <w:pPr>
              <w:pStyle w:val="Default"/>
              <w:jc w:val="center"/>
              <w:rPr>
                <w:sz w:val="22"/>
                <w:szCs w:val="22"/>
              </w:rPr>
            </w:pPr>
            <w:r>
              <w:rPr>
                <w:sz w:val="22"/>
                <w:szCs w:val="22"/>
              </w:rPr>
              <w:t>38</w:t>
            </w:r>
          </w:p>
          <w:p w:rsidR="00224F0F" w:rsidRDefault="00485CCD">
            <w:pPr>
              <w:spacing w:line="240" w:lineRule="auto"/>
              <w:jc w:val="center"/>
              <w:rPr>
                <w:color w:val="000000"/>
                <w:lang w:val="hu-HU"/>
              </w:rPr>
            </w:pPr>
            <w:r>
              <w:rPr>
                <w:color w:val="000000"/>
              </w:rPr>
              <w:t>(0,9%)</w:t>
            </w:r>
          </w:p>
        </w:tc>
      </w:tr>
      <w:tr w:rsidR="00224F0F">
        <w:tc>
          <w:tcPr>
            <w:tcW w:w="3794" w:type="dxa"/>
            <w:shd w:val="clear" w:color="auto" w:fill="auto"/>
          </w:tcPr>
          <w:p w:rsidR="00224F0F" w:rsidRDefault="00485CCD">
            <w:pPr>
              <w:pStyle w:val="Default"/>
              <w:ind w:left="284"/>
              <w:rPr>
                <w:sz w:val="22"/>
                <w:szCs w:val="22"/>
              </w:rPr>
            </w:pPr>
            <w:r>
              <w:rPr>
                <w:sz w:val="22"/>
                <w:szCs w:val="22"/>
              </w:rPr>
              <w:t xml:space="preserve">Tünetekkel járó, visszatérő MVT </w:t>
            </w:r>
          </w:p>
        </w:tc>
        <w:tc>
          <w:tcPr>
            <w:tcW w:w="3118" w:type="dxa"/>
            <w:shd w:val="clear" w:color="auto" w:fill="auto"/>
          </w:tcPr>
          <w:p w:rsidR="00224F0F" w:rsidRDefault="00485CCD">
            <w:pPr>
              <w:pStyle w:val="Default"/>
              <w:jc w:val="center"/>
              <w:rPr>
                <w:sz w:val="22"/>
                <w:szCs w:val="22"/>
              </w:rPr>
            </w:pPr>
            <w:r>
              <w:rPr>
                <w:sz w:val="22"/>
                <w:szCs w:val="22"/>
              </w:rPr>
              <w:t>32</w:t>
            </w:r>
          </w:p>
          <w:p w:rsidR="00224F0F" w:rsidRDefault="00485CCD">
            <w:pPr>
              <w:spacing w:line="240" w:lineRule="auto"/>
              <w:jc w:val="center"/>
              <w:rPr>
                <w:color w:val="000000"/>
                <w:lang w:val="hu-HU"/>
              </w:rPr>
            </w:pPr>
            <w:r>
              <w:rPr>
                <w:color w:val="000000"/>
              </w:rPr>
              <w:t>(0,8%)</w:t>
            </w:r>
          </w:p>
        </w:tc>
        <w:tc>
          <w:tcPr>
            <w:tcW w:w="2299" w:type="dxa"/>
            <w:shd w:val="clear" w:color="auto" w:fill="auto"/>
          </w:tcPr>
          <w:p w:rsidR="00224F0F" w:rsidRDefault="00485CCD">
            <w:pPr>
              <w:pStyle w:val="Default"/>
              <w:jc w:val="center"/>
              <w:rPr>
                <w:sz w:val="22"/>
                <w:szCs w:val="22"/>
              </w:rPr>
            </w:pPr>
            <w:r>
              <w:rPr>
                <w:sz w:val="22"/>
                <w:szCs w:val="22"/>
              </w:rPr>
              <w:t>45</w:t>
            </w:r>
          </w:p>
          <w:p w:rsidR="00224F0F" w:rsidRDefault="00485CCD">
            <w:pPr>
              <w:jc w:val="center"/>
              <w:rPr>
                <w:color w:val="000000"/>
                <w:lang w:val="hu-HU"/>
              </w:rPr>
            </w:pPr>
            <w:r>
              <w:rPr>
                <w:color w:val="000000"/>
              </w:rPr>
              <w:t>(1,1%)</w:t>
            </w:r>
          </w:p>
        </w:tc>
      </w:tr>
      <w:tr w:rsidR="00224F0F">
        <w:tc>
          <w:tcPr>
            <w:tcW w:w="3794" w:type="dxa"/>
            <w:shd w:val="clear" w:color="auto" w:fill="auto"/>
          </w:tcPr>
          <w:p w:rsidR="00224F0F" w:rsidRDefault="00485CCD">
            <w:pPr>
              <w:pStyle w:val="Default"/>
              <w:ind w:left="284"/>
              <w:rPr>
                <w:sz w:val="22"/>
                <w:szCs w:val="22"/>
              </w:rPr>
            </w:pPr>
            <w:r>
              <w:rPr>
                <w:sz w:val="22"/>
                <w:szCs w:val="22"/>
              </w:rPr>
              <w:t>Tünetekkel járó PE és MVT</w:t>
            </w:r>
          </w:p>
        </w:tc>
        <w:tc>
          <w:tcPr>
            <w:tcW w:w="3118" w:type="dxa"/>
            <w:shd w:val="clear" w:color="auto" w:fill="auto"/>
          </w:tcPr>
          <w:p w:rsidR="00224F0F" w:rsidRDefault="00485CCD">
            <w:pPr>
              <w:pStyle w:val="Default"/>
              <w:jc w:val="center"/>
              <w:rPr>
                <w:sz w:val="22"/>
                <w:szCs w:val="22"/>
              </w:rPr>
            </w:pPr>
            <w:r>
              <w:rPr>
                <w:sz w:val="22"/>
                <w:szCs w:val="22"/>
              </w:rPr>
              <w:t>1</w:t>
            </w:r>
          </w:p>
          <w:p w:rsidR="00224F0F" w:rsidRDefault="00485CCD">
            <w:pPr>
              <w:spacing w:line="240" w:lineRule="auto"/>
              <w:jc w:val="center"/>
              <w:rPr>
                <w:color w:val="000000"/>
                <w:lang w:val="hu-HU"/>
              </w:rPr>
            </w:pPr>
            <w:r>
              <w:rPr>
                <w:color w:val="000000"/>
              </w:rPr>
              <w:t>(&lt;0,1%)</w:t>
            </w:r>
          </w:p>
        </w:tc>
        <w:tc>
          <w:tcPr>
            <w:tcW w:w="2299" w:type="dxa"/>
            <w:shd w:val="clear" w:color="auto" w:fill="auto"/>
          </w:tcPr>
          <w:p w:rsidR="00224F0F" w:rsidRDefault="00485CCD">
            <w:pPr>
              <w:pStyle w:val="Default"/>
              <w:jc w:val="center"/>
              <w:rPr>
                <w:sz w:val="22"/>
                <w:szCs w:val="22"/>
              </w:rPr>
            </w:pPr>
            <w:r>
              <w:rPr>
                <w:sz w:val="22"/>
                <w:szCs w:val="22"/>
              </w:rPr>
              <w:t>2</w:t>
            </w:r>
          </w:p>
          <w:p w:rsidR="00224F0F" w:rsidRDefault="00485CCD">
            <w:pPr>
              <w:spacing w:line="240" w:lineRule="auto"/>
              <w:jc w:val="center"/>
              <w:rPr>
                <w:color w:val="000000"/>
                <w:lang w:val="hu-HU"/>
              </w:rPr>
            </w:pPr>
            <w:r>
              <w:rPr>
                <w:color w:val="000000"/>
              </w:rPr>
              <w:t>(&lt;0,1%)</w:t>
            </w:r>
          </w:p>
        </w:tc>
      </w:tr>
      <w:tr w:rsidR="00224F0F">
        <w:tc>
          <w:tcPr>
            <w:tcW w:w="3794" w:type="dxa"/>
            <w:shd w:val="clear" w:color="auto" w:fill="auto"/>
          </w:tcPr>
          <w:p w:rsidR="00224F0F" w:rsidRDefault="00485CCD">
            <w:pPr>
              <w:pStyle w:val="Default"/>
              <w:ind w:left="284"/>
              <w:rPr>
                <w:sz w:val="22"/>
                <w:szCs w:val="22"/>
              </w:rPr>
            </w:pPr>
            <w:r>
              <w:rPr>
                <w:sz w:val="22"/>
                <w:szCs w:val="22"/>
              </w:rPr>
              <w:t xml:space="preserve">Fatális PE/haláleset, amelynél nem lehet kizárni a PE-t </w:t>
            </w:r>
          </w:p>
        </w:tc>
        <w:tc>
          <w:tcPr>
            <w:tcW w:w="3118" w:type="dxa"/>
            <w:shd w:val="clear" w:color="auto" w:fill="auto"/>
          </w:tcPr>
          <w:p w:rsidR="00224F0F" w:rsidRDefault="00485CCD">
            <w:pPr>
              <w:pStyle w:val="Default"/>
              <w:jc w:val="center"/>
              <w:rPr>
                <w:sz w:val="22"/>
                <w:szCs w:val="22"/>
              </w:rPr>
            </w:pPr>
            <w:r>
              <w:rPr>
                <w:sz w:val="22"/>
                <w:szCs w:val="22"/>
              </w:rPr>
              <w:t>15</w:t>
            </w:r>
          </w:p>
          <w:p w:rsidR="00224F0F" w:rsidRDefault="00485CCD">
            <w:pPr>
              <w:spacing w:line="240" w:lineRule="auto"/>
              <w:jc w:val="center"/>
              <w:rPr>
                <w:color w:val="000000"/>
                <w:lang w:val="hu-HU"/>
              </w:rPr>
            </w:pPr>
            <w:r>
              <w:rPr>
                <w:color w:val="000000"/>
              </w:rPr>
              <w:t>(0,4%)</w:t>
            </w:r>
          </w:p>
        </w:tc>
        <w:tc>
          <w:tcPr>
            <w:tcW w:w="2299" w:type="dxa"/>
            <w:shd w:val="clear" w:color="auto" w:fill="auto"/>
          </w:tcPr>
          <w:p w:rsidR="00224F0F" w:rsidRDefault="00485CCD">
            <w:pPr>
              <w:pStyle w:val="Default"/>
              <w:jc w:val="center"/>
              <w:rPr>
                <w:sz w:val="22"/>
                <w:szCs w:val="22"/>
              </w:rPr>
            </w:pPr>
            <w:r>
              <w:rPr>
                <w:sz w:val="22"/>
                <w:szCs w:val="22"/>
              </w:rPr>
              <w:t>13</w:t>
            </w:r>
          </w:p>
          <w:p w:rsidR="00224F0F" w:rsidRDefault="00485CCD">
            <w:pPr>
              <w:spacing w:line="240" w:lineRule="auto"/>
              <w:jc w:val="center"/>
              <w:rPr>
                <w:color w:val="000000"/>
                <w:lang w:val="hu-HU"/>
              </w:rPr>
            </w:pPr>
            <w:r>
              <w:rPr>
                <w:color w:val="000000"/>
              </w:rPr>
              <w:t>(0,3%)</w:t>
            </w:r>
          </w:p>
        </w:tc>
      </w:tr>
      <w:tr w:rsidR="00224F0F">
        <w:tc>
          <w:tcPr>
            <w:tcW w:w="3794" w:type="dxa"/>
            <w:shd w:val="clear" w:color="auto" w:fill="auto"/>
          </w:tcPr>
          <w:p w:rsidR="00224F0F" w:rsidRDefault="00485CCD">
            <w:pPr>
              <w:pStyle w:val="Default"/>
              <w:rPr>
                <w:sz w:val="22"/>
                <w:szCs w:val="22"/>
              </w:rPr>
            </w:pPr>
            <w:r>
              <w:rPr>
                <w:sz w:val="22"/>
                <w:szCs w:val="22"/>
              </w:rPr>
              <w:lastRenderedPageBreak/>
              <w:t xml:space="preserve">Súlyos vagy klinikailag jelentős, nem súlyos vérzés </w:t>
            </w:r>
          </w:p>
        </w:tc>
        <w:tc>
          <w:tcPr>
            <w:tcW w:w="3118" w:type="dxa"/>
            <w:shd w:val="clear" w:color="auto" w:fill="auto"/>
          </w:tcPr>
          <w:p w:rsidR="00224F0F" w:rsidRDefault="00485CCD">
            <w:pPr>
              <w:pStyle w:val="Default"/>
              <w:jc w:val="center"/>
              <w:rPr>
                <w:sz w:val="22"/>
                <w:szCs w:val="22"/>
              </w:rPr>
            </w:pPr>
            <w:r>
              <w:rPr>
                <w:sz w:val="22"/>
                <w:szCs w:val="22"/>
              </w:rPr>
              <w:t>388</w:t>
            </w:r>
          </w:p>
          <w:p w:rsidR="00224F0F" w:rsidRDefault="00485CCD">
            <w:pPr>
              <w:spacing w:line="240" w:lineRule="auto"/>
              <w:jc w:val="center"/>
              <w:rPr>
                <w:color w:val="000000"/>
                <w:lang w:val="hu-HU"/>
              </w:rPr>
            </w:pPr>
            <w:r>
              <w:rPr>
                <w:color w:val="000000"/>
              </w:rPr>
              <w:t>(9,4%)</w:t>
            </w:r>
          </w:p>
        </w:tc>
        <w:tc>
          <w:tcPr>
            <w:tcW w:w="2299" w:type="dxa"/>
            <w:shd w:val="clear" w:color="auto" w:fill="auto"/>
          </w:tcPr>
          <w:p w:rsidR="00224F0F" w:rsidRDefault="00485CCD">
            <w:pPr>
              <w:pStyle w:val="Default"/>
              <w:jc w:val="center"/>
              <w:rPr>
                <w:sz w:val="22"/>
                <w:szCs w:val="22"/>
              </w:rPr>
            </w:pPr>
            <w:r>
              <w:rPr>
                <w:sz w:val="22"/>
                <w:szCs w:val="22"/>
              </w:rPr>
              <w:t>412</w:t>
            </w:r>
          </w:p>
          <w:p w:rsidR="00224F0F" w:rsidRDefault="00485CCD">
            <w:pPr>
              <w:spacing w:line="240" w:lineRule="auto"/>
              <w:jc w:val="center"/>
              <w:rPr>
                <w:color w:val="000000"/>
                <w:lang w:val="hu-HU"/>
              </w:rPr>
            </w:pPr>
            <w:r>
              <w:rPr>
                <w:color w:val="000000"/>
              </w:rPr>
              <w:t>(10,0%)</w:t>
            </w:r>
          </w:p>
        </w:tc>
      </w:tr>
      <w:tr w:rsidR="00224F0F">
        <w:tc>
          <w:tcPr>
            <w:tcW w:w="3794" w:type="dxa"/>
            <w:shd w:val="clear" w:color="auto" w:fill="auto"/>
          </w:tcPr>
          <w:p w:rsidR="00224F0F" w:rsidRDefault="00485CCD">
            <w:pPr>
              <w:spacing w:line="240" w:lineRule="auto"/>
              <w:rPr>
                <w:color w:val="000000"/>
                <w:lang w:val="hu-HU"/>
              </w:rPr>
            </w:pPr>
            <w:r>
              <w:rPr>
                <w:color w:val="000000"/>
                <w:lang w:val="hu-HU"/>
              </w:rPr>
              <w:t>Súlyos vérzéses esemény</w:t>
            </w:r>
          </w:p>
        </w:tc>
        <w:tc>
          <w:tcPr>
            <w:tcW w:w="3118" w:type="dxa"/>
            <w:shd w:val="clear" w:color="auto" w:fill="auto"/>
          </w:tcPr>
          <w:p w:rsidR="00224F0F" w:rsidRDefault="00485CCD">
            <w:pPr>
              <w:pStyle w:val="Default"/>
              <w:jc w:val="center"/>
              <w:rPr>
                <w:sz w:val="22"/>
                <w:szCs w:val="22"/>
              </w:rPr>
            </w:pPr>
            <w:r>
              <w:rPr>
                <w:sz w:val="22"/>
                <w:szCs w:val="22"/>
              </w:rPr>
              <w:t>40</w:t>
            </w:r>
          </w:p>
          <w:p w:rsidR="00224F0F" w:rsidRDefault="00485CCD">
            <w:pPr>
              <w:spacing w:line="240" w:lineRule="auto"/>
              <w:jc w:val="center"/>
              <w:rPr>
                <w:color w:val="000000"/>
                <w:lang w:val="hu-HU"/>
              </w:rPr>
            </w:pPr>
            <w:r>
              <w:rPr>
                <w:color w:val="000000"/>
              </w:rPr>
              <w:t>(1,0%)</w:t>
            </w:r>
          </w:p>
        </w:tc>
        <w:tc>
          <w:tcPr>
            <w:tcW w:w="2299" w:type="dxa"/>
            <w:shd w:val="clear" w:color="auto" w:fill="auto"/>
          </w:tcPr>
          <w:p w:rsidR="00224F0F" w:rsidRDefault="00485CCD">
            <w:pPr>
              <w:pStyle w:val="Default"/>
              <w:jc w:val="center"/>
              <w:rPr>
                <w:sz w:val="22"/>
                <w:szCs w:val="22"/>
              </w:rPr>
            </w:pPr>
            <w:r>
              <w:rPr>
                <w:sz w:val="22"/>
                <w:szCs w:val="22"/>
              </w:rPr>
              <w:t>72</w:t>
            </w:r>
          </w:p>
          <w:p w:rsidR="00224F0F" w:rsidRDefault="00485CCD">
            <w:pPr>
              <w:spacing w:line="240" w:lineRule="auto"/>
              <w:jc w:val="center"/>
              <w:rPr>
                <w:color w:val="000000"/>
                <w:lang w:val="hu-HU"/>
              </w:rPr>
            </w:pPr>
            <w:r>
              <w:rPr>
                <w:color w:val="000000"/>
              </w:rPr>
              <w:t>(1,7%)</w:t>
            </w:r>
          </w:p>
        </w:tc>
      </w:tr>
    </w:tbl>
    <w:p w:rsidR="00224F0F" w:rsidRDefault="00485CCD" w:rsidP="00A54C3F">
      <w:pPr>
        <w:pStyle w:val="Default"/>
        <w:tabs>
          <w:tab w:val="left" w:pos="426"/>
        </w:tabs>
        <w:ind w:left="426" w:hanging="426"/>
        <w:rPr>
          <w:sz w:val="22"/>
          <w:szCs w:val="22"/>
        </w:rPr>
      </w:pPr>
      <w:r>
        <w:rPr>
          <w:sz w:val="22"/>
          <w:szCs w:val="22"/>
        </w:rPr>
        <w:t>a)</w:t>
      </w:r>
      <w:r w:rsidR="00764E87">
        <w:tab/>
      </w:r>
      <w:r>
        <w:rPr>
          <w:sz w:val="22"/>
          <w:szCs w:val="22"/>
        </w:rPr>
        <w:t>Naponta kétszer 15 mg rivaroxabán 3 hétig, utána naponta egyszer 20 mg</w:t>
      </w:r>
    </w:p>
    <w:p w:rsidR="00224F0F" w:rsidRDefault="00485CCD" w:rsidP="00A54C3F">
      <w:pPr>
        <w:pStyle w:val="Default"/>
        <w:tabs>
          <w:tab w:val="left" w:pos="426"/>
        </w:tabs>
        <w:ind w:left="426" w:hanging="426"/>
        <w:rPr>
          <w:sz w:val="22"/>
          <w:szCs w:val="22"/>
        </w:rPr>
      </w:pPr>
      <w:r>
        <w:rPr>
          <w:sz w:val="22"/>
          <w:szCs w:val="22"/>
        </w:rPr>
        <w:t>b)</w:t>
      </w:r>
      <w:r w:rsidR="00764E87">
        <w:tab/>
      </w:r>
      <w:r>
        <w:rPr>
          <w:sz w:val="22"/>
          <w:szCs w:val="22"/>
        </w:rPr>
        <w:t>Legalább 5 napig enoxaparin, KVA-val átfedésben, utána KVA</w:t>
      </w:r>
    </w:p>
    <w:p w:rsidR="00224F0F" w:rsidRDefault="00485CCD" w:rsidP="00A54C3F">
      <w:pPr>
        <w:tabs>
          <w:tab w:val="left" w:pos="426"/>
        </w:tabs>
        <w:spacing w:line="240" w:lineRule="auto"/>
        <w:ind w:left="426" w:hanging="426"/>
        <w:rPr>
          <w:color w:val="000000"/>
          <w:lang w:val="hu-HU"/>
        </w:rPr>
      </w:pPr>
      <w:r>
        <w:rPr>
          <w:color w:val="000000"/>
          <w:lang w:val="hu-HU"/>
        </w:rPr>
        <w:t>*</w:t>
      </w:r>
      <w:r w:rsidR="00764E87">
        <w:rPr>
          <w:color w:val="000000"/>
          <w:lang w:val="hu-HU"/>
        </w:rPr>
        <w:tab/>
      </w:r>
      <w:r>
        <w:rPr>
          <w:color w:val="000000"/>
          <w:lang w:val="hu-HU"/>
        </w:rPr>
        <w:t>p &lt; 0,0001 (non-inferioritás az előre meghatározott 1,75 relatív hazárdhoz); relatív hazárd: 0,886 (0,661 – 1,186)</w:t>
      </w:r>
    </w:p>
    <w:p w:rsidR="00224F0F" w:rsidRDefault="00224F0F">
      <w:pPr>
        <w:spacing w:line="240" w:lineRule="auto"/>
        <w:rPr>
          <w:color w:val="000000"/>
          <w:lang w:val="hu-HU"/>
        </w:rPr>
      </w:pPr>
    </w:p>
    <w:p w:rsidR="00224F0F" w:rsidRDefault="00485CCD">
      <w:pPr>
        <w:pStyle w:val="Default"/>
        <w:rPr>
          <w:sz w:val="22"/>
          <w:szCs w:val="22"/>
        </w:rPr>
      </w:pPr>
      <w:r>
        <w:rPr>
          <w:sz w:val="22"/>
          <w:szCs w:val="22"/>
        </w:rPr>
        <w:t>Az előre meghatározott nettó klinikai előny (elsődleges hatásossági végpont plusz a súlyos vérzéses események) tekintetében az összesített elemzés során 0,771-es relatív hazárdról számoltak be ((</w:t>
      </w:r>
      <w:r w:rsidR="00764E87">
        <w:rPr>
          <w:sz w:val="22"/>
          <w:szCs w:val="22"/>
        </w:rPr>
        <w:t>95%</w:t>
      </w:r>
      <w:r w:rsidR="00764E87">
        <w:rPr>
          <w:sz w:val="22"/>
          <w:szCs w:val="22"/>
        </w:rPr>
        <w:noBreakHyphen/>
      </w:r>
      <w:r w:rsidR="00332B5A">
        <w:rPr>
          <w:sz w:val="22"/>
          <w:szCs w:val="22"/>
        </w:rPr>
        <w:t>os</w:t>
      </w:r>
      <w:r>
        <w:rPr>
          <w:sz w:val="22"/>
          <w:szCs w:val="22"/>
        </w:rPr>
        <w:t xml:space="preserve"> CI: 0,614-0,967), névleges p-érték p = 0,0244).</w:t>
      </w:r>
    </w:p>
    <w:p w:rsidR="00224F0F" w:rsidRDefault="00224F0F">
      <w:pPr>
        <w:pStyle w:val="Default"/>
        <w:rPr>
          <w:sz w:val="22"/>
          <w:szCs w:val="22"/>
        </w:rPr>
      </w:pPr>
    </w:p>
    <w:p w:rsidR="00224F0F" w:rsidRDefault="00485CCD">
      <w:pPr>
        <w:spacing w:line="240" w:lineRule="auto"/>
        <w:rPr>
          <w:color w:val="000000"/>
          <w:lang w:val="hu-HU"/>
        </w:rPr>
      </w:pPr>
      <w:r>
        <w:rPr>
          <w:color w:val="000000"/>
          <w:lang w:val="hu-HU"/>
        </w:rPr>
        <w:t>Az Einstein Extension vizsgálatban (lásd 9. táblázat) az elsődleges és másodlagos hatásossági végpontok tekintetében a rivaroxabán szuperiornak bizonyult a placebóhoz képest. Az elsődleges biztonságossági végpont (súlyos vérzéses események) tekintetében nem szignifikánsan, de számszerűen magasabb előfordulási arányokat észleltek a naponta egyszer 20 mg rivaroxabánnal kezelt betegeknél a placebót kapóknál észleltekhez képest. A másodlagos biztonságossági végpont (súlyos vagy klinikailag jelentős, nem súlyos vérzéses események) tekintetében a naponta egyszer 20 mg rivaroxabánnal kezelt betegeknél magasabb arányokat észleltek a placebót kapóknál megfigyeltekhez képest.</w:t>
      </w:r>
    </w:p>
    <w:p w:rsidR="00224F0F" w:rsidRDefault="00224F0F">
      <w:pPr>
        <w:spacing w:line="240" w:lineRule="auto"/>
        <w:rPr>
          <w:color w:val="000000"/>
          <w:lang w:val="hu-HU"/>
        </w:rPr>
      </w:pPr>
    </w:p>
    <w:p w:rsidR="00224F0F" w:rsidRDefault="00485CCD" w:rsidP="00A54C3F">
      <w:pPr>
        <w:tabs>
          <w:tab w:val="clear" w:pos="567"/>
          <w:tab w:val="left" w:pos="1276"/>
        </w:tabs>
        <w:spacing w:line="240" w:lineRule="auto"/>
        <w:ind w:left="1276" w:hanging="1276"/>
        <w:rPr>
          <w:b/>
          <w:bCs/>
          <w:color w:val="000000"/>
          <w:lang w:val="hu-HU"/>
        </w:rPr>
      </w:pPr>
      <w:r>
        <w:rPr>
          <w:b/>
          <w:bCs/>
          <w:color w:val="000000"/>
          <w:lang w:val="hu-HU"/>
        </w:rPr>
        <w:t>9. táblázat:</w:t>
      </w:r>
      <w:r w:rsidR="00764E87" w:rsidRPr="00764E87">
        <w:rPr>
          <w:color w:val="000000"/>
          <w:lang w:val="hu-HU"/>
        </w:rPr>
        <w:t xml:space="preserve"> </w:t>
      </w:r>
      <w:r w:rsidR="00764E87">
        <w:rPr>
          <w:color w:val="000000"/>
          <w:lang w:val="hu-HU"/>
        </w:rPr>
        <w:tab/>
      </w:r>
      <w:r>
        <w:rPr>
          <w:b/>
          <w:bCs/>
          <w:color w:val="000000"/>
          <w:lang w:val="hu-HU"/>
        </w:rPr>
        <w:t>A III. fázisú Einstein Extension vizsgálat hatásossági és biztonságossági eredményei</w:t>
      </w:r>
    </w:p>
    <w:p w:rsidR="00764E87" w:rsidRDefault="00764E87">
      <w:pPr>
        <w:spacing w:line="240" w:lineRule="auto"/>
        <w:rPr>
          <w:color w:val="000000"/>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67"/>
        <w:gridCol w:w="2796"/>
        <w:gridCol w:w="2399"/>
      </w:tblGrid>
      <w:tr w:rsidR="00224F0F">
        <w:tc>
          <w:tcPr>
            <w:tcW w:w="3936" w:type="dxa"/>
            <w:shd w:val="clear" w:color="auto" w:fill="auto"/>
          </w:tcPr>
          <w:p w:rsidR="00224F0F" w:rsidRDefault="00485CCD">
            <w:pPr>
              <w:spacing w:line="240" w:lineRule="auto"/>
              <w:rPr>
                <w:b/>
                <w:color w:val="000000"/>
                <w:lang w:val="hu-HU"/>
              </w:rPr>
            </w:pPr>
            <w:r>
              <w:rPr>
                <w:b/>
                <w:color w:val="000000"/>
                <w:lang w:val="hu-HU"/>
              </w:rPr>
              <w:t>Vizsgálati populáció</w:t>
            </w:r>
          </w:p>
        </w:tc>
        <w:tc>
          <w:tcPr>
            <w:tcW w:w="5275" w:type="dxa"/>
            <w:gridSpan w:val="2"/>
            <w:shd w:val="clear" w:color="auto" w:fill="auto"/>
          </w:tcPr>
          <w:p w:rsidR="00224F0F" w:rsidRDefault="00485CCD">
            <w:pPr>
              <w:pStyle w:val="Default"/>
              <w:rPr>
                <w:b/>
                <w:sz w:val="22"/>
                <w:szCs w:val="22"/>
              </w:rPr>
            </w:pPr>
            <w:r>
              <w:rPr>
                <w:b/>
                <w:sz w:val="22"/>
                <w:szCs w:val="22"/>
              </w:rPr>
              <w:t>1197 beteg folytatta a kezelést a visszatérő vénás thromboembolia megelőzésére</w:t>
            </w:r>
          </w:p>
        </w:tc>
      </w:tr>
      <w:tr w:rsidR="00224F0F">
        <w:tc>
          <w:tcPr>
            <w:tcW w:w="3936" w:type="dxa"/>
            <w:shd w:val="clear" w:color="auto" w:fill="auto"/>
          </w:tcPr>
          <w:p w:rsidR="00224F0F" w:rsidRDefault="00485CCD">
            <w:pPr>
              <w:pStyle w:val="Default"/>
              <w:rPr>
                <w:b/>
                <w:sz w:val="22"/>
                <w:szCs w:val="22"/>
              </w:rPr>
            </w:pPr>
            <w:r>
              <w:rPr>
                <w:b/>
                <w:sz w:val="22"/>
                <w:szCs w:val="22"/>
              </w:rPr>
              <w:t>Terápiás dózis és kezelési időtartam</w:t>
            </w:r>
          </w:p>
        </w:tc>
        <w:tc>
          <w:tcPr>
            <w:tcW w:w="2835" w:type="dxa"/>
            <w:shd w:val="clear" w:color="auto" w:fill="auto"/>
          </w:tcPr>
          <w:p w:rsidR="00224F0F" w:rsidRDefault="00485CCD">
            <w:pPr>
              <w:pStyle w:val="Default"/>
              <w:jc w:val="center"/>
              <w:rPr>
                <w:b/>
                <w:sz w:val="22"/>
                <w:szCs w:val="22"/>
              </w:rPr>
            </w:pPr>
            <w:r>
              <w:rPr>
                <w:b/>
                <w:sz w:val="22"/>
                <w:szCs w:val="22"/>
              </w:rPr>
              <w:t>Rivaroxabán</w:t>
            </w:r>
            <w:r>
              <w:rPr>
                <w:b/>
                <w:position w:val="8"/>
                <w:sz w:val="22"/>
                <w:szCs w:val="22"/>
                <w:vertAlign w:val="superscript"/>
              </w:rPr>
              <w:t>a)</w:t>
            </w:r>
          </w:p>
          <w:p w:rsidR="00224F0F" w:rsidRDefault="00485CCD">
            <w:pPr>
              <w:pStyle w:val="Default"/>
              <w:jc w:val="center"/>
              <w:rPr>
                <w:b/>
                <w:sz w:val="22"/>
                <w:szCs w:val="22"/>
              </w:rPr>
            </w:pPr>
            <w:r>
              <w:rPr>
                <w:b/>
                <w:sz w:val="22"/>
                <w:szCs w:val="22"/>
              </w:rPr>
              <w:t>6 vagy 12 hónap</w:t>
            </w:r>
          </w:p>
          <w:p w:rsidR="00224F0F" w:rsidRDefault="00485CCD">
            <w:pPr>
              <w:spacing w:line="240" w:lineRule="auto"/>
              <w:jc w:val="center"/>
              <w:rPr>
                <w:b/>
                <w:color w:val="000000"/>
                <w:lang w:val="hu-HU"/>
              </w:rPr>
            </w:pPr>
            <w:r>
              <w:rPr>
                <w:b/>
                <w:color w:val="000000"/>
              </w:rPr>
              <w:t>N = 602</w:t>
            </w:r>
          </w:p>
        </w:tc>
        <w:tc>
          <w:tcPr>
            <w:tcW w:w="2440" w:type="dxa"/>
            <w:shd w:val="clear" w:color="auto" w:fill="auto"/>
          </w:tcPr>
          <w:p w:rsidR="00224F0F" w:rsidRDefault="00485CCD">
            <w:pPr>
              <w:pStyle w:val="Default"/>
              <w:jc w:val="center"/>
              <w:rPr>
                <w:b/>
                <w:sz w:val="22"/>
                <w:szCs w:val="22"/>
              </w:rPr>
            </w:pPr>
            <w:r>
              <w:rPr>
                <w:b/>
                <w:sz w:val="22"/>
                <w:szCs w:val="22"/>
              </w:rPr>
              <w:t>Placebo</w:t>
            </w:r>
          </w:p>
          <w:p w:rsidR="00224F0F" w:rsidRDefault="00485CCD">
            <w:pPr>
              <w:pStyle w:val="Default"/>
              <w:jc w:val="center"/>
              <w:rPr>
                <w:b/>
                <w:sz w:val="22"/>
                <w:szCs w:val="22"/>
              </w:rPr>
            </w:pPr>
            <w:r>
              <w:rPr>
                <w:b/>
                <w:sz w:val="22"/>
                <w:szCs w:val="22"/>
              </w:rPr>
              <w:t>6 vagy 12 hónap</w:t>
            </w:r>
          </w:p>
          <w:p w:rsidR="00224F0F" w:rsidRDefault="00485CCD">
            <w:pPr>
              <w:spacing w:line="240" w:lineRule="auto"/>
              <w:jc w:val="center"/>
              <w:rPr>
                <w:b/>
                <w:color w:val="000000"/>
                <w:lang w:val="hu-HU"/>
              </w:rPr>
            </w:pPr>
            <w:r>
              <w:rPr>
                <w:b/>
                <w:color w:val="000000"/>
              </w:rPr>
              <w:t>N = 594</w:t>
            </w:r>
          </w:p>
        </w:tc>
      </w:tr>
      <w:tr w:rsidR="00224F0F">
        <w:tc>
          <w:tcPr>
            <w:tcW w:w="3936" w:type="dxa"/>
            <w:shd w:val="clear" w:color="auto" w:fill="auto"/>
          </w:tcPr>
          <w:p w:rsidR="00224F0F" w:rsidRDefault="00485CCD">
            <w:pPr>
              <w:pStyle w:val="Default"/>
              <w:rPr>
                <w:sz w:val="22"/>
                <w:szCs w:val="22"/>
              </w:rPr>
            </w:pPr>
            <w:r>
              <w:rPr>
                <w:sz w:val="22"/>
                <w:szCs w:val="22"/>
              </w:rPr>
              <w:t xml:space="preserve">Tünetekkel járó, visszatérő VTE* </w:t>
            </w:r>
          </w:p>
        </w:tc>
        <w:tc>
          <w:tcPr>
            <w:tcW w:w="2835" w:type="dxa"/>
            <w:shd w:val="clear" w:color="auto" w:fill="auto"/>
          </w:tcPr>
          <w:p w:rsidR="00224F0F" w:rsidRDefault="00485CCD">
            <w:pPr>
              <w:pStyle w:val="Default"/>
              <w:jc w:val="center"/>
              <w:rPr>
                <w:sz w:val="22"/>
                <w:szCs w:val="22"/>
              </w:rPr>
            </w:pPr>
            <w:r>
              <w:rPr>
                <w:sz w:val="22"/>
                <w:szCs w:val="22"/>
              </w:rPr>
              <w:t>8</w:t>
            </w:r>
          </w:p>
          <w:p w:rsidR="00224F0F" w:rsidRDefault="00485CCD">
            <w:pPr>
              <w:pStyle w:val="Default"/>
              <w:jc w:val="center"/>
              <w:rPr>
                <w:sz w:val="22"/>
                <w:szCs w:val="22"/>
              </w:rPr>
            </w:pPr>
            <w:r>
              <w:rPr>
                <w:sz w:val="22"/>
                <w:szCs w:val="22"/>
              </w:rPr>
              <w:t>(1,3%)</w:t>
            </w:r>
          </w:p>
        </w:tc>
        <w:tc>
          <w:tcPr>
            <w:tcW w:w="2440" w:type="dxa"/>
            <w:shd w:val="clear" w:color="auto" w:fill="auto"/>
          </w:tcPr>
          <w:p w:rsidR="00224F0F" w:rsidRDefault="00485CCD">
            <w:pPr>
              <w:spacing w:line="240" w:lineRule="auto"/>
              <w:jc w:val="center"/>
              <w:rPr>
                <w:color w:val="000000"/>
                <w:lang w:val="hu-HU"/>
              </w:rPr>
            </w:pPr>
            <w:r>
              <w:rPr>
                <w:color w:val="000000"/>
                <w:lang w:val="hu-HU"/>
              </w:rPr>
              <w:t>42</w:t>
            </w:r>
          </w:p>
          <w:p w:rsidR="00224F0F" w:rsidRDefault="00485CCD">
            <w:pPr>
              <w:spacing w:line="240" w:lineRule="auto"/>
              <w:jc w:val="center"/>
              <w:rPr>
                <w:color w:val="000000"/>
                <w:lang w:val="hu-HU"/>
              </w:rPr>
            </w:pPr>
            <w:r>
              <w:rPr>
                <w:color w:val="000000"/>
                <w:lang w:val="hu-HU"/>
              </w:rPr>
              <w:t>(7,1%)</w:t>
            </w:r>
          </w:p>
        </w:tc>
      </w:tr>
      <w:tr w:rsidR="00224F0F">
        <w:tc>
          <w:tcPr>
            <w:tcW w:w="3936" w:type="dxa"/>
            <w:shd w:val="clear" w:color="auto" w:fill="auto"/>
          </w:tcPr>
          <w:p w:rsidR="00224F0F" w:rsidRDefault="00485CCD">
            <w:pPr>
              <w:pStyle w:val="Default"/>
              <w:ind w:left="284"/>
              <w:rPr>
                <w:sz w:val="22"/>
                <w:szCs w:val="22"/>
              </w:rPr>
            </w:pPr>
            <w:r>
              <w:rPr>
                <w:sz w:val="22"/>
                <w:szCs w:val="22"/>
              </w:rPr>
              <w:t>Tünetekkel járó, visszatérő PE</w:t>
            </w:r>
          </w:p>
        </w:tc>
        <w:tc>
          <w:tcPr>
            <w:tcW w:w="2835" w:type="dxa"/>
            <w:shd w:val="clear" w:color="auto" w:fill="auto"/>
          </w:tcPr>
          <w:p w:rsidR="00224F0F" w:rsidRDefault="00485CCD">
            <w:pPr>
              <w:spacing w:line="240" w:lineRule="auto"/>
              <w:jc w:val="center"/>
              <w:rPr>
                <w:color w:val="000000"/>
                <w:lang w:val="hu-HU"/>
              </w:rPr>
            </w:pPr>
            <w:r>
              <w:rPr>
                <w:color w:val="000000"/>
                <w:lang w:val="hu-HU"/>
              </w:rPr>
              <w:t>2</w:t>
            </w:r>
          </w:p>
          <w:p w:rsidR="00224F0F" w:rsidRDefault="00485CCD">
            <w:pPr>
              <w:spacing w:line="240" w:lineRule="auto"/>
              <w:jc w:val="center"/>
              <w:rPr>
                <w:color w:val="000000"/>
                <w:lang w:val="hu-HU"/>
              </w:rPr>
            </w:pPr>
            <w:r>
              <w:rPr>
                <w:color w:val="000000"/>
                <w:lang w:val="hu-HU"/>
              </w:rPr>
              <w:t>(0,3%)</w:t>
            </w:r>
          </w:p>
        </w:tc>
        <w:tc>
          <w:tcPr>
            <w:tcW w:w="2440" w:type="dxa"/>
            <w:shd w:val="clear" w:color="auto" w:fill="auto"/>
          </w:tcPr>
          <w:p w:rsidR="00224F0F" w:rsidRDefault="00485CCD">
            <w:pPr>
              <w:spacing w:line="240" w:lineRule="auto"/>
              <w:jc w:val="center"/>
              <w:rPr>
                <w:color w:val="000000"/>
                <w:lang w:val="hu-HU"/>
              </w:rPr>
            </w:pPr>
            <w:r>
              <w:rPr>
                <w:color w:val="000000"/>
                <w:lang w:val="hu-HU"/>
              </w:rPr>
              <w:t>13</w:t>
            </w:r>
          </w:p>
          <w:p w:rsidR="00224F0F" w:rsidRDefault="00485CCD">
            <w:pPr>
              <w:spacing w:line="240" w:lineRule="auto"/>
              <w:jc w:val="center"/>
              <w:rPr>
                <w:color w:val="000000"/>
                <w:lang w:val="hu-HU"/>
              </w:rPr>
            </w:pPr>
            <w:r>
              <w:rPr>
                <w:color w:val="000000"/>
                <w:lang w:val="hu-HU"/>
              </w:rPr>
              <w:t>(2,2%)</w:t>
            </w:r>
          </w:p>
        </w:tc>
      </w:tr>
      <w:tr w:rsidR="00224F0F">
        <w:tc>
          <w:tcPr>
            <w:tcW w:w="3936" w:type="dxa"/>
            <w:shd w:val="clear" w:color="auto" w:fill="auto"/>
          </w:tcPr>
          <w:p w:rsidR="00224F0F" w:rsidRDefault="00485CCD">
            <w:pPr>
              <w:pStyle w:val="Default"/>
              <w:ind w:left="284"/>
              <w:rPr>
                <w:sz w:val="22"/>
                <w:szCs w:val="22"/>
              </w:rPr>
            </w:pPr>
            <w:r>
              <w:rPr>
                <w:sz w:val="22"/>
                <w:szCs w:val="22"/>
              </w:rPr>
              <w:t xml:space="preserve">Tünetekkel járó, visszatérő MVT </w:t>
            </w:r>
          </w:p>
        </w:tc>
        <w:tc>
          <w:tcPr>
            <w:tcW w:w="2835" w:type="dxa"/>
            <w:shd w:val="clear" w:color="auto" w:fill="auto"/>
          </w:tcPr>
          <w:p w:rsidR="00224F0F" w:rsidRDefault="00485CCD">
            <w:pPr>
              <w:spacing w:line="240" w:lineRule="auto"/>
              <w:jc w:val="center"/>
              <w:rPr>
                <w:color w:val="000000"/>
                <w:lang w:val="hu-HU"/>
              </w:rPr>
            </w:pPr>
            <w:r>
              <w:rPr>
                <w:color w:val="000000"/>
                <w:lang w:val="hu-HU"/>
              </w:rPr>
              <w:t>5</w:t>
            </w:r>
          </w:p>
          <w:p w:rsidR="00224F0F" w:rsidRDefault="00485CCD">
            <w:pPr>
              <w:spacing w:line="240" w:lineRule="auto"/>
              <w:jc w:val="center"/>
              <w:rPr>
                <w:color w:val="000000"/>
                <w:lang w:val="hu-HU"/>
              </w:rPr>
            </w:pPr>
            <w:r>
              <w:rPr>
                <w:color w:val="000000"/>
                <w:lang w:val="hu-HU"/>
              </w:rPr>
              <w:t>(0,8%)</w:t>
            </w:r>
          </w:p>
        </w:tc>
        <w:tc>
          <w:tcPr>
            <w:tcW w:w="2440" w:type="dxa"/>
            <w:shd w:val="clear" w:color="auto" w:fill="auto"/>
          </w:tcPr>
          <w:p w:rsidR="00224F0F" w:rsidRDefault="00485CCD">
            <w:pPr>
              <w:spacing w:line="240" w:lineRule="auto"/>
              <w:jc w:val="center"/>
              <w:rPr>
                <w:color w:val="000000"/>
                <w:lang w:val="hu-HU"/>
              </w:rPr>
            </w:pPr>
            <w:r>
              <w:rPr>
                <w:color w:val="000000"/>
                <w:lang w:val="hu-HU"/>
              </w:rPr>
              <w:t>31</w:t>
            </w:r>
          </w:p>
          <w:p w:rsidR="00224F0F" w:rsidRDefault="00485CCD">
            <w:pPr>
              <w:spacing w:line="240" w:lineRule="auto"/>
              <w:jc w:val="center"/>
              <w:rPr>
                <w:color w:val="000000"/>
                <w:lang w:val="hu-HU"/>
              </w:rPr>
            </w:pPr>
            <w:r>
              <w:rPr>
                <w:color w:val="000000"/>
                <w:lang w:val="hu-HU"/>
              </w:rPr>
              <w:t>(5,2%)</w:t>
            </w:r>
          </w:p>
        </w:tc>
      </w:tr>
      <w:tr w:rsidR="00224F0F">
        <w:tc>
          <w:tcPr>
            <w:tcW w:w="3936" w:type="dxa"/>
            <w:shd w:val="clear" w:color="auto" w:fill="auto"/>
          </w:tcPr>
          <w:p w:rsidR="00224F0F" w:rsidRDefault="00485CCD">
            <w:pPr>
              <w:pStyle w:val="Default"/>
              <w:ind w:left="284"/>
              <w:rPr>
                <w:sz w:val="22"/>
                <w:szCs w:val="22"/>
              </w:rPr>
            </w:pPr>
            <w:r>
              <w:rPr>
                <w:sz w:val="22"/>
                <w:szCs w:val="22"/>
              </w:rPr>
              <w:t xml:space="preserve">Fatális PE/haláleset, amelynél nem lehet kizárni a PE-t </w:t>
            </w:r>
          </w:p>
        </w:tc>
        <w:tc>
          <w:tcPr>
            <w:tcW w:w="2835" w:type="dxa"/>
            <w:shd w:val="clear" w:color="auto" w:fill="auto"/>
          </w:tcPr>
          <w:p w:rsidR="00224F0F" w:rsidRDefault="00485CCD">
            <w:pPr>
              <w:spacing w:line="240" w:lineRule="auto"/>
              <w:jc w:val="center"/>
              <w:rPr>
                <w:color w:val="000000"/>
                <w:lang w:val="hu-HU"/>
              </w:rPr>
            </w:pPr>
            <w:r>
              <w:rPr>
                <w:color w:val="000000"/>
                <w:lang w:val="hu-HU"/>
              </w:rPr>
              <w:t>1</w:t>
            </w:r>
          </w:p>
          <w:p w:rsidR="00224F0F" w:rsidRDefault="00485CCD">
            <w:pPr>
              <w:spacing w:line="240" w:lineRule="auto"/>
              <w:jc w:val="center"/>
              <w:rPr>
                <w:color w:val="000000"/>
                <w:lang w:val="hu-HU"/>
              </w:rPr>
            </w:pPr>
            <w:r>
              <w:rPr>
                <w:color w:val="000000"/>
                <w:lang w:val="hu-HU"/>
              </w:rPr>
              <w:t>(0,2%)</w:t>
            </w:r>
          </w:p>
        </w:tc>
        <w:tc>
          <w:tcPr>
            <w:tcW w:w="2440" w:type="dxa"/>
            <w:shd w:val="clear" w:color="auto" w:fill="auto"/>
          </w:tcPr>
          <w:p w:rsidR="00224F0F" w:rsidRDefault="00485CCD">
            <w:pPr>
              <w:spacing w:line="240" w:lineRule="auto"/>
              <w:jc w:val="center"/>
              <w:rPr>
                <w:color w:val="000000"/>
                <w:lang w:val="hu-HU"/>
              </w:rPr>
            </w:pPr>
            <w:r>
              <w:rPr>
                <w:color w:val="000000"/>
                <w:lang w:val="hu-HU"/>
              </w:rPr>
              <w:t>1</w:t>
            </w:r>
          </w:p>
          <w:p w:rsidR="00224F0F" w:rsidRDefault="00485CCD">
            <w:pPr>
              <w:spacing w:line="240" w:lineRule="auto"/>
              <w:jc w:val="center"/>
              <w:rPr>
                <w:color w:val="000000"/>
                <w:lang w:val="hu-HU"/>
              </w:rPr>
            </w:pPr>
            <w:r>
              <w:rPr>
                <w:color w:val="000000"/>
                <w:lang w:val="hu-HU"/>
              </w:rPr>
              <w:t>(0,2%)</w:t>
            </w:r>
          </w:p>
        </w:tc>
      </w:tr>
      <w:tr w:rsidR="00224F0F">
        <w:tc>
          <w:tcPr>
            <w:tcW w:w="3936" w:type="dxa"/>
            <w:shd w:val="clear" w:color="auto" w:fill="auto"/>
          </w:tcPr>
          <w:p w:rsidR="00224F0F" w:rsidRDefault="00485CCD">
            <w:pPr>
              <w:pStyle w:val="Default"/>
              <w:rPr>
                <w:sz w:val="22"/>
                <w:szCs w:val="22"/>
              </w:rPr>
            </w:pPr>
            <w:r>
              <w:rPr>
                <w:sz w:val="22"/>
                <w:szCs w:val="22"/>
              </w:rPr>
              <w:t>Súlyos vérzéses esemény</w:t>
            </w:r>
          </w:p>
        </w:tc>
        <w:tc>
          <w:tcPr>
            <w:tcW w:w="2835" w:type="dxa"/>
            <w:shd w:val="clear" w:color="auto" w:fill="auto"/>
          </w:tcPr>
          <w:p w:rsidR="00224F0F" w:rsidRDefault="00485CCD">
            <w:pPr>
              <w:spacing w:line="240" w:lineRule="auto"/>
              <w:jc w:val="center"/>
              <w:rPr>
                <w:color w:val="000000"/>
                <w:lang w:val="hu-HU"/>
              </w:rPr>
            </w:pPr>
            <w:r>
              <w:rPr>
                <w:color w:val="000000"/>
                <w:lang w:val="hu-HU"/>
              </w:rPr>
              <w:t>4</w:t>
            </w:r>
          </w:p>
          <w:p w:rsidR="00224F0F" w:rsidRDefault="00485CCD">
            <w:pPr>
              <w:spacing w:line="240" w:lineRule="auto"/>
              <w:jc w:val="center"/>
              <w:rPr>
                <w:color w:val="000000"/>
                <w:lang w:val="hu-HU"/>
              </w:rPr>
            </w:pPr>
            <w:r>
              <w:rPr>
                <w:color w:val="000000"/>
                <w:lang w:val="hu-HU"/>
              </w:rPr>
              <w:t>(0,7%)</w:t>
            </w:r>
          </w:p>
        </w:tc>
        <w:tc>
          <w:tcPr>
            <w:tcW w:w="2440" w:type="dxa"/>
            <w:shd w:val="clear" w:color="auto" w:fill="auto"/>
          </w:tcPr>
          <w:p w:rsidR="00224F0F" w:rsidRDefault="00485CCD">
            <w:pPr>
              <w:spacing w:line="240" w:lineRule="auto"/>
              <w:jc w:val="center"/>
              <w:rPr>
                <w:color w:val="000000"/>
                <w:lang w:val="hu-HU"/>
              </w:rPr>
            </w:pPr>
            <w:r>
              <w:rPr>
                <w:color w:val="000000"/>
                <w:lang w:val="hu-HU"/>
              </w:rPr>
              <w:t>0</w:t>
            </w:r>
          </w:p>
          <w:p w:rsidR="00224F0F" w:rsidRDefault="00485CCD">
            <w:pPr>
              <w:spacing w:line="240" w:lineRule="auto"/>
              <w:jc w:val="center"/>
              <w:rPr>
                <w:color w:val="000000"/>
                <w:lang w:val="hu-HU"/>
              </w:rPr>
            </w:pPr>
            <w:r>
              <w:rPr>
                <w:color w:val="000000"/>
                <w:lang w:val="hu-HU"/>
              </w:rPr>
              <w:t>(0,0%)</w:t>
            </w:r>
          </w:p>
        </w:tc>
      </w:tr>
      <w:tr w:rsidR="00224F0F">
        <w:tc>
          <w:tcPr>
            <w:tcW w:w="3936" w:type="dxa"/>
            <w:shd w:val="clear" w:color="auto" w:fill="auto"/>
          </w:tcPr>
          <w:p w:rsidR="00224F0F" w:rsidRDefault="00485CCD">
            <w:pPr>
              <w:pStyle w:val="Default"/>
              <w:rPr>
                <w:sz w:val="22"/>
                <w:szCs w:val="22"/>
              </w:rPr>
            </w:pPr>
            <w:r>
              <w:rPr>
                <w:sz w:val="22"/>
                <w:szCs w:val="22"/>
              </w:rPr>
              <w:t xml:space="preserve">Klinikailag jelentős, nem súlyos vérzés </w:t>
            </w:r>
          </w:p>
        </w:tc>
        <w:tc>
          <w:tcPr>
            <w:tcW w:w="2835" w:type="dxa"/>
            <w:shd w:val="clear" w:color="auto" w:fill="auto"/>
          </w:tcPr>
          <w:p w:rsidR="00224F0F" w:rsidRDefault="00485CCD">
            <w:pPr>
              <w:spacing w:line="240" w:lineRule="auto"/>
              <w:jc w:val="center"/>
              <w:rPr>
                <w:color w:val="000000"/>
                <w:lang w:val="hu-HU"/>
              </w:rPr>
            </w:pPr>
            <w:r>
              <w:rPr>
                <w:color w:val="000000"/>
                <w:lang w:val="hu-HU"/>
              </w:rPr>
              <w:t>32</w:t>
            </w:r>
          </w:p>
          <w:p w:rsidR="00224F0F" w:rsidRDefault="00485CCD">
            <w:pPr>
              <w:spacing w:line="240" w:lineRule="auto"/>
              <w:jc w:val="center"/>
              <w:rPr>
                <w:color w:val="000000"/>
                <w:lang w:val="hu-HU"/>
              </w:rPr>
            </w:pPr>
            <w:r>
              <w:rPr>
                <w:color w:val="000000"/>
                <w:lang w:val="hu-HU"/>
              </w:rPr>
              <w:t>(5,4%)</w:t>
            </w:r>
          </w:p>
        </w:tc>
        <w:tc>
          <w:tcPr>
            <w:tcW w:w="2440" w:type="dxa"/>
            <w:shd w:val="clear" w:color="auto" w:fill="auto"/>
          </w:tcPr>
          <w:p w:rsidR="00224F0F" w:rsidRDefault="00485CCD">
            <w:pPr>
              <w:spacing w:line="240" w:lineRule="auto"/>
              <w:jc w:val="center"/>
              <w:rPr>
                <w:color w:val="000000"/>
                <w:lang w:val="hu-HU"/>
              </w:rPr>
            </w:pPr>
            <w:r>
              <w:rPr>
                <w:color w:val="000000"/>
                <w:lang w:val="hu-HU"/>
              </w:rPr>
              <w:t>7</w:t>
            </w:r>
          </w:p>
          <w:p w:rsidR="00224F0F" w:rsidRDefault="00485CCD">
            <w:pPr>
              <w:spacing w:line="240" w:lineRule="auto"/>
              <w:jc w:val="center"/>
              <w:rPr>
                <w:color w:val="000000"/>
                <w:lang w:val="hu-HU"/>
              </w:rPr>
            </w:pPr>
            <w:r>
              <w:rPr>
                <w:color w:val="000000"/>
                <w:lang w:val="hu-HU"/>
              </w:rPr>
              <w:t>(1,2%)</w:t>
            </w:r>
          </w:p>
        </w:tc>
      </w:tr>
    </w:tbl>
    <w:p w:rsidR="00224F0F" w:rsidRDefault="00485CCD" w:rsidP="00A54C3F">
      <w:pPr>
        <w:pStyle w:val="Default"/>
        <w:tabs>
          <w:tab w:val="left" w:pos="426"/>
        </w:tabs>
        <w:ind w:left="426" w:hanging="426"/>
        <w:rPr>
          <w:sz w:val="22"/>
          <w:szCs w:val="22"/>
        </w:rPr>
      </w:pPr>
      <w:r>
        <w:rPr>
          <w:sz w:val="22"/>
          <w:szCs w:val="22"/>
        </w:rPr>
        <w:t>a)</w:t>
      </w:r>
      <w:r w:rsidR="00764E87">
        <w:tab/>
      </w:r>
      <w:r>
        <w:rPr>
          <w:sz w:val="22"/>
          <w:szCs w:val="22"/>
        </w:rPr>
        <w:t>Naponta egyszer 20 mg rivaroxabán</w:t>
      </w:r>
    </w:p>
    <w:p w:rsidR="00224F0F" w:rsidRDefault="00485CCD" w:rsidP="00A54C3F">
      <w:pPr>
        <w:tabs>
          <w:tab w:val="left" w:pos="426"/>
        </w:tabs>
        <w:spacing w:line="240" w:lineRule="auto"/>
        <w:ind w:left="426" w:hanging="426"/>
        <w:rPr>
          <w:color w:val="000000"/>
        </w:rPr>
      </w:pPr>
      <w:r>
        <w:rPr>
          <w:color w:val="000000"/>
        </w:rPr>
        <w:t>*</w:t>
      </w:r>
      <w:r w:rsidR="00764E87">
        <w:rPr>
          <w:color w:val="000000"/>
          <w:lang w:val="hu-HU"/>
        </w:rPr>
        <w:tab/>
      </w:r>
      <w:r>
        <w:rPr>
          <w:color w:val="000000"/>
        </w:rPr>
        <w:t>p &lt; 0,0001 (szuperioritás); relatív hazárd: 0,185 (0,087–0,393)</w:t>
      </w:r>
    </w:p>
    <w:p w:rsidR="00224F0F" w:rsidRDefault="00224F0F">
      <w:pPr>
        <w:spacing w:line="240" w:lineRule="auto"/>
        <w:rPr>
          <w:color w:val="000000"/>
        </w:rPr>
      </w:pPr>
    </w:p>
    <w:p w:rsidR="00224F0F" w:rsidRDefault="00485CCD">
      <w:pPr>
        <w:spacing w:line="240" w:lineRule="auto"/>
        <w:rPr>
          <w:color w:val="000000"/>
          <w:lang w:val="hu-HU"/>
        </w:rPr>
      </w:pPr>
      <w:r>
        <w:rPr>
          <w:color w:val="000000"/>
          <w:lang w:val="hu-HU"/>
        </w:rPr>
        <w:t>Az Einstein Choice vizsgálatban (lásd 10. táblázat) az elsődleges hatásossági végpont tekintetében a rivaroxabán 20 mg és 10 mg egyaránt szuperiornak bizonyult a 100 mg acetilszalicilsavhoz képest. Az elsődleges biztonságossági végpont (súlyos vérzéses események) tekintetében a naponta egyszer adott 20 mg, illetve 10 mg rivaroxabánnal kezelt betegek adatai hasonlóak voltak a 100 mg acetilszalicilsavval kezeltekéhez.</w:t>
      </w:r>
    </w:p>
    <w:p w:rsidR="00224F0F" w:rsidRDefault="00224F0F">
      <w:pPr>
        <w:spacing w:line="240" w:lineRule="auto"/>
        <w:rPr>
          <w:color w:val="000000"/>
        </w:rPr>
      </w:pPr>
    </w:p>
    <w:p w:rsidR="00224F0F" w:rsidRDefault="00485CCD" w:rsidP="00A54C3F">
      <w:pPr>
        <w:pStyle w:val="Default"/>
        <w:keepNext/>
        <w:rPr>
          <w:b/>
          <w:bCs/>
          <w:sz w:val="22"/>
          <w:szCs w:val="22"/>
        </w:rPr>
      </w:pPr>
      <w:r>
        <w:rPr>
          <w:b/>
          <w:bCs/>
          <w:sz w:val="22"/>
          <w:szCs w:val="22"/>
        </w:rPr>
        <w:lastRenderedPageBreak/>
        <w:t xml:space="preserve">10. táblázat: </w:t>
      </w:r>
      <w:r w:rsidR="00764E87">
        <w:tab/>
      </w:r>
      <w:r>
        <w:rPr>
          <w:b/>
          <w:bCs/>
          <w:sz w:val="22"/>
          <w:szCs w:val="22"/>
        </w:rPr>
        <w:t>A III. fázisú Einstein Choice vizsgálat hatásossági és biztonságossági eredményei</w:t>
      </w:r>
    </w:p>
    <w:p w:rsidR="00764E87" w:rsidRDefault="00764E87" w:rsidP="00A54C3F">
      <w:pPr>
        <w:pStyle w:val="Default"/>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1"/>
        <w:gridCol w:w="2028"/>
        <w:gridCol w:w="2028"/>
        <w:gridCol w:w="2005"/>
      </w:tblGrid>
      <w:tr w:rsidR="00224F0F">
        <w:tc>
          <w:tcPr>
            <w:tcW w:w="3095" w:type="dxa"/>
            <w:shd w:val="clear" w:color="auto" w:fill="auto"/>
          </w:tcPr>
          <w:p w:rsidR="00224F0F" w:rsidRDefault="00485CCD">
            <w:pPr>
              <w:pStyle w:val="Default"/>
              <w:rPr>
                <w:b/>
                <w:sz w:val="22"/>
                <w:szCs w:val="22"/>
              </w:rPr>
            </w:pPr>
            <w:r>
              <w:rPr>
                <w:b/>
                <w:sz w:val="22"/>
                <w:szCs w:val="22"/>
              </w:rPr>
              <w:t>Vizsgálati populáció</w:t>
            </w:r>
          </w:p>
        </w:tc>
        <w:tc>
          <w:tcPr>
            <w:tcW w:w="6192" w:type="dxa"/>
            <w:gridSpan w:val="3"/>
            <w:shd w:val="clear" w:color="auto" w:fill="auto"/>
          </w:tcPr>
          <w:p w:rsidR="00224F0F" w:rsidRDefault="00485CCD">
            <w:pPr>
              <w:pStyle w:val="Default"/>
              <w:rPr>
                <w:b/>
                <w:sz w:val="22"/>
                <w:szCs w:val="22"/>
                <w:u w:val="single"/>
              </w:rPr>
            </w:pPr>
            <w:r>
              <w:rPr>
                <w:b/>
                <w:sz w:val="22"/>
                <w:szCs w:val="22"/>
              </w:rPr>
              <w:t>3396 beteg folytatta a visszatérő vénás thromboembolia megelőző kezelését</w:t>
            </w:r>
          </w:p>
        </w:tc>
      </w:tr>
      <w:tr w:rsidR="00224F0F">
        <w:tc>
          <w:tcPr>
            <w:tcW w:w="3095" w:type="dxa"/>
            <w:shd w:val="clear" w:color="auto" w:fill="auto"/>
          </w:tcPr>
          <w:p w:rsidR="00224F0F" w:rsidRDefault="00485CCD">
            <w:pPr>
              <w:pStyle w:val="Default"/>
              <w:rPr>
                <w:b/>
                <w:sz w:val="22"/>
                <w:szCs w:val="22"/>
                <w:u w:val="single"/>
              </w:rPr>
            </w:pPr>
            <w:r>
              <w:rPr>
                <w:b/>
                <w:sz w:val="22"/>
                <w:szCs w:val="22"/>
              </w:rPr>
              <w:t xml:space="preserve">Terápiás dózis </w:t>
            </w:r>
          </w:p>
        </w:tc>
        <w:tc>
          <w:tcPr>
            <w:tcW w:w="2064" w:type="dxa"/>
            <w:shd w:val="clear" w:color="auto" w:fill="auto"/>
          </w:tcPr>
          <w:p w:rsidR="00224F0F" w:rsidRDefault="00485CCD">
            <w:pPr>
              <w:pStyle w:val="Default"/>
              <w:rPr>
                <w:b/>
                <w:sz w:val="22"/>
                <w:szCs w:val="22"/>
              </w:rPr>
            </w:pPr>
            <w:r>
              <w:rPr>
                <w:b/>
                <w:sz w:val="22"/>
                <w:szCs w:val="22"/>
              </w:rPr>
              <w:t>Rivaroxabán 20 mg naponta egyszer</w:t>
            </w:r>
          </w:p>
          <w:p w:rsidR="00224F0F" w:rsidRDefault="00485CCD">
            <w:pPr>
              <w:pStyle w:val="Default"/>
              <w:rPr>
                <w:b/>
                <w:sz w:val="22"/>
                <w:szCs w:val="22"/>
                <w:u w:val="single"/>
              </w:rPr>
            </w:pPr>
            <w:r>
              <w:rPr>
                <w:b/>
                <w:sz w:val="22"/>
                <w:szCs w:val="22"/>
              </w:rPr>
              <w:t>N = 1107</w:t>
            </w:r>
          </w:p>
        </w:tc>
        <w:tc>
          <w:tcPr>
            <w:tcW w:w="2064" w:type="dxa"/>
            <w:shd w:val="clear" w:color="auto" w:fill="auto"/>
          </w:tcPr>
          <w:p w:rsidR="00224F0F" w:rsidRDefault="00485CCD">
            <w:pPr>
              <w:pStyle w:val="Default"/>
              <w:rPr>
                <w:b/>
                <w:sz w:val="22"/>
                <w:szCs w:val="22"/>
              </w:rPr>
            </w:pPr>
            <w:r>
              <w:rPr>
                <w:b/>
                <w:sz w:val="22"/>
                <w:szCs w:val="22"/>
              </w:rPr>
              <w:t>Rivaroxabán 10 mg naponta egyszer</w:t>
            </w:r>
          </w:p>
          <w:p w:rsidR="00224F0F" w:rsidRDefault="00485CCD">
            <w:pPr>
              <w:pStyle w:val="Default"/>
              <w:rPr>
                <w:b/>
                <w:sz w:val="22"/>
                <w:szCs w:val="22"/>
                <w:u w:val="single"/>
              </w:rPr>
            </w:pPr>
            <w:r>
              <w:rPr>
                <w:b/>
                <w:sz w:val="22"/>
                <w:szCs w:val="22"/>
              </w:rPr>
              <w:t>N = 1127</w:t>
            </w:r>
          </w:p>
        </w:tc>
        <w:tc>
          <w:tcPr>
            <w:tcW w:w="2064" w:type="dxa"/>
            <w:shd w:val="clear" w:color="auto" w:fill="auto"/>
          </w:tcPr>
          <w:p w:rsidR="00224F0F" w:rsidRDefault="00485CCD">
            <w:pPr>
              <w:pStyle w:val="Default"/>
              <w:rPr>
                <w:b/>
                <w:sz w:val="22"/>
                <w:szCs w:val="22"/>
              </w:rPr>
            </w:pPr>
            <w:r>
              <w:rPr>
                <w:b/>
                <w:sz w:val="22"/>
                <w:szCs w:val="22"/>
              </w:rPr>
              <w:t>ASA 100 mg naponta egyszer</w:t>
            </w:r>
          </w:p>
          <w:p w:rsidR="00224F0F" w:rsidRDefault="00485CCD">
            <w:pPr>
              <w:pStyle w:val="Default"/>
              <w:rPr>
                <w:b/>
                <w:sz w:val="22"/>
                <w:szCs w:val="22"/>
                <w:u w:val="single"/>
              </w:rPr>
            </w:pPr>
            <w:r>
              <w:rPr>
                <w:b/>
                <w:sz w:val="22"/>
                <w:szCs w:val="22"/>
              </w:rPr>
              <w:t>N = 1131</w:t>
            </w:r>
          </w:p>
        </w:tc>
      </w:tr>
      <w:tr w:rsidR="00224F0F">
        <w:tc>
          <w:tcPr>
            <w:tcW w:w="3095" w:type="dxa"/>
            <w:shd w:val="clear" w:color="auto" w:fill="auto"/>
          </w:tcPr>
          <w:p w:rsidR="00224F0F" w:rsidRDefault="00485CCD">
            <w:pPr>
              <w:pStyle w:val="Default"/>
              <w:rPr>
                <w:sz w:val="22"/>
                <w:szCs w:val="22"/>
                <w:u w:val="single"/>
              </w:rPr>
            </w:pPr>
            <w:r>
              <w:rPr>
                <w:sz w:val="22"/>
                <w:szCs w:val="22"/>
              </w:rPr>
              <w:t xml:space="preserve">Medián kezelési időtartam [interkvartilis tartomány] </w:t>
            </w:r>
          </w:p>
        </w:tc>
        <w:tc>
          <w:tcPr>
            <w:tcW w:w="2064" w:type="dxa"/>
            <w:shd w:val="clear" w:color="auto" w:fill="auto"/>
          </w:tcPr>
          <w:p w:rsidR="00224F0F" w:rsidRDefault="00485CCD" w:rsidP="00764E87">
            <w:pPr>
              <w:pStyle w:val="Default"/>
              <w:rPr>
                <w:sz w:val="22"/>
                <w:szCs w:val="22"/>
                <w:u w:val="single"/>
              </w:rPr>
            </w:pPr>
            <w:r>
              <w:rPr>
                <w:sz w:val="22"/>
                <w:szCs w:val="22"/>
              </w:rPr>
              <w:t>349 [189-362] nap</w:t>
            </w:r>
          </w:p>
        </w:tc>
        <w:tc>
          <w:tcPr>
            <w:tcW w:w="2064" w:type="dxa"/>
            <w:shd w:val="clear" w:color="auto" w:fill="auto"/>
          </w:tcPr>
          <w:p w:rsidR="00224F0F" w:rsidRDefault="00485CCD" w:rsidP="00764E87">
            <w:pPr>
              <w:pStyle w:val="Default"/>
              <w:rPr>
                <w:sz w:val="22"/>
                <w:szCs w:val="22"/>
                <w:u w:val="single"/>
              </w:rPr>
            </w:pPr>
            <w:r>
              <w:rPr>
                <w:sz w:val="22"/>
                <w:szCs w:val="22"/>
              </w:rPr>
              <w:t>353 [190-362] nap</w:t>
            </w:r>
          </w:p>
        </w:tc>
        <w:tc>
          <w:tcPr>
            <w:tcW w:w="2064" w:type="dxa"/>
            <w:shd w:val="clear" w:color="auto" w:fill="auto"/>
          </w:tcPr>
          <w:p w:rsidR="00224F0F" w:rsidRDefault="00485CCD" w:rsidP="00764E87">
            <w:pPr>
              <w:pStyle w:val="Default"/>
              <w:rPr>
                <w:sz w:val="22"/>
                <w:szCs w:val="22"/>
                <w:u w:val="single"/>
              </w:rPr>
            </w:pPr>
            <w:r>
              <w:rPr>
                <w:sz w:val="22"/>
                <w:szCs w:val="22"/>
              </w:rPr>
              <w:t>350 [186-362] nap</w:t>
            </w:r>
          </w:p>
        </w:tc>
      </w:tr>
      <w:tr w:rsidR="00224F0F">
        <w:tc>
          <w:tcPr>
            <w:tcW w:w="3095" w:type="dxa"/>
            <w:shd w:val="clear" w:color="auto" w:fill="auto"/>
          </w:tcPr>
          <w:p w:rsidR="00224F0F" w:rsidRDefault="00485CCD">
            <w:pPr>
              <w:pStyle w:val="Default"/>
              <w:rPr>
                <w:sz w:val="22"/>
                <w:szCs w:val="22"/>
                <w:u w:val="single"/>
              </w:rPr>
            </w:pPr>
            <w:r>
              <w:rPr>
                <w:sz w:val="22"/>
                <w:szCs w:val="22"/>
              </w:rPr>
              <w:t>Tünetekkel járó, visszatérő VTE</w:t>
            </w:r>
          </w:p>
        </w:tc>
        <w:tc>
          <w:tcPr>
            <w:tcW w:w="2064" w:type="dxa"/>
            <w:shd w:val="clear" w:color="auto" w:fill="auto"/>
          </w:tcPr>
          <w:p w:rsidR="00224F0F" w:rsidRDefault="00485CCD">
            <w:pPr>
              <w:pStyle w:val="Default"/>
              <w:rPr>
                <w:sz w:val="22"/>
                <w:szCs w:val="22"/>
              </w:rPr>
            </w:pPr>
            <w:r>
              <w:rPr>
                <w:sz w:val="22"/>
                <w:szCs w:val="22"/>
              </w:rPr>
              <w:t>17</w:t>
            </w:r>
          </w:p>
          <w:p w:rsidR="00224F0F" w:rsidRDefault="00485CCD">
            <w:pPr>
              <w:pStyle w:val="Default"/>
              <w:rPr>
                <w:sz w:val="22"/>
                <w:szCs w:val="22"/>
                <w:u w:val="single"/>
              </w:rPr>
            </w:pPr>
            <w:r>
              <w:rPr>
                <w:sz w:val="22"/>
                <w:szCs w:val="22"/>
              </w:rPr>
              <w:t xml:space="preserve">(1,5%)* </w:t>
            </w:r>
          </w:p>
        </w:tc>
        <w:tc>
          <w:tcPr>
            <w:tcW w:w="2064" w:type="dxa"/>
            <w:shd w:val="clear" w:color="auto" w:fill="auto"/>
          </w:tcPr>
          <w:p w:rsidR="00224F0F" w:rsidRDefault="00485CCD">
            <w:pPr>
              <w:pStyle w:val="Default"/>
              <w:rPr>
                <w:sz w:val="22"/>
                <w:szCs w:val="22"/>
              </w:rPr>
            </w:pPr>
            <w:r>
              <w:rPr>
                <w:sz w:val="22"/>
                <w:szCs w:val="22"/>
              </w:rPr>
              <w:t>13</w:t>
            </w:r>
          </w:p>
          <w:p w:rsidR="00224F0F" w:rsidRDefault="00485CCD">
            <w:pPr>
              <w:pStyle w:val="Default"/>
              <w:rPr>
                <w:sz w:val="22"/>
                <w:szCs w:val="22"/>
                <w:u w:val="single"/>
              </w:rPr>
            </w:pPr>
            <w:r>
              <w:rPr>
                <w:sz w:val="22"/>
                <w:szCs w:val="22"/>
              </w:rPr>
              <w:t xml:space="preserve">(1,2%)** </w:t>
            </w:r>
          </w:p>
        </w:tc>
        <w:tc>
          <w:tcPr>
            <w:tcW w:w="2064" w:type="dxa"/>
            <w:shd w:val="clear" w:color="auto" w:fill="auto"/>
          </w:tcPr>
          <w:p w:rsidR="00224F0F" w:rsidRDefault="00485CCD">
            <w:pPr>
              <w:pStyle w:val="Default"/>
              <w:rPr>
                <w:sz w:val="22"/>
                <w:szCs w:val="22"/>
              </w:rPr>
            </w:pPr>
            <w:r>
              <w:rPr>
                <w:sz w:val="22"/>
                <w:szCs w:val="22"/>
              </w:rPr>
              <w:t>40</w:t>
            </w:r>
          </w:p>
          <w:p w:rsidR="00224F0F" w:rsidRDefault="00485CCD">
            <w:pPr>
              <w:pStyle w:val="Default"/>
              <w:rPr>
                <w:sz w:val="22"/>
                <w:szCs w:val="22"/>
                <w:u w:val="single"/>
              </w:rPr>
            </w:pPr>
            <w:r>
              <w:rPr>
                <w:sz w:val="22"/>
                <w:szCs w:val="22"/>
              </w:rPr>
              <w:t xml:space="preserve">(4,4%) </w:t>
            </w:r>
          </w:p>
        </w:tc>
      </w:tr>
      <w:tr w:rsidR="00224F0F">
        <w:tc>
          <w:tcPr>
            <w:tcW w:w="3095" w:type="dxa"/>
            <w:shd w:val="clear" w:color="auto" w:fill="auto"/>
          </w:tcPr>
          <w:p w:rsidR="00224F0F" w:rsidRDefault="00485CCD">
            <w:pPr>
              <w:pStyle w:val="Default"/>
              <w:ind w:left="142"/>
              <w:rPr>
                <w:sz w:val="22"/>
                <w:szCs w:val="22"/>
                <w:u w:val="single"/>
              </w:rPr>
            </w:pPr>
            <w:r>
              <w:rPr>
                <w:sz w:val="22"/>
                <w:szCs w:val="22"/>
              </w:rPr>
              <w:t xml:space="preserve">Tünetekkel járó, visszatérő PE </w:t>
            </w:r>
          </w:p>
        </w:tc>
        <w:tc>
          <w:tcPr>
            <w:tcW w:w="2064" w:type="dxa"/>
            <w:shd w:val="clear" w:color="auto" w:fill="auto"/>
          </w:tcPr>
          <w:p w:rsidR="00224F0F" w:rsidRDefault="00485CCD">
            <w:pPr>
              <w:pStyle w:val="Default"/>
              <w:rPr>
                <w:sz w:val="22"/>
                <w:szCs w:val="22"/>
              </w:rPr>
            </w:pPr>
            <w:r>
              <w:rPr>
                <w:sz w:val="22"/>
                <w:szCs w:val="22"/>
              </w:rPr>
              <w:t>6</w:t>
            </w:r>
          </w:p>
          <w:p w:rsidR="00224F0F" w:rsidRDefault="00485CCD">
            <w:pPr>
              <w:pStyle w:val="Default"/>
              <w:rPr>
                <w:sz w:val="22"/>
                <w:szCs w:val="22"/>
                <w:u w:val="single"/>
              </w:rPr>
            </w:pPr>
            <w:r>
              <w:rPr>
                <w:sz w:val="22"/>
                <w:szCs w:val="22"/>
              </w:rPr>
              <w:t>(0,5%)</w:t>
            </w:r>
          </w:p>
        </w:tc>
        <w:tc>
          <w:tcPr>
            <w:tcW w:w="2064" w:type="dxa"/>
            <w:shd w:val="clear" w:color="auto" w:fill="auto"/>
          </w:tcPr>
          <w:p w:rsidR="00224F0F" w:rsidRDefault="00485CCD">
            <w:pPr>
              <w:pStyle w:val="Default"/>
              <w:rPr>
                <w:sz w:val="22"/>
                <w:szCs w:val="22"/>
              </w:rPr>
            </w:pPr>
            <w:r>
              <w:rPr>
                <w:sz w:val="22"/>
                <w:szCs w:val="22"/>
              </w:rPr>
              <w:t>6</w:t>
            </w:r>
          </w:p>
          <w:p w:rsidR="00224F0F" w:rsidRDefault="00485CCD">
            <w:pPr>
              <w:pStyle w:val="Default"/>
              <w:rPr>
                <w:sz w:val="22"/>
                <w:szCs w:val="22"/>
                <w:u w:val="single"/>
              </w:rPr>
            </w:pPr>
            <w:r>
              <w:rPr>
                <w:sz w:val="22"/>
                <w:szCs w:val="22"/>
              </w:rPr>
              <w:t xml:space="preserve">(0,5%) </w:t>
            </w:r>
          </w:p>
        </w:tc>
        <w:tc>
          <w:tcPr>
            <w:tcW w:w="2064" w:type="dxa"/>
            <w:shd w:val="clear" w:color="auto" w:fill="auto"/>
          </w:tcPr>
          <w:p w:rsidR="00224F0F" w:rsidRDefault="00485CCD">
            <w:pPr>
              <w:pStyle w:val="Default"/>
              <w:rPr>
                <w:sz w:val="22"/>
                <w:szCs w:val="22"/>
              </w:rPr>
            </w:pPr>
            <w:r>
              <w:rPr>
                <w:sz w:val="22"/>
                <w:szCs w:val="22"/>
              </w:rPr>
              <w:t>19</w:t>
            </w:r>
          </w:p>
          <w:p w:rsidR="00224F0F" w:rsidRDefault="00485CCD">
            <w:pPr>
              <w:pStyle w:val="Default"/>
              <w:rPr>
                <w:sz w:val="22"/>
                <w:szCs w:val="22"/>
                <w:u w:val="single"/>
              </w:rPr>
            </w:pPr>
            <w:r>
              <w:rPr>
                <w:sz w:val="22"/>
                <w:szCs w:val="22"/>
              </w:rPr>
              <w:t xml:space="preserve">(1,7%) </w:t>
            </w:r>
          </w:p>
        </w:tc>
      </w:tr>
      <w:tr w:rsidR="00224F0F">
        <w:tc>
          <w:tcPr>
            <w:tcW w:w="3095" w:type="dxa"/>
            <w:shd w:val="clear" w:color="auto" w:fill="auto"/>
          </w:tcPr>
          <w:p w:rsidR="00224F0F" w:rsidRDefault="00485CCD">
            <w:pPr>
              <w:pStyle w:val="Default"/>
              <w:ind w:left="142"/>
              <w:rPr>
                <w:sz w:val="22"/>
                <w:szCs w:val="22"/>
                <w:u w:val="single"/>
              </w:rPr>
            </w:pPr>
            <w:r>
              <w:rPr>
                <w:sz w:val="22"/>
                <w:szCs w:val="22"/>
              </w:rPr>
              <w:t xml:space="preserve">Tünetekkel járó, recidiváló MVT </w:t>
            </w:r>
          </w:p>
        </w:tc>
        <w:tc>
          <w:tcPr>
            <w:tcW w:w="2064" w:type="dxa"/>
            <w:shd w:val="clear" w:color="auto" w:fill="auto"/>
          </w:tcPr>
          <w:p w:rsidR="00224F0F" w:rsidRDefault="00485CCD">
            <w:pPr>
              <w:pStyle w:val="Default"/>
              <w:rPr>
                <w:sz w:val="22"/>
                <w:szCs w:val="22"/>
              </w:rPr>
            </w:pPr>
            <w:r>
              <w:rPr>
                <w:sz w:val="22"/>
                <w:szCs w:val="22"/>
              </w:rPr>
              <w:t>9</w:t>
            </w:r>
          </w:p>
          <w:p w:rsidR="00224F0F" w:rsidRDefault="00485CCD">
            <w:pPr>
              <w:pStyle w:val="Default"/>
              <w:rPr>
                <w:sz w:val="22"/>
                <w:szCs w:val="22"/>
                <w:u w:val="single"/>
              </w:rPr>
            </w:pPr>
            <w:r>
              <w:rPr>
                <w:sz w:val="22"/>
                <w:szCs w:val="22"/>
              </w:rPr>
              <w:t>(0,8%)</w:t>
            </w:r>
          </w:p>
        </w:tc>
        <w:tc>
          <w:tcPr>
            <w:tcW w:w="2064" w:type="dxa"/>
            <w:shd w:val="clear" w:color="auto" w:fill="auto"/>
          </w:tcPr>
          <w:p w:rsidR="00224F0F" w:rsidRDefault="00485CCD">
            <w:pPr>
              <w:pStyle w:val="Default"/>
              <w:rPr>
                <w:sz w:val="22"/>
                <w:szCs w:val="22"/>
              </w:rPr>
            </w:pPr>
            <w:r>
              <w:rPr>
                <w:sz w:val="22"/>
                <w:szCs w:val="22"/>
              </w:rPr>
              <w:t>8</w:t>
            </w:r>
          </w:p>
          <w:p w:rsidR="00224F0F" w:rsidRDefault="00485CCD">
            <w:pPr>
              <w:pStyle w:val="Default"/>
              <w:rPr>
                <w:sz w:val="22"/>
                <w:szCs w:val="22"/>
                <w:u w:val="single"/>
              </w:rPr>
            </w:pPr>
            <w:r>
              <w:rPr>
                <w:sz w:val="22"/>
                <w:szCs w:val="22"/>
              </w:rPr>
              <w:t xml:space="preserve">(0,7%) </w:t>
            </w:r>
          </w:p>
        </w:tc>
        <w:tc>
          <w:tcPr>
            <w:tcW w:w="2064" w:type="dxa"/>
            <w:shd w:val="clear" w:color="auto" w:fill="auto"/>
          </w:tcPr>
          <w:p w:rsidR="00224F0F" w:rsidRDefault="00485CCD">
            <w:pPr>
              <w:pStyle w:val="Default"/>
              <w:rPr>
                <w:sz w:val="22"/>
                <w:szCs w:val="22"/>
              </w:rPr>
            </w:pPr>
            <w:r>
              <w:rPr>
                <w:sz w:val="22"/>
                <w:szCs w:val="22"/>
              </w:rPr>
              <w:t>30</w:t>
            </w:r>
          </w:p>
          <w:p w:rsidR="00224F0F" w:rsidRDefault="00485CCD">
            <w:pPr>
              <w:pStyle w:val="Default"/>
              <w:rPr>
                <w:sz w:val="22"/>
                <w:szCs w:val="22"/>
                <w:u w:val="single"/>
              </w:rPr>
            </w:pPr>
            <w:r>
              <w:rPr>
                <w:sz w:val="22"/>
                <w:szCs w:val="22"/>
              </w:rPr>
              <w:t xml:space="preserve">(2,7%) </w:t>
            </w:r>
          </w:p>
        </w:tc>
      </w:tr>
      <w:tr w:rsidR="00224F0F">
        <w:tc>
          <w:tcPr>
            <w:tcW w:w="3095" w:type="dxa"/>
            <w:shd w:val="clear" w:color="auto" w:fill="auto"/>
          </w:tcPr>
          <w:p w:rsidR="00224F0F" w:rsidRDefault="00485CCD">
            <w:pPr>
              <w:pStyle w:val="Default"/>
              <w:ind w:left="142"/>
              <w:rPr>
                <w:sz w:val="22"/>
                <w:szCs w:val="22"/>
                <w:u w:val="single"/>
              </w:rPr>
            </w:pPr>
            <w:r>
              <w:rPr>
                <w:sz w:val="22"/>
                <w:szCs w:val="22"/>
              </w:rPr>
              <w:t xml:space="preserve">Fatális PE/haláleset, amelynél nem lehet kizárni a PE-t </w:t>
            </w:r>
          </w:p>
        </w:tc>
        <w:tc>
          <w:tcPr>
            <w:tcW w:w="2064" w:type="dxa"/>
            <w:shd w:val="clear" w:color="auto" w:fill="auto"/>
          </w:tcPr>
          <w:p w:rsidR="00224F0F" w:rsidRDefault="00485CCD">
            <w:pPr>
              <w:pStyle w:val="Default"/>
              <w:rPr>
                <w:sz w:val="22"/>
                <w:szCs w:val="22"/>
              </w:rPr>
            </w:pPr>
            <w:r>
              <w:rPr>
                <w:sz w:val="22"/>
                <w:szCs w:val="22"/>
              </w:rPr>
              <w:t>2</w:t>
            </w:r>
          </w:p>
          <w:p w:rsidR="00224F0F" w:rsidRDefault="00485CCD">
            <w:pPr>
              <w:pStyle w:val="Default"/>
              <w:rPr>
                <w:sz w:val="22"/>
                <w:szCs w:val="22"/>
                <w:u w:val="single"/>
              </w:rPr>
            </w:pPr>
            <w:r>
              <w:rPr>
                <w:sz w:val="22"/>
                <w:szCs w:val="22"/>
              </w:rPr>
              <w:t>(0,2%)</w:t>
            </w:r>
          </w:p>
        </w:tc>
        <w:tc>
          <w:tcPr>
            <w:tcW w:w="2064" w:type="dxa"/>
            <w:shd w:val="clear" w:color="auto" w:fill="auto"/>
          </w:tcPr>
          <w:p w:rsidR="00224F0F" w:rsidRDefault="00485CCD">
            <w:pPr>
              <w:pStyle w:val="Default"/>
              <w:rPr>
                <w:sz w:val="22"/>
                <w:szCs w:val="22"/>
              </w:rPr>
            </w:pPr>
            <w:r>
              <w:rPr>
                <w:sz w:val="22"/>
                <w:szCs w:val="22"/>
              </w:rPr>
              <w:t>0</w:t>
            </w:r>
          </w:p>
          <w:p w:rsidR="00224F0F" w:rsidRDefault="00485CCD">
            <w:pPr>
              <w:pStyle w:val="Default"/>
              <w:rPr>
                <w:sz w:val="22"/>
                <w:szCs w:val="22"/>
              </w:rPr>
            </w:pPr>
            <w:r>
              <w:rPr>
                <w:sz w:val="22"/>
                <w:szCs w:val="22"/>
              </w:rPr>
              <w:t>(0,0%)</w:t>
            </w:r>
          </w:p>
        </w:tc>
        <w:tc>
          <w:tcPr>
            <w:tcW w:w="2064" w:type="dxa"/>
            <w:shd w:val="clear" w:color="auto" w:fill="auto"/>
          </w:tcPr>
          <w:p w:rsidR="00224F0F" w:rsidRDefault="00485CCD">
            <w:pPr>
              <w:pStyle w:val="Default"/>
              <w:rPr>
                <w:sz w:val="22"/>
                <w:szCs w:val="22"/>
              </w:rPr>
            </w:pPr>
            <w:r>
              <w:rPr>
                <w:sz w:val="22"/>
                <w:szCs w:val="22"/>
              </w:rPr>
              <w:t xml:space="preserve">2 </w:t>
            </w:r>
          </w:p>
          <w:p w:rsidR="00224F0F" w:rsidRDefault="00485CCD">
            <w:pPr>
              <w:pStyle w:val="Default"/>
              <w:rPr>
                <w:sz w:val="22"/>
                <w:szCs w:val="22"/>
                <w:u w:val="single"/>
              </w:rPr>
            </w:pPr>
            <w:r>
              <w:rPr>
                <w:sz w:val="22"/>
                <w:szCs w:val="22"/>
              </w:rPr>
              <w:t xml:space="preserve">(0,2%) </w:t>
            </w:r>
          </w:p>
        </w:tc>
      </w:tr>
      <w:tr w:rsidR="00224F0F">
        <w:tc>
          <w:tcPr>
            <w:tcW w:w="3095" w:type="dxa"/>
            <w:shd w:val="clear" w:color="auto" w:fill="auto"/>
          </w:tcPr>
          <w:p w:rsidR="00224F0F" w:rsidRDefault="00485CCD">
            <w:pPr>
              <w:pStyle w:val="Default"/>
              <w:rPr>
                <w:sz w:val="22"/>
                <w:szCs w:val="22"/>
                <w:u w:val="single"/>
              </w:rPr>
            </w:pPr>
            <w:r>
              <w:rPr>
                <w:sz w:val="22"/>
                <w:szCs w:val="22"/>
              </w:rPr>
              <w:t xml:space="preserve">Tünetekkel járó, visszatérő VTE, MI, stroke vagy nem központi idegrendszeri embólia </w:t>
            </w:r>
          </w:p>
        </w:tc>
        <w:tc>
          <w:tcPr>
            <w:tcW w:w="2064" w:type="dxa"/>
            <w:shd w:val="clear" w:color="auto" w:fill="auto"/>
          </w:tcPr>
          <w:p w:rsidR="00224F0F" w:rsidRDefault="00485CCD">
            <w:pPr>
              <w:pStyle w:val="Default"/>
              <w:rPr>
                <w:sz w:val="22"/>
                <w:szCs w:val="22"/>
              </w:rPr>
            </w:pPr>
            <w:r>
              <w:rPr>
                <w:sz w:val="22"/>
                <w:szCs w:val="22"/>
              </w:rPr>
              <w:t>19</w:t>
            </w:r>
          </w:p>
          <w:p w:rsidR="00224F0F" w:rsidRDefault="00485CCD">
            <w:pPr>
              <w:pStyle w:val="Default"/>
              <w:rPr>
                <w:sz w:val="22"/>
                <w:szCs w:val="22"/>
                <w:u w:val="single"/>
              </w:rPr>
            </w:pPr>
            <w:r>
              <w:rPr>
                <w:sz w:val="22"/>
                <w:szCs w:val="22"/>
              </w:rPr>
              <w:t>(1,7%)</w:t>
            </w:r>
          </w:p>
        </w:tc>
        <w:tc>
          <w:tcPr>
            <w:tcW w:w="2064" w:type="dxa"/>
            <w:shd w:val="clear" w:color="auto" w:fill="auto"/>
          </w:tcPr>
          <w:p w:rsidR="00224F0F" w:rsidRDefault="00485CCD">
            <w:pPr>
              <w:pStyle w:val="Default"/>
              <w:rPr>
                <w:sz w:val="22"/>
                <w:szCs w:val="22"/>
              </w:rPr>
            </w:pPr>
            <w:r>
              <w:rPr>
                <w:sz w:val="22"/>
                <w:szCs w:val="22"/>
              </w:rPr>
              <w:t>18</w:t>
            </w:r>
          </w:p>
          <w:p w:rsidR="00224F0F" w:rsidRDefault="00485CCD">
            <w:pPr>
              <w:pStyle w:val="Default"/>
              <w:rPr>
                <w:sz w:val="22"/>
                <w:szCs w:val="22"/>
                <w:u w:val="single"/>
              </w:rPr>
            </w:pPr>
            <w:r>
              <w:rPr>
                <w:sz w:val="22"/>
                <w:szCs w:val="22"/>
              </w:rPr>
              <w:t>(1,6%)</w:t>
            </w:r>
          </w:p>
        </w:tc>
        <w:tc>
          <w:tcPr>
            <w:tcW w:w="2064" w:type="dxa"/>
            <w:shd w:val="clear" w:color="auto" w:fill="auto"/>
          </w:tcPr>
          <w:p w:rsidR="00224F0F" w:rsidRDefault="00485CCD">
            <w:pPr>
              <w:pStyle w:val="Default"/>
              <w:rPr>
                <w:sz w:val="22"/>
                <w:szCs w:val="22"/>
              </w:rPr>
            </w:pPr>
            <w:r>
              <w:rPr>
                <w:sz w:val="22"/>
                <w:szCs w:val="22"/>
              </w:rPr>
              <w:t>56</w:t>
            </w:r>
          </w:p>
          <w:p w:rsidR="00224F0F" w:rsidRDefault="00485CCD">
            <w:pPr>
              <w:pStyle w:val="Default"/>
              <w:rPr>
                <w:sz w:val="22"/>
                <w:szCs w:val="22"/>
                <w:u w:val="single"/>
              </w:rPr>
            </w:pPr>
            <w:r>
              <w:rPr>
                <w:sz w:val="22"/>
                <w:szCs w:val="22"/>
              </w:rPr>
              <w:t>(5,0%)</w:t>
            </w:r>
          </w:p>
        </w:tc>
      </w:tr>
      <w:tr w:rsidR="00224F0F">
        <w:tc>
          <w:tcPr>
            <w:tcW w:w="3095" w:type="dxa"/>
            <w:shd w:val="clear" w:color="auto" w:fill="auto"/>
          </w:tcPr>
          <w:p w:rsidR="00224F0F" w:rsidRDefault="00485CCD">
            <w:pPr>
              <w:pStyle w:val="Default"/>
              <w:rPr>
                <w:sz w:val="22"/>
                <w:szCs w:val="22"/>
                <w:u w:val="single"/>
              </w:rPr>
            </w:pPr>
            <w:r>
              <w:rPr>
                <w:sz w:val="22"/>
                <w:szCs w:val="22"/>
              </w:rPr>
              <w:t xml:space="preserve">Súlyos vérzéses esemény </w:t>
            </w:r>
          </w:p>
        </w:tc>
        <w:tc>
          <w:tcPr>
            <w:tcW w:w="2064" w:type="dxa"/>
            <w:shd w:val="clear" w:color="auto" w:fill="auto"/>
          </w:tcPr>
          <w:p w:rsidR="00224F0F" w:rsidRDefault="00485CCD">
            <w:pPr>
              <w:pStyle w:val="Default"/>
              <w:rPr>
                <w:sz w:val="22"/>
                <w:szCs w:val="22"/>
              </w:rPr>
            </w:pPr>
            <w:r>
              <w:rPr>
                <w:sz w:val="22"/>
                <w:szCs w:val="22"/>
              </w:rPr>
              <w:t>6</w:t>
            </w:r>
          </w:p>
          <w:p w:rsidR="00224F0F" w:rsidRDefault="00485CCD">
            <w:pPr>
              <w:pStyle w:val="Default"/>
              <w:rPr>
                <w:sz w:val="22"/>
                <w:szCs w:val="22"/>
                <w:u w:val="single"/>
              </w:rPr>
            </w:pPr>
            <w:r>
              <w:rPr>
                <w:sz w:val="22"/>
                <w:szCs w:val="22"/>
              </w:rPr>
              <w:t xml:space="preserve">(0,5%) </w:t>
            </w:r>
          </w:p>
        </w:tc>
        <w:tc>
          <w:tcPr>
            <w:tcW w:w="2064" w:type="dxa"/>
            <w:shd w:val="clear" w:color="auto" w:fill="auto"/>
          </w:tcPr>
          <w:p w:rsidR="00224F0F" w:rsidRDefault="00485CCD">
            <w:pPr>
              <w:pStyle w:val="Default"/>
              <w:rPr>
                <w:sz w:val="22"/>
                <w:szCs w:val="22"/>
              </w:rPr>
            </w:pPr>
            <w:r>
              <w:rPr>
                <w:sz w:val="22"/>
                <w:szCs w:val="22"/>
              </w:rPr>
              <w:t>5</w:t>
            </w:r>
          </w:p>
          <w:p w:rsidR="00224F0F" w:rsidRDefault="00485CCD">
            <w:pPr>
              <w:pStyle w:val="Default"/>
              <w:rPr>
                <w:sz w:val="22"/>
                <w:szCs w:val="22"/>
                <w:u w:val="single"/>
              </w:rPr>
            </w:pPr>
            <w:r>
              <w:rPr>
                <w:sz w:val="22"/>
                <w:szCs w:val="22"/>
              </w:rPr>
              <w:t xml:space="preserve">(0,4%) </w:t>
            </w:r>
          </w:p>
        </w:tc>
        <w:tc>
          <w:tcPr>
            <w:tcW w:w="2064" w:type="dxa"/>
            <w:shd w:val="clear" w:color="auto" w:fill="auto"/>
          </w:tcPr>
          <w:p w:rsidR="00224F0F" w:rsidRDefault="00485CCD">
            <w:pPr>
              <w:pStyle w:val="Default"/>
              <w:rPr>
                <w:sz w:val="22"/>
                <w:szCs w:val="22"/>
              </w:rPr>
            </w:pPr>
            <w:r>
              <w:rPr>
                <w:sz w:val="22"/>
                <w:szCs w:val="22"/>
              </w:rPr>
              <w:t>3</w:t>
            </w:r>
          </w:p>
          <w:p w:rsidR="00224F0F" w:rsidRDefault="00485CCD">
            <w:pPr>
              <w:pStyle w:val="Default"/>
              <w:rPr>
                <w:sz w:val="22"/>
                <w:szCs w:val="22"/>
                <w:u w:val="single"/>
              </w:rPr>
            </w:pPr>
            <w:r>
              <w:rPr>
                <w:sz w:val="22"/>
                <w:szCs w:val="22"/>
              </w:rPr>
              <w:t xml:space="preserve">(0,3%) </w:t>
            </w:r>
          </w:p>
        </w:tc>
      </w:tr>
      <w:tr w:rsidR="00224F0F">
        <w:tc>
          <w:tcPr>
            <w:tcW w:w="3095" w:type="dxa"/>
            <w:shd w:val="clear" w:color="auto" w:fill="auto"/>
          </w:tcPr>
          <w:p w:rsidR="00224F0F" w:rsidRDefault="00485CCD">
            <w:pPr>
              <w:pStyle w:val="Default"/>
              <w:rPr>
                <w:sz w:val="22"/>
                <w:szCs w:val="22"/>
                <w:u w:val="single"/>
              </w:rPr>
            </w:pPr>
            <w:r>
              <w:rPr>
                <w:sz w:val="22"/>
                <w:szCs w:val="22"/>
              </w:rPr>
              <w:t xml:space="preserve">Klinikailag jelentős, nem súlyos vérzés </w:t>
            </w:r>
          </w:p>
        </w:tc>
        <w:tc>
          <w:tcPr>
            <w:tcW w:w="2064" w:type="dxa"/>
            <w:shd w:val="clear" w:color="auto" w:fill="auto"/>
          </w:tcPr>
          <w:p w:rsidR="00224F0F" w:rsidRDefault="00485CCD">
            <w:pPr>
              <w:pStyle w:val="Default"/>
              <w:rPr>
                <w:sz w:val="22"/>
                <w:szCs w:val="22"/>
              </w:rPr>
            </w:pPr>
            <w:r>
              <w:rPr>
                <w:sz w:val="22"/>
                <w:szCs w:val="22"/>
              </w:rPr>
              <w:t>30</w:t>
            </w:r>
          </w:p>
          <w:p w:rsidR="00224F0F" w:rsidRDefault="00485CCD">
            <w:pPr>
              <w:pStyle w:val="Default"/>
              <w:rPr>
                <w:sz w:val="22"/>
                <w:szCs w:val="22"/>
                <w:u w:val="single"/>
              </w:rPr>
            </w:pPr>
            <w:r>
              <w:rPr>
                <w:sz w:val="22"/>
                <w:szCs w:val="22"/>
              </w:rPr>
              <w:t>(2,7%)</w:t>
            </w:r>
          </w:p>
        </w:tc>
        <w:tc>
          <w:tcPr>
            <w:tcW w:w="2064" w:type="dxa"/>
            <w:shd w:val="clear" w:color="auto" w:fill="auto"/>
          </w:tcPr>
          <w:p w:rsidR="00224F0F" w:rsidRDefault="00485CCD">
            <w:pPr>
              <w:pStyle w:val="Default"/>
              <w:rPr>
                <w:sz w:val="22"/>
                <w:szCs w:val="22"/>
              </w:rPr>
            </w:pPr>
            <w:r>
              <w:rPr>
                <w:sz w:val="22"/>
                <w:szCs w:val="22"/>
              </w:rPr>
              <w:t>22</w:t>
            </w:r>
          </w:p>
          <w:p w:rsidR="00224F0F" w:rsidRDefault="00485CCD">
            <w:pPr>
              <w:pStyle w:val="Default"/>
              <w:rPr>
                <w:sz w:val="22"/>
                <w:szCs w:val="22"/>
                <w:u w:val="single"/>
              </w:rPr>
            </w:pPr>
            <w:r>
              <w:rPr>
                <w:sz w:val="22"/>
                <w:szCs w:val="22"/>
              </w:rPr>
              <w:t>(2,0%)</w:t>
            </w:r>
          </w:p>
        </w:tc>
        <w:tc>
          <w:tcPr>
            <w:tcW w:w="2064" w:type="dxa"/>
            <w:shd w:val="clear" w:color="auto" w:fill="auto"/>
          </w:tcPr>
          <w:p w:rsidR="00224F0F" w:rsidRDefault="00485CCD">
            <w:pPr>
              <w:pStyle w:val="Default"/>
              <w:rPr>
                <w:sz w:val="22"/>
                <w:szCs w:val="22"/>
              </w:rPr>
            </w:pPr>
            <w:r>
              <w:rPr>
                <w:sz w:val="22"/>
                <w:szCs w:val="22"/>
              </w:rPr>
              <w:t>20</w:t>
            </w:r>
          </w:p>
          <w:p w:rsidR="00224F0F" w:rsidRDefault="00485CCD">
            <w:pPr>
              <w:pStyle w:val="Default"/>
              <w:rPr>
                <w:sz w:val="22"/>
                <w:szCs w:val="22"/>
                <w:u w:val="single"/>
              </w:rPr>
            </w:pPr>
            <w:r>
              <w:rPr>
                <w:sz w:val="22"/>
                <w:szCs w:val="22"/>
              </w:rPr>
              <w:t>(1,8%)</w:t>
            </w:r>
          </w:p>
        </w:tc>
      </w:tr>
      <w:tr w:rsidR="00224F0F">
        <w:tc>
          <w:tcPr>
            <w:tcW w:w="3095" w:type="dxa"/>
            <w:shd w:val="clear" w:color="auto" w:fill="auto"/>
          </w:tcPr>
          <w:p w:rsidR="00224F0F" w:rsidRDefault="00485CCD">
            <w:pPr>
              <w:pStyle w:val="Default"/>
              <w:rPr>
                <w:sz w:val="22"/>
                <w:szCs w:val="22"/>
                <w:u w:val="single"/>
              </w:rPr>
            </w:pPr>
            <w:r>
              <w:rPr>
                <w:sz w:val="22"/>
                <w:szCs w:val="22"/>
              </w:rPr>
              <w:t xml:space="preserve">Tünetekkel járó, visszatérő VTE vagy súlyos vérzéses (nettó klinikai előny) </w:t>
            </w:r>
          </w:p>
        </w:tc>
        <w:tc>
          <w:tcPr>
            <w:tcW w:w="2064" w:type="dxa"/>
            <w:shd w:val="clear" w:color="auto" w:fill="auto"/>
          </w:tcPr>
          <w:p w:rsidR="00224F0F" w:rsidRDefault="00485CCD">
            <w:pPr>
              <w:pStyle w:val="Default"/>
              <w:rPr>
                <w:sz w:val="22"/>
                <w:szCs w:val="22"/>
              </w:rPr>
            </w:pPr>
            <w:r>
              <w:rPr>
                <w:sz w:val="22"/>
                <w:szCs w:val="22"/>
              </w:rPr>
              <w:t>23 (2,1%)</w:t>
            </w:r>
            <w:r>
              <w:rPr>
                <w:position w:val="8"/>
                <w:sz w:val="22"/>
                <w:szCs w:val="22"/>
                <w:vertAlign w:val="superscript"/>
              </w:rPr>
              <w:t xml:space="preserve">+ </w:t>
            </w:r>
          </w:p>
          <w:p w:rsidR="00224F0F" w:rsidRDefault="00224F0F">
            <w:pPr>
              <w:pStyle w:val="Default"/>
              <w:rPr>
                <w:sz w:val="22"/>
                <w:szCs w:val="22"/>
                <w:u w:val="single"/>
              </w:rPr>
            </w:pPr>
          </w:p>
        </w:tc>
        <w:tc>
          <w:tcPr>
            <w:tcW w:w="2064" w:type="dxa"/>
            <w:shd w:val="clear" w:color="auto" w:fill="auto"/>
          </w:tcPr>
          <w:p w:rsidR="00224F0F" w:rsidRDefault="00485CCD">
            <w:pPr>
              <w:pStyle w:val="Default"/>
              <w:rPr>
                <w:sz w:val="22"/>
                <w:szCs w:val="22"/>
              </w:rPr>
            </w:pPr>
            <w:r>
              <w:rPr>
                <w:sz w:val="22"/>
                <w:szCs w:val="22"/>
              </w:rPr>
              <w:t>17</w:t>
            </w:r>
          </w:p>
          <w:p w:rsidR="00224F0F" w:rsidRDefault="00485CCD">
            <w:pPr>
              <w:pStyle w:val="Default"/>
              <w:rPr>
                <w:sz w:val="22"/>
                <w:szCs w:val="22"/>
                <w:u w:val="single"/>
              </w:rPr>
            </w:pPr>
            <w:r>
              <w:rPr>
                <w:sz w:val="22"/>
                <w:szCs w:val="22"/>
              </w:rPr>
              <w:t>(1,5%)</w:t>
            </w:r>
            <w:r>
              <w:rPr>
                <w:position w:val="8"/>
                <w:sz w:val="22"/>
                <w:szCs w:val="22"/>
                <w:vertAlign w:val="superscript"/>
              </w:rPr>
              <w:t xml:space="preserve">++ </w:t>
            </w:r>
          </w:p>
        </w:tc>
        <w:tc>
          <w:tcPr>
            <w:tcW w:w="2064" w:type="dxa"/>
            <w:shd w:val="clear" w:color="auto" w:fill="auto"/>
          </w:tcPr>
          <w:p w:rsidR="00224F0F" w:rsidRDefault="00485CCD">
            <w:pPr>
              <w:pStyle w:val="Default"/>
              <w:rPr>
                <w:sz w:val="22"/>
                <w:szCs w:val="22"/>
              </w:rPr>
            </w:pPr>
            <w:r>
              <w:rPr>
                <w:sz w:val="22"/>
                <w:szCs w:val="22"/>
              </w:rPr>
              <w:t>53</w:t>
            </w:r>
          </w:p>
          <w:p w:rsidR="00224F0F" w:rsidRDefault="00485CCD">
            <w:pPr>
              <w:pStyle w:val="Default"/>
              <w:rPr>
                <w:sz w:val="22"/>
                <w:szCs w:val="22"/>
                <w:u w:val="single"/>
              </w:rPr>
            </w:pPr>
            <w:r>
              <w:rPr>
                <w:sz w:val="22"/>
                <w:szCs w:val="22"/>
              </w:rPr>
              <w:t>(4,7%)</w:t>
            </w:r>
          </w:p>
        </w:tc>
      </w:tr>
    </w:tbl>
    <w:p w:rsidR="00224F0F" w:rsidRDefault="00485CCD" w:rsidP="00A54C3F">
      <w:pPr>
        <w:pStyle w:val="Default"/>
        <w:tabs>
          <w:tab w:val="left" w:pos="426"/>
        </w:tabs>
        <w:ind w:left="426" w:hanging="426"/>
        <w:rPr>
          <w:sz w:val="22"/>
          <w:szCs w:val="22"/>
        </w:rPr>
      </w:pPr>
      <w:r>
        <w:rPr>
          <w:sz w:val="22"/>
          <w:szCs w:val="22"/>
        </w:rPr>
        <w:t>*</w:t>
      </w:r>
      <w:r w:rsidR="00764E87">
        <w:tab/>
      </w:r>
      <w:r>
        <w:rPr>
          <w:sz w:val="22"/>
          <w:szCs w:val="22"/>
        </w:rPr>
        <w:t>p &lt; 0,001 (szuperioritás) rivaroxabán 20 mg naponta egyszer vs. ASA 100 mg naponta egyszer; HR = 0,34 (0,20-0,59)</w:t>
      </w:r>
    </w:p>
    <w:p w:rsidR="00224F0F" w:rsidRDefault="00485CCD" w:rsidP="00A54C3F">
      <w:pPr>
        <w:pStyle w:val="Default"/>
        <w:tabs>
          <w:tab w:val="left" w:pos="426"/>
        </w:tabs>
        <w:ind w:left="426" w:hanging="426"/>
        <w:rPr>
          <w:sz w:val="22"/>
          <w:szCs w:val="22"/>
        </w:rPr>
      </w:pPr>
      <w:r>
        <w:rPr>
          <w:sz w:val="22"/>
          <w:szCs w:val="22"/>
        </w:rPr>
        <w:t>**</w:t>
      </w:r>
      <w:r w:rsidR="00764E87">
        <w:tab/>
      </w:r>
      <w:r>
        <w:rPr>
          <w:sz w:val="22"/>
          <w:szCs w:val="22"/>
        </w:rPr>
        <w:t>p &lt; 0,001 (szuperioritás) rivaroxabán 10 mg naponta egyszer vs ASA 100 mg naponta egyszer; HR = 0,26 (0,14-0,47)</w:t>
      </w:r>
    </w:p>
    <w:p w:rsidR="00224F0F" w:rsidRDefault="00485CCD" w:rsidP="00A54C3F">
      <w:pPr>
        <w:pStyle w:val="Default"/>
        <w:tabs>
          <w:tab w:val="left" w:pos="426"/>
        </w:tabs>
        <w:ind w:left="426" w:hanging="426"/>
        <w:rPr>
          <w:sz w:val="22"/>
          <w:szCs w:val="22"/>
        </w:rPr>
      </w:pPr>
      <w:r>
        <w:rPr>
          <w:sz w:val="22"/>
          <w:szCs w:val="22"/>
        </w:rPr>
        <w:t>+</w:t>
      </w:r>
      <w:r w:rsidR="00764E87">
        <w:tab/>
      </w:r>
      <w:r>
        <w:rPr>
          <w:sz w:val="22"/>
          <w:szCs w:val="22"/>
        </w:rPr>
        <w:t>Rivaroxabán 20 mg naponta egyszer vs. ASA 100 mg naponta egyszer; HR = 0,44 (0,27-0,71), p = 0,0009 (névleges érték)</w:t>
      </w:r>
    </w:p>
    <w:p w:rsidR="00224F0F" w:rsidRDefault="00485CCD" w:rsidP="00A54C3F">
      <w:pPr>
        <w:pStyle w:val="Default"/>
        <w:tabs>
          <w:tab w:val="left" w:pos="426"/>
        </w:tabs>
        <w:ind w:left="426" w:hanging="426"/>
        <w:rPr>
          <w:sz w:val="22"/>
          <w:szCs w:val="22"/>
        </w:rPr>
      </w:pPr>
      <w:r>
        <w:rPr>
          <w:sz w:val="22"/>
          <w:szCs w:val="22"/>
        </w:rPr>
        <w:t>++</w:t>
      </w:r>
      <w:r w:rsidR="00764E87">
        <w:tab/>
      </w:r>
      <w:r>
        <w:rPr>
          <w:sz w:val="22"/>
          <w:szCs w:val="22"/>
        </w:rPr>
        <w:t>Rivaroxabán 10 mg naponta egyszer vs. ASA 100 mg naponta egyszer; HR = 0,32 (0,18-0,55), p &lt; 0,0001 (névleges érték)</w:t>
      </w:r>
    </w:p>
    <w:p w:rsidR="00224F0F" w:rsidRDefault="00224F0F">
      <w:pPr>
        <w:spacing w:line="240" w:lineRule="auto"/>
        <w:rPr>
          <w:color w:val="000000"/>
        </w:rPr>
      </w:pPr>
    </w:p>
    <w:p w:rsidR="00224F0F" w:rsidRDefault="00485CCD">
      <w:pPr>
        <w:pStyle w:val="Default"/>
        <w:rPr>
          <w:sz w:val="22"/>
          <w:szCs w:val="22"/>
        </w:rPr>
      </w:pPr>
      <w:r>
        <w:rPr>
          <w:sz w:val="22"/>
          <w:szCs w:val="22"/>
        </w:rPr>
        <w:t>A III. fázisú EINSTEIN vizsgálaton túl egy prospektív, beavatkozással nem járó, nyílt kohorsz vizsgálatot (XALIA) végeztek központosított kiértékeléssel, beleértve a visszatérő MVT-t, a jelentős vérzést és a halált. 5142 akut MVT-s beteget vontak be, hogy a klinikai gyakorlatban vizsgálják a rivaroxabán standard antikoagulációs terápiához viszonyított hosszú távú biztonságosságát. A jelentős vérzés, a visszatérő MVT és az összmortalitás a rivaroxabán esetében sorrendben 0,7%, 1,4% és 0,5% volt. Különbségek voltak a betegek kiindulási jellemzőiben, köztük az életkorban, a daganatos megbetegedésben és a beszűkült vesefunkcióban. A kiindulásbeli jellemzők különbségeinek korrigálására egy előre meghatározott hajlamossági pontszám („propensity score”) szerint végzett elemzést használtak, de a fennmaradó zavaró tényezők mindezek ellenére is befolyásolhatják az eredményeket. A rivaroxabánt és a standard kezelést összehasonlító korrigált relatív hazárdok a súlyos vérzés, a visszatérő VTE és a teljes halálozás tekintetében sorrendben 0,77 (</w:t>
      </w:r>
      <w:r w:rsidR="00332B5A">
        <w:rPr>
          <w:sz w:val="22"/>
          <w:szCs w:val="22"/>
        </w:rPr>
        <w:t>95%-</w:t>
      </w:r>
      <w:r>
        <w:rPr>
          <w:sz w:val="22"/>
          <w:szCs w:val="22"/>
        </w:rPr>
        <w:t>os CI</w:t>
      </w:r>
      <w:r w:rsidR="00764E87">
        <w:rPr>
          <w:sz w:val="22"/>
          <w:szCs w:val="22"/>
        </w:rPr>
        <w:t>:</w:t>
      </w:r>
      <w:r>
        <w:rPr>
          <w:sz w:val="22"/>
          <w:szCs w:val="22"/>
        </w:rPr>
        <w:t xml:space="preserve"> 0,40–1,50), 0,91 (</w:t>
      </w:r>
      <w:r w:rsidR="00332B5A">
        <w:rPr>
          <w:sz w:val="22"/>
          <w:szCs w:val="22"/>
        </w:rPr>
        <w:t>95%-</w:t>
      </w:r>
      <w:r>
        <w:rPr>
          <w:sz w:val="22"/>
          <w:szCs w:val="22"/>
        </w:rPr>
        <w:t>os CI</w:t>
      </w:r>
      <w:r w:rsidR="00764E87">
        <w:rPr>
          <w:sz w:val="22"/>
          <w:szCs w:val="22"/>
        </w:rPr>
        <w:t>:</w:t>
      </w:r>
      <w:r>
        <w:rPr>
          <w:sz w:val="22"/>
          <w:szCs w:val="22"/>
        </w:rPr>
        <w:t xml:space="preserve"> 0,541,54) és 0,51 (</w:t>
      </w:r>
      <w:r w:rsidR="00332B5A">
        <w:rPr>
          <w:sz w:val="22"/>
          <w:szCs w:val="22"/>
        </w:rPr>
        <w:t>95%-</w:t>
      </w:r>
      <w:r w:rsidR="00764E87">
        <w:rPr>
          <w:sz w:val="22"/>
          <w:szCs w:val="22"/>
        </w:rPr>
        <w:t>o</w:t>
      </w:r>
      <w:r>
        <w:rPr>
          <w:sz w:val="22"/>
          <w:szCs w:val="22"/>
        </w:rPr>
        <w:t>s CI</w:t>
      </w:r>
      <w:r w:rsidR="00764E87">
        <w:rPr>
          <w:sz w:val="22"/>
          <w:szCs w:val="22"/>
        </w:rPr>
        <w:t>:</w:t>
      </w:r>
      <w:r>
        <w:rPr>
          <w:sz w:val="22"/>
          <w:szCs w:val="22"/>
        </w:rPr>
        <w:t xml:space="preserve"> 0,24–1,07) voltak. Ezek a klinikai gyakorlatból származó megfigyelések konzisztensek az ebben az indikációban megállapított biztonságossági profillal.</w:t>
      </w:r>
    </w:p>
    <w:p w:rsidR="00224F0F" w:rsidRDefault="00224F0F">
      <w:pPr>
        <w:spacing w:line="240" w:lineRule="auto"/>
        <w:rPr>
          <w:color w:val="000000"/>
          <w:lang w:val="hu-HU"/>
        </w:rPr>
      </w:pPr>
    </w:p>
    <w:p w:rsidR="00224F0F" w:rsidRDefault="00485CCD">
      <w:pPr>
        <w:spacing w:line="240" w:lineRule="auto"/>
        <w:rPr>
          <w:color w:val="000000"/>
          <w:lang w:val="hu-HU"/>
        </w:rPr>
      </w:pPr>
      <w:r>
        <w:rPr>
          <w:color w:val="000000"/>
        </w:rPr>
        <w:lastRenderedPageBreak/>
        <w:t>A forgalombahozatali engedély kiadása utáni, beavatkozással nem járó vizsgálatban négy országban több mint 40 000, daganatos betegségek szempontjából negatív anamnézisű betegnél rivaroxabánt rendeltek MVT és PE kezelésére vagy megelőzésére. A kórházi kezeléshez vezető, tünetekkel járó, vagy klinikailag nyilvánvaló VTE, illetve thromboemboliás események 100 betegévre vetített előfordulási aránya 0,64-től (95%-os CI</w:t>
      </w:r>
      <w:r w:rsidR="00764E87">
        <w:rPr>
          <w:color w:val="000000"/>
        </w:rPr>
        <w:t>:</w:t>
      </w:r>
      <w:r>
        <w:rPr>
          <w:color w:val="000000"/>
        </w:rPr>
        <w:t xml:space="preserve"> 0,40-0,97; egyesült királyságbeli adatok) 2,30-ig (95%-os CI</w:t>
      </w:r>
      <w:r w:rsidR="00764E87">
        <w:rPr>
          <w:color w:val="000000"/>
        </w:rPr>
        <w:t>:</w:t>
      </w:r>
      <w:r>
        <w:rPr>
          <w:color w:val="000000"/>
        </w:rPr>
        <w:t xml:space="preserve"> 2,11</w:t>
      </w:r>
      <w:r w:rsidR="00764E87">
        <w:rPr>
          <w:color w:val="000000"/>
        </w:rPr>
        <w:noBreakHyphen/>
      </w:r>
      <w:r>
        <w:rPr>
          <w:color w:val="000000"/>
        </w:rPr>
        <w:t>2,51; németországbeli adatok) terjedő tartományban mozgott. Kórházi kezelést igénylő vérzések a következő esemény/100 betegév arányban fordultak elő: 0,31 (95%-os CI</w:t>
      </w:r>
      <w:r w:rsidR="00764E87">
        <w:rPr>
          <w:color w:val="000000"/>
        </w:rPr>
        <w:t>:</w:t>
      </w:r>
      <w:r>
        <w:rPr>
          <w:color w:val="000000"/>
        </w:rPr>
        <w:t xml:space="preserve"> 0,23–0,42) intracranialis vérzés; 0,89 (95%-os CI</w:t>
      </w:r>
      <w:r w:rsidR="00764E87">
        <w:rPr>
          <w:color w:val="000000"/>
        </w:rPr>
        <w:t>:</w:t>
      </w:r>
      <w:r>
        <w:rPr>
          <w:color w:val="000000"/>
        </w:rPr>
        <w:t xml:space="preserve"> 0,67–1,17) gasztrointesztinális vérzés; 0,44 (95%-os CI</w:t>
      </w:r>
      <w:r w:rsidR="00764E87">
        <w:rPr>
          <w:color w:val="000000"/>
        </w:rPr>
        <w:t>:</w:t>
      </w:r>
      <w:r>
        <w:rPr>
          <w:color w:val="000000"/>
        </w:rPr>
        <w:t xml:space="preserve"> 0,26–0,74) urogenitalis vérzés és 0,41 (95%-os CI</w:t>
      </w:r>
      <w:r w:rsidR="00764E87">
        <w:rPr>
          <w:color w:val="000000"/>
        </w:rPr>
        <w:t>:</w:t>
      </w:r>
      <w:r>
        <w:rPr>
          <w:color w:val="000000"/>
        </w:rPr>
        <w:t xml:space="preserve"> 0,31–0,54) egyéb vérzés.</w:t>
      </w:r>
    </w:p>
    <w:p w:rsidR="00224F0F" w:rsidRDefault="00224F0F">
      <w:pPr>
        <w:spacing w:line="240" w:lineRule="auto"/>
        <w:rPr>
          <w:color w:val="000000"/>
          <w:lang w:val="hu-HU"/>
        </w:rPr>
      </w:pPr>
    </w:p>
    <w:p w:rsidR="00224F0F" w:rsidRDefault="00485CCD">
      <w:pPr>
        <w:spacing w:line="240" w:lineRule="auto"/>
        <w:rPr>
          <w:color w:val="000000"/>
          <w:u w:val="single"/>
          <w:lang w:val="hu-HU"/>
        </w:rPr>
      </w:pPr>
      <w:r>
        <w:rPr>
          <w:color w:val="000000"/>
          <w:u w:val="single"/>
          <w:lang w:val="hu-HU"/>
        </w:rPr>
        <w:t>Gyermekek és serdülők</w:t>
      </w:r>
    </w:p>
    <w:p w:rsidR="00224F0F" w:rsidRDefault="00485CCD">
      <w:pPr>
        <w:spacing w:line="240" w:lineRule="auto"/>
        <w:rPr>
          <w:i/>
          <w:iCs/>
          <w:color w:val="000000"/>
          <w:lang w:val="hu-HU"/>
        </w:rPr>
      </w:pPr>
      <w:r>
        <w:rPr>
          <w:i/>
          <w:iCs/>
          <w:color w:val="000000"/>
          <w:lang w:val="hu-HU"/>
        </w:rPr>
        <w:t>VTE kezelése és a VTE kiújulásának megelőzése gyermekgyógyászati betegeknél</w:t>
      </w:r>
    </w:p>
    <w:p w:rsidR="00224F0F" w:rsidRDefault="00485CCD">
      <w:pPr>
        <w:spacing w:line="240" w:lineRule="auto"/>
        <w:rPr>
          <w:color w:val="000000"/>
          <w:lang w:val="hu-HU"/>
        </w:rPr>
      </w:pPr>
      <w:r>
        <w:rPr>
          <w:color w:val="000000"/>
          <w:lang w:val="hu-HU"/>
        </w:rPr>
        <w:t>6 nyílt elrendezésű, multicentrikus gyermekgyógyászati vizsgálatban összesen 727 fő, igazolt akut VTE-vel érintett gyermeket vizsgáltak, akik közül 528-an kaptak rivaroxabánt. A III. fázisú vizsgálat megerősítése szerint a testtömeghez igazított adagolás az újszülöttektől a be nem töltött 18 éves korú betegeknél hasonló rivaroxabán-expozíciót eredményezett, mint amilyet napi egyszer 20 mg rivaroxabánnal kezelt, MVT-s felnőtt betegeknél figyeltek meg (lásd 5.2 pont).</w:t>
      </w:r>
    </w:p>
    <w:p w:rsidR="00224F0F" w:rsidRDefault="00224F0F">
      <w:pPr>
        <w:spacing w:line="240" w:lineRule="auto"/>
        <w:rPr>
          <w:color w:val="000000"/>
          <w:lang w:val="hu-HU"/>
        </w:rPr>
      </w:pPr>
    </w:p>
    <w:p w:rsidR="00224F0F" w:rsidRDefault="00485CCD">
      <w:pPr>
        <w:spacing w:line="240" w:lineRule="auto"/>
        <w:rPr>
          <w:color w:val="000000"/>
          <w:lang w:val="hu-HU"/>
        </w:rPr>
      </w:pPr>
      <w:r>
        <w:rPr>
          <w:color w:val="000000"/>
          <w:lang w:val="hu-HU"/>
        </w:rPr>
        <w:t>Az EINSTEIN Junior III. fázisú vizsgálat egy randomizált, aktív kontrollos, nyílt elrendezésű, multicentrikus klinikai vizsgálat volt 500 fő olyan gyermekgyógyászati beteg részvételével (életkor: születéstől 18 éves korig), akiknél akut VTE-t igazoltak.</w:t>
      </w:r>
    </w:p>
    <w:p w:rsidR="00224F0F" w:rsidRDefault="00485CCD">
      <w:pPr>
        <w:spacing w:line="240" w:lineRule="auto"/>
        <w:rPr>
          <w:color w:val="000000"/>
          <w:lang w:val="hu-HU"/>
        </w:rPr>
      </w:pPr>
      <w:r>
        <w:rPr>
          <w:color w:val="000000"/>
          <w:lang w:val="hu-HU"/>
        </w:rPr>
        <w:t xml:space="preserve">A vizsgálatban 276 gyermek volt 12-18 év közötti, 101 volt 6-12 év közötti, 69 volt 2-6 év közötti, valamint 54 volt </w:t>
      </w:r>
      <w:r>
        <w:t>2 év</w:t>
      </w:r>
      <w:r>
        <w:rPr>
          <w:color w:val="000000"/>
          <w:lang w:val="hu-HU"/>
        </w:rPr>
        <w:t xml:space="preserve"> alatti életkorú.</w:t>
      </w:r>
    </w:p>
    <w:p w:rsidR="00224F0F" w:rsidRDefault="00224F0F">
      <w:pPr>
        <w:spacing w:line="240" w:lineRule="auto"/>
        <w:rPr>
          <w:color w:val="000000"/>
          <w:lang w:val="hu-HU"/>
        </w:rPr>
      </w:pPr>
    </w:p>
    <w:p w:rsidR="00224F0F" w:rsidRDefault="00485CCD">
      <w:pPr>
        <w:spacing w:line="240" w:lineRule="auto"/>
        <w:rPr>
          <w:color w:val="000000"/>
          <w:lang w:val="hu-HU"/>
        </w:rPr>
      </w:pPr>
      <w:r>
        <w:rPr>
          <w:color w:val="000000"/>
          <w:lang w:val="hu-HU"/>
        </w:rPr>
        <w:t>Az index VTE-t a következők szerint osztályozták: centrális vénás katéterrel összefüggő VTE (CVC</w:t>
      </w:r>
      <w:r w:rsidR="00764E87">
        <w:rPr>
          <w:color w:val="000000"/>
          <w:lang w:val="hu-HU"/>
        </w:rPr>
        <w:noBreakHyphen/>
      </w:r>
      <w:r>
        <w:rPr>
          <w:color w:val="000000"/>
          <w:lang w:val="hu-HU"/>
        </w:rPr>
        <w:t>VTE; 90/335 beteg a rivaroxabán csoportban, 37/165 beteg a kontroll csoportban), cerebralis vénás és sinus-thrombosis (CVST; 74/335 beteg a rivaroxabán</w:t>
      </w:r>
      <w:r w:rsidR="00764E87">
        <w:rPr>
          <w:color w:val="000000"/>
          <w:lang w:val="hu-HU"/>
        </w:rPr>
        <w:t>-</w:t>
      </w:r>
      <w:r>
        <w:rPr>
          <w:color w:val="000000"/>
          <w:lang w:val="hu-HU"/>
        </w:rPr>
        <w:t>csoportban, 43/165 beteg a kontrollcsoportban), vagy minden más, beleértve az MVT-t és a PE-t (nem CVC-VTE; 171/335 beteg a rivaroxabán</w:t>
      </w:r>
      <w:r w:rsidR="00764E87">
        <w:rPr>
          <w:color w:val="000000"/>
          <w:lang w:val="hu-HU"/>
        </w:rPr>
        <w:t>-</w:t>
      </w:r>
      <w:r>
        <w:rPr>
          <w:color w:val="000000"/>
          <w:lang w:val="hu-HU"/>
        </w:rPr>
        <w:t>csoportban, 85/165 beteg a kontrollcsoportban). Az index thrombosis leggyakoribb megnyilvánulási formája a 12 és &lt; 18 év közötti gyermekeknél a nem CVC-VTE volt 211 főnél (76,4%); a 6 és &lt; 12 év közötti, valamint 2 és &lt; 6 év közötti gyermekeknél a CVST volt 48 főnél (47,5%) ill. 35 főnél (50,7%; a 2 év alatti gyermekeknél pedig a CVC-VTE volt 37 főnél (68,5%). A rivaroxabán</w:t>
      </w:r>
      <w:r w:rsidR="00773611">
        <w:rPr>
          <w:color w:val="000000"/>
          <w:lang w:val="hu-HU"/>
        </w:rPr>
        <w:t>-</w:t>
      </w:r>
      <w:r>
        <w:rPr>
          <w:color w:val="000000"/>
          <w:lang w:val="hu-HU"/>
        </w:rPr>
        <w:t>csoportban nem volt 6 hónaposnál fiatalabb CVST-vel bevont gyermek. A CVST-ben szenvedő betegek közül 22-nél állt fenn központi idegrendszeri fertőzés (13 betegnél a rivaroxabán</w:t>
      </w:r>
      <w:r w:rsidR="00773611">
        <w:rPr>
          <w:color w:val="000000"/>
          <w:lang w:val="hu-HU"/>
        </w:rPr>
        <w:noBreakHyphen/>
      </w:r>
      <w:r>
        <w:rPr>
          <w:color w:val="000000"/>
          <w:lang w:val="hu-HU"/>
        </w:rPr>
        <w:t>csoportban és 9-nél az összehasonlító csoportban).</w:t>
      </w:r>
    </w:p>
    <w:p w:rsidR="00224F0F" w:rsidRDefault="00224F0F">
      <w:pPr>
        <w:spacing w:line="240" w:lineRule="auto"/>
        <w:rPr>
          <w:color w:val="000000"/>
          <w:lang w:val="hu-HU"/>
        </w:rPr>
      </w:pPr>
    </w:p>
    <w:p w:rsidR="00224F0F" w:rsidRDefault="00485CCD">
      <w:pPr>
        <w:spacing w:line="240" w:lineRule="auto"/>
        <w:rPr>
          <w:color w:val="000000"/>
          <w:lang w:val="hu-HU"/>
        </w:rPr>
      </w:pPr>
      <w:r>
        <w:rPr>
          <w:color w:val="000000"/>
          <w:lang w:val="hu-HU"/>
        </w:rPr>
        <w:t>A VTE-t külön perzisztáló, illetve átmeneti, vagy pedig perzisztáló és átmeneti kockázati tényezők együtt provokálták a 438 gyermeknél (87,6%).</w:t>
      </w:r>
    </w:p>
    <w:p w:rsidR="00224F0F" w:rsidRDefault="00224F0F">
      <w:pPr>
        <w:spacing w:line="240" w:lineRule="auto"/>
        <w:rPr>
          <w:color w:val="000000"/>
          <w:lang w:val="hu-HU"/>
        </w:rPr>
      </w:pPr>
    </w:p>
    <w:p w:rsidR="00224F0F" w:rsidRDefault="00485CCD">
      <w:pPr>
        <w:spacing w:line="240" w:lineRule="auto"/>
        <w:rPr>
          <w:color w:val="000000"/>
          <w:lang w:val="hu-HU"/>
        </w:rPr>
      </w:pPr>
      <w:r>
        <w:rPr>
          <w:color w:val="000000"/>
          <w:lang w:val="hu-HU"/>
        </w:rPr>
        <w:t>A betegek kiindulási kezelésként terápiás dózisú UFH-t, LMWH-t vagy fondaparinuxot kaptak legalább 5 napig, és 2:1 arányú véletlen besorolás alapján vagy rivaroxabánt kaptak a testtömegüknek megfelelő dózisban, vagy az összehasonlító készítményeket (heparinokat, KVA-t) kapó csoportba kerültek a 3 hónapos fő vizsgálati kezelés idejére (ez 1 hónap volt a 2 évesnél fiatalabb, CVC-VTE-s gyermekeknél). A fő vizsgálati kezelési időszak végén megismételték a kiinduláskor készített diagnosztikai képalkotó eljárást, amennyiben klinikailag lehetséges volt. A vizsgálati kezelést le lehetett állítani ezen a ponton, vagy pedig a vizsgálóorvos belátása szerint az még folytatható volt összesen 12 hónapig terjedően (3 hónapig terjedően a 2 évesnél fiatalabb, CVC-VTE-s gyermekeknél).</w:t>
      </w:r>
    </w:p>
    <w:p w:rsidR="00224F0F" w:rsidRDefault="00224F0F">
      <w:pPr>
        <w:spacing w:line="240" w:lineRule="auto"/>
        <w:rPr>
          <w:color w:val="000000"/>
          <w:lang w:val="hu-HU"/>
        </w:rPr>
      </w:pPr>
    </w:p>
    <w:p w:rsidR="00224F0F" w:rsidRDefault="00485CCD">
      <w:pPr>
        <w:spacing w:line="240" w:lineRule="auto"/>
        <w:rPr>
          <w:color w:val="000000"/>
          <w:lang w:val="hu-HU"/>
        </w:rPr>
      </w:pPr>
      <w:r>
        <w:rPr>
          <w:color w:val="000000"/>
          <w:lang w:val="hu-HU"/>
        </w:rPr>
        <w:t>Az elsődleges hatásossági kimenetel a tünetekkel járó, recidiváló VTE volt. Az elsődleges biztonságossági kimenetel a súlyos vérzés és a klinikailag releváns, de nem súlyos vérzés (clinically relevant non-major bleeding, CRNMB) alkotta összetett végpont volt. Mindegyik hatásossági és biztonságossági kimenetelt központilag értékelt egy független, a betegnek rendelt kezelést nem ismerő bizottság. A hatásossági és biztonságossági eredményeket alább, a 11. és a 12. táblázat mutatja be.</w:t>
      </w:r>
    </w:p>
    <w:p w:rsidR="00224F0F" w:rsidRDefault="00224F0F">
      <w:pPr>
        <w:spacing w:line="240" w:lineRule="auto"/>
        <w:rPr>
          <w:color w:val="000000"/>
          <w:lang w:val="hu-HU"/>
        </w:rPr>
      </w:pPr>
    </w:p>
    <w:p w:rsidR="00224F0F" w:rsidRDefault="00485CCD">
      <w:pPr>
        <w:spacing w:line="240" w:lineRule="auto"/>
        <w:rPr>
          <w:color w:val="000000"/>
          <w:lang w:val="hu-HU"/>
        </w:rPr>
      </w:pPr>
      <w:r>
        <w:rPr>
          <w:color w:val="000000"/>
          <w:lang w:val="hu-HU"/>
        </w:rPr>
        <w:lastRenderedPageBreak/>
        <w:t>A rivaroxabán-csoportban 335-ből 4 betegnél, az összehasonlító készítményt kapó csoportban pedig 165-ből 5 betegnél fordultak elő recidiváló VTE-k. A súlyos vérzés és a CRNMB alkotta összetett kimenetelről a rivaroxabánnal kezelt 329 betegből 10-nél (3%), míg az összehasonlító készítménnyel kezelt 162 betegből 3-nál (1,9%) számoltak be. Nettó klinikai előnyről (tünetekkel járó, visszatérő VTE + súlyos vérzéses események) a rivaroxabán-csoportban 335-ből 4 betegnél, az összehasonlító készítményt kapó csoportban pedig 165-ből 7 betegnél számoltak be. A thrombus okozta betegségteher rendeződése megismételt képalkotó eljárással vizsgálva a rivaroxabán-csoportban 335-ből 128 betegnél, az összehasonlító készítményt kapó csoportban pedig 165-ből 43 betegnél következett be. Ezek az eredmények általánosságban hasonlóak voltak a különböző korcsoportokban. Azonnali kezelést igénylő vérzéssel 119 (36,2%) gyermeket jegyeztek a rivaroxabán-csoportban és 45 (27,8%) gyermeket a kontroll csoportban.</w:t>
      </w:r>
    </w:p>
    <w:p w:rsidR="00224F0F" w:rsidRDefault="00224F0F">
      <w:pPr>
        <w:spacing w:line="240" w:lineRule="auto"/>
        <w:rPr>
          <w:color w:val="000000"/>
          <w:lang w:val="hu-HU"/>
        </w:rPr>
      </w:pPr>
    </w:p>
    <w:p w:rsidR="00224F0F" w:rsidRDefault="00485CCD">
      <w:pPr>
        <w:widowControl w:val="0"/>
        <w:autoSpaceDE w:val="0"/>
        <w:autoSpaceDN w:val="0"/>
        <w:spacing w:before="74"/>
        <w:outlineLvl w:val="0"/>
        <w:rPr>
          <w:b/>
          <w:bCs/>
          <w:lang w:val="en-US"/>
        </w:rPr>
      </w:pPr>
      <w:r>
        <w:rPr>
          <w:b/>
          <w:bCs/>
          <w:lang w:val="en-US"/>
        </w:rPr>
        <w:t xml:space="preserve">Table 11: </w:t>
      </w:r>
      <w:r>
        <w:rPr>
          <w:b/>
          <w:bCs/>
          <w:lang w:val="hu-HU"/>
        </w:rPr>
        <w:t>Hatásossági eredmények a fő kezelési időszak végén</w:t>
      </w:r>
    </w:p>
    <w:tbl>
      <w:tblPr>
        <w:tblW w:w="5000" w:type="pct"/>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CellMar>
          <w:left w:w="0" w:type="dxa"/>
          <w:right w:w="0" w:type="dxa"/>
        </w:tblCellMar>
        <w:tblLook w:val="01E0" w:firstRow="1" w:lastRow="1" w:firstColumn="1" w:lastColumn="1" w:noHBand="0" w:noVBand="0"/>
      </w:tblPr>
      <w:tblGrid>
        <w:gridCol w:w="5207"/>
        <w:gridCol w:w="2124"/>
        <w:gridCol w:w="1731"/>
      </w:tblGrid>
      <w:tr w:rsidR="00224F0F">
        <w:trPr>
          <w:trHeight w:val="506"/>
        </w:trPr>
        <w:tc>
          <w:tcPr>
            <w:tcW w:w="2873" w:type="pct"/>
            <w:shd w:val="clear" w:color="auto" w:fill="auto"/>
          </w:tcPr>
          <w:p w:rsidR="00224F0F" w:rsidRDefault="00485CCD">
            <w:pPr>
              <w:widowControl w:val="0"/>
              <w:autoSpaceDE w:val="0"/>
              <w:autoSpaceDN w:val="0"/>
              <w:spacing w:line="253" w:lineRule="exact"/>
              <w:rPr>
                <w:rFonts w:eastAsia="Calibri"/>
                <w:b/>
                <w:lang w:val="en-US"/>
              </w:rPr>
            </w:pPr>
            <w:r>
              <w:rPr>
                <w:rFonts w:eastAsia="Calibri"/>
                <w:b/>
                <w:lang w:val="hu-HU"/>
              </w:rPr>
              <w:t>Esemény</w:t>
            </w:r>
          </w:p>
        </w:tc>
        <w:tc>
          <w:tcPr>
            <w:tcW w:w="1172" w:type="pct"/>
            <w:shd w:val="clear" w:color="auto" w:fill="auto"/>
          </w:tcPr>
          <w:p w:rsidR="00224F0F" w:rsidRDefault="00485CCD">
            <w:pPr>
              <w:widowControl w:val="0"/>
              <w:autoSpaceDE w:val="0"/>
              <w:autoSpaceDN w:val="0"/>
              <w:spacing w:before="2" w:line="254" w:lineRule="exact"/>
              <w:rPr>
                <w:rFonts w:eastAsia="Calibri"/>
                <w:b/>
                <w:lang w:val="en-US"/>
              </w:rPr>
            </w:pPr>
            <w:r>
              <w:rPr>
                <w:rFonts w:eastAsia="Calibri"/>
                <w:b/>
                <w:lang w:val="en-US"/>
              </w:rPr>
              <w:t>Rivaroxabán N = 335*</w:t>
            </w:r>
          </w:p>
        </w:tc>
        <w:tc>
          <w:tcPr>
            <w:tcW w:w="955" w:type="pct"/>
            <w:shd w:val="clear" w:color="auto" w:fill="auto"/>
          </w:tcPr>
          <w:p w:rsidR="00224F0F" w:rsidRDefault="00485CCD">
            <w:pPr>
              <w:widowControl w:val="0"/>
              <w:autoSpaceDE w:val="0"/>
              <w:autoSpaceDN w:val="0"/>
              <w:spacing w:before="2" w:line="254" w:lineRule="exact"/>
              <w:rPr>
                <w:rFonts w:eastAsia="Calibri"/>
                <w:b/>
                <w:lang w:val="en-US"/>
              </w:rPr>
            </w:pPr>
            <w:r>
              <w:rPr>
                <w:rFonts w:eastAsia="Calibri"/>
                <w:b/>
                <w:lang w:val="hu-HU"/>
              </w:rPr>
              <w:t>Összehasonlító készítmény</w:t>
            </w:r>
            <w:r>
              <w:rPr>
                <w:rFonts w:eastAsia="Calibri"/>
                <w:b/>
                <w:lang w:val="en-US"/>
              </w:rPr>
              <w:t xml:space="preserve"> N = 165*</w:t>
            </w:r>
          </w:p>
        </w:tc>
      </w:tr>
      <w:tr w:rsidR="00224F0F">
        <w:trPr>
          <w:trHeight w:val="253"/>
        </w:trPr>
        <w:tc>
          <w:tcPr>
            <w:tcW w:w="2873" w:type="pct"/>
            <w:tcBorders>
              <w:bottom w:val="nil"/>
            </w:tcBorders>
            <w:shd w:val="clear" w:color="auto" w:fill="auto"/>
          </w:tcPr>
          <w:p w:rsidR="00224F0F" w:rsidRDefault="00485CCD">
            <w:pPr>
              <w:spacing w:line="240" w:lineRule="auto"/>
              <w:rPr>
                <w:rFonts w:eastAsia="Calibri"/>
                <w:lang w:val="en-US"/>
              </w:rPr>
            </w:pPr>
            <w:r>
              <w:rPr>
                <w:color w:val="000000"/>
                <w:lang w:val="hu-HU"/>
              </w:rPr>
              <w:t>Recidiváló VTE (elsődleges hatásossági kimenetel)</w:t>
            </w:r>
          </w:p>
        </w:tc>
        <w:tc>
          <w:tcPr>
            <w:tcW w:w="1172" w:type="pct"/>
            <w:tcBorders>
              <w:bottom w:val="nil"/>
            </w:tcBorders>
            <w:shd w:val="clear" w:color="auto" w:fill="auto"/>
          </w:tcPr>
          <w:p w:rsidR="00224F0F" w:rsidRDefault="00485CCD">
            <w:pPr>
              <w:widowControl w:val="0"/>
              <w:autoSpaceDE w:val="0"/>
              <w:autoSpaceDN w:val="0"/>
              <w:spacing w:line="234" w:lineRule="exact"/>
              <w:rPr>
                <w:rFonts w:eastAsia="Calibri"/>
                <w:lang w:val="en-US"/>
              </w:rPr>
            </w:pPr>
            <w:r>
              <w:rPr>
                <w:rFonts w:eastAsia="Calibri"/>
                <w:w w:val="99"/>
                <w:lang w:val="en-US"/>
              </w:rPr>
              <w:t>4</w:t>
            </w:r>
          </w:p>
        </w:tc>
        <w:tc>
          <w:tcPr>
            <w:tcW w:w="955" w:type="pct"/>
            <w:tcBorders>
              <w:bottom w:val="nil"/>
            </w:tcBorders>
            <w:shd w:val="clear" w:color="auto" w:fill="auto"/>
          </w:tcPr>
          <w:p w:rsidR="00224F0F" w:rsidRDefault="00485CCD">
            <w:pPr>
              <w:widowControl w:val="0"/>
              <w:autoSpaceDE w:val="0"/>
              <w:autoSpaceDN w:val="0"/>
              <w:spacing w:line="234" w:lineRule="exact"/>
              <w:rPr>
                <w:rFonts w:eastAsia="Calibri"/>
                <w:lang w:val="en-US"/>
              </w:rPr>
            </w:pPr>
            <w:r>
              <w:rPr>
                <w:rFonts w:eastAsia="Calibri"/>
                <w:w w:val="99"/>
                <w:lang w:val="en-US"/>
              </w:rPr>
              <w:t>5</w:t>
            </w:r>
          </w:p>
        </w:tc>
      </w:tr>
      <w:tr w:rsidR="00224F0F">
        <w:trPr>
          <w:trHeight w:val="253"/>
        </w:trPr>
        <w:tc>
          <w:tcPr>
            <w:tcW w:w="2873" w:type="pct"/>
            <w:tcBorders>
              <w:top w:val="nil"/>
              <w:bottom w:val="nil"/>
            </w:tcBorders>
            <w:shd w:val="clear" w:color="auto" w:fill="auto"/>
          </w:tcPr>
          <w:p w:rsidR="00224F0F" w:rsidRDefault="00224F0F">
            <w:pPr>
              <w:widowControl w:val="0"/>
              <w:autoSpaceDE w:val="0"/>
              <w:autoSpaceDN w:val="0"/>
              <w:rPr>
                <w:rFonts w:eastAsia="Calibri"/>
                <w:lang w:val="en-US"/>
              </w:rPr>
            </w:pPr>
          </w:p>
        </w:tc>
        <w:tc>
          <w:tcPr>
            <w:tcW w:w="1172" w:type="pct"/>
            <w:tcBorders>
              <w:top w:val="nil"/>
              <w:bottom w:val="nil"/>
            </w:tcBorders>
            <w:shd w:val="clear" w:color="auto" w:fill="auto"/>
          </w:tcPr>
          <w:p w:rsidR="00224F0F" w:rsidRDefault="00485CCD">
            <w:pPr>
              <w:widowControl w:val="0"/>
              <w:autoSpaceDE w:val="0"/>
              <w:autoSpaceDN w:val="0"/>
              <w:spacing w:line="233" w:lineRule="exact"/>
              <w:rPr>
                <w:rFonts w:eastAsia="Calibri"/>
                <w:lang w:val="en-US"/>
              </w:rPr>
            </w:pPr>
            <w:r>
              <w:rPr>
                <w:rFonts w:eastAsia="Calibri"/>
                <w:lang w:val="en-US"/>
              </w:rPr>
              <w:t>(1</w:t>
            </w:r>
            <w:r w:rsidR="00773611">
              <w:rPr>
                <w:rFonts w:eastAsia="Calibri"/>
                <w:lang w:val="en-US"/>
              </w:rPr>
              <w:t>,</w:t>
            </w:r>
            <w:r>
              <w:rPr>
                <w:rFonts w:eastAsia="Calibri"/>
                <w:lang w:val="en-US"/>
              </w:rPr>
              <w:t xml:space="preserve">2%, </w:t>
            </w:r>
            <w:r w:rsidR="00332B5A">
              <w:rPr>
                <w:rFonts w:eastAsia="Calibri"/>
                <w:lang w:val="en-US"/>
              </w:rPr>
              <w:t>95%-os</w:t>
            </w:r>
            <w:r>
              <w:rPr>
                <w:rFonts w:eastAsia="Calibri"/>
                <w:lang w:val="en-US"/>
              </w:rPr>
              <w:t xml:space="preserve"> CI</w:t>
            </w:r>
          </w:p>
        </w:tc>
        <w:tc>
          <w:tcPr>
            <w:tcW w:w="955" w:type="pct"/>
            <w:tcBorders>
              <w:top w:val="nil"/>
              <w:bottom w:val="nil"/>
            </w:tcBorders>
            <w:shd w:val="clear" w:color="auto" w:fill="auto"/>
          </w:tcPr>
          <w:p w:rsidR="00224F0F" w:rsidRDefault="00485CCD">
            <w:pPr>
              <w:widowControl w:val="0"/>
              <w:autoSpaceDE w:val="0"/>
              <w:autoSpaceDN w:val="0"/>
              <w:spacing w:line="233" w:lineRule="exact"/>
              <w:rPr>
                <w:rFonts w:eastAsia="Calibri"/>
                <w:lang w:val="en-US"/>
              </w:rPr>
            </w:pPr>
            <w:r>
              <w:rPr>
                <w:rFonts w:eastAsia="Calibri"/>
                <w:lang w:val="en-US"/>
              </w:rPr>
              <w:t>(3</w:t>
            </w:r>
            <w:r w:rsidR="00773611">
              <w:rPr>
                <w:rFonts w:eastAsia="Calibri"/>
                <w:lang w:val="en-US"/>
              </w:rPr>
              <w:t>,</w:t>
            </w:r>
            <w:r>
              <w:rPr>
                <w:rFonts w:eastAsia="Calibri"/>
                <w:lang w:val="en-US"/>
              </w:rPr>
              <w:t xml:space="preserve">0%, </w:t>
            </w:r>
            <w:r w:rsidR="00332B5A">
              <w:rPr>
                <w:rFonts w:eastAsia="Calibri"/>
                <w:lang w:val="en-US"/>
              </w:rPr>
              <w:t>95%-os</w:t>
            </w:r>
            <w:r>
              <w:rPr>
                <w:rFonts w:eastAsia="Calibri"/>
                <w:lang w:val="en-US"/>
              </w:rPr>
              <w:t xml:space="preserve"> CI</w:t>
            </w:r>
          </w:p>
        </w:tc>
      </w:tr>
      <w:tr w:rsidR="00224F0F">
        <w:trPr>
          <w:trHeight w:val="248"/>
        </w:trPr>
        <w:tc>
          <w:tcPr>
            <w:tcW w:w="2873" w:type="pct"/>
            <w:tcBorders>
              <w:top w:val="nil"/>
            </w:tcBorders>
            <w:shd w:val="clear" w:color="auto" w:fill="auto"/>
          </w:tcPr>
          <w:p w:rsidR="00224F0F" w:rsidRDefault="00224F0F">
            <w:pPr>
              <w:widowControl w:val="0"/>
              <w:autoSpaceDE w:val="0"/>
              <w:autoSpaceDN w:val="0"/>
              <w:rPr>
                <w:rFonts w:eastAsia="Calibri"/>
                <w:lang w:val="en-US"/>
              </w:rPr>
            </w:pPr>
          </w:p>
        </w:tc>
        <w:tc>
          <w:tcPr>
            <w:tcW w:w="1172" w:type="pct"/>
            <w:tcBorders>
              <w:top w:val="nil"/>
            </w:tcBorders>
            <w:shd w:val="clear" w:color="auto" w:fill="auto"/>
          </w:tcPr>
          <w:p w:rsidR="00224F0F" w:rsidRDefault="00485CCD">
            <w:pPr>
              <w:widowControl w:val="0"/>
              <w:autoSpaceDE w:val="0"/>
              <w:autoSpaceDN w:val="0"/>
              <w:spacing w:line="228" w:lineRule="exact"/>
              <w:rPr>
                <w:rFonts w:eastAsia="Calibri"/>
                <w:lang w:val="en-US"/>
              </w:rPr>
            </w:pPr>
            <w:r>
              <w:rPr>
                <w:rFonts w:eastAsia="Calibri"/>
                <w:lang w:val="en-US"/>
              </w:rPr>
              <w:t>0</w:t>
            </w:r>
            <w:r w:rsidR="00773611">
              <w:rPr>
                <w:rFonts w:eastAsia="Calibri"/>
                <w:lang w:val="en-US"/>
              </w:rPr>
              <w:t>,</w:t>
            </w:r>
            <w:r>
              <w:rPr>
                <w:rFonts w:eastAsia="Calibri"/>
                <w:lang w:val="en-US"/>
              </w:rPr>
              <w:t>4% – 3</w:t>
            </w:r>
            <w:r w:rsidR="00773611">
              <w:rPr>
                <w:rFonts w:eastAsia="Calibri"/>
                <w:lang w:val="en-US"/>
              </w:rPr>
              <w:t>,</w:t>
            </w:r>
            <w:r>
              <w:rPr>
                <w:rFonts w:eastAsia="Calibri"/>
                <w:lang w:val="en-US"/>
              </w:rPr>
              <w:t>0%)</w:t>
            </w:r>
          </w:p>
        </w:tc>
        <w:tc>
          <w:tcPr>
            <w:tcW w:w="955" w:type="pct"/>
            <w:tcBorders>
              <w:top w:val="nil"/>
            </w:tcBorders>
            <w:shd w:val="clear" w:color="auto" w:fill="auto"/>
          </w:tcPr>
          <w:p w:rsidR="00224F0F" w:rsidRDefault="00485CCD" w:rsidP="00773611">
            <w:pPr>
              <w:widowControl w:val="0"/>
              <w:autoSpaceDE w:val="0"/>
              <w:autoSpaceDN w:val="0"/>
              <w:spacing w:line="228" w:lineRule="exact"/>
              <w:rPr>
                <w:rFonts w:eastAsia="Calibri"/>
                <w:lang w:val="en-US"/>
              </w:rPr>
            </w:pPr>
            <w:r>
              <w:rPr>
                <w:rFonts w:eastAsia="Calibri"/>
                <w:lang w:val="en-US"/>
              </w:rPr>
              <w:t>1</w:t>
            </w:r>
            <w:r w:rsidR="00773611">
              <w:rPr>
                <w:rFonts w:eastAsia="Calibri"/>
                <w:lang w:val="en-US"/>
              </w:rPr>
              <w:t>,</w:t>
            </w:r>
            <w:r>
              <w:rPr>
                <w:rFonts w:eastAsia="Calibri"/>
                <w:lang w:val="en-US"/>
              </w:rPr>
              <w:t>2% - 6</w:t>
            </w:r>
            <w:r w:rsidR="00773611">
              <w:rPr>
                <w:rFonts w:eastAsia="Calibri"/>
                <w:lang w:val="en-US"/>
              </w:rPr>
              <w:t>,</w:t>
            </w:r>
            <w:r>
              <w:rPr>
                <w:rFonts w:eastAsia="Calibri"/>
                <w:lang w:val="en-US"/>
              </w:rPr>
              <w:t>6%)</w:t>
            </w:r>
          </w:p>
        </w:tc>
      </w:tr>
      <w:tr w:rsidR="00224F0F">
        <w:trPr>
          <w:trHeight w:val="257"/>
        </w:trPr>
        <w:tc>
          <w:tcPr>
            <w:tcW w:w="2873" w:type="pct"/>
            <w:tcBorders>
              <w:bottom w:val="nil"/>
            </w:tcBorders>
            <w:shd w:val="clear" w:color="auto" w:fill="auto"/>
          </w:tcPr>
          <w:p w:rsidR="00224F0F" w:rsidRDefault="00485CCD">
            <w:pPr>
              <w:spacing w:line="240" w:lineRule="auto"/>
              <w:rPr>
                <w:rFonts w:eastAsia="Calibri"/>
                <w:lang w:val="en-US"/>
              </w:rPr>
            </w:pPr>
            <w:r>
              <w:rPr>
                <w:color w:val="000000"/>
                <w:lang w:val="hu-HU"/>
              </w:rPr>
              <w:t>Összetett: Tünetekkel járó, recidiváló VTE + a képalkotó eljárás megismételve tünetmentes állapotromlást mutat</w:t>
            </w:r>
          </w:p>
        </w:tc>
        <w:tc>
          <w:tcPr>
            <w:tcW w:w="1172" w:type="pct"/>
            <w:tcBorders>
              <w:bottom w:val="nil"/>
            </w:tcBorders>
            <w:shd w:val="clear" w:color="auto" w:fill="auto"/>
          </w:tcPr>
          <w:p w:rsidR="00224F0F" w:rsidRDefault="00485CCD">
            <w:pPr>
              <w:widowControl w:val="0"/>
              <w:autoSpaceDE w:val="0"/>
              <w:autoSpaceDN w:val="0"/>
              <w:spacing w:line="238" w:lineRule="exact"/>
              <w:rPr>
                <w:rFonts w:eastAsia="Calibri"/>
                <w:lang w:val="en-US"/>
              </w:rPr>
            </w:pPr>
            <w:r>
              <w:rPr>
                <w:rFonts w:eastAsia="Calibri"/>
                <w:w w:val="99"/>
                <w:lang w:val="en-US"/>
              </w:rPr>
              <w:t>5</w:t>
            </w:r>
          </w:p>
        </w:tc>
        <w:tc>
          <w:tcPr>
            <w:tcW w:w="955" w:type="pct"/>
            <w:tcBorders>
              <w:bottom w:val="nil"/>
            </w:tcBorders>
            <w:shd w:val="clear" w:color="auto" w:fill="auto"/>
          </w:tcPr>
          <w:p w:rsidR="00224F0F" w:rsidRDefault="00485CCD">
            <w:pPr>
              <w:widowControl w:val="0"/>
              <w:autoSpaceDE w:val="0"/>
              <w:autoSpaceDN w:val="0"/>
              <w:spacing w:line="238" w:lineRule="exact"/>
              <w:rPr>
                <w:rFonts w:eastAsia="Calibri"/>
                <w:lang w:val="en-US"/>
              </w:rPr>
            </w:pPr>
            <w:r>
              <w:rPr>
                <w:rFonts w:eastAsia="Calibri"/>
                <w:w w:val="99"/>
                <w:lang w:val="en-US"/>
              </w:rPr>
              <w:t>6</w:t>
            </w:r>
          </w:p>
        </w:tc>
      </w:tr>
      <w:tr w:rsidR="00224F0F">
        <w:trPr>
          <w:trHeight w:val="252"/>
        </w:trPr>
        <w:tc>
          <w:tcPr>
            <w:tcW w:w="2873" w:type="pct"/>
            <w:tcBorders>
              <w:top w:val="nil"/>
              <w:bottom w:val="nil"/>
            </w:tcBorders>
            <w:shd w:val="clear" w:color="auto" w:fill="auto"/>
          </w:tcPr>
          <w:p w:rsidR="00224F0F" w:rsidRDefault="00224F0F">
            <w:pPr>
              <w:widowControl w:val="0"/>
              <w:autoSpaceDE w:val="0"/>
              <w:autoSpaceDN w:val="0"/>
              <w:spacing w:line="233" w:lineRule="exact"/>
              <w:rPr>
                <w:rFonts w:eastAsia="Calibri"/>
                <w:lang w:val="en-US"/>
              </w:rPr>
            </w:pPr>
          </w:p>
        </w:tc>
        <w:tc>
          <w:tcPr>
            <w:tcW w:w="1172" w:type="pct"/>
            <w:tcBorders>
              <w:top w:val="nil"/>
              <w:bottom w:val="nil"/>
            </w:tcBorders>
            <w:shd w:val="clear" w:color="auto" w:fill="auto"/>
          </w:tcPr>
          <w:p w:rsidR="00224F0F" w:rsidRDefault="00485CCD">
            <w:pPr>
              <w:widowControl w:val="0"/>
              <w:autoSpaceDE w:val="0"/>
              <w:autoSpaceDN w:val="0"/>
              <w:spacing w:line="233" w:lineRule="exact"/>
              <w:rPr>
                <w:rFonts w:eastAsia="Calibri"/>
                <w:lang w:val="en-US"/>
              </w:rPr>
            </w:pPr>
            <w:r>
              <w:rPr>
                <w:rFonts w:eastAsia="Calibri"/>
                <w:lang w:val="en-US"/>
              </w:rPr>
              <w:t>(1</w:t>
            </w:r>
            <w:r w:rsidR="00773611">
              <w:rPr>
                <w:rFonts w:eastAsia="Calibri"/>
                <w:lang w:val="en-US"/>
              </w:rPr>
              <w:t>,</w:t>
            </w:r>
            <w:r>
              <w:rPr>
                <w:rFonts w:eastAsia="Calibri"/>
                <w:lang w:val="en-US"/>
              </w:rPr>
              <w:t xml:space="preserve">5%, </w:t>
            </w:r>
            <w:r w:rsidR="00332B5A">
              <w:rPr>
                <w:rFonts w:eastAsia="Calibri"/>
                <w:lang w:val="en-US"/>
              </w:rPr>
              <w:t>95%-os</w:t>
            </w:r>
            <w:r>
              <w:rPr>
                <w:rFonts w:eastAsia="Calibri"/>
                <w:lang w:val="en-US"/>
              </w:rPr>
              <w:t xml:space="preserve"> CI</w:t>
            </w:r>
          </w:p>
        </w:tc>
        <w:tc>
          <w:tcPr>
            <w:tcW w:w="955" w:type="pct"/>
            <w:tcBorders>
              <w:top w:val="nil"/>
              <w:bottom w:val="nil"/>
            </w:tcBorders>
            <w:shd w:val="clear" w:color="auto" w:fill="auto"/>
          </w:tcPr>
          <w:p w:rsidR="00224F0F" w:rsidRDefault="00485CCD">
            <w:pPr>
              <w:widowControl w:val="0"/>
              <w:autoSpaceDE w:val="0"/>
              <w:autoSpaceDN w:val="0"/>
              <w:spacing w:line="233" w:lineRule="exact"/>
              <w:rPr>
                <w:rFonts w:eastAsia="Calibri"/>
                <w:lang w:val="en-US"/>
              </w:rPr>
            </w:pPr>
            <w:r>
              <w:rPr>
                <w:rFonts w:eastAsia="Calibri"/>
                <w:lang w:val="en-US"/>
              </w:rPr>
              <w:t>(3</w:t>
            </w:r>
            <w:r w:rsidR="00773611">
              <w:rPr>
                <w:rFonts w:eastAsia="Calibri"/>
                <w:lang w:val="en-US"/>
              </w:rPr>
              <w:t>,</w:t>
            </w:r>
            <w:r>
              <w:rPr>
                <w:rFonts w:eastAsia="Calibri"/>
                <w:lang w:val="en-US"/>
              </w:rPr>
              <w:t xml:space="preserve">6%, </w:t>
            </w:r>
            <w:r w:rsidR="00332B5A">
              <w:rPr>
                <w:rFonts w:eastAsia="Calibri"/>
                <w:lang w:val="en-US"/>
              </w:rPr>
              <w:t>95%-os</w:t>
            </w:r>
            <w:r>
              <w:rPr>
                <w:rFonts w:eastAsia="Calibri"/>
                <w:lang w:val="en-US"/>
              </w:rPr>
              <w:t xml:space="preserve"> CI</w:t>
            </w:r>
          </w:p>
        </w:tc>
      </w:tr>
      <w:tr w:rsidR="00224F0F">
        <w:trPr>
          <w:trHeight w:val="247"/>
        </w:trPr>
        <w:tc>
          <w:tcPr>
            <w:tcW w:w="2873" w:type="pct"/>
            <w:tcBorders>
              <w:top w:val="nil"/>
            </w:tcBorders>
            <w:shd w:val="clear" w:color="auto" w:fill="auto"/>
          </w:tcPr>
          <w:p w:rsidR="00224F0F" w:rsidRDefault="00224F0F">
            <w:pPr>
              <w:widowControl w:val="0"/>
              <w:autoSpaceDE w:val="0"/>
              <w:autoSpaceDN w:val="0"/>
              <w:rPr>
                <w:rFonts w:eastAsia="Calibri"/>
                <w:lang w:val="en-US"/>
              </w:rPr>
            </w:pPr>
          </w:p>
        </w:tc>
        <w:tc>
          <w:tcPr>
            <w:tcW w:w="1172" w:type="pct"/>
            <w:tcBorders>
              <w:top w:val="nil"/>
            </w:tcBorders>
            <w:shd w:val="clear" w:color="auto" w:fill="auto"/>
          </w:tcPr>
          <w:p w:rsidR="00224F0F" w:rsidRDefault="00485CCD">
            <w:pPr>
              <w:widowControl w:val="0"/>
              <w:autoSpaceDE w:val="0"/>
              <w:autoSpaceDN w:val="0"/>
              <w:spacing w:line="228" w:lineRule="exact"/>
              <w:rPr>
                <w:rFonts w:eastAsia="Calibri"/>
                <w:lang w:val="en-US"/>
              </w:rPr>
            </w:pPr>
            <w:r>
              <w:rPr>
                <w:rFonts w:eastAsia="Calibri"/>
                <w:lang w:val="en-US"/>
              </w:rPr>
              <w:t>0</w:t>
            </w:r>
            <w:r w:rsidR="00773611">
              <w:rPr>
                <w:rFonts w:eastAsia="Calibri"/>
                <w:lang w:val="en-US"/>
              </w:rPr>
              <w:t>,</w:t>
            </w:r>
            <w:r>
              <w:rPr>
                <w:rFonts w:eastAsia="Calibri"/>
                <w:lang w:val="en-US"/>
              </w:rPr>
              <w:t>6% – 3</w:t>
            </w:r>
            <w:r w:rsidR="00773611">
              <w:rPr>
                <w:rFonts w:eastAsia="Calibri"/>
                <w:lang w:val="en-US"/>
              </w:rPr>
              <w:t>,</w:t>
            </w:r>
            <w:r>
              <w:rPr>
                <w:rFonts w:eastAsia="Calibri"/>
                <w:lang w:val="en-US"/>
              </w:rPr>
              <w:t>4%)</w:t>
            </w:r>
          </w:p>
        </w:tc>
        <w:tc>
          <w:tcPr>
            <w:tcW w:w="955" w:type="pct"/>
            <w:tcBorders>
              <w:top w:val="nil"/>
            </w:tcBorders>
            <w:shd w:val="clear" w:color="auto" w:fill="auto"/>
          </w:tcPr>
          <w:p w:rsidR="00224F0F" w:rsidRDefault="00485CCD">
            <w:pPr>
              <w:widowControl w:val="0"/>
              <w:autoSpaceDE w:val="0"/>
              <w:autoSpaceDN w:val="0"/>
              <w:spacing w:line="228" w:lineRule="exact"/>
              <w:rPr>
                <w:rFonts w:eastAsia="Calibri"/>
                <w:lang w:val="en-US"/>
              </w:rPr>
            </w:pPr>
            <w:r>
              <w:rPr>
                <w:rFonts w:eastAsia="Calibri"/>
                <w:lang w:val="en-US"/>
              </w:rPr>
              <w:t>1</w:t>
            </w:r>
            <w:r w:rsidR="00773611">
              <w:rPr>
                <w:rFonts w:eastAsia="Calibri"/>
                <w:lang w:val="en-US"/>
              </w:rPr>
              <w:t>,</w:t>
            </w:r>
            <w:r>
              <w:rPr>
                <w:rFonts w:eastAsia="Calibri"/>
                <w:lang w:val="en-US"/>
              </w:rPr>
              <w:t>6% – 7</w:t>
            </w:r>
            <w:r w:rsidR="00773611">
              <w:rPr>
                <w:rFonts w:eastAsia="Calibri"/>
                <w:lang w:val="en-US"/>
              </w:rPr>
              <w:t>,</w:t>
            </w:r>
            <w:r>
              <w:rPr>
                <w:rFonts w:eastAsia="Calibri"/>
                <w:lang w:val="en-US"/>
              </w:rPr>
              <w:t>6%)</w:t>
            </w:r>
          </w:p>
        </w:tc>
      </w:tr>
      <w:tr w:rsidR="00224F0F">
        <w:trPr>
          <w:trHeight w:val="257"/>
        </w:trPr>
        <w:tc>
          <w:tcPr>
            <w:tcW w:w="2873" w:type="pct"/>
            <w:tcBorders>
              <w:bottom w:val="nil"/>
            </w:tcBorders>
            <w:shd w:val="clear" w:color="auto" w:fill="auto"/>
          </w:tcPr>
          <w:p w:rsidR="00224F0F" w:rsidRDefault="00485CCD">
            <w:pPr>
              <w:widowControl w:val="0"/>
              <w:autoSpaceDE w:val="0"/>
              <w:autoSpaceDN w:val="0"/>
              <w:spacing w:line="238" w:lineRule="exact"/>
              <w:rPr>
                <w:rFonts w:eastAsia="Calibri"/>
                <w:lang w:val="en-US"/>
              </w:rPr>
            </w:pPr>
            <w:r>
              <w:rPr>
                <w:color w:val="000000"/>
                <w:lang w:val="hu-HU"/>
              </w:rPr>
              <w:t>Összetett: Tünetekkel járó, recidiváló VTE + a képalkotó eljárás megismételve nem mutat változást</w:t>
            </w:r>
          </w:p>
        </w:tc>
        <w:tc>
          <w:tcPr>
            <w:tcW w:w="1172" w:type="pct"/>
            <w:tcBorders>
              <w:bottom w:val="nil"/>
            </w:tcBorders>
            <w:shd w:val="clear" w:color="auto" w:fill="auto"/>
          </w:tcPr>
          <w:p w:rsidR="00224F0F" w:rsidRDefault="00485CCD">
            <w:pPr>
              <w:widowControl w:val="0"/>
              <w:autoSpaceDE w:val="0"/>
              <w:autoSpaceDN w:val="0"/>
              <w:spacing w:line="238" w:lineRule="exact"/>
              <w:rPr>
                <w:rFonts w:eastAsia="Calibri"/>
                <w:lang w:val="en-US"/>
              </w:rPr>
            </w:pPr>
            <w:r>
              <w:rPr>
                <w:rFonts w:eastAsia="Calibri"/>
                <w:lang w:val="en-US"/>
              </w:rPr>
              <w:t>21</w:t>
            </w:r>
          </w:p>
        </w:tc>
        <w:tc>
          <w:tcPr>
            <w:tcW w:w="955" w:type="pct"/>
            <w:tcBorders>
              <w:bottom w:val="nil"/>
            </w:tcBorders>
            <w:shd w:val="clear" w:color="auto" w:fill="auto"/>
          </w:tcPr>
          <w:p w:rsidR="00224F0F" w:rsidRDefault="00485CCD">
            <w:pPr>
              <w:widowControl w:val="0"/>
              <w:autoSpaceDE w:val="0"/>
              <w:autoSpaceDN w:val="0"/>
              <w:spacing w:line="238" w:lineRule="exact"/>
              <w:rPr>
                <w:rFonts w:eastAsia="Calibri"/>
                <w:lang w:val="en-US"/>
              </w:rPr>
            </w:pPr>
            <w:r>
              <w:rPr>
                <w:rFonts w:eastAsia="Calibri"/>
                <w:lang w:val="en-US"/>
              </w:rPr>
              <w:t>19</w:t>
            </w:r>
          </w:p>
        </w:tc>
      </w:tr>
      <w:tr w:rsidR="00224F0F">
        <w:trPr>
          <w:trHeight w:val="253"/>
        </w:trPr>
        <w:tc>
          <w:tcPr>
            <w:tcW w:w="2873" w:type="pct"/>
            <w:tcBorders>
              <w:top w:val="nil"/>
              <w:bottom w:val="nil"/>
            </w:tcBorders>
            <w:shd w:val="clear" w:color="auto" w:fill="auto"/>
          </w:tcPr>
          <w:p w:rsidR="00224F0F" w:rsidRDefault="00224F0F">
            <w:pPr>
              <w:widowControl w:val="0"/>
              <w:autoSpaceDE w:val="0"/>
              <w:autoSpaceDN w:val="0"/>
              <w:spacing w:line="233" w:lineRule="exact"/>
              <w:rPr>
                <w:rFonts w:eastAsia="Calibri"/>
                <w:lang w:val="en-US"/>
              </w:rPr>
            </w:pPr>
          </w:p>
        </w:tc>
        <w:tc>
          <w:tcPr>
            <w:tcW w:w="1172" w:type="pct"/>
            <w:tcBorders>
              <w:top w:val="nil"/>
              <w:bottom w:val="nil"/>
            </w:tcBorders>
            <w:shd w:val="clear" w:color="auto" w:fill="auto"/>
          </w:tcPr>
          <w:p w:rsidR="00224F0F" w:rsidRDefault="00485CCD">
            <w:pPr>
              <w:widowControl w:val="0"/>
              <w:autoSpaceDE w:val="0"/>
              <w:autoSpaceDN w:val="0"/>
              <w:spacing w:line="233" w:lineRule="exact"/>
              <w:rPr>
                <w:rFonts w:eastAsia="Calibri"/>
                <w:lang w:val="en-US"/>
              </w:rPr>
            </w:pPr>
            <w:r>
              <w:rPr>
                <w:rFonts w:eastAsia="Calibri"/>
                <w:lang w:val="en-US"/>
              </w:rPr>
              <w:t>(6</w:t>
            </w:r>
            <w:r w:rsidR="00773611">
              <w:rPr>
                <w:rFonts w:eastAsia="Calibri"/>
                <w:lang w:val="en-US"/>
              </w:rPr>
              <w:t>,</w:t>
            </w:r>
            <w:r>
              <w:rPr>
                <w:rFonts w:eastAsia="Calibri"/>
                <w:lang w:val="en-US"/>
              </w:rPr>
              <w:t xml:space="preserve">3%, </w:t>
            </w:r>
            <w:r w:rsidR="00332B5A">
              <w:rPr>
                <w:rFonts w:eastAsia="Calibri"/>
                <w:lang w:val="en-US"/>
              </w:rPr>
              <w:t>95%-os</w:t>
            </w:r>
            <w:r>
              <w:rPr>
                <w:rFonts w:eastAsia="Calibri"/>
                <w:lang w:val="en-US"/>
              </w:rPr>
              <w:t xml:space="preserve"> CI</w:t>
            </w:r>
          </w:p>
        </w:tc>
        <w:tc>
          <w:tcPr>
            <w:tcW w:w="955" w:type="pct"/>
            <w:tcBorders>
              <w:top w:val="nil"/>
              <w:bottom w:val="nil"/>
            </w:tcBorders>
            <w:shd w:val="clear" w:color="auto" w:fill="auto"/>
          </w:tcPr>
          <w:p w:rsidR="00224F0F" w:rsidRDefault="00485CCD">
            <w:pPr>
              <w:widowControl w:val="0"/>
              <w:autoSpaceDE w:val="0"/>
              <w:autoSpaceDN w:val="0"/>
              <w:spacing w:line="233" w:lineRule="exact"/>
              <w:rPr>
                <w:rFonts w:eastAsia="Calibri"/>
                <w:lang w:val="en-US"/>
              </w:rPr>
            </w:pPr>
            <w:r>
              <w:rPr>
                <w:rFonts w:eastAsia="Calibri"/>
                <w:lang w:val="en-US"/>
              </w:rPr>
              <w:t>(11</w:t>
            </w:r>
            <w:r w:rsidR="00773611">
              <w:rPr>
                <w:rFonts w:eastAsia="Calibri"/>
                <w:lang w:val="en-US"/>
              </w:rPr>
              <w:t>,</w:t>
            </w:r>
            <w:r>
              <w:rPr>
                <w:rFonts w:eastAsia="Calibri"/>
                <w:lang w:val="en-US"/>
              </w:rPr>
              <w:t xml:space="preserve">5%, </w:t>
            </w:r>
            <w:r w:rsidR="00332B5A">
              <w:rPr>
                <w:rFonts w:eastAsia="Calibri"/>
                <w:lang w:val="en-US"/>
              </w:rPr>
              <w:t>95%-os</w:t>
            </w:r>
            <w:r>
              <w:rPr>
                <w:rFonts w:eastAsia="Calibri"/>
                <w:lang w:val="en-US"/>
              </w:rPr>
              <w:t xml:space="preserve"> CI</w:t>
            </w:r>
          </w:p>
        </w:tc>
      </w:tr>
      <w:tr w:rsidR="00224F0F">
        <w:trPr>
          <w:trHeight w:val="309"/>
        </w:trPr>
        <w:tc>
          <w:tcPr>
            <w:tcW w:w="2873" w:type="pct"/>
            <w:tcBorders>
              <w:top w:val="nil"/>
            </w:tcBorders>
            <w:shd w:val="clear" w:color="auto" w:fill="auto"/>
          </w:tcPr>
          <w:p w:rsidR="00224F0F" w:rsidRDefault="00224F0F">
            <w:pPr>
              <w:widowControl w:val="0"/>
              <w:autoSpaceDE w:val="0"/>
              <w:autoSpaceDN w:val="0"/>
              <w:spacing w:line="248" w:lineRule="exact"/>
              <w:rPr>
                <w:rFonts w:eastAsia="Calibri"/>
                <w:lang w:val="en-US"/>
              </w:rPr>
            </w:pPr>
          </w:p>
        </w:tc>
        <w:tc>
          <w:tcPr>
            <w:tcW w:w="1172" w:type="pct"/>
            <w:tcBorders>
              <w:top w:val="nil"/>
            </w:tcBorders>
            <w:shd w:val="clear" w:color="auto" w:fill="auto"/>
          </w:tcPr>
          <w:p w:rsidR="00224F0F" w:rsidRDefault="00485CCD">
            <w:pPr>
              <w:widowControl w:val="0"/>
              <w:autoSpaceDE w:val="0"/>
              <w:autoSpaceDN w:val="0"/>
              <w:spacing w:line="248" w:lineRule="exact"/>
              <w:rPr>
                <w:rFonts w:eastAsia="Calibri"/>
                <w:lang w:val="en-US"/>
              </w:rPr>
            </w:pPr>
            <w:r>
              <w:rPr>
                <w:rFonts w:eastAsia="Calibri"/>
                <w:lang w:val="en-US"/>
              </w:rPr>
              <w:t>4</w:t>
            </w:r>
            <w:r w:rsidR="00773611">
              <w:rPr>
                <w:rFonts w:eastAsia="Calibri"/>
                <w:lang w:val="en-US"/>
              </w:rPr>
              <w:t>,</w:t>
            </w:r>
            <w:r>
              <w:rPr>
                <w:rFonts w:eastAsia="Calibri"/>
                <w:lang w:val="en-US"/>
              </w:rPr>
              <w:t>0% – 9</w:t>
            </w:r>
            <w:r w:rsidR="00773611">
              <w:rPr>
                <w:rFonts w:eastAsia="Calibri"/>
                <w:lang w:val="en-US"/>
              </w:rPr>
              <w:t>,</w:t>
            </w:r>
            <w:r>
              <w:rPr>
                <w:rFonts w:eastAsia="Calibri"/>
                <w:lang w:val="en-US"/>
              </w:rPr>
              <w:t>2%)</w:t>
            </w:r>
          </w:p>
        </w:tc>
        <w:tc>
          <w:tcPr>
            <w:tcW w:w="955" w:type="pct"/>
            <w:tcBorders>
              <w:top w:val="nil"/>
            </w:tcBorders>
            <w:shd w:val="clear" w:color="auto" w:fill="auto"/>
          </w:tcPr>
          <w:p w:rsidR="00224F0F" w:rsidRDefault="00485CCD">
            <w:pPr>
              <w:widowControl w:val="0"/>
              <w:autoSpaceDE w:val="0"/>
              <w:autoSpaceDN w:val="0"/>
              <w:spacing w:line="248" w:lineRule="exact"/>
              <w:rPr>
                <w:rFonts w:eastAsia="Calibri"/>
                <w:lang w:val="en-US"/>
              </w:rPr>
            </w:pPr>
            <w:r>
              <w:rPr>
                <w:rFonts w:eastAsia="Calibri"/>
                <w:lang w:val="en-US"/>
              </w:rPr>
              <w:t>7</w:t>
            </w:r>
            <w:r w:rsidR="00773611">
              <w:rPr>
                <w:rFonts w:eastAsia="Calibri"/>
                <w:lang w:val="en-US"/>
              </w:rPr>
              <w:t>,</w:t>
            </w:r>
            <w:r>
              <w:rPr>
                <w:rFonts w:eastAsia="Calibri"/>
                <w:lang w:val="en-US"/>
              </w:rPr>
              <w:t>3% – 17</w:t>
            </w:r>
            <w:r w:rsidR="00773611">
              <w:rPr>
                <w:rFonts w:eastAsia="Calibri"/>
                <w:lang w:val="en-US"/>
              </w:rPr>
              <w:t>,</w:t>
            </w:r>
            <w:r>
              <w:rPr>
                <w:rFonts w:eastAsia="Calibri"/>
                <w:lang w:val="en-US"/>
              </w:rPr>
              <w:t>4%)</w:t>
            </w:r>
          </w:p>
        </w:tc>
      </w:tr>
      <w:tr w:rsidR="00224F0F">
        <w:trPr>
          <w:trHeight w:val="257"/>
        </w:trPr>
        <w:tc>
          <w:tcPr>
            <w:tcW w:w="2873" w:type="pct"/>
            <w:tcBorders>
              <w:bottom w:val="nil"/>
            </w:tcBorders>
            <w:shd w:val="clear" w:color="auto" w:fill="auto"/>
          </w:tcPr>
          <w:p w:rsidR="00224F0F" w:rsidRDefault="00485CCD">
            <w:pPr>
              <w:widowControl w:val="0"/>
              <w:autoSpaceDE w:val="0"/>
              <w:autoSpaceDN w:val="0"/>
              <w:spacing w:line="238" w:lineRule="exact"/>
              <w:rPr>
                <w:rFonts w:eastAsia="Calibri"/>
                <w:lang w:val="en-US"/>
              </w:rPr>
            </w:pPr>
            <w:r>
              <w:rPr>
                <w:color w:val="000000"/>
                <w:lang w:val="hu-HU"/>
              </w:rPr>
              <w:t>A megismételt képalkotó eljárás normalizálódást mutat</w:t>
            </w:r>
          </w:p>
        </w:tc>
        <w:tc>
          <w:tcPr>
            <w:tcW w:w="1172" w:type="pct"/>
            <w:tcBorders>
              <w:bottom w:val="nil"/>
            </w:tcBorders>
            <w:shd w:val="clear" w:color="auto" w:fill="auto"/>
          </w:tcPr>
          <w:p w:rsidR="00224F0F" w:rsidRDefault="00485CCD">
            <w:pPr>
              <w:widowControl w:val="0"/>
              <w:autoSpaceDE w:val="0"/>
              <w:autoSpaceDN w:val="0"/>
              <w:spacing w:line="238" w:lineRule="exact"/>
              <w:rPr>
                <w:rFonts w:eastAsia="Calibri"/>
                <w:lang w:val="en-US"/>
              </w:rPr>
            </w:pPr>
            <w:r>
              <w:rPr>
                <w:rFonts w:eastAsia="Calibri"/>
                <w:lang w:val="en-US"/>
              </w:rPr>
              <w:t>128</w:t>
            </w:r>
          </w:p>
        </w:tc>
        <w:tc>
          <w:tcPr>
            <w:tcW w:w="955" w:type="pct"/>
            <w:tcBorders>
              <w:bottom w:val="nil"/>
            </w:tcBorders>
            <w:shd w:val="clear" w:color="auto" w:fill="auto"/>
          </w:tcPr>
          <w:p w:rsidR="00224F0F" w:rsidRDefault="00485CCD">
            <w:pPr>
              <w:widowControl w:val="0"/>
              <w:autoSpaceDE w:val="0"/>
              <w:autoSpaceDN w:val="0"/>
              <w:spacing w:line="238" w:lineRule="exact"/>
              <w:rPr>
                <w:rFonts w:eastAsia="Calibri"/>
                <w:lang w:val="en-US"/>
              </w:rPr>
            </w:pPr>
            <w:r>
              <w:rPr>
                <w:rFonts w:eastAsia="Calibri"/>
                <w:lang w:val="en-US"/>
              </w:rPr>
              <w:t>43</w:t>
            </w:r>
          </w:p>
        </w:tc>
      </w:tr>
      <w:tr w:rsidR="00224F0F">
        <w:trPr>
          <w:trHeight w:val="253"/>
        </w:trPr>
        <w:tc>
          <w:tcPr>
            <w:tcW w:w="2873" w:type="pct"/>
            <w:tcBorders>
              <w:top w:val="nil"/>
              <w:bottom w:val="nil"/>
            </w:tcBorders>
            <w:shd w:val="clear" w:color="auto" w:fill="auto"/>
          </w:tcPr>
          <w:p w:rsidR="00224F0F" w:rsidRDefault="00224F0F">
            <w:pPr>
              <w:widowControl w:val="0"/>
              <w:autoSpaceDE w:val="0"/>
              <w:autoSpaceDN w:val="0"/>
              <w:rPr>
                <w:rFonts w:eastAsia="Calibri"/>
                <w:lang w:val="en-US"/>
              </w:rPr>
            </w:pPr>
          </w:p>
        </w:tc>
        <w:tc>
          <w:tcPr>
            <w:tcW w:w="1172" w:type="pct"/>
            <w:tcBorders>
              <w:top w:val="nil"/>
              <w:bottom w:val="nil"/>
            </w:tcBorders>
            <w:shd w:val="clear" w:color="auto" w:fill="auto"/>
          </w:tcPr>
          <w:p w:rsidR="00224F0F" w:rsidRDefault="00485CCD">
            <w:pPr>
              <w:widowControl w:val="0"/>
              <w:autoSpaceDE w:val="0"/>
              <w:autoSpaceDN w:val="0"/>
              <w:spacing w:line="233" w:lineRule="exact"/>
              <w:rPr>
                <w:rFonts w:eastAsia="Calibri"/>
                <w:lang w:val="en-US"/>
              </w:rPr>
            </w:pPr>
            <w:r>
              <w:rPr>
                <w:rFonts w:eastAsia="Calibri"/>
                <w:lang w:val="en-US"/>
              </w:rPr>
              <w:t>(38</w:t>
            </w:r>
            <w:r w:rsidR="00773611">
              <w:rPr>
                <w:rFonts w:eastAsia="Calibri"/>
                <w:lang w:val="en-US"/>
              </w:rPr>
              <w:t>,</w:t>
            </w:r>
            <w:r>
              <w:rPr>
                <w:rFonts w:eastAsia="Calibri"/>
                <w:lang w:val="en-US"/>
              </w:rPr>
              <w:t xml:space="preserve">2%, </w:t>
            </w:r>
            <w:r w:rsidR="00332B5A">
              <w:rPr>
                <w:rFonts w:eastAsia="Calibri"/>
                <w:lang w:val="en-US"/>
              </w:rPr>
              <w:t>95%-os</w:t>
            </w:r>
            <w:r>
              <w:rPr>
                <w:rFonts w:eastAsia="Calibri"/>
                <w:lang w:val="en-US"/>
              </w:rPr>
              <w:t xml:space="preserve"> CI</w:t>
            </w:r>
          </w:p>
        </w:tc>
        <w:tc>
          <w:tcPr>
            <w:tcW w:w="955" w:type="pct"/>
            <w:tcBorders>
              <w:top w:val="nil"/>
              <w:bottom w:val="nil"/>
            </w:tcBorders>
            <w:shd w:val="clear" w:color="auto" w:fill="auto"/>
          </w:tcPr>
          <w:p w:rsidR="00224F0F" w:rsidRDefault="00485CCD">
            <w:pPr>
              <w:widowControl w:val="0"/>
              <w:autoSpaceDE w:val="0"/>
              <w:autoSpaceDN w:val="0"/>
              <w:spacing w:line="233" w:lineRule="exact"/>
              <w:rPr>
                <w:rFonts w:eastAsia="Calibri"/>
                <w:lang w:val="en-US"/>
              </w:rPr>
            </w:pPr>
            <w:r>
              <w:rPr>
                <w:rFonts w:eastAsia="Calibri"/>
                <w:lang w:val="en-US"/>
              </w:rPr>
              <w:t>(26</w:t>
            </w:r>
            <w:r w:rsidR="00773611">
              <w:rPr>
                <w:rFonts w:eastAsia="Calibri"/>
                <w:lang w:val="en-US"/>
              </w:rPr>
              <w:t>,</w:t>
            </w:r>
            <w:r>
              <w:rPr>
                <w:rFonts w:eastAsia="Calibri"/>
                <w:lang w:val="en-US"/>
              </w:rPr>
              <w:t xml:space="preserve">1%, </w:t>
            </w:r>
            <w:r w:rsidR="00332B5A">
              <w:rPr>
                <w:rFonts w:eastAsia="Calibri"/>
                <w:lang w:val="en-US"/>
              </w:rPr>
              <w:t>95%-os</w:t>
            </w:r>
            <w:r>
              <w:rPr>
                <w:rFonts w:eastAsia="Calibri"/>
                <w:lang w:val="en-US"/>
              </w:rPr>
              <w:t xml:space="preserve"> CI</w:t>
            </w:r>
          </w:p>
        </w:tc>
      </w:tr>
      <w:tr w:rsidR="00224F0F">
        <w:trPr>
          <w:trHeight w:val="336"/>
        </w:trPr>
        <w:tc>
          <w:tcPr>
            <w:tcW w:w="2873" w:type="pct"/>
            <w:tcBorders>
              <w:top w:val="nil"/>
            </w:tcBorders>
            <w:shd w:val="clear" w:color="auto" w:fill="auto"/>
          </w:tcPr>
          <w:p w:rsidR="00224F0F" w:rsidRDefault="00224F0F">
            <w:pPr>
              <w:widowControl w:val="0"/>
              <w:autoSpaceDE w:val="0"/>
              <w:autoSpaceDN w:val="0"/>
              <w:rPr>
                <w:rFonts w:eastAsia="Calibri"/>
                <w:lang w:val="en-US"/>
              </w:rPr>
            </w:pPr>
          </w:p>
        </w:tc>
        <w:tc>
          <w:tcPr>
            <w:tcW w:w="1172" w:type="pct"/>
            <w:tcBorders>
              <w:top w:val="nil"/>
            </w:tcBorders>
            <w:shd w:val="clear" w:color="auto" w:fill="auto"/>
          </w:tcPr>
          <w:p w:rsidR="00224F0F" w:rsidRDefault="00485CCD">
            <w:pPr>
              <w:widowControl w:val="0"/>
              <w:autoSpaceDE w:val="0"/>
              <w:autoSpaceDN w:val="0"/>
              <w:spacing w:line="248" w:lineRule="exact"/>
              <w:rPr>
                <w:rFonts w:eastAsia="Calibri"/>
                <w:lang w:val="en-US"/>
              </w:rPr>
            </w:pPr>
            <w:r>
              <w:rPr>
                <w:rFonts w:eastAsia="Calibri"/>
                <w:lang w:val="en-US"/>
              </w:rPr>
              <w:t>33</w:t>
            </w:r>
            <w:r w:rsidR="00773611">
              <w:rPr>
                <w:rFonts w:eastAsia="Calibri"/>
                <w:lang w:val="en-US"/>
              </w:rPr>
              <w:t>,</w:t>
            </w:r>
            <w:r>
              <w:rPr>
                <w:rFonts w:eastAsia="Calibri"/>
                <w:lang w:val="en-US"/>
              </w:rPr>
              <w:t>0% - 43</w:t>
            </w:r>
            <w:r w:rsidR="00773611">
              <w:rPr>
                <w:rFonts w:eastAsia="Calibri"/>
                <w:lang w:val="en-US"/>
              </w:rPr>
              <w:t>,</w:t>
            </w:r>
            <w:r>
              <w:rPr>
                <w:rFonts w:eastAsia="Calibri"/>
                <w:lang w:val="en-US"/>
              </w:rPr>
              <w:t>5%)</w:t>
            </w:r>
          </w:p>
        </w:tc>
        <w:tc>
          <w:tcPr>
            <w:tcW w:w="955" w:type="pct"/>
            <w:tcBorders>
              <w:top w:val="nil"/>
            </w:tcBorders>
            <w:shd w:val="clear" w:color="auto" w:fill="auto"/>
          </w:tcPr>
          <w:p w:rsidR="00224F0F" w:rsidRDefault="00485CCD">
            <w:pPr>
              <w:widowControl w:val="0"/>
              <w:autoSpaceDE w:val="0"/>
              <w:autoSpaceDN w:val="0"/>
              <w:spacing w:line="248" w:lineRule="exact"/>
              <w:rPr>
                <w:rFonts w:eastAsia="Calibri"/>
                <w:lang w:val="en-US"/>
              </w:rPr>
            </w:pPr>
            <w:r>
              <w:rPr>
                <w:rFonts w:eastAsia="Calibri"/>
                <w:lang w:val="en-US"/>
              </w:rPr>
              <w:t>19</w:t>
            </w:r>
            <w:r w:rsidR="00773611">
              <w:rPr>
                <w:rFonts w:eastAsia="Calibri"/>
                <w:lang w:val="en-US"/>
              </w:rPr>
              <w:t>,</w:t>
            </w:r>
            <w:r>
              <w:rPr>
                <w:rFonts w:eastAsia="Calibri"/>
                <w:lang w:val="en-US"/>
              </w:rPr>
              <w:t>8% - 33</w:t>
            </w:r>
            <w:r w:rsidR="00773611">
              <w:rPr>
                <w:rFonts w:eastAsia="Calibri"/>
                <w:lang w:val="en-US"/>
              </w:rPr>
              <w:t>,</w:t>
            </w:r>
            <w:r>
              <w:rPr>
                <w:rFonts w:eastAsia="Calibri"/>
                <w:lang w:val="en-US"/>
              </w:rPr>
              <w:t>0%)</w:t>
            </w:r>
          </w:p>
        </w:tc>
      </w:tr>
      <w:tr w:rsidR="00224F0F">
        <w:trPr>
          <w:trHeight w:val="257"/>
        </w:trPr>
        <w:tc>
          <w:tcPr>
            <w:tcW w:w="2873" w:type="pct"/>
            <w:tcBorders>
              <w:bottom w:val="nil"/>
            </w:tcBorders>
            <w:shd w:val="clear" w:color="auto" w:fill="auto"/>
          </w:tcPr>
          <w:p w:rsidR="00224F0F" w:rsidRDefault="00485CCD">
            <w:pPr>
              <w:widowControl w:val="0"/>
              <w:autoSpaceDE w:val="0"/>
              <w:autoSpaceDN w:val="0"/>
              <w:spacing w:line="238" w:lineRule="exact"/>
              <w:rPr>
                <w:rFonts w:eastAsia="Calibri"/>
                <w:lang w:val="en-US"/>
              </w:rPr>
            </w:pPr>
            <w:r>
              <w:rPr>
                <w:color w:val="000000"/>
                <w:lang w:val="hu-HU"/>
              </w:rPr>
              <w:t>Összetett: Tünetekkel járó, recidiváló VTE + súlyos vérzés (nettó klinikai előny)</w:t>
            </w:r>
          </w:p>
        </w:tc>
        <w:tc>
          <w:tcPr>
            <w:tcW w:w="1172" w:type="pct"/>
            <w:tcBorders>
              <w:bottom w:val="nil"/>
            </w:tcBorders>
            <w:shd w:val="clear" w:color="auto" w:fill="auto"/>
          </w:tcPr>
          <w:p w:rsidR="00224F0F" w:rsidRDefault="00485CCD">
            <w:pPr>
              <w:widowControl w:val="0"/>
              <w:autoSpaceDE w:val="0"/>
              <w:autoSpaceDN w:val="0"/>
              <w:spacing w:line="238" w:lineRule="exact"/>
              <w:rPr>
                <w:rFonts w:eastAsia="Calibri"/>
                <w:lang w:val="en-US"/>
              </w:rPr>
            </w:pPr>
            <w:r>
              <w:rPr>
                <w:rFonts w:eastAsia="Calibri"/>
                <w:w w:val="99"/>
                <w:lang w:val="en-US"/>
              </w:rPr>
              <w:t>4</w:t>
            </w:r>
          </w:p>
        </w:tc>
        <w:tc>
          <w:tcPr>
            <w:tcW w:w="955" w:type="pct"/>
            <w:tcBorders>
              <w:bottom w:val="nil"/>
            </w:tcBorders>
            <w:shd w:val="clear" w:color="auto" w:fill="auto"/>
          </w:tcPr>
          <w:p w:rsidR="00224F0F" w:rsidRDefault="00485CCD">
            <w:pPr>
              <w:widowControl w:val="0"/>
              <w:autoSpaceDE w:val="0"/>
              <w:autoSpaceDN w:val="0"/>
              <w:spacing w:line="238" w:lineRule="exact"/>
              <w:rPr>
                <w:rFonts w:eastAsia="Calibri"/>
                <w:lang w:val="en-US"/>
              </w:rPr>
            </w:pPr>
            <w:r>
              <w:rPr>
                <w:rFonts w:eastAsia="Calibri"/>
                <w:w w:val="99"/>
                <w:lang w:val="en-US"/>
              </w:rPr>
              <w:t>7</w:t>
            </w:r>
          </w:p>
        </w:tc>
      </w:tr>
      <w:tr w:rsidR="00224F0F">
        <w:trPr>
          <w:trHeight w:val="253"/>
        </w:trPr>
        <w:tc>
          <w:tcPr>
            <w:tcW w:w="2873" w:type="pct"/>
            <w:tcBorders>
              <w:top w:val="nil"/>
              <w:bottom w:val="nil"/>
            </w:tcBorders>
            <w:shd w:val="clear" w:color="auto" w:fill="auto"/>
          </w:tcPr>
          <w:p w:rsidR="00224F0F" w:rsidRDefault="00224F0F">
            <w:pPr>
              <w:widowControl w:val="0"/>
              <w:autoSpaceDE w:val="0"/>
              <w:autoSpaceDN w:val="0"/>
              <w:spacing w:line="233" w:lineRule="exact"/>
              <w:rPr>
                <w:rFonts w:eastAsia="Calibri"/>
                <w:lang w:val="en-US"/>
              </w:rPr>
            </w:pPr>
          </w:p>
        </w:tc>
        <w:tc>
          <w:tcPr>
            <w:tcW w:w="1172" w:type="pct"/>
            <w:tcBorders>
              <w:top w:val="nil"/>
              <w:bottom w:val="nil"/>
            </w:tcBorders>
            <w:shd w:val="clear" w:color="auto" w:fill="auto"/>
          </w:tcPr>
          <w:p w:rsidR="00224F0F" w:rsidRDefault="00485CCD">
            <w:pPr>
              <w:widowControl w:val="0"/>
              <w:autoSpaceDE w:val="0"/>
              <w:autoSpaceDN w:val="0"/>
              <w:spacing w:line="233" w:lineRule="exact"/>
              <w:rPr>
                <w:rFonts w:eastAsia="Calibri"/>
                <w:lang w:val="en-US"/>
              </w:rPr>
            </w:pPr>
            <w:r>
              <w:rPr>
                <w:rFonts w:eastAsia="Calibri"/>
                <w:lang w:val="en-US"/>
              </w:rPr>
              <w:t>(1</w:t>
            </w:r>
            <w:r w:rsidR="00773611">
              <w:rPr>
                <w:rFonts w:eastAsia="Calibri"/>
                <w:lang w:val="en-US"/>
              </w:rPr>
              <w:t>,</w:t>
            </w:r>
            <w:r>
              <w:rPr>
                <w:rFonts w:eastAsia="Calibri"/>
                <w:lang w:val="en-US"/>
              </w:rPr>
              <w:t xml:space="preserve">2%, </w:t>
            </w:r>
            <w:r w:rsidR="00332B5A">
              <w:rPr>
                <w:rFonts w:eastAsia="Calibri"/>
                <w:lang w:val="en-US"/>
              </w:rPr>
              <w:t>95%-os</w:t>
            </w:r>
            <w:r>
              <w:rPr>
                <w:rFonts w:eastAsia="Calibri"/>
                <w:lang w:val="en-US"/>
              </w:rPr>
              <w:t xml:space="preserve"> CI</w:t>
            </w:r>
          </w:p>
        </w:tc>
        <w:tc>
          <w:tcPr>
            <w:tcW w:w="955" w:type="pct"/>
            <w:tcBorders>
              <w:top w:val="nil"/>
              <w:bottom w:val="nil"/>
            </w:tcBorders>
            <w:shd w:val="clear" w:color="auto" w:fill="auto"/>
          </w:tcPr>
          <w:p w:rsidR="00224F0F" w:rsidRDefault="00485CCD">
            <w:pPr>
              <w:widowControl w:val="0"/>
              <w:autoSpaceDE w:val="0"/>
              <w:autoSpaceDN w:val="0"/>
              <w:spacing w:line="233" w:lineRule="exact"/>
              <w:rPr>
                <w:rFonts w:eastAsia="Calibri"/>
                <w:lang w:val="en-US"/>
              </w:rPr>
            </w:pPr>
            <w:r>
              <w:rPr>
                <w:rFonts w:eastAsia="Calibri"/>
                <w:lang w:val="en-US"/>
              </w:rPr>
              <w:t>(4</w:t>
            </w:r>
            <w:r w:rsidR="00773611">
              <w:rPr>
                <w:rFonts w:eastAsia="Calibri"/>
                <w:lang w:val="en-US"/>
              </w:rPr>
              <w:t>,</w:t>
            </w:r>
            <w:r>
              <w:rPr>
                <w:rFonts w:eastAsia="Calibri"/>
                <w:lang w:val="en-US"/>
              </w:rPr>
              <w:t xml:space="preserve">2%, </w:t>
            </w:r>
            <w:r w:rsidR="00332B5A">
              <w:rPr>
                <w:rFonts w:eastAsia="Calibri"/>
                <w:lang w:val="en-US"/>
              </w:rPr>
              <w:t>95%-os</w:t>
            </w:r>
            <w:r>
              <w:rPr>
                <w:rFonts w:eastAsia="Calibri"/>
                <w:lang w:val="en-US"/>
              </w:rPr>
              <w:t xml:space="preserve"> CI</w:t>
            </w:r>
          </w:p>
        </w:tc>
      </w:tr>
      <w:tr w:rsidR="00224F0F">
        <w:trPr>
          <w:trHeight w:val="462"/>
        </w:trPr>
        <w:tc>
          <w:tcPr>
            <w:tcW w:w="2873" w:type="pct"/>
            <w:tcBorders>
              <w:top w:val="nil"/>
            </w:tcBorders>
            <w:shd w:val="clear" w:color="auto" w:fill="auto"/>
          </w:tcPr>
          <w:p w:rsidR="00224F0F" w:rsidRDefault="00224F0F">
            <w:pPr>
              <w:widowControl w:val="0"/>
              <w:autoSpaceDE w:val="0"/>
              <w:autoSpaceDN w:val="0"/>
              <w:rPr>
                <w:rFonts w:eastAsia="Calibri"/>
                <w:lang w:val="en-US"/>
              </w:rPr>
            </w:pPr>
          </w:p>
        </w:tc>
        <w:tc>
          <w:tcPr>
            <w:tcW w:w="1172" w:type="pct"/>
            <w:tcBorders>
              <w:top w:val="nil"/>
            </w:tcBorders>
            <w:shd w:val="clear" w:color="auto" w:fill="auto"/>
          </w:tcPr>
          <w:p w:rsidR="00224F0F" w:rsidRDefault="00485CCD">
            <w:pPr>
              <w:widowControl w:val="0"/>
              <w:autoSpaceDE w:val="0"/>
              <w:autoSpaceDN w:val="0"/>
              <w:spacing w:line="248" w:lineRule="exact"/>
              <w:rPr>
                <w:rFonts w:eastAsia="Calibri"/>
                <w:lang w:val="en-US"/>
              </w:rPr>
            </w:pPr>
            <w:r>
              <w:rPr>
                <w:rFonts w:eastAsia="Calibri"/>
                <w:lang w:val="en-US"/>
              </w:rPr>
              <w:t>0</w:t>
            </w:r>
            <w:r w:rsidR="00773611">
              <w:rPr>
                <w:rFonts w:eastAsia="Calibri"/>
                <w:lang w:val="en-US"/>
              </w:rPr>
              <w:t>,</w:t>
            </w:r>
            <w:r>
              <w:rPr>
                <w:rFonts w:eastAsia="Calibri"/>
                <w:lang w:val="en-US"/>
              </w:rPr>
              <w:t>4% - 3</w:t>
            </w:r>
            <w:r w:rsidR="00773611">
              <w:rPr>
                <w:rFonts w:eastAsia="Calibri"/>
                <w:lang w:val="en-US"/>
              </w:rPr>
              <w:t>,</w:t>
            </w:r>
            <w:r>
              <w:rPr>
                <w:rFonts w:eastAsia="Calibri"/>
                <w:lang w:val="en-US"/>
              </w:rPr>
              <w:t>0%)</w:t>
            </w:r>
          </w:p>
        </w:tc>
        <w:tc>
          <w:tcPr>
            <w:tcW w:w="955" w:type="pct"/>
            <w:tcBorders>
              <w:top w:val="nil"/>
            </w:tcBorders>
            <w:shd w:val="clear" w:color="auto" w:fill="auto"/>
          </w:tcPr>
          <w:p w:rsidR="00224F0F" w:rsidRDefault="00485CCD">
            <w:pPr>
              <w:widowControl w:val="0"/>
              <w:autoSpaceDE w:val="0"/>
              <w:autoSpaceDN w:val="0"/>
              <w:spacing w:line="248" w:lineRule="exact"/>
              <w:rPr>
                <w:rFonts w:eastAsia="Calibri"/>
                <w:lang w:val="en-US"/>
              </w:rPr>
            </w:pPr>
            <w:r>
              <w:rPr>
                <w:rFonts w:eastAsia="Calibri"/>
                <w:lang w:val="en-US"/>
              </w:rPr>
              <w:t>2</w:t>
            </w:r>
            <w:r w:rsidR="00773611">
              <w:rPr>
                <w:rFonts w:eastAsia="Calibri"/>
                <w:lang w:val="en-US"/>
              </w:rPr>
              <w:t>,</w:t>
            </w:r>
            <w:r>
              <w:rPr>
                <w:rFonts w:eastAsia="Calibri"/>
                <w:lang w:val="en-US"/>
              </w:rPr>
              <w:t>0% - 8</w:t>
            </w:r>
            <w:r w:rsidR="00773611">
              <w:rPr>
                <w:rFonts w:eastAsia="Calibri"/>
                <w:lang w:val="en-US"/>
              </w:rPr>
              <w:t>,</w:t>
            </w:r>
            <w:r>
              <w:rPr>
                <w:rFonts w:eastAsia="Calibri"/>
                <w:lang w:val="en-US"/>
              </w:rPr>
              <w:t>4%)</w:t>
            </w:r>
          </w:p>
        </w:tc>
      </w:tr>
      <w:tr w:rsidR="00224F0F">
        <w:trPr>
          <w:trHeight w:val="256"/>
        </w:trPr>
        <w:tc>
          <w:tcPr>
            <w:tcW w:w="2873" w:type="pct"/>
            <w:tcBorders>
              <w:bottom w:val="nil"/>
            </w:tcBorders>
            <w:shd w:val="clear" w:color="auto" w:fill="auto"/>
          </w:tcPr>
          <w:p w:rsidR="00224F0F" w:rsidRDefault="00485CCD">
            <w:pPr>
              <w:spacing w:line="240" w:lineRule="auto"/>
              <w:rPr>
                <w:rFonts w:eastAsia="Calibri"/>
                <w:lang w:val="en-US"/>
              </w:rPr>
            </w:pPr>
            <w:r>
              <w:rPr>
                <w:color w:val="000000"/>
                <w:lang w:val="hu-HU"/>
              </w:rPr>
              <w:t>Végzetes vagy nem végzetes pulmonalis embolia</w:t>
            </w:r>
          </w:p>
        </w:tc>
        <w:tc>
          <w:tcPr>
            <w:tcW w:w="1172" w:type="pct"/>
            <w:tcBorders>
              <w:bottom w:val="nil"/>
            </w:tcBorders>
            <w:shd w:val="clear" w:color="auto" w:fill="auto"/>
          </w:tcPr>
          <w:p w:rsidR="00224F0F" w:rsidRDefault="00485CCD">
            <w:pPr>
              <w:widowControl w:val="0"/>
              <w:autoSpaceDE w:val="0"/>
              <w:autoSpaceDN w:val="0"/>
              <w:spacing w:line="237" w:lineRule="exact"/>
              <w:rPr>
                <w:rFonts w:eastAsia="Calibri"/>
                <w:lang w:val="en-US"/>
              </w:rPr>
            </w:pPr>
            <w:r>
              <w:rPr>
                <w:rFonts w:eastAsia="Calibri"/>
                <w:w w:val="99"/>
                <w:lang w:val="en-US"/>
              </w:rPr>
              <w:t>1</w:t>
            </w:r>
          </w:p>
        </w:tc>
        <w:tc>
          <w:tcPr>
            <w:tcW w:w="955" w:type="pct"/>
            <w:tcBorders>
              <w:bottom w:val="nil"/>
            </w:tcBorders>
            <w:shd w:val="clear" w:color="auto" w:fill="auto"/>
          </w:tcPr>
          <w:p w:rsidR="00224F0F" w:rsidRDefault="00485CCD">
            <w:pPr>
              <w:widowControl w:val="0"/>
              <w:autoSpaceDE w:val="0"/>
              <w:autoSpaceDN w:val="0"/>
              <w:spacing w:line="237" w:lineRule="exact"/>
              <w:rPr>
                <w:rFonts w:eastAsia="Calibri"/>
                <w:lang w:val="en-US"/>
              </w:rPr>
            </w:pPr>
            <w:r>
              <w:rPr>
                <w:rFonts w:eastAsia="Calibri"/>
                <w:w w:val="99"/>
                <w:lang w:val="en-US"/>
              </w:rPr>
              <w:t>1</w:t>
            </w:r>
          </w:p>
        </w:tc>
      </w:tr>
      <w:tr w:rsidR="00224F0F">
        <w:trPr>
          <w:trHeight w:val="252"/>
        </w:trPr>
        <w:tc>
          <w:tcPr>
            <w:tcW w:w="2873" w:type="pct"/>
            <w:tcBorders>
              <w:top w:val="nil"/>
              <w:bottom w:val="nil"/>
            </w:tcBorders>
            <w:shd w:val="clear" w:color="auto" w:fill="auto"/>
          </w:tcPr>
          <w:p w:rsidR="00224F0F" w:rsidRDefault="00224F0F">
            <w:pPr>
              <w:widowControl w:val="0"/>
              <w:autoSpaceDE w:val="0"/>
              <w:autoSpaceDN w:val="0"/>
              <w:rPr>
                <w:rFonts w:eastAsia="Calibri"/>
                <w:lang w:val="en-US"/>
              </w:rPr>
            </w:pPr>
          </w:p>
        </w:tc>
        <w:tc>
          <w:tcPr>
            <w:tcW w:w="1172" w:type="pct"/>
            <w:tcBorders>
              <w:top w:val="nil"/>
              <w:bottom w:val="nil"/>
            </w:tcBorders>
            <w:shd w:val="clear" w:color="auto" w:fill="auto"/>
          </w:tcPr>
          <w:p w:rsidR="00224F0F" w:rsidRDefault="00485CCD">
            <w:pPr>
              <w:widowControl w:val="0"/>
              <w:autoSpaceDE w:val="0"/>
              <w:autoSpaceDN w:val="0"/>
              <w:spacing w:line="233" w:lineRule="exact"/>
              <w:rPr>
                <w:rFonts w:eastAsia="Calibri"/>
                <w:lang w:val="en-US"/>
              </w:rPr>
            </w:pPr>
            <w:r>
              <w:rPr>
                <w:rFonts w:eastAsia="Calibri"/>
                <w:lang w:val="en-US"/>
              </w:rPr>
              <w:t>(0</w:t>
            </w:r>
            <w:r w:rsidR="00773611">
              <w:rPr>
                <w:rFonts w:eastAsia="Calibri"/>
                <w:lang w:val="en-US"/>
              </w:rPr>
              <w:t>,</w:t>
            </w:r>
            <w:r>
              <w:rPr>
                <w:rFonts w:eastAsia="Calibri"/>
                <w:lang w:val="en-US"/>
              </w:rPr>
              <w:t xml:space="preserve">3%, </w:t>
            </w:r>
            <w:r w:rsidR="00332B5A">
              <w:rPr>
                <w:rFonts w:eastAsia="Calibri"/>
                <w:lang w:val="en-US"/>
              </w:rPr>
              <w:t>95%-os</w:t>
            </w:r>
            <w:r>
              <w:rPr>
                <w:rFonts w:eastAsia="Calibri"/>
                <w:lang w:val="en-US"/>
              </w:rPr>
              <w:t xml:space="preserve"> CI</w:t>
            </w:r>
          </w:p>
        </w:tc>
        <w:tc>
          <w:tcPr>
            <w:tcW w:w="955" w:type="pct"/>
            <w:tcBorders>
              <w:top w:val="nil"/>
              <w:bottom w:val="nil"/>
            </w:tcBorders>
            <w:shd w:val="clear" w:color="auto" w:fill="auto"/>
          </w:tcPr>
          <w:p w:rsidR="00224F0F" w:rsidRDefault="00485CCD">
            <w:pPr>
              <w:widowControl w:val="0"/>
              <w:autoSpaceDE w:val="0"/>
              <w:autoSpaceDN w:val="0"/>
              <w:spacing w:line="233" w:lineRule="exact"/>
              <w:rPr>
                <w:rFonts w:eastAsia="Calibri"/>
                <w:lang w:val="en-US"/>
              </w:rPr>
            </w:pPr>
            <w:r>
              <w:rPr>
                <w:rFonts w:eastAsia="Calibri"/>
                <w:lang w:val="en-US"/>
              </w:rPr>
              <w:t>(0</w:t>
            </w:r>
            <w:r w:rsidR="00773611">
              <w:rPr>
                <w:rFonts w:eastAsia="Calibri"/>
                <w:lang w:val="en-US"/>
              </w:rPr>
              <w:t>,</w:t>
            </w:r>
            <w:r>
              <w:rPr>
                <w:rFonts w:eastAsia="Calibri"/>
                <w:lang w:val="en-US"/>
              </w:rPr>
              <w:t xml:space="preserve">6%, </w:t>
            </w:r>
            <w:r w:rsidR="00332B5A">
              <w:rPr>
                <w:rFonts w:eastAsia="Calibri"/>
                <w:lang w:val="en-US"/>
              </w:rPr>
              <w:t>95%-os</w:t>
            </w:r>
            <w:r>
              <w:rPr>
                <w:rFonts w:eastAsia="Calibri"/>
                <w:lang w:val="en-US"/>
              </w:rPr>
              <w:t xml:space="preserve"> CI</w:t>
            </w:r>
          </w:p>
        </w:tc>
      </w:tr>
      <w:tr w:rsidR="00224F0F">
        <w:trPr>
          <w:trHeight w:val="334"/>
        </w:trPr>
        <w:tc>
          <w:tcPr>
            <w:tcW w:w="2873" w:type="pct"/>
            <w:tcBorders>
              <w:top w:val="nil"/>
              <w:bottom w:val="single" w:sz="4" w:space="0" w:color="000000"/>
            </w:tcBorders>
            <w:shd w:val="clear" w:color="auto" w:fill="auto"/>
          </w:tcPr>
          <w:p w:rsidR="00224F0F" w:rsidRDefault="00224F0F">
            <w:pPr>
              <w:widowControl w:val="0"/>
              <w:autoSpaceDE w:val="0"/>
              <w:autoSpaceDN w:val="0"/>
              <w:rPr>
                <w:rFonts w:eastAsia="Calibri"/>
                <w:lang w:val="en-US"/>
              </w:rPr>
            </w:pPr>
          </w:p>
        </w:tc>
        <w:tc>
          <w:tcPr>
            <w:tcW w:w="1172" w:type="pct"/>
            <w:tcBorders>
              <w:top w:val="nil"/>
              <w:bottom w:val="single" w:sz="4" w:space="0" w:color="000000"/>
            </w:tcBorders>
            <w:shd w:val="clear" w:color="auto" w:fill="auto"/>
          </w:tcPr>
          <w:p w:rsidR="00224F0F" w:rsidRDefault="00485CCD">
            <w:pPr>
              <w:widowControl w:val="0"/>
              <w:autoSpaceDE w:val="0"/>
              <w:autoSpaceDN w:val="0"/>
              <w:spacing w:line="248" w:lineRule="exact"/>
              <w:rPr>
                <w:rFonts w:eastAsia="Calibri"/>
                <w:lang w:val="en-US"/>
              </w:rPr>
            </w:pPr>
            <w:r>
              <w:rPr>
                <w:rFonts w:eastAsia="Calibri"/>
                <w:lang w:val="en-US"/>
              </w:rPr>
              <w:t>0</w:t>
            </w:r>
            <w:r w:rsidR="00773611">
              <w:rPr>
                <w:rFonts w:eastAsia="Calibri"/>
                <w:lang w:val="en-US"/>
              </w:rPr>
              <w:t>,</w:t>
            </w:r>
            <w:r>
              <w:rPr>
                <w:rFonts w:eastAsia="Calibri"/>
                <w:lang w:val="en-US"/>
              </w:rPr>
              <w:t>0% – 1</w:t>
            </w:r>
            <w:r w:rsidR="00773611">
              <w:rPr>
                <w:rFonts w:eastAsia="Calibri"/>
                <w:lang w:val="en-US"/>
              </w:rPr>
              <w:t>,</w:t>
            </w:r>
            <w:r>
              <w:rPr>
                <w:rFonts w:eastAsia="Calibri"/>
                <w:lang w:val="en-US"/>
              </w:rPr>
              <w:t>6%)</w:t>
            </w:r>
          </w:p>
        </w:tc>
        <w:tc>
          <w:tcPr>
            <w:tcW w:w="955" w:type="pct"/>
            <w:tcBorders>
              <w:top w:val="nil"/>
              <w:bottom w:val="single" w:sz="4" w:space="0" w:color="000000"/>
            </w:tcBorders>
            <w:shd w:val="clear" w:color="auto" w:fill="auto"/>
          </w:tcPr>
          <w:p w:rsidR="00224F0F" w:rsidRDefault="00485CCD">
            <w:pPr>
              <w:widowControl w:val="0"/>
              <w:autoSpaceDE w:val="0"/>
              <w:autoSpaceDN w:val="0"/>
              <w:spacing w:line="248" w:lineRule="exact"/>
              <w:rPr>
                <w:rFonts w:eastAsia="Calibri"/>
                <w:lang w:val="en-US"/>
              </w:rPr>
            </w:pPr>
            <w:r>
              <w:rPr>
                <w:rFonts w:eastAsia="Calibri"/>
                <w:lang w:val="en-US"/>
              </w:rPr>
              <w:t>0</w:t>
            </w:r>
            <w:r w:rsidR="00773611">
              <w:rPr>
                <w:rFonts w:eastAsia="Calibri"/>
                <w:lang w:val="en-US"/>
              </w:rPr>
              <w:t>,</w:t>
            </w:r>
            <w:r>
              <w:rPr>
                <w:rFonts w:eastAsia="Calibri"/>
                <w:lang w:val="en-US"/>
              </w:rPr>
              <w:t>0% – 3</w:t>
            </w:r>
            <w:r w:rsidR="00773611">
              <w:rPr>
                <w:rFonts w:eastAsia="Calibri"/>
                <w:lang w:val="en-US"/>
              </w:rPr>
              <w:t>,</w:t>
            </w:r>
            <w:r>
              <w:rPr>
                <w:rFonts w:eastAsia="Calibri"/>
                <w:lang w:val="en-US"/>
              </w:rPr>
              <w:t>1%)</w:t>
            </w:r>
          </w:p>
        </w:tc>
      </w:tr>
    </w:tbl>
    <w:p w:rsidR="00224F0F" w:rsidRDefault="00485CCD">
      <w:pPr>
        <w:spacing w:line="240" w:lineRule="auto"/>
        <w:rPr>
          <w:color w:val="000000"/>
          <w:lang w:val="hu-HU"/>
        </w:rPr>
      </w:pPr>
      <w:r>
        <w:rPr>
          <w:color w:val="000000"/>
          <w:lang w:val="hu-HU"/>
        </w:rPr>
        <w:t>*FAS= teljes elemzési populáció (full analysis set), az összes randomizált gyermek</w:t>
      </w:r>
    </w:p>
    <w:p w:rsidR="00224F0F" w:rsidRDefault="00224F0F">
      <w:pPr>
        <w:spacing w:line="240" w:lineRule="auto"/>
        <w:rPr>
          <w:color w:val="000000"/>
          <w:lang w:val="hu-HU"/>
        </w:rPr>
      </w:pPr>
    </w:p>
    <w:p w:rsidR="00224F0F" w:rsidRDefault="00485CCD">
      <w:pPr>
        <w:widowControl w:val="0"/>
        <w:autoSpaceDE w:val="0"/>
        <w:autoSpaceDN w:val="0"/>
        <w:spacing w:before="90"/>
        <w:outlineLvl w:val="0"/>
        <w:rPr>
          <w:b/>
          <w:bCs/>
          <w:lang w:val="en-US"/>
        </w:rPr>
      </w:pPr>
      <w:r>
        <w:rPr>
          <w:b/>
          <w:bCs/>
          <w:lang w:val="en-US"/>
        </w:rPr>
        <w:t xml:space="preserve">Table 12: </w:t>
      </w:r>
      <w:r>
        <w:rPr>
          <w:b/>
          <w:bCs/>
          <w:lang w:val="hu-HU"/>
        </w:rPr>
        <w:t>Biztonságossági eredmények a fő kezelési időszak végén</w:t>
      </w:r>
    </w:p>
    <w:tbl>
      <w:tblPr>
        <w:tblW w:w="5000" w:type="pct"/>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CellMar>
          <w:left w:w="0" w:type="dxa"/>
          <w:right w:w="0" w:type="dxa"/>
        </w:tblCellMar>
        <w:tblLook w:val="01E0" w:firstRow="1" w:lastRow="1" w:firstColumn="1" w:lastColumn="1" w:noHBand="0" w:noVBand="0"/>
      </w:tblPr>
      <w:tblGrid>
        <w:gridCol w:w="4992"/>
        <w:gridCol w:w="2035"/>
        <w:gridCol w:w="2035"/>
      </w:tblGrid>
      <w:tr w:rsidR="00224F0F">
        <w:trPr>
          <w:trHeight w:val="506"/>
        </w:trPr>
        <w:tc>
          <w:tcPr>
            <w:tcW w:w="2753" w:type="pct"/>
            <w:shd w:val="clear" w:color="auto" w:fill="auto"/>
          </w:tcPr>
          <w:p w:rsidR="00224F0F" w:rsidRDefault="00224F0F">
            <w:pPr>
              <w:widowControl w:val="0"/>
              <w:autoSpaceDE w:val="0"/>
              <w:autoSpaceDN w:val="0"/>
              <w:rPr>
                <w:rFonts w:eastAsia="Calibri"/>
                <w:lang w:val="en-US"/>
              </w:rPr>
            </w:pPr>
          </w:p>
        </w:tc>
        <w:tc>
          <w:tcPr>
            <w:tcW w:w="1123" w:type="pct"/>
            <w:shd w:val="clear" w:color="auto" w:fill="auto"/>
          </w:tcPr>
          <w:p w:rsidR="00224F0F" w:rsidRDefault="00485CCD">
            <w:pPr>
              <w:widowControl w:val="0"/>
              <w:autoSpaceDE w:val="0"/>
              <w:autoSpaceDN w:val="0"/>
              <w:spacing w:before="2" w:line="254" w:lineRule="exact"/>
              <w:rPr>
                <w:rFonts w:eastAsia="Calibri"/>
                <w:b/>
                <w:lang w:val="en-US"/>
              </w:rPr>
            </w:pPr>
            <w:r>
              <w:rPr>
                <w:rFonts w:eastAsia="Calibri"/>
                <w:b/>
                <w:lang w:val="en-US"/>
              </w:rPr>
              <w:t>Rivaroxabán N = 329*</w:t>
            </w:r>
          </w:p>
        </w:tc>
        <w:tc>
          <w:tcPr>
            <w:tcW w:w="1123" w:type="pct"/>
            <w:shd w:val="clear" w:color="auto" w:fill="auto"/>
          </w:tcPr>
          <w:p w:rsidR="00224F0F" w:rsidRDefault="00485CCD">
            <w:pPr>
              <w:widowControl w:val="0"/>
              <w:autoSpaceDE w:val="0"/>
              <w:autoSpaceDN w:val="0"/>
              <w:spacing w:before="2" w:line="254" w:lineRule="exact"/>
              <w:rPr>
                <w:rFonts w:eastAsia="Calibri"/>
                <w:b/>
                <w:lang w:val="en-US"/>
              </w:rPr>
            </w:pPr>
            <w:r>
              <w:rPr>
                <w:rFonts w:eastAsia="Calibri"/>
                <w:b/>
                <w:lang w:val="hu-HU"/>
              </w:rPr>
              <w:t>Összehasonlító készítmény</w:t>
            </w:r>
            <w:r>
              <w:rPr>
                <w:rFonts w:eastAsia="Calibri"/>
                <w:b/>
                <w:lang w:val="en-US"/>
              </w:rPr>
              <w:t xml:space="preserve"> N = 162*</w:t>
            </w:r>
          </w:p>
        </w:tc>
      </w:tr>
      <w:tr w:rsidR="00224F0F">
        <w:trPr>
          <w:trHeight w:val="753"/>
        </w:trPr>
        <w:tc>
          <w:tcPr>
            <w:tcW w:w="2753" w:type="pct"/>
            <w:shd w:val="clear" w:color="auto" w:fill="auto"/>
          </w:tcPr>
          <w:p w:rsidR="00224F0F" w:rsidRDefault="00485CCD">
            <w:pPr>
              <w:spacing w:line="240" w:lineRule="auto"/>
              <w:rPr>
                <w:rFonts w:eastAsia="Calibri"/>
                <w:lang w:val="en-US"/>
              </w:rPr>
            </w:pPr>
            <w:r>
              <w:rPr>
                <w:color w:val="000000"/>
                <w:lang w:val="hu-HU"/>
              </w:rPr>
              <w:t>Összetett: Súlyos vérzés + CRNMB (elsődleges biztonságosságikimenetel)</w:t>
            </w:r>
          </w:p>
        </w:tc>
        <w:tc>
          <w:tcPr>
            <w:tcW w:w="1123" w:type="pct"/>
            <w:shd w:val="clear" w:color="auto" w:fill="auto"/>
          </w:tcPr>
          <w:p w:rsidR="00224F0F" w:rsidRDefault="00485CCD">
            <w:pPr>
              <w:widowControl w:val="0"/>
              <w:autoSpaceDE w:val="0"/>
              <w:autoSpaceDN w:val="0"/>
              <w:spacing w:line="249" w:lineRule="exact"/>
              <w:rPr>
                <w:rFonts w:eastAsia="Calibri"/>
                <w:lang w:val="en-US"/>
              </w:rPr>
            </w:pPr>
            <w:r>
              <w:rPr>
                <w:rFonts w:eastAsia="Calibri"/>
                <w:lang w:val="en-US"/>
              </w:rPr>
              <w:t>10</w:t>
            </w:r>
          </w:p>
          <w:p w:rsidR="00224F0F" w:rsidRDefault="00485CCD">
            <w:pPr>
              <w:widowControl w:val="0"/>
              <w:autoSpaceDE w:val="0"/>
              <w:autoSpaceDN w:val="0"/>
              <w:spacing w:line="252" w:lineRule="exact"/>
              <w:rPr>
                <w:rFonts w:eastAsia="Calibri"/>
                <w:lang w:val="en-US"/>
              </w:rPr>
            </w:pPr>
            <w:r>
              <w:rPr>
                <w:rFonts w:eastAsia="Calibri"/>
                <w:lang w:val="en-US"/>
              </w:rPr>
              <w:t>(3</w:t>
            </w:r>
            <w:r w:rsidR="00773611">
              <w:rPr>
                <w:rFonts w:eastAsia="Calibri"/>
                <w:lang w:val="en-US"/>
              </w:rPr>
              <w:t>,</w:t>
            </w:r>
            <w:r>
              <w:rPr>
                <w:rFonts w:eastAsia="Calibri"/>
                <w:lang w:val="en-US"/>
              </w:rPr>
              <w:t xml:space="preserve">0%, </w:t>
            </w:r>
            <w:r w:rsidR="00332B5A">
              <w:rPr>
                <w:rFonts w:eastAsia="Calibri"/>
                <w:lang w:val="en-US"/>
              </w:rPr>
              <w:t>95%-os</w:t>
            </w:r>
            <w:r>
              <w:rPr>
                <w:rFonts w:eastAsia="Calibri"/>
                <w:lang w:val="en-US"/>
              </w:rPr>
              <w:t xml:space="preserve"> CI</w:t>
            </w:r>
          </w:p>
          <w:p w:rsidR="00224F0F" w:rsidRDefault="00485CCD">
            <w:pPr>
              <w:widowControl w:val="0"/>
              <w:autoSpaceDE w:val="0"/>
              <w:autoSpaceDN w:val="0"/>
              <w:spacing w:line="233" w:lineRule="exact"/>
              <w:rPr>
                <w:rFonts w:eastAsia="Calibri"/>
                <w:lang w:val="en-US"/>
              </w:rPr>
            </w:pPr>
            <w:r>
              <w:rPr>
                <w:rFonts w:eastAsia="Calibri"/>
                <w:lang w:val="en-US"/>
              </w:rPr>
              <w:t>1</w:t>
            </w:r>
            <w:r w:rsidR="00773611">
              <w:rPr>
                <w:rFonts w:eastAsia="Calibri"/>
                <w:lang w:val="en-US"/>
              </w:rPr>
              <w:t>,</w:t>
            </w:r>
            <w:r>
              <w:rPr>
                <w:rFonts w:eastAsia="Calibri"/>
                <w:lang w:val="en-US"/>
              </w:rPr>
              <w:t>6% - 5</w:t>
            </w:r>
            <w:r w:rsidR="00773611">
              <w:rPr>
                <w:rFonts w:eastAsia="Calibri"/>
                <w:lang w:val="en-US"/>
              </w:rPr>
              <w:t>,</w:t>
            </w:r>
            <w:r>
              <w:rPr>
                <w:rFonts w:eastAsia="Calibri"/>
                <w:lang w:val="en-US"/>
              </w:rPr>
              <w:t>5%)</w:t>
            </w:r>
          </w:p>
        </w:tc>
        <w:tc>
          <w:tcPr>
            <w:tcW w:w="1123" w:type="pct"/>
            <w:shd w:val="clear" w:color="auto" w:fill="auto"/>
          </w:tcPr>
          <w:p w:rsidR="00224F0F" w:rsidRDefault="00485CCD">
            <w:pPr>
              <w:widowControl w:val="0"/>
              <w:autoSpaceDE w:val="0"/>
              <w:autoSpaceDN w:val="0"/>
              <w:spacing w:line="249" w:lineRule="exact"/>
              <w:rPr>
                <w:rFonts w:eastAsia="Calibri"/>
                <w:lang w:val="en-US"/>
              </w:rPr>
            </w:pPr>
            <w:r>
              <w:rPr>
                <w:rFonts w:eastAsia="Calibri"/>
                <w:w w:val="99"/>
                <w:lang w:val="en-US"/>
              </w:rPr>
              <w:t>3</w:t>
            </w:r>
          </w:p>
          <w:p w:rsidR="00224F0F" w:rsidRDefault="00485CCD">
            <w:pPr>
              <w:widowControl w:val="0"/>
              <w:autoSpaceDE w:val="0"/>
              <w:autoSpaceDN w:val="0"/>
              <w:spacing w:line="252" w:lineRule="exact"/>
              <w:rPr>
                <w:rFonts w:eastAsia="Calibri"/>
                <w:lang w:val="en-US"/>
              </w:rPr>
            </w:pPr>
            <w:r>
              <w:rPr>
                <w:rFonts w:eastAsia="Calibri"/>
                <w:lang w:val="en-US"/>
              </w:rPr>
              <w:t>(1</w:t>
            </w:r>
            <w:r w:rsidR="00773611">
              <w:rPr>
                <w:rFonts w:eastAsia="Calibri"/>
                <w:lang w:val="en-US"/>
              </w:rPr>
              <w:t>,</w:t>
            </w:r>
            <w:r>
              <w:rPr>
                <w:rFonts w:eastAsia="Calibri"/>
                <w:lang w:val="en-US"/>
              </w:rPr>
              <w:t xml:space="preserve">9%, </w:t>
            </w:r>
            <w:r w:rsidR="00332B5A">
              <w:rPr>
                <w:rFonts w:eastAsia="Calibri"/>
                <w:lang w:val="en-US"/>
              </w:rPr>
              <w:t>95%-os</w:t>
            </w:r>
            <w:r>
              <w:rPr>
                <w:rFonts w:eastAsia="Calibri"/>
                <w:lang w:val="en-US"/>
              </w:rPr>
              <w:t xml:space="preserve"> CI</w:t>
            </w:r>
          </w:p>
          <w:p w:rsidR="00224F0F" w:rsidRDefault="00485CCD">
            <w:pPr>
              <w:widowControl w:val="0"/>
              <w:autoSpaceDE w:val="0"/>
              <w:autoSpaceDN w:val="0"/>
              <w:spacing w:line="233" w:lineRule="exact"/>
              <w:rPr>
                <w:rFonts w:eastAsia="Calibri"/>
                <w:lang w:val="en-US"/>
              </w:rPr>
            </w:pPr>
            <w:r>
              <w:rPr>
                <w:rFonts w:eastAsia="Calibri"/>
                <w:lang w:val="en-US"/>
              </w:rPr>
              <w:t>0</w:t>
            </w:r>
            <w:r w:rsidR="00773611">
              <w:rPr>
                <w:rFonts w:eastAsia="Calibri"/>
                <w:lang w:val="en-US"/>
              </w:rPr>
              <w:t>,</w:t>
            </w:r>
            <w:r>
              <w:rPr>
                <w:rFonts w:eastAsia="Calibri"/>
                <w:lang w:val="en-US"/>
              </w:rPr>
              <w:t>5% - 5</w:t>
            </w:r>
            <w:r w:rsidR="00773611">
              <w:rPr>
                <w:rFonts w:eastAsia="Calibri"/>
                <w:lang w:val="en-US"/>
              </w:rPr>
              <w:t>,</w:t>
            </w:r>
            <w:r>
              <w:rPr>
                <w:rFonts w:eastAsia="Calibri"/>
                <w:lang w:val="en-US"/>
              </w:rPr>
              <w:t>3%)</w:t>
            </w:r>
          </w:p>
        </w:tc>
      </w:tr>
      <w:tr w:rsidR="00224F0F">
        <w:trPr>
          <w:trHeight w:val="759"/>
        </w:trPr>
        <w:tc>
          <w:tcPr>
            <w:tcW w:w="2753" w:type="pct"/>
            <w:shd w:val="clear" w:color="auto" w:fill="auto"/>
          </w:tcPr>
          <w:p w:rsidR="00224F0F" w:rsidRDefault="00485CCD">
            <w:pPr>
              <w:widowControl w:val="0"/>
              <w:autoSpaceDE w:val="0"/>
              <w:autoSpaceDN w:val="0"/>
              <w:spacing w:before="1"/>
              <w:rPr>
                <w:rFonts w:eastAsia="Calibri"/>
                <w:lang w:val="en-US"/>
              </w:rPr>
            </w:pPr>
            <w:r>
              <w:rPr>
                <w:color w:val="000000"/>
                <w:lang w:val="hu-HU"/>
              </w:rPr>
              <w:t>Súlyos vérzés</w:t>
            </w:r>
          </w:p>
        </w:tc>
        <w:tc>
          <w:tcPr>
            <w:tcW w:w="1123" w:type="pct"/>
            <w:shd w:val="clear" w:color="auto" w:fill="auto"/>
          </w:tcPr>
          <w:p w:rsidR="00224F0F" w:rsidRDefault="00485CCD">
            <w:pPr>
              <w:widowControl w:val="0"/>
              <w:autoSpaceDE w:val="0"/>
              <w:autoSpaceDN w:val="0"/>
              <w:spacing w:before="1" w:line="252" w:lineRule="exact"/>
              <w:rPr>
                <w:rFonts w:eastAsia="Calibri"/>
                <w:lang w:val="en-US"/>
              </w:rPr>
            </w:pPr>
            <w:r>
              <w:rPr>
                <w:rFonts w:eastAsia="Calibri"/>
                <w:w w:val="99"/>
                <w:lang w:val="en-US"/>
              </w:rPr>
              <w:t>0</w:t>
            </w:r>
          </w:p>
          <w:p w:rsidR="00224F0F" w:rsidRDefault="00485CCD">
            <w:pPr>
              <w:widowControl w:val="0"/>
              <w:autoSpaceDE w:val="0"/>
              <w:autoSpaceDN w:val="0"/>
              <w:spacing w:line="252" w:lineRule="exact"/>
              <w:rPr>
                <w:rFonts w:eastAsia="Calibri"/>
                <w:lang w:val="en-US"/>
              </w:rPr>
            </w:pPr>
            <w:r>
              <w:rPr>
                <w:rFonts w:eastAsia="Calibri"/>
                <w:lang w:val="en-US"/>
              </w:rPr>
              <w:t>(0</w:t>
            </w:r>
            <w:r w:rsidR="00773611">
              <w:rPr>
                <w:rFonts w:eastAsia="Calibri"/>
                <w:lang w:val="en-US"/>
              </w:rPr>
              <w:t>,</w:t>
            </w:r>
            <w:r>
              <w:rPr>
                <w:rFonts w:eastAsia="Calibri"/>
                <w:lang w:val="en-US"/>
              </w:rPr>
              <w:t xml:space="preserve">0%, </w:t>
            </w:r>
            <w:r w:rsidR="00332B5A">
              <w:rPr>
                <w:rFonts w:eastAsia="Calibri"/>
                <w:lang w:val="en-US"/>
              </w:rPr>
              <w:t>95%-os</w:t>
            </w:r>
            <w:r>
              <w:rPr>
                <w:rFonts w:eastAsia="Calibri"/>
                <w:lang w:val="en-US"/>
              </w:rPr>
              <w:t xml:space="preserve"> CI</w:t>
            </w:r>
          </w:p>
          <w:p w:rsidR="00224F0F" w:rsidRDefault="00485CCD">
            <w:pPr>
              <w:widowControl w:val="0"/>
              <w:autoSpaceDE w:val="0"/>
              <w:autoSpaceDN w:val="0"/>
              <w:spacing w:line="233" w:lineRule="exact"/>
              <w:rPr>
                <w:rFonts w:eastAsia="Calibri"/>
                <w:lang w:val="en-US"/>
              </w:rPr>
            </w:pPr>
            <w:r>
              <w:rPr>
                <w:rFonts w:eastAsia="Calibri"/>
                <w:lang w:val="en-US"/>
              </w:rPr>
              <w:t>0</w:t>
            </w:r>
            <w:r w:rsidR="00773611">
              <w:rPr>
                <w:rFonts w:eastAsia="Calibri"/>
                <w:lang w:val="en-US"/>
              </w:rPr>
              <w:t>,</w:t>
            </w:r>
            <w:r>
              <w:rPr>
                <w:rFonts w:eastAsia="Calibri"/>
                <w:lang w:val="en-US"/>
              </w:rPr>
              <w:t>0% - 1</w:t>
            </w:r>
            <w:r w:rsidR="00773611">
              <w:rPr>
                <w:rFonts w:eastAsia="Calibri"/>
                <w:lang w:val="en-US"/>
              </w:rPr>
              <w:t>,</w:t>
            </w:r>
            <w:r>
              <w:rPr>
                <w:rFonts w:eastAsia="Calibri"/>
                <w:lang w:val="en-US"/>
              </w:rPr>
              <w:t>1%)</w:t>
            </w:r>
          </w:p>
        </w:tc>
        <w:tc>
          <w:tcPr>
            <w:tcW w:w="1123" w:type="pct"/>
            <w:shd w:val="clear" w:color="auto" w:fill="auto"/>
          </w:tcPr>
          <w:p w:rsidR="00224F0F" w:rsidRDefault="00485CCD">
            <w:pPr>
              <w:widowControl w:val="0"/>
              <w:autoSpaceDE w:val="0"/>
              <w:autoSpaceDN w:val="0"/>
              <w:spacing w:before="1" w:line="252" w:lineRule="exact"/>
              <w:rPr>
                <w:rFonts w:eastAsia="Calibri"/>
                <w:lang w:val="en-US"/>
              </w:rPr>
            </w:pPr>
            <w:r>
              <w:rPr>
                <w:rFonts w:eastAsia="Calibri"/>
                <w:w w:val="99"/>
                <w:lang w:val="en-US"/>
              </w:rPr>
              <w:t>2</w:t>
            </w:r>
          </w:p>
          <w:p w:rsidR="00224F0F" w:rsidRDefault="00485CCD">
            <w:pPr>
              <w:widowControl w:val="0"/>
              <w:autoSpaceDE w:val="0"/>
              <w:autoSpaceDN w:val="0"/>
              <w:spacing w:line="252" w:lineRule="exact"/>
              <w:rPr>
                <w:rFonts w:eastAsia="Calibri"/>
                <w:lang w:val="en-US"/>
              </w:rPr>
            </w:pPr>
            <w:r>
              <w:rPr>
                <w:rFonts w:eastAsia="Calibri"/>
                <w:lang w:val="en-US"/>
              </w:rPr>
              <w:t>(1</w:t>
            </w:r>
            <w:r w:rsidR="00773611">
              <w:rPr>
                <w:rFonts w:eastAsia="Calibri"/>
                <w:lang w:val="en-US"/>
              </w:rPr>
              <w:t>,</w:t>
            </w:r>
            <w:r>
              <w:rPr>
                <w:rFonts w:eastAsia="Calibri"/>
                <w:lang w:val="en-US"/>
              </w:rPr>
              <w:t xml:space="preserve">2%, </w:t>
            </w:r>
            <w:r w:rsidR="00332B5A">
              <w:rPr>
                <w:rFonts w:eastAsia="Calibri"/>
                <w:lang w:val="en-US"/>
              </w:rPr>
              <w:t>95%-os</w:t>
            </w:r>
            <w:r>
              <w:rPr>
                <w:rFonts w:eastAsia="Calibri"/>
                <w:lang w:val="en-US"/>
              </w:rPr>
              <w:t xml:space="preserve"> CI</w:t>
            </w:r>
          </w:p>
          <w:p w:rsidR="00224F0F" w:rsidRDefault="00485CCD">
            <w:pPr>
              <w:widowControl w:val="0"/>
              <w:autoSpaceDE w:val="0"/>
              <w:autoSpaceDN w:val="0"/>
              <w:spacing w:line="233" w:lineRule="exact"/>
              <w:rPr>
                <w:rFonts w:eastAsia="Calibri"/>
                <w:lang w:val="en-US"/>
              </w:rPr>
            </w:pPr>
            <w:r>
              <w:rPr>
                <w:rFonts w:eastAsia="Calibri"/>
                <w:lang w:val="en-US"/>
              </w:rPr>
              <w:t>0</w:t>
            </w:r>
            <w:r w:rsidR="00773611">
              <w:rPr>
                <w:rFonts w:eastAsia="Calibri"/>
                <w:lang w:val="en-US"/>
              </w:rPr>
              <w:t>,</w:t>
            </w:r>
            <w:r>
              <w:rPr>
                <w:rFonts w:eastAsia="Calibri"/>
                <w:lang w:val="en-US"/>
              </w:rPr>
              <w:t>2% - 4</w:t>
            </w:r>
            <w:r w:rsidR="00773611">
              <w:rPr>
                <w:rFonts w:eastAsia="Calibri"/>
                <w:lang w:val="en-US"/>
              </w:rPr>
              <w:t>,</w:t>
            </w:r>
            <w:r>
              <w:rPr>
                <w:rFonts w:eastAsia="Calibri"/>
                <w:lang w:val="en-US"/>
              </w:rPr>
              <w:t>3%)</w:t>
            </w:r>
          </w:p>
        </w:tc>
      </w:tr>
      <w:tr w:rsidR="00224F0F">
        <w:trPr>
          <w:trHeight w:val="252"/>
        </w:trPr>
        <w:tc>
          <w:tcPr>
            <w:tcW w:w="2753" w:type="pct"/>
            <w:tcBorders>
              <w:bottom w:val="single" w:sz="4" w:space="0" w:color="000000"/>
            </w:tcBorders>
            <w:shd w:val="clear" w:color="auto" w:fill="auto"/>
          </w:tcPr>
          <w:p w:rsidR="00224F0F" w:rsidRDefault="00485CCD">
            <w:pPr>
              <w:widowControl w:val="0"/>
              <w:autoSpaceDE w:val="0"/>
              <w:autoSpaceDN w:val="0"/>
              <w:spacing w:line="233" w:lineRule="exact"/>
              <w:rPr>
                <w:rFonts w:eastAsia="Calibri"/>
                <w:lang w:val="en-US"/>
              </w:rPr>
            </w:pPr>
            <w:r>
              <w:rPr>
                <w:color w:val="000000"/>
                <w:lang w:val="hu-HU"/>
              </w:rPr>
              <w:t>Azonnali kezelést igénylő vérzések</w:t>
            </w:r>
          </w:p>
        </w:tc>
        <w:tc>
          <w:tcPr>
            <w:tcW w:w="1123" w:type="pct"/>
            <w:tcBorders>
              <w:bottom w:val="single" w:sz="4" w:space="0" w:color="000000"/>
            </w:tcBorders>
            <w:shd w:val="clear" w:color="auto" w:fill="auto"/>
          </w:tcPr>
          <w:p w:rsidR="00224F0F" w:rsidRDefault="00485CCD">
            <w:pPr>
              <w:widowControl w:val="0"/>
              <w:autoSpaceDE w:val="0"/>
              <w:autoSpaceDN w:val="0"/>
              <w:spacing w:line="233" w:lineRule="exact"/>
              <w:rPr>
                <w:rFonts w:eastAsia="Calibri"/>
                <w:lang w:val="en-US"/>
              </w:rPr>
            </w:pPr>
            <w:r>
              <w:rPr>
                <w:rFonts w:eastAsia="Calibri"/>
                <w:lang w:val="en-US"/>
              </w:rPr>
              <w:t>119 (36</w:t>
            </w:r>
            <w:r w:rsidR="00773611">
              <w:rPr>
                <w:rFonts w:eastAsia="Calibri"/>
                <w:lang w:val="en-US"/>
              </w:rPr>
              <w:t>,</w:t>
            </w:r>
            <w:r>
              <w:rPr>
                <w:rFonts w:eastAsia="Calibri"/>
                <w:lang w:val="en-US"/>
              </w:rPr>
              <w:t>2%)</w:t>
            </w:r>
          </w:p>
        </w:tc>
        <w:tc>
          <w:tcPr>
            <w:tcW w:w="1123" w:type="pct"/>
            <w:tcBorders>
              <w:bottom w:val="single" w:sz="4" w:space="0" w:color="000000"/>
            </w:tcBorders>
            <w:shd w:val="clear" w:color="auto" w:fill="auto"/>
          </w:tcPr>
          <w:p w:rsidR="00224F0F" w:rsidRDefault="00485CCD">
            <w:pPr>
              <w:widowControl w:val="0"/>
              <w:autoSpaceDE w:val="0"/>
              <w:autoSpaceDN w:val="0"/>
              <w:spacing w:line="233" w:lineRule="exact"/>
              <w:rPr>
                <w:rFonts w:eastAsia="Calibri"/>
                <w:lang w:val="en-US"/>
              </w:rPr>
            </w:pPr>
            <w:r>
              <w:rPr>
                <w:rFonts w:eastAsia="Calibri"/>
                <w:lang w:val="en-US"/>
              </w:rPr>
              <w:t>45 (27</w:t>
            </w:r>
            <w:r w:rsidR="00773611">
              <w:rPr>
                <w:rFonts w:eastAsia="Calibri"/>
                <w:lang w:val="en-US"/>
              </w:rPr>
              <w:t>,</w:t>
            </w:r>
            <w:r>
              <w:rPr>
                <w:rFonts w:eastAsia="Calibri"/>
                <w:lang w:val="en-US"/>
              </w:rPr>
              <w:t>8%)</w:t>
            </w:r>
          </w:p>
        </w:tc>
      </w:tr>
    </w:tbl>
    <w:p w:rsidR="00224F0F" w:rsidRDefault="00485CCD">
      <w:pPr>
        <w:spacing w:line="240" w:lineRule="auto"/>
        <w:rPr>
          <w:color w:val="000000"/>
          <w:lang w:val="hu-HU"/>
        </w:rPr>
      </w:pPr>
      <w:r>
        <w:rPr>
          <w:color w:val="000000"/>
          <w:lang w:val="hu-HU"/>
        </w:rPr>
        <w:t>*SAF= biztonságossági elemzési populáció (safety analysis set), az összes olyan randomizált gyermek, aki legalább 1 adag vizsgálati készítményt kapott</w:t>
      </w:r>
    </w:p>
    <w:p w:rsidR="00224F0F" w:rsidRDefault="00224F0F">
      <w:pPr>
        <w:spacing w:line="240" w:lineRule="auto"/>
        <w:rPr>
          <w:color w:val="000000"/>
          <w:lang w:val="hu-HU"/>
        </w:rPr>
      </w:pPr>
    </w:p>
    <w:p w:rsidR="00224F0F" w:rsidRDefault="00485CCD">
      <w:pPr>
        <w:spacing w:line="240" w:lineRule="auto"/>
        <w:rPr>
          <w:color w:val="000000"/>
          <w:lang w:val="hu-HU"/>
        </w:rPr>
      </w:pPr>
      <w:r>
        <w:rPr>
          <w:color w:val="000000"/>
          <w:lang w:val="hu-HU"/>
        </w:rPr>
        <w:lastRenderedPageBreak/>
        <w:t>A rivaroxabán hatásossági és biztonságossági profilja nagyjából hasonló volt a gyermekgyógyászati VTE-populációban és az MVT-s/PE-s felnőtt populációban; azonban azoknak a vizsgálati alanyoknak a hányada, akiknél bármilyen vérzés jelentkezett magasabb volt a gyermekgyógyászati VTE-populációban, mint az összehasonlított MVT-s/PE-s felnőtt populációban.</w:t>
      </w:r>
    </w:p>
    <w:p w:rsidR="00224F0F" w:rsidRDefault="00224F0F">
      <w:pPr>
        <w:spacing w:line="240" w:lineRule="auto"/>
        <w:rPr>
          <w:color w:val="000000"/>
          <w:lang w:val="hu-HU"/>
        </w:rPr>
      </w:pPr>
    </w:p>
    <w:p w:rsidR="00224F0F" w:rsidRDefault="00485CCD">
      <w:pPr>
        <w:spacing w:line="240" w:lineRule="auto"/>
        <w:rPr>
          <w:color w:val="000000"/>
          <w:u w:val="single"/>
          <w:lang w:val="hu-HU"/>
        </w:rPr>
      </w:pPr>
      <w:r>
        <w:rPr>
          <w:color w:val="000000"/>
          <w:u w:val="single"/>
          <w:lang w:val="hu-HU"/>
        </w:rPr>
        <w:t>Nagy kockázatú, tripla pozitív antifoszfolipid-szindrómában szenvedő betegek</w:t>
      </w:r>
    </w:p>
    <w:p w:rsidR="00224F0F" w:rsidRDefault="00485CCD">
      <w:pPr>
        <w:spacing w:line="240" w:lineRule="auto"/>
        <w:rPr>
          <w:color w:val="000000"/>
          <w:lang w:val="hu-HU"/>
        </w:rPr>
      </w:pPr>
      <w:r>
        <w:rPr>
          <w:color w:val="000000"/>
          <w:lang w:val="hu-HU"/>
        </w:rPr>
        <w:t>Egy, a vizsgáló által szponzorált, randomizált, nyílt, multicentrikus vizsgálat vak végpont meghatározással a rivaroxabán és a warfarin hatását vetette össze olyan betegeknél, akik már átestek thrombosison, és akiket antifoszfolipid-szindrómával diagnosztizáltak, továbbá akiknél magas a thromboemboliás események kockázata (mindhárom antipfoszfolipid teszt pozitív: lupus-anticoagulans, anticardiolipin antitestek, anti-béta-2-glikoprotein-I-antitestek). 120 beteg bevonását követően a vizsgálatot a tervezettnél korábban leállították, mivel a rivaroxabán-karon kezelt betegeknél több nemkívánatos esemény fordult elő. Az átlagos utánkövetési idő 569 nap volt. 59 beteget randomizáltak 20 mg rivaroxabán kezelésre (15 mg olyan betegek esetében, akiknél a kreatinin-clearance (</w:t>
      </w:r>
      <w:r w:rsidR="00773611">
        <w:rPr>
          <w:color w:val="000000"/>
          <w:lang w:val="hu-HU"/>
        </w:rPr>
        <w:t>K</w:t>
      </w:r>
      <w:r>
        <w:rPr>
          <w:color w:val="000000"/>
          <w:lang w:val="hu-HU"/>
        </w:rPr>
        <w:t>rCl) &lt; 50 ml/perc), és 61 beteget warfarin-kezelésre (INR</w:t>
      </w:r>
      <w:r w:rsidR="00773611">
        <w:rPr>
          <w:color w:val="000000"/>
          <w:lang w:val="hu-HU"/>
        </w:rPr>
        <w:t>:</w:t>
      </w:r>
      <w:r>
        <w:rPr>
          <w:color w:val="000000"/>
          <w:lang w:val="hu-HU"/>
        </w:rPr>
        <w:t xml:space="preserve"> 2,0-3,0). A rivaroxabánnal kezelt betegek 12%-ánál fordult elő thromboemboliás esemény (4 ischaemiás stroke és 3 myocardialis infarctus). A warfarinnal kezelt betegek esetében nem jelentettek ilyen eseményt. Súlyos vérzés jelentkezett 4 betegnél (7%) a rivaroxabán-csoportban és 2 betegnél (3%) a warfarin-csoportban.</w:t>
      </w:r>
    </w:p>
    <w:p w:rsidR="00224F0F" w:rsidRDefault="00224F0F">
      <w:pPr>
        <w:spacing w:line="240" w:lineRule="auto"/>
        <w:rPr>
          <w:color w:val="000000"/>
          <w:lang w:val="hu-HU"/>
        </w:rPr>
      </w:pPr>
    </w:p>
    <w:p w:rsidR="00224F0F" w:rsidRDefault="00485CCD">
      <w:pPr>
        <w:spacing w:line="240" w:lineRule="auto"/>
        <w:rPr>
          <w:color w:val="000000"/>
          <w:u w:val="single"/>
          <w:lang w:val="hu-HU"/>
        </w:rPr>
      </w:pPr>
      <w:r>
        <w:rPr>
          <w:color w:val="000000"/>
          <w:u w:val="single"/>
          <w:lang w:val="hu-HU"/>
        </w:rPr>
        <w:t>Gyermekek és serdülők</w:t>
      </w:r>
    </w:p>
    <w:p w:rsidR="00224F0F" w:rsidRDefault="00485CCD">
      <w:pPr>
        <w:spacing w:line="240" w:lineRule="auto"/>
        <w:rPr>
          <w:color w:val="000000"/>
          <w:lang w:val="hu-HU"/>
        </w:rPr>
      </w:pPr>
      <w:r>
        <w:rPr>
          <w:color w:val="000000"/>
          <w:lang w:val="hu-HU"/>
        </w:rPr>
        <w:t>Az Európai Gyógyszerügynökség a gyermekek esetén minden korosztálynál eltekint a rivaroxabán hatóanyagtartalmú referencia gyógyszer vizsgálati eredményeinek benyújtási kötelezettségétől a thromboemboliás események megelőzésében (lásd 4.2 pont, gyermekgyógyászati alkalmazásra vonatkozó információk).</w:t>
      </w:r>
    </w:p>
    <w:p w:rsidR="00224F0F" w:rsidRDefault="00224F0F">
      <w:pPr>
        <w:spacing w:line="240" w:lineRule="auto"/>
        <w:rPr>
          <w:color w:val="000000"/>
          <w:lang w:val="hu-HU"/>
        </w:rPr>
      </w:pPr>
    </w:p>
    <w:p w:rsidR="00224F0F" w:rsidRDefault="00485CCD">
      <w:pPr>
        <w:pStyle w:val="Default"/>
        <w:ind w:left="567" w:hanging="568"/>
        <w:rPr>
          <w:b/>
          <w:bCs/>
          <w:sz w:val="22"/>
          <w:szCs w:val="22"/>
        </w:rPr>
      </w:pPr>
      <w:r>
        <w:rPr>
          <w:b/>
          <w:bCs/>
          <w:sz w:val="22"/>
          <w:szCs w:val="22"/>
        </w:rPr>
        <w:t>5.2</w:t>
      </w:r>
      <w:r>
        <w:rPr>
          <w:b/>
          <w:bCs/>
          <w:sz w:val="22"/>
          <w:szCs w:val="22"/>
        </w:rPr>
        <w:tab/>
        <w:t>Farmakokinetikai tulajdonságok</w:t>
      </w:r>
    </w:p>
    <w:p w:rsidR="00224F0F" w:rsidRDefault="00224F0F">
      <w:pPr>
        <w:pStyle w:val="Default"/>
        <w:ind w:left="567" w:hanging="568"/>
        <w:rPr>
          <w:sz w:val="22"/>
          <w:szCs w:val="22"/>
        </w:rPr>
      </w:pPr>
    </w:p>
    <w:p w:rsidR="00224F0F" w:rsidRDefault="00485CCD">
      <w:pPr>
        <w:pStyle w:val="Default"/>
        <w:rPr>
          <w:sz w:val="22"/>
          <w:szCs w:val="22"/>
          <w:u w:val="single"/>
        </w:rPr>
      </w:pPr>
      <w:r>
        <w:rPr>
          <w:sz w:val="22"/>
          <w:szCs w:val="22"/>
          <w:u w:val="single"/>
        </w:rPr>
        <w:t>Felszívódás</w:t>
      </w:r>
    </w:p>
    <w:p w:rsidR="00224F0F" w:rsidRDefault="00485CCD">
      <w:pPr>
        <w:pStyle w:val="Default"/>
        <w:rPr>
          <w:sz w:val="22"/>
          <w:szCs w:val="22"/>
        </w:rPr>
      </w:pPr>
      <w:r>
        <w:rPr>
          <w:sz w:val="22"/>
          <w:szCs w:val="22"/>
        </w:rPr>
        <w:t>A következő információk felnőttektől nyert adatokon alapulnak.</w:t>
      </w:r>
    </w:p>
    <w:p w:rsidR="00224F0F" w:rsidRDefault="00485CCD">
      <w:pPr>
        <w:pStyle w:val="Default"/>
        <w:rPr>
          <w:sz w:val="22"/>
          <w:szCs w:val="22"/>
        </w:rPr>
      </w:pPr>
      <w:r>
        <w:rPr>
          <w:sz w:val="22"/>
          <w:szCs w:val="22"/>
        </w:rPr>
        <w:t>A rivaroxabán gyorsan felszívódik, csúcskoncentrációját (C</w:t>
      </w:r>
      <w:r>
        <w:rPr>
          <w:sz w:val="22"/>
          <w:szCs w:val="22"/>
          <w:vertAlign w:val="subscript"/>
        </w:rPr>
        <w:t>max</w:t>
      </w:r>
      <w:r>
        <w:rPr>
          <w:sz w:val="22"/>
          <w:szCs w:val="22"/>
        </w:rPr>
        <w:t>) 2-4 órával a tabletta bevétele után éri el.</w:t>
      </w:r>
    </w:p>
    <w:p w:rsidR="00224F0F" w:rsidRDefault="00485CCD">
      <w:pPr>
        <w:spacing w:line="240" w:lineRule="auto"/>
      </w:pPr>
      <w:r>
        <w:rPr>
          <w:color w:val="000000"/>
          <w:lang w:val="hu-HU"/>
        </w:rPr>
        <w:t>A rivaroxabán orális alkalmazását követően a felszívódás majdnem teljes, és a 2,5 mg-os illetve 10 mg-os dózist tartalmazó tabletta esetén az orális biohasznosulás az éhgyomri/étkezés utáni állapottól függetlenül magas (80-100%). Az étellel együtt történő bevétel nem befolyásolja a rivaroxabán AUC- vagy C</w:t>
      </w:r>
      <w:r>
        <w:rPr>
          <w:color w:val="000000"/>
          <w:vertAlign w:val="subscript"/>
          <w:lang w:val="hu-HU"/>
        </w:rPr>
        <w:t>max</w:t>
      </w:r>
      <w:r>
        <w:rPr>
          <w:color w:val="000000"/>
          <w:lang w:val="hu-HU"/>
        </w:rPr>
        <w:t>-értékeket 2,5 mg, illetve 10 mg dózis mellett.</w:t>
      </w:r>
    </w:p>
    <w:p w:rsidR="00224F0F" w:rsidRDefault="00485CCD">
      <w:pPr>
        <w:spacing w:line="240" w:lineRule="auto"/>
      </w:pPr>
      <w:r>
        <w:t>A csökkent mértékű felszívódás miatt, a 20 mg-os tabletta esetén 66%-os orális biohasznosulást határoztak meg éhgyomri állapot esetén. Ha a rivaroxabán 20 mg tablettát étellel vették be, akkor az átlagos AUC-érték 39%-os emelkedését figyelték meg az éhgyomri állapotban történő bevételhez képest, amely teljes felszívódást és magas orális biohasznosulást jelez. A rivaroxabán 15 és 20 mg tablettát étellel együtt kell bevenni (lásd 4.2 pont).</w:t>
      </w:r>
    </w:p>
    <w:p w:rsidR="00224F0F" w:rsidRDefault="00485CCD">
      <w:pPr>
        <w:spacing w:line="240" w:lineRule="auto"/>
      </w:pPr>
      <w:r>
        <w:t>A rivaroxabán farmakokinetikája, éhgyomorra bevéve, naponta 15 mg-ig megközelítőleg lineáris. Étkezést követően a rivaroxabán 10, 15 és 20 mg-os tabletta farmakokinetikája dózisarányosságot mutatott. Nagyobb dózisokban a rivaroxabán a kioldódás által korlátozott felszívódást mutat, a dózis növelésével csökkenő biológiai hozzáférhetőséggel és felszívódási sebességgel.</w:t>
      </w:r>
    </w:p>
    <w:p w:rsidR="00224F0F" w:rsidRDefault="00485CCD">
      <w:pPr>
        <w:pStyle w:val="Default"/>
        <w:rPr>
          <w:sz w:val="22"/>
          <w:szCs w:val="22"/>
        </w:rPr>
      </w:pPr>
      <w:r>
        <w:rPr>
          <w:sz w:val="22"/>
          <w:szCs w:val="22"/>
        </w:rPr>
        <w:t>A rivaroxabán farmakokinetikájának mérsékelt a szórása, az egyének közötti variabilitás (CV%) 30%-tól 40%-ig terjedő tartományban mozog.</w:t>
      </w:r>
    </w:p>
    <w:p w:rsidR="00224F0F" w:rsidRDefault="00485CCD">
      <w:pPr>
        <w:pStyle w:val="Default"/>
        <w:rPr>
          <w:sz w:val="22"/>
          <w:szCs w:val="22"/>
        </w:rPr>
      </w:pPr>
      <w:r>
        <w:rPr>
          <w:sz w:val="22"/>
          <w:szCs w:val="22"/>
        </w:rPr>
        <w:t>A rivaroxabán felszívódása a gyomor-bélrendszerben történő felszabadulásának helyétől függ. Amikor a rivaroxabán granulátum a vékonybél proximális részében szabadul fel, az AUC-érték 29%-os és a C</w:t>
      </w:r>
      <w:r>
        <w:rPr>
          <w:sz w:val="22"/>
          <w:szCs w:val="22"/>
          <w:vertAlign w:val="subscript"/>
        </w:rPr>
        <w:t>max</w:t>
      </w:r>
      <w:r>
        <w:rPr>
          <w:sz w:val="22"/>
          <w:szCs w:val="22"/>
        </w:rPr>
        <w:t>-érték 56%-os csökkenéséről számoltak be a tablettához képest. Az expozíció tovább csökken, ha a rivaroxabán a vékonybél disztális részében vagy a colon ascendensben szabadul fel. Ezért a rivaroxabán gyomortól disztálisan történő beadását kerülni kell, mert ez csökkent felszívódást, és ennek következtében csökkent rivaroxabán-expozíciót eredményezhet.</w:t>
      </w:r>
    </w:p>
    <w:p w:rsidR="00224F0F" w:rsidRDefault="00485CCD">
      <w:pPr>
        <w:pStyle w:val="Default"/>
        <w:rPr>
          <w:sz w:val="22"/>
          <w:szCs w:val="22"/>
        </w:rPr>
      </w:pPr>
      <w:r>
        <w:rPr>
          <w:sz w:val="22"/>
          <w:szCs w:val="22"/>
        </w:rPr>
        <w:t>A biohasznosulás (AUC és C</w:t>
      </w:r>
      <w:r>
        <w:rPr>
          <w:sz w:val="22"/>
          <w:szCs w:val="22"/>
          <w:vertAlign w:val="subscript"/>
        </w:rPr>
        <w:t>max</w:t>
      </w:r>
      <w:r>
        <w:rPr>
          <w:sz w:val="22"/>
          <w:szCs w:val="22"/>
        </w:rPr>
        <w:t xml:space="preserve">) az egész tablettáéhoz hasonló volt, amikor 20 mg rivaroxabánt almapürében elkevert porrá tört tabletta formájában, szájon át adtak be, illetve amikor vízben </w:t>
      </w:r>
      <w:r>
        <w:rPr>
          <w:sz w:val="22"/>
          <w:szCs w:val="22"/>
        </w:rPr>
        <w:lastRenderedPageBreak/>
        <w:t>szuszpendálva, gyomorszondán át alkalmazták, és utána folyékony táplálékot adtak. A rivaroxabán előre kiszámítható, dózisarányos farmakokinetikai profiljából adódóan a vizsgálatból származó biohasznosulási eredmények valószínűleg az alacsonyabb rivaroxabán dózisokra is érvényesek.</w:t>
      </w:r>
    </w:p>
    <w:p w:rsidR="00224F0F" w:rsidRDefault="00224F0F">
      <w:pPr>
        <w:pStyle w:val="Default"/>
        <w:rPr>
          <w:sz w:val="22"/>
          <w:szCs w:val="22"/>
        </w:rPr>
      </w:pPr>
    </w:p>
    <w:p w:rsidR="00224F0F" w:rsidRDefault="00485CCD">
      <w:pPr>
        <w:pStyle w:val="Default"/>
        <w:rPr>
          <w:i/>
          <w:iCs/>
          <w:sz w:val="22"/>
          <w:szCs w:val="22"/>
        </w:rPr>
      </w:pPr>
      <w:r>
        <w:rPr>
          <w:i/>
          <w:iCs/>
          <w:sz w:val="22"/>
          <w:szCs w:val="22"/>
        </w:rPr>
        <w:t>Gyermekek és serdülők</w:t>
      </w:r>
    </w:p>
    <w:p w:rsidR="00224F0F" w:rsidRDefault="00485CCD">
      <w:pPr>
        <w:pStyle w:val="Default"/>
        <w:rPr>
          <w:sz w:val="22"/>
          <w:szCs w:val="22"/>
        </w:rPr>
      </w:pPr>
      <w:r>
        <w:rPr>
          <w:sz w:val="22"/>
          <w:szCs w:val="22"/>
        </w:rPr>
        <w:t>A gyermekek a rivaroxabán tablettát vagy belsőleges szuszpenziót etetés vagy étkezés közben, illetve nem sokkal azt követően kapták egy szokásosan fogyasztott folyadékkal együtt annak érdekében, hogy ezzel biztosítsák a megbízható adagolást náluk. Akárcsak a felnőtteknél, a rivaroxabán gyermekeknél is gyorsan felszívódik tabletta, illetve granulátum belsőleges szuszpenzióhoz formájában történő orális alkalmazást követően. Nem figyeltek meg különbséget a felszívódási sebesség, illetve a felszívódás mértéke tekintetében a tabletta és a granulátum belsőleges szuszpenzióhoz gyógyszerforma között. Nem állnak rendelkezésre intravénás alkalmazást követő farmakokinetikai adatok gyermekeknél, ezért a rivaroxabán abszolút biohasznosulása gyermekeknél nem ismert. A relatív biohasznosulás csökkenését tapasztalták a (mg/ttkg-ban kifejezett) adagok növelésével párhuzamosan, ami arra utal, hogy nagyobb dózisoknál korlátozott a felszívódás még akkor is, ha étellel együtt veszik be a készítményt.</w:t>
      </w:r>
    </w:p>
    <w:p w:rsidR="00224F0F" w:rsidRDefault="00485CCD">
      <w:pPr>
        <w:pStyle w:val="Default"/>
        <w:rPr>
          <w:sz w:val="22"/>
          <w:szCs w:val="22"/>
        </w:rPr>
      </w:pPr>
      <w:r>
        <w:rPr>
          <w:sz w:val="22"/>
          <w:szCs w:val="22"/>
        </w:rPr>
        <w:t>A rivaroxabán 15 mg tablettát etetés vagy étkezés közben kell bevenni (lásd 4.2 pont).</w:t>
      </w:r>
    </w:p>
    <w:p w:rsidR="00224F0F" w:rsidRDefault="00224F0F">
      <w:pPr>
        <w:pStyle w:val="Default"/>
        <w:rPr>
          <w:sz w:val="22"/>
          <w:szCs w:val="22"/>
          <w:u w:val="single"/>
        </w:rPr>
      </w:pPr>
    </w:p>
    <w:p w:rsidR="00224F0F" w:rsidRDefault="00485CCD">
      <w:pPr>
        <w:pStyle w:val="Default"/>
        <w:rPr>
          <w:sz w:val="22"/>
          <w:szCs w:val="22"/>
        </w:rPr>
      </w:pPr>
      <w:r>
        <w:rPr>
          <w:sz w:val="22"/>
          <w:szCs w:val="22"/>
          <w:u w:val="single"/>
        </w:rPr>
        <w:t>Eloszlás</w:t>
      </w:r>
    </w:p>
    <w:p w:rsidR="00224F0F" w:rsidRDefault="00485CCD">
      <w:pPr>
        <w:pStyle w:val="Default"/>
        <w:rPr>
          <w:sz w:val="22"/>
          <w:szCs w:val="22"/>
        </w:rPr>
      </w:pPr>
      <w:r>
        <w:rPr>
          <w:sz w:val="22"/>
          <w:szCs w:val="22"/>
        </w:rPr>
        <w:t>A plazmafehérjékhez való kötődése felnőtteknél magas, hozzávetőlegesen 92%-95%, közülük a fő kötő komponens a szérum albumin. Eloszlási térfogata közepes, a V</w:t>
      </w:r>
      <w:r>
        <w:rPr>
          <w:sz w:val="22"/>
          <w:szCs w:val="22"/>
          <w:vertAlign w:val="subscript"/>
        </w:rPr>
        <w:t>ss</w:t>
      </w:r>
      <w:r>
        <w:rPr>
          <w:position w:val="-8"/>
          <w:sz w:val="22"/>
          <w:szCs w:val="22"/>
          <w:vertAlign w:val="subscript"/>
        </w:rPr>
        <w:t xml:space="preserve">  </w:t>
      </w:r>
      <w:r>
        <w:rPr>
          <w:sz w:val="22"/>
          <w:szCs w:val="22"/>
        </w:rPr>
        <w:t>értéke hozzávetőlegesen 50</w:t>
      </w:r>
      <w:r>
        <w:rPr>
          <w:sz w:val="22"/>
          <w:szCs w:val="22"/>
          <w:lang w:eastAsia="en-US"/>
        </w:rPr>
        <w:t> </w:t>
      </w:r>
      <w:r>
        <w:rPr>
          <w:sz w:val="22"/>
          <w:szCs w:val="22"/>
        </w:rPr>
        <w:t>liter.</w:t>
      </w:r>
    </w:p>
    <w:p w:rsidR="00224F0F" w:rsidRDefault="00224F0F">
      <w:pPr>
        <w:pStyle w:val="Default"/>
        <w:rPr>
          <w:sz w:val="22"/>
          <w:szCs w:val="22"/>
        </w:rPr>
      </w:pPr>
    </w:p>
    <w:p w:rsidR="00224F0F" w:rsidRDefault="00485CCD">
      <w:pPr>
        <w:pStyle w:val="Default"/>
        <w:rPr>
          <w:i/>
          <w:iCs/>
          <w:sz w:val="22"/>
          <w:szCs w:val="22"/>
        </w:rPr>
      </w:pPr>
      <w:r>
        <w:rPr>
          <w:i/>
          <w:iCs/>
          <w:sz w:val="22"/>
          <w:szCs w:val="22"/>
        </w:rPr>
        <w:t>Gyermekek és serdülők</w:t>
      </w:r>
    </w:p>
    <w:p w:rsidR="00224F0F" w:rsidRDefault="00485CCD">
      <w:pPr>
        <w:pStyle w:val="Default"/>
        <w:rPr>
          <w:sz w:val="22"/>
          <w:szCs w:val="22"/>
        </w:rPr>
      </w:pPr>
      <w:r>
        <w:rPr>
          <w:sz w:val="22"/>
          <w:szCs w:val="22"/>
        </w:rPr>
        <w:t>Nem állnak rendelkezésre adatok a rivaroxabán plazmafehérje-kötődéséről kifejezetten gyermekekre vonatkozóan. Nem állnak rendelkezésre a rivaroxabán intravénás alkalmazását követő farmakokinetikai adatok gyermekeknél. A Vss populációs farmakokinetikai modellezéssel becsült értéke gyermekeknél (életkortartomány: 0 – &lt; 18 év) a rivaroxabán szájon át történő alkalmazása esetén a testtömegtől függ és allometrikus függvénnyel írható le, amelynek átlaga 82,8 kg-os testtömegű embernél 113 liter.</w:t>
      </w:r>
    </w:p>
    <w:p w:rsidR="00224F0F" w:rsidRDefault="00224F0F">
      <w:pPr>
        <w:pStyle w:val="Default"/>
        <w:rPr>
          <w:sz w:val="22"/>
          <w:szCs w:val="22"/>
        </w:rPr>
      </w:pPr>
    </w:p>
    <w:p w:rsidR="00224F0F" w:rsidRDefault="00485CCD">
      <w:pPr>
        <w:pStyle w:val="Default"/>
        <w:keepNext/>
        <w:rPr>
          <w:sz w:val="22"/>
          <w:szCs w:val="22"/>
        </w:rPr>
      </w:pPr>
      <w:r>
        <w:rPr>
          <w:sz w:val="22"/>
          <w:szCs w:val="22"/>
          <w:u w:val="single"/>
        </w:rPr>
        <w:t>Biotranszformáció és elimináció</w:t>
      </w:r>
    </w:p>
    <w:p w:rsidR="00224F0F" w:rsidRDefault="00485CCD">
      <w:pPr>
        <w:pStyle w:val="Default"/>
        <w:rPr>
          <w:sz w:val="22"/>
          <w:szCs w:val="22"/>
        </w:rPr>
      </w:pPr>
      <w:r>
        <w:rPr>
          <w:sz w:val="22"/>
          <w:szCs w:val="22"/>
        </w:rPr>
        <w:t>Felnőtteknél az alkalmazott rivaroxabán dózis kb. 2/3 része bomlik le metabolikusan, melynek fele a vesén keresztül, másik fele a széklettel ürül ki a szervezetből. Az alkalmazott dózis fennmaradó 1/3 része közvetlenül, változatlan hatóanyag formában ürül ki a vesén keresztül a vizeletbe, főként aktív renális kiválasztás révén.</w:t>
      </w:r>
    </w:p>
    <w:p w:rsidR="00224F0F" w:rsidRDefault="00485CCD">
      <w:pPr>
        <w:pStyle w:val="Default"/>
        <w:rPr>
          <w:sz w:val="22"/>
          <w:szCs w:val="22"/>
        </w:rPr>
      </w:pPr>
      <w:r>
        <w:rPr>
          <w:sz w:val="22"/>
          <w:szCs w:val="22"/>
        </w:rPr>
        <w:t xml:space="preserve">A rivaroxabán a CYP3A4, a CYP2J2 és a CYP enzimektől független mechanizmusok útján metabolizálódik. A morfolinon rész oxidatív lebontása és az amid-kötések hidrolízise a biotranszformáció fő támadáspontjai. </w:t>
      </w:r>
      <w:r>
        <w:rPr>
          <w:i/>
          <w:iCs/>
          <w:sz w:val="22"/>
          <w:szCs w:val="22"/>
        </w:rPr>
        <w:t xml:space="preserve">In vitro </w:t>
      </w:r>
      <w:r>
        <w:rPr>
          <w:sz w:val="22"/>
          <w:szCs w:val="22"/>
        </w:rPr>
        <w:t>vizsgálatok alapján a rivaroxabán a P-gp (P-glikoprotein) és Bcrp (emlő carcinoma rezisztencia fehérje) transzporter-fehérjék szubsztrátja.</w:t>
      </w:r>
    </w:p>
    <w:p w:rsidR="00224F0F" w:rsidRDefault="00485CCD">
      <w:pPr>
        <w:spacing w:line="240" w:lineRule="auto"/>
        <w:rPr>
          <w:color w:val="000000"/>
          <w:lang w:val="hu-HU"/>
        </w:rPr>
      </w:pPr>
      <w:r>
        <w:rPr>
          <w:color w:val="000000"/>
          <w:lang w:val="hu-HU"/>
        </w:rPr>
        <w:t>A változatlan formájú rivaroxabán a legfontosabb vegyület a humán plazmában, fő vagy aktív keringő metabolitok jelenléte nélkül. A rivaroxabán körülbelül 10 l/óra mértékű szisztémás clearance-értékkel az alacsony clearance-értékkel rendelkező anyagok csoportjába tartozik. 1 mg-os adag intravénás beadása után a felezési idő körülbelül 4,5 óra. Oralis beadást követően az eliminációt a felszívódás sebessége korlátozza. A rivaroxabán plazmából történő eliminációja 5-9 órás terminális felezési idővel történik fiataloknál, míg idősek esetében a terminális felezési idő 11-13 óra.</w:t>
      </w:r>
    </w:p>
    <w:p w:rsidR="00224F0F" w:rsidRDefault="00224F0F">
      <w:pPr>
        <w:spacing w:line="240" w:lineRule="auto"/>
        <w:rPr>
          <w:color w:val="000000"/>
          <w:lang w:val="hu-HU"/>
        </w:rPr>
      </w:pPr>
    </w:p>
    <w:p w:rsidR="00224F0F" w:rsidRDefault="00485CCD">
      <w:pPr>
        <w:pStyle w:val="Default"/>
        <w:rPr>
          <w:i/>
          <w:iCs/>
          <w:sz w:val="22"/>
          <w:szCs w:val="22"/>
        </w:rPr>
      </w:pPr>
      <w:r>
        <w:rPr>
          <w:i/>
          <w:iCs/>
          <w:sz w:val="22"/>
          <w:szCs w:val="22"/>
        </w:rPr>
        <w:t>Gyermekek és serdülők</w:t>
      </w:r>
    </w:p>
    <w:p w:rsidR="00224F0F" w:rsidRDefault="00485CCD">
      <w:pPr>
        <w:pStyle w:val="Default"/>
        <w:rPr>
          <w:sz w:val="22"/>
          <w:szCs w:val="22"/>
        </w:rPr>
      </w:pPr>
      <w:r>
        <w:rPr>
          <w:sz w:val="22"/>
          <w:szCs w:val="22"/>
        </w:rPr>
        <w:t xml:space="preserve">Nem állnak rendelkezésre metabolizmust leíró adatok kifejezetten gyermekekre vonatkozóan. Nem állnak rendelkezésre a rivaroxabán intravénás alkalmazását követő farmakokinetikai adatok gyermekeknél. A CL (systemic clearance) populációs farmakokinetikai modellezéssel becsült értéke gyermekeknél (életkortartomány: 0 – &lt; 18 év) a rivaroxabán szájon át történő alkalmazása után a testtömegtől függ és allometrikus függvénnyel írható le, amelynek átlaga 82,8 kg-os testtömegű embernél 8 liter/óra. A diszpozíciós felezési idő (t1/2) populációs farmakokinetikai modellezéssel becsült mértani átlagértékei az életkorral fordított arányban csökkennek, a következő tartományban: </w:t>
      </w:r>
      <w:r>
        <w:rPr>
          <w:sz w:val="22"/>
          <w:szCs w:val="22"/>
        </w:rPr>
        <w:lastRenderedPageBreak/>
        <w:t>serdülőknél 4,2 óra; 2–12 éves gyermekeknél 3 óra; míg 0,5 – &lt; 2 éves gyermekeknél csupán 1,9 óra, 0,5 évesnél fiatalabb csecsemőknél pedig csak 1,6 óra.</w:t>
      </w:r>
    </w:p>
    <w:p w:rsidR="00224F0F" w:rsidRDefault="00224F0F">
      <w:pPr>
        <w:pStyle w:val="Default"/>
        <w:rPr>
          <w:sz w:val="22"/>
          <w:szCs w:val="22"/>
          <w:u w:val="single"/>
        </w:rPr>
      </w:pPr>
    </w:p>
    <w:p w:rsidR="00224F0F" w:rsidRDefault="00485CCD">
      <w:pPr>
        <w:pStyle w:val="Default"/>
        <w:rPr>
          <w:sz w:val="22"/>
          <w:szCs w:val="22"/>
        </w:rPr>
      </w:pPr>
      <w:r>
        <w:rPr>
          <w:sz w:val="22"/>
          <w:szCs w:val="22"/>
          <w:u w:val="single"/>
        </w:rPr>
        <w:t>Különleges betegcsoportok</w:t>
      </w:r>
    </w:p>
    <w:p w:rsidR="00224F0F" w:rsidRDefault="00485CCD">
      <w:pPr>
        <w:pStyle w:val="Default"/>
        <w:rPr>
          <w:sz w:val="22"/>
          <w:szCs w:val="22"/>
        </w:rPr>
      </w:pPr>
      <w:r>
        <w:rPr>
          <w:i/>
          <w:iCs/>
          <w:sz w:val="22"/>
          <w:szCs w:val="22"/>
        </w:rPr>
        <w:t>Nemek közötti különbségek</w:t>
      </w:r>
    </w:p>
    <w:p w:rsidR="00224F0F" w:rsidRDefault="00485CCD">
      <w:pPr>
        <w:pStyle w:val="Default"/>
        <w:rPr>
          <w:sz w:val="22"/>
          <w:szCs w:val="22"/>
        </w:rPr>
      </w:pPr>
      <w:r>
        <w:rPr>
          <w:sz w:val="22"/>
          <w:szCs w:val="22"/>
        </w:rPr>
        <w:t>A férfi és női felnőtt betegek között nem volt klinikailag jelentős különbség sem a farmakokinetikai tulajdonságokban, sem a farmakodinámiás hatásokban. Feltáró elemzés nem mutatott releváns különbségeket a fiú- és lánygyermekek rivaroxabán-expozícióját illetően.</w:t>
      </w:r>
    </w:p>
    <w:p w:rsidR="00224F0F" w:rsidRDefault="00224F0F">
      <w:pPr>
        <w:pStyle w:val="Default"/>
        <w:rPr>
          <w:sz w:val="22"/>
          <w:szCs w:val="22"/>
        </w:rPr>
      </w:pPr>
    </w:p>
    <w:p w:rsidR="00224F0F" w:rsidRDefault="00485CCD">
      <w:pPr>
        <w:pStyle w:val="Default"/>
        <w:rPr>
          <w:sz w:val="22"/>
          <w:szCs w:val="22"/>
        </w:rPr>
      </w:pPr>
      <w:r>
        <w:rPr>
          <w:i/>
          <w:iCs/>
          <w:sz w:val="22"/>
          <w:szCs w:val="22"/>
        </w:rPr>
        <w:t>Idősek</w:t>
      </w:r>
    </w:p>
    <w:p w:rsidR="00224F0F" w:rsidRDefault="00485CCD">
      <w:pPr>
        <w:pStyle w:val="Default"/>
        <w:rPr>
          <w:sz w:val="22"/>
          <w:szCs w:val="22"/>
        </w:rPr>
      </w:pPr>
      <w:r>
        <w:rPr>
          <w:sz w:val="22"/>
          <w:szCs w:val="22"/>
        </w:rPr>
        <w:t>Idős betegeknél a fiatal betegeknél magasabb plazmakoncentrációk fordultak elő, az átlagos AUC-értékek körülbelül 1,5-szer voltak magasabbak, főleg a csökkent (látszólagos) teljes és renális clearance miatt. Nem szükséges a dózis módosítása.</w:t>
      </w:r>
    </w:p>
    <w:p w:rsidR="00224F0F" w:rsidRDefault="00224F0F">
      <w:pPr>
        <w:pStyle w:val="Default"/>
        <w:rPr>
          <w:sz w:val="22"/>
          <w:szCs w:val="22"/>
        </w:rPr>
      </w:pPr>
    </w:p>
    <w:p w:rsidR="00224F0F" w:rsidRDefault="00485CCD">
      <w:pPr>
        <w:pStyle w:val="Default"/>
        <w:rPr>
          <w:sz w:val="22"/>
          <w:szCs w:val="22"/>
        </w:rPr>
      </w:pPr>
      <w:r>
        <w:rPr>
          <w:i/>
          <w:iCs/>
          <w:sz w:val="22"/>
          <w:szCs w:val="22"/>
        </w:rPr>
        <w:t xml:space="preserve">Különböző testtömeg-kategóriák </w:t>
      </w:r>
    </w:p>
    <w:p w:rsidR="00224F0F" w:rsidRDefault="00485CCD">
      <w:pPr>
        <w:spacing w:line="240" w:lineRule="auto"/>
        <w:rPr>
          <w:color w:val="000000"/>
          <w:lang w:val="hu-HU"/>
        </w:rPr>
      </w:pPr>
      <w:r>
        <w:rPr>
          <w:color w:val="000000"/>
          <w:lang w:val="hu-HU"/>
        </w:rPr>
        <w:t>Szélsőséges testtömegértékek (&lt; 50 kg vagy &gt; 120 kg) felnőtteknél csak kis mértékben befolyásolták a rivaroxabán plazmakoncentrációit (kevesebb mint 25%-ban). Nem szükséges a dózis módosítása.</w:t>
      </w:r>
    </w:p>
    <w:p w:rsidR="00224F0F" w:rsidRDefault="00485CCD">
      <w:pPr>
        <w:spacing w:line="240" w:lineRule="auto"/>
        <w:rPr>
          <w:lang w:val="hu-HU"/>
        </w:rPr>
      </w:pPr>
      <w:r>
        <w:rPr>
          <w:lang w:val="hu-HU"/>
        </w:rPr>
        <w:t>Gyermekeknél testtömeg alapján adagolják a rivaroxabánt. Egy feltáró elemzés nem mutatta ki azt, hogy az optimálistól elmaradó testtömeg vagy az elhízás jelentős hatással volna a rivaroxabán expozíciójára gyermekeknél.</w:t>
      </w:r>
    </w:p>
    <w:p w:rsidR="00224F0F" w:rsidRDefault="00224F0F">
      <w:pPr>
        <w:spacing w:line="240" w:lineRule="auto"/>
        <w:rPr>
          <w:color w:val="000000"/>
          <w:lang w:val="hu-HU"/>
        </w:rPr>
      </w:pPr>
    </w:p>
    <w:p w:rsidR="00224F0F" w:rsidRDefault="00485CCD">
      <w:pPr>
        <w:pStyle w:val="Default"/>
        <w:rPr>
          <w:sz w:val="22"/>
          <w:szCs w:val="22"/>
        </w:rPr>
      </w:pPr>
      <w:r>
        <w:rPr>
          <w:i/>
          <w:iCs/>
          <w:sz w:val="22"/>
          <w:szCs w:val="22"/>
        </w:rPr>
        <w:t>Etnikai különbségek</w:t>
      </w:r>
    </w:p>
    <w:p w:rsidR="00224F0F" w:rsidRDefault="00485CCD">
      <w:pPr>
        <w:pStyle w:val="Default"/>
        <w:rPr>
          <w:sz w:val="22"/>
          <w:szCs w:val="22"/>
        </w:rPr>
      </w:pPr>
      <w:r>
        <w:rPr>
          <w:sz w:val="22"/>
          <w:szCs w:val="22"/>
        </w:rPr>
        <w:t>Felnőtteknél a rivaroxabán farmakokinetikájában és farmakodinámiájában nem volt megfigyelhető klinikailag jelentős etnikai különbség a kaukázusi, afroamerikai, spanyol, japán, illetve kínai betegek között.</w:t>
      </w:r>
    </w:p>
    <w:p w:rsidR="00224F0F" w:rsidRDefault="00485CCD">
      <w:pPr>
        <w:pStyle w:val="Default"/>
        <w:rPr>
          <w:sz w:val="22"/>
          <w:szCs w:val="22"/>
        </w:rPr>
      </w:pPr>
      <w:r>
        <w:rPr>
          <w:sz w:val="22"/>
          <w:szCs w:val="22"/>
          <w:lang w:val="en-GB"/>
        </w:rPr>
        <w:t>Egy feltáró elemzésben nem mutatták ki azt, hogy különböző etnikumoknál jelentős eltérések lennének a rivaroxabán expozícióját illetően japán, kínai vagy egyéb ázsiai gyermekeknél, a figyelembe vehető általános gyermekgyógyászati populációval összehasonlítva.</w:t>
      </w:r>
    </w:p>
    <w:p w:rsidR="00224F0F" w:rsidRDefault="00224F0F">
      <w:pPr>
        <w:pStyle w:val="Default"/>
        <w:rPr>
          <w:sz w:val="22"/>
          <w:szCs w:val="22"/>
        </w:rPr>
      </w:pPr>
    </w:p>
    <w:p w:rsidR="00224F0F" w:rsidRDefault="00485CCD">
      <w:pPr>
        <w:pStyle w:val="Default"/>
        <w:rPr>
          <w:sz w:val="22"/>
          <w:szCs w:val="22"/>
        </w:rPr>
      </w:pPr>
      <w:r>
        <w:rPr>
          <w:i/>
          <w:iCs/>
          <w:sz w:val="22"/>
          <w:szCs w:val="22"/>
        </w:rPr>
        <w:t>Májkárosodás</w:t>
      </w:r>
    </w:p>
    <w:p w:rsidR="00224F0F" w:rsidRDefault="00485CCD">
      <w:pPr>
        <w:pStyle w:val="Default"/>
        <w:rPr>
          <w:sz w:val="22"/>
          <w:szCs w:val="22"/>
        </w:rPr>
      </w:pPr>
      <w:r>
        <w:rPr>
          <w:sz w:val="22"/>
          <w:szCs w:val="22"/>
        </w:rPr>
        <w:t>Enyhe májkárosodásban szenvedő cirrhosisos felnőttek (Child Pugh A stádium) esetében csak kismértékű változások voltak a rivaroxabán farmakokinetikájában (átlagosan 1,2-szeres növekedés a rivaroxabán AUC-értékeiben), melyek megközelítően hasonlóak voltak a vonatkozó egészséges kontrollcsoport értékeihez. Közepes fokú májkárosodásban szenvedő cirrhosisos betegekben (Child Pugh B stádium) a rivaroxabán átlagos AUC-értékei jelentős mértékben növekedtek az egészséges önkéntesekhez képest 2,3-szeresére. A nem kötött AUC-érték 2,6-szeres emelkedését figyelték meg. Ezeknél a betegeknél a rivaroxabán renalis kiválasztása is csökkent volt, a mérsékelt fokú vesekárosodásban szenvedő betegekhez hasonlóan.</w:t>
      </w:r>
    </w:p>
    <w:p w:rsidR="00224F0F" w:rsidRDefault="00485CCD">
      <w:pPr>
        <w:pStyle w:val="Default"/>
        <w:rPr>
          <w:sz w:val="22"/>
          <w:szCs w:val="22"/>
        </w:rPr>
      </w:pPr>
      <w:r>
        <w:rPr>
          <w:sz w:val="22"/>
          <w:szCs w:val="22"/>
        </w:rPr>
        <w:t>Nem állnak rendelkezésre adatok súlyos májkárosodásban szenvedő betegeknél történő alkalmazásról.</w:t>
      </w:r>
    </w:p>
    <w:p w:rsidR="00224F0F" w:rsidRDefault="00485CCD">
      <w:pPr>
        <w:pStyle w:val="Default"/>
        <w:rPr>
          <w:sz w:val="22"/>
          <w:szCs w:val="22"/>
        </w:rPr>
      </w:pPr>
      <w:r>
        <w:rPr>
          <w:sz w:val="22"/>
          <w:szCs w:val="22"/>
        </w:rPr>
        <w:t>A Xa faktor gátlása 2,6-szeresére nőtt közepes fokú májkárosodásban szenvedő betegeknél az egészséges önkéntesekhez lépest; a PI megnyúlása ehhez hasonlóan 2,1-szeres volt. A közepes fokú májkárosodásban szenvedő betegek érzékenyebbek a rivaroxabánra, ami a koncentráció és a PI közötti meredekebb PK/PD összefüggést eredményezett.</w:t>
      </w:r>
    </w:p>
    <w:p w:rsidR="00224F0F" w:rsidRDefault="00485CCD">
      <w:pPr>
        <w:spacing w:line="240" w:lineRule="auto"/>
        <w:rPr>
          <w:color w:val="000000"/>
          <w:lang w:val="hu-HU"/>
        </w:rPr>
      </w:pPr>
      <w:r>
        <w:rPr>
          <w:color w:val="000000"/>
          <w:lang w:val="hu-HU"/>
        </w:rPr>
        <w:t>A rivaroxabán ellenjavallt véralvadási zavarral és klinikailag jelentős vérzési kockázattal járó májbetegségben szenvedő betegek esetében, ideértve a Child-Pugh B és C stádiumú, cirrhosisos betegeket is (lásd 4.3 pont).</w:t>
      </w:r>
    </w:p>
    <w:p w:rsidR="00224F0F" w:rsidRDefault="00485CCD">
      <w:pPr>
        <w:numPr>
          <w:ilvl w:val="12"/>
          <w:numId w:val="0"/>
        </w:numPr>
        <w:spacing w:line="240" w:lineRule="auto"/>
        <w:ind w:right="-2"/>
        <w:rPr>
          <w:noProof/>
          <w:lang w:val="hu-HU"/>
        </w:rPr>
      </w:pPr>
      <w:r>
        <w:rPr>
          <w:noProof/>
          <w:lang w:val="hu-HU"/>
        </w:rPr>
        <w:t>Nem állnak rendelkezésre klinikai adatok májkárosodásban szenvedő gyermekek esetében.</w:t>
      </w:r>
    </w:p>
    <w:p w:rsidR="00224F0F" w:rsidRDefault="00224F0F">
      <w:pPr>
        <w:spacing w:line="240" w:lineRule="auto"/>
        <w:rPr>
          <w:color w:val="000000"/>
          <w:lang w:val="hu-HU"/>
        </w:rPr>
      </w:pPr>
    </w:p>
    <w:p w:rsidR="00224F0F" w:rsidRDefault="00485CCD">
      <w:pPr>
        <w:pStyle w:val="Default"/>
        <w:rPr>
          <w:sz w:val="22"/>
          <w:szCs w:val="22"/>
        </w:rPr>
      </w:pPr>
      <w:r>
        <w:rPr>
          <w:i/>
          <w:iCs/>
          <w:sz w:val="22"/>
          <w:szCs w:val="22"/>
        </w:rPr>
        <w:t>Vesekárosodás</w:t>
      </w:r>
    </w:p>
    <w:p w:rsidR="00224F0F" w:rsidRDefault="00485CCD">
      <w:pPr>
        <w:pStyle w:val="Default"/>
        <w:rPr>
          <w:sz w:val="22"/>
          <w:szCs w:val="22"/>
        </w:rPr>
      </w:pPr>
      <w:r>
        <w:rPr>
          <w:sz w:val="22"/>
          <w:szCs w:val="22"/>
        </w:rPr>
        <w:t>Felnőtteknél a rivaroxabán expozíciójának növekedése korrelált a vesefunkció csökkenésével, amit a kreatinin-clearance mérésével értékeltek. Enyhe (kreatinin-clearance 50</w:t>
      </w:r>
      <w:r>
        <w:rPr>
          <w:sz w:val="22"/>
          <w:szCs w:val="22"/>
        </w:rPr>
        <w:noBreakHyphen/>
        <w:t>80 ml/perc), mérsékelt fokú (kreatinin-clearance 30</w:t>
      </w:r>
      <w:r>
        <w:rPr>
          <w:sz w:val="22"/>
          <w:szCs w:val="22"/>
        </w:rPr>
        <w:noBreakHyphen/>
        <w:t>49 ml/perc) és súlyos (kreatinin-clearance 15</w:t>
      </w:r>
      <w:r>
        <w:rPr>
          <w:sz w:val="22"/>
          <w:szCs w:val="22"/>
        </w:rPr>
        <w:noBreakHyphen/>
        <w:t xml:space="preserve">29 ml/perc) vesekárosodásban szenvedő egyének esetén a rivaroxabán megfelelő plazmakoncentrációi (AUC) 1,4-, 1,5- illetőleg 1,6-szeresre nőttek. Az ennek megfelelő növekedés a farmakodinámiás hatásokban kifejezettebb volt. Enyhe, mérsékelt fokú és súlyos vesekárosodásban szenvedő egyének esetén a Xa faktor teljes </w:t>
      </w:r>
      <w:r>
        <w:rPr>
          <w:sz w:val="22"/>
          <w:szCs w:val="22"/>
        </w:rPr>
        <w:lastRenderedPageBreak/>
        <w:t>gátlásának megfelelő értékek 1,5-, 1,9- és 2,0-szeresére nőttek az egészséges önkéntesekhez képest; a PI megnyúlásának értékei ehhez hasonlóan 1,3-, 2,2- és 2,4-szeresre nőttek. Nem állnak rendelkezésre adatok olyan betegek esetén, akik kreatinin-clearance-értéke &lt; 15 ml/perc.</w:t>
      </w:r>
    </w:p>
    <w:p w:rsidR="00224F0F" w:rsidRDefault="00485CCD">
      <w:pPr>
        <w:pStyle w:val="Default"/>
        <w:rPr>
          <w:sz w:val="22"/>
          <w:szCs w:val="22"/>
        </w:rPr>
      </w:pPr>
      <w:r>
        <w:rPr>
          <w:sz w:val="22"/>
          <w:szCs w:val="22"/>
        </w:rPr>
        <w:t>A plazmafehérjékhez való nagyfokú kötődése miatt a rivaroxabán várhatóan nem dializálható.</w:t>
      </w:r>
    </w:p>
    <w:p w:rsidR="00224F0F" w:rsidRDefault="00485CCD">
      <w:pPr>
        <w:pStyle w:val="Default"/>
        <w:rPr>
          <w:sz w:val="22"/>
          <w:szCs w:val="22"/>
        </w:rPr>
      </w:pPr>
      <w:r>
        <w:rPr>
          <w:sz w:val="22"/>
          <w:szCs w:val="22"/>
        </w:rPr>
        <w:t>Alkalmazása nem javasolt olyan betegeknél, akiknek kreatinin-clearance-értéke &lt; 15 ml/perc. A rivaroxabán óvatosan alkalmazható olyan betegeknél, akiknek kreatinin-clearance-értéke 15</w:t>
      </w:r>
      <w:r>
        <w:rPr>
          <w:sz w:val="22"/>
          <w:szCs w:val="22"/>
        </w:rPr>
        <w:noBreakHyphen/>
        <w:t>29 ml/perc között van (lásd 4.4 pont).</w:t>
      </w:r>
    </w:p>
    <w:p w:rsidR="00224F0F" w:rsidRDefault="00485CCD">
      <w:pPr>
        <w:tabs>
          <w:tab w:val="clear" w:pos="567"/>
        </w:tabs>
        <w:autoSpaceDE w:val="0"/>
        <w:autoSpaceDN w:val="0"/>
        <w:adjustRightInd w:val="0"/>
        <w:spacing w:line="240" w:lineRule="auto"/>
        <w:rPr>
          <w:color w:val="000000"/>
          <w:lang w:val="hu-HU" w:eastAsia="hu-HU"/>
        </w:rPr>
      </w:pPr>
      <w:r>
        <w:rPr>
          <w:color w:val="000000"/>
          <w:lang w:val="hu-HU" w:eastAsia="hu-HU"/>
        </w:rPr>
        <w:t>Nem állnak rendelkezésre klinikai adatok közepes vagy súlyos vesekárosodásban szenvedő (glomerularis filtrációs ráta &lt; 50 ml/perc/1,73 m</w:t>
      </w:r>
      <w:r>
        <w:rPr>
          <w:color w:val="000000"/>
          <w:vertAlign w:val="superscript"/>
          <w:lang w:val="hu-HU" w:eastAsia="hu-HU"/>
        </w:rPr>
        <w:t>2</w:t>
      </w:r>
      <w:r>
        <w:rPr>
          <w:color w:val="000000"/>
          <w:lang w:val="hu-HU" w:eastAsia="hu-HU"/>
        </w:rPr>
        <w:t>) 1 éves vagy annál idősebb gyermekek esetében.</w:t>
      </w:r>
    </w:p>
    <w:p w:rsidR="00224F0F" w:rsidRDefault="00224F0F">
      <w:pPr>
        <w:pStyle w:val="Default"/>
        <w:rPr>
          <w:sz w:val="22"/>
          <w:szCs w:val="22"/>
        </w:rPr>
      </w:pPr>
    </w:p>
    <w:p w:rsidR="00224F0F" w:rsidRDefault="00485CCD">
      <w:pPr>
        <w:pStyle w:val="Default"/>
        <w:rPr>
          <w:sz w:val="22"/>
          <w:szCs w:val="22"/>
        </w:rPr>
      </w:pPr>
      <w:r>
        <w:rPr>
          <w:sz w:val="22"/>
          <w:szCs w:val="22"/>
          <w:u w:val="single"/>
        </w:rPr>
        <w:t>Betegektől származó farmakokinetikai adatok</w:t>
      </w:r>
    </w:p>
    <w:p w:rsidR="00224F0F" w:rsidRDefault="00485CCD">
      <w:pPr>
        <w:spacing w:line="240" w:lineRule="auto"/>
        <w:rPr>
          <w:lang w:val="hu-HU"/>
        </w:rPr>
      </w:pPr>
      <w:r>
        <w:rPr>
          <w:color w:val="000000"/>
          <w:lang w:val="hu-HU"/>
        </w:rPr>
        <w:t xml:space="preserve">Az akut MVT kezelésére naponta egyszer 20 mg rivaroxabánt kapó betegeknél a mértani átlag koncentráció (90%-os predikciós intervallum) 2-4 órával és kb. 24 órával (nagyjából képviselve a maximum és minimum koncentrációkat az adagolási időszakban) a dózis bevétele után 215 (22-535), illetve 32 (6-239) </w:t>
      </w:r>
      <w:r>
        <w:rPr>
          <w:color w:val="000000"/>
        </w:rPr>
        <w:t>mikro</w:t>
      </w:r>
      <w:r>
        <w:rPr>
          <w:color w:val="000000"/>
          <w:lang w:val="hu-HU"/>
        </w:rPr>
        <w:t>gramm/l volt.</w:t>
      </w:r>
    </w:p>
    <w:p w:rsidR="00224F0F" w:rsidRDefault="00224F0F">
      <w:pPr>
        <w:spacing w:line="240" w:lineRule="auto"/>
        <w:rPr>
          <w:color w:val="000000"/>
          <w:lang w:val="hu-HU"/>
        </w:rPr>
      </w:pPr>
    </w:p>
    <w:p w:rsidR="00224F0F" w:rsidRDefault="00485CCD">
      <w:pPr>
        <w:spacing w:line="240" w:lineRule="auto"/>
        <w:rPr>
          <w:color w:val="000000"/>
        </w:rPr>
      </w:pPr>
      <w:r>
        <w:rPr>
          <w:color w:val="000000"/>
        </w:rPr>
        <w:t>A 13. táblázat foglalja össze a mintavételi intervallumban mért koncentrációk mértani átlagait (90%-os intervallum), amelyek az adagolási intervallum során kialakult maximális és minimális koncentrációkat reprezentálják nagyjából olyan akut VTE-s gyermekgyógyászati betegeknél, akik a testtömegükhöz igazított mennyiségű rivaroxabánt kaptak, amely a napi egyszeri 20 mg dózist kapó felnőtt MVT-s betegeknél megállapítható expozícióhoz hasonló expozíciót eredményezett náluk.</w:t>
      </w:r>
    </w:p>
    <w:p w:rsidR="00224F0F" w:rsidRDefault="00224F0F">
      <w:pPr>
        <w:spacing w:line="240" w:lineRule="auto"/>
        <w:rPr>
          <w:color w:val="000000"/>
        </w:rPr>
      </w:pPr>
    </w:p>
    <w:p w:rsidR="00224F0F" w:rsidRDefault="00485CCD" w:rsidP="00A54C3F">
      <w:pPr>
        <w:widowControl w:val="0"/>
        <w:tabs>
          <w:tab w:val="clear" w:pos="567"/>
          <w:tab w:val="left" w:pos="1276"/>
        </w:tabs>
        <w:autoSpaceDE w:val="0"/>
        <w:autoSpaceDN w:val="0"/>
        <w:adjustRightInd w:val="0"/>
        <w:spacing w:line="240" w:lineRule="auto"/>
        <w:ind w:left="1276" w:hanging="1276"/>
        <w:rPr>
          <w:b/>
          <w:bCs/>
          <w:color w:val="000000"/>
        </w:rPr>
      </w:pPr>
      <w:r>
        <w:rPr>
          <w:b/>
          <w:color w:val="000000"/>
        </w:rPr>
        <w:t>13.</w:t>
      </w:r>
      <w:r w:rsidR="00773611">
        <w:rPr>
          <w:b/>
          <w:color w:val="000000"/>
        </w:rPr>
        <w:t xml:space="preserve"> </w:t>
      </w:r>
      <w:r>
        <w:rPr>
          <w:b/>
          <w:color w:val="000000"/>
        </w:rPr>
        <w:t>táblázat:</w:t>
      </w:r>
      <w:r w:rsidR="00773611">
        <w:rPr>
          <w:color w:val="000000"/>
        </w:rPr>
        <w:tab/>
      </w:r>
      <w:r>
        <w:rPr>
          <w:b/>
          <w:bCs/>
          <w:color w:val="000000"/>
        </w:rPr>
        <w:t>A rivaroxabán dinamikus egyensúlyi plazmakoncentrációit (µg/l) adagolási rend és életkor szerint összesítő statisztikák (mértani átlag (90%-os intervallum))</w:t>
      </w:r>
    </w:p>
    <w:p w:rsidR="00773611" w:rsidRDefault="00773611" w:rsidP="00A54C3F">
      <w:pPr>
        <w:widowControl w:val="0"/>
        <w:tabs>
          <w:tab w:val="clear" w:pos="567"/>
          <w:tab w:val="left" w:pos="1276"/>
        </w:tabs>
        <w:autoSpaceDE w:val="0"/>
        <w:autoSpaceDN w:val="0"/>
        <w:adjustRightInd w:val="0"/>
        <w:spacing w:line="240" w:lineRule="auto"/>
        <w:ind w:left="1276" w:hanging="1276"/>
        <w:rPr>
          <w:b/>
          <w:bCs/>
          <w:lang w:val="en-U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77"/>
        <w:gridCol w:w="540"/>
        <w:gridCol w:w="1421"/>
        <w:gridCol w:w="538"/>
        <w:gridCol w:w="1392"/>
        <w:gridCol w:w="422"/>
        <w:gridCol w:w="1426"/>
        <w:gridCol w:w="417"/>
        <w:gridCol w:w="1629"/>
      </w:tblGrid>
      <w:tr w:rsidR="00224F0F">
        <w:trPr>
          <w:trHeight w:val="506"/>
        </w:trPr>
        <w:tc>
          <w:tcPr>
            <w:tcW w:w="704" w:type="pct"/>
            <w:shd w:val="clear" w:color="auto" w:fill="auto"/>
          </w:tcPr>
          <w:p w:rsidR="00224F0F" w:rsidRDefault="00485CCD">
            <w:pPr>
              <w:widowControl w:val="0"/>
              <w:autoSpaceDE w:val="0"/>
              <w:autoSpaceDN w:val="0"/>
              <w:spacing w:before="2" w:line="254" w:lineRule="exact"/>
              <w:ind w:left="107"/>
              <w:rPr>
                <w:rFonts w:eastAsia="Calibri"/>
                <w:b/>
                <w:lang w:val="en-US"/>
              </w:rPr>
            </w:pPr>
            <w:r>
              <w:rPr>
                <w:rFonts w:eastAsia="Calibri"/>
                <w:b/>
                <w:lang w:val="hu-HU"/>
              </w:rPr>
              <w:t>Időtartományok</w:t>
            </w:r>
          </w:p>
        </w:tc>
        <w:tc>
          <w:tcPr>
            <w:tcW w:w="298" w:type="pct"/>
            <w:shd w:val="clear" w:color="auto" w:fill="auto"/>
          </w:tcPr>
          <w:p w:rsidR="00224F0F" w:rsidRDefault="00224F0F">
            <w:pPr>
              <w:widowControl w:val="0"/>
              <w:autoSpaceDE w:val="0"/>
              <w:autoSpaceDN w:val="0"/>
              <w:rPr>
                <w:rFonts w:eastAsia="Calibri"/>
                <w:lang w:val="en-US"/>
              </w:rPr>
            </w:pPr>
          </w:p>
        </w:tc>
        <w:tc>
          <w:tcPr>
            <w:tcW w:w="784" w:type="pct"/>
            <w:shd w:val="clear" w:color="auto" w:fill="auto"/>
          </w:tcPr>
          <w:p w:rsidR="00224F0F" w:rsidRDefault="00224F0F">
            <w:pPr>
              <w:widowControl w:val="0"/>
              <w:autoSpaceDE w:val="0"/>
              <w:autoSpaceDN w:val="0"/>
              <w:rPr>
                <w:rFonts w:eastAsia="Calibri"/>
                <w:lang w:val="en-US"/>
              </w:rPr>
            </w:pPr>
          </w:p>
        </w:tc>
        <w:tc>
          <w:tcPr>
            <w:tcW w:w="297" w:type="pct"/>
            <w:shd w:val="clear" w:color="auto" w:fill="auto"/>
          </w:tcPr>
          <w:p w:rsidR="00224F0F" w:rsidRDefault="00224F0F">
            <w:pPr>
              <w:widowControl w:val="0"/>
              <w:autoSpaceDE w:val="0"/>
              <w:autoSpaceDN w:val="0"/>
              <w:rPr>
                <w:rFonts w:eastAsia="Calibri"/>
                <w:lang w:val="en-US"/>
              </w:rPr>
            </w:pPr>
          </w:p>
        </w:tc>
        <w:tc>
          <w:tcPr>
            <w:tcW w:w="768" w:type="pct"/>
            <w:shd w:val="clear" w:color="auto" w:fill="auto"/>
          </w:tcPr>
          <w:p w:rsidR="00224F0F" w:rsidRDefault="00224F0F">
            <w:pPr>
              <w:widowControl w:val="0"/>
              <w:autoSpaceDE w:val="0"/>
              <w:autoSpaceDN w:val="0"/>
              <w:rPr>
                <w:rFonts w:eastAsia="Calibri"/>
                <w:lang w:val="en-US"/>
              </w:rPr>
            </w:pPr>
          </w:p>
        </w:tc>
        <w:tc>
          <w:tcPr>
            <w:tcW w:w="233" w:type="pct"/>
            <w:shd w:val="clear" w:color="auto" w:fill="auto"/>
          </w:tcPr>
          <w:p w:rsidR="00224F0F" w:rsidRDefault="00224F0F">
            <w:pPr>
              <w:widowControl w:val="0"/>
              <w:autoSpaceDE w:val="0"/>
              <w:autoSpaceDN w:val="0"/>
              <w:rPr>
                <w:rFonts w:eastAsia="Calibri"/>
                <w:lang w:val="en-US"/>
              </w:rPr>
            </w:pPr>
          </w:p>
        </w:tc>
        <w:tc>
          <w:tcPr>
            <w:tcW w:w="787" w:type="pct"/>
            <w:shd w:val="clear" w:color="auto" w:fill="auto"/>
          </w:tcPr>
          <w:p w:rsidR="00224F0F" w:rsidRDefault="00224F0F">
            <w:pPr>
              <w:widowControl w:val="0"/>
              <w:autoSpaceDE w:val="0"/>
              <w:autoSpaceDN w:val="0"/>
              <w:rPr>
                <w:rFonts w:eastAsia="Calibri"/>
                <w:lang w:val="en-US"/>
              </w:rPr>
            </w:pPr>
          </w:p>
        </w:tc>
        <w:tc>
          <w:tcPr>
            <w:tcW w:w="230" w:type="pct"/>
            <w:shd w:val="clear" w:color="auto" w:fill="auto"/>
          </w:tcPr>
          <w:p w:rsidR="00224F0F" w:rsidRDefault="00224F0F">
            <w:pPr>
              <w:widowControl w:val="0"/>
              <w:autoSpaceDE w:val="0"/>
              <w:autoSpaceDN w:val="0"/>
              <w:rPr>
                <w:rFonts w:eastAsia="Calibri"/>
                <w:lang w:val="en-US"/>
              </w:rPr>
            </w:pPr>
          </w:p>
        </w:tc>
        <w:tc>
          <w:tcPr>
            <w:tcW w:w="900" w:type="pct"/>
            <w:shd w:val="clear" w:color="auto" w:fill="auto"/>
          </w:tcPr>
          <w:p w:rsidR="00224F0F" w:rsidRDefault="00224F0F">
            <w:pPr>
              <w:widowControl w:val="0"/>
              <w:autoSpaceDE w:val="0"/>
              <w:autoSpaceDN w:val="0"/>
              <w:rPr>
                <w:rFonts w:eastAsia="Calibri"/>
                <w:lang w:val="en-US"/>
              </w:rPr>
            </w:pPr>
          </w:p>
        </w:tc>
      </w:tr>
      <w:tr w:rsidR="00224F0F">
        <w:trPr>
          <w:trHeight w:val="501"/>
        </w:trPr>
        <w:tc>
          <w:tcPr>
            <w:tcW w:w="704" w:type="pct"/>
            <w:shd w:val="clear" w:color="auto" w:fill="auto"/>
          </w:tcPr>
          <w:p w:rsidR="00224F0F" w:rsidRDefault="00485CCD">
            <w:pPr>
              <w:widowControl w:val="0"/>
              <w:autoSpaceDE w:val="0"/>
              <w:autoSpaceDN w:val="0"/>
              <w:spacing w:line="249" w:lineRule="exact"/>
              <w:ind w:left="107"/>
              <w:rPr>
                <w:rFonts w:eastAsia="Calibri"/>
                <w:b/>
                <w:lang w:val="en-US"/>
              </w:rPr>
            </w:pPr>
            <w:r>
              <w:rPr>
                <w:rFonts w:eastAsia="Calibri"/>
                <w:b/>
                <w:lang w:val="en-US"/>
              </w:rPr>
              <w:t>o.d.</w:t>
            </w:r>
          </w:p>
        </w:tc>
        <w:tc>
          <w:tcPr>
            <w:tcW w:w="298" w:type="pct"/>
            <w:shd w:val="clear" w:color="auto" w:fill="auto"/>
          </w:tcPr>
          <w:p w:rsidR="00224F0F" w:rsidRDefault="00485CCD">
            <w:pPr>
              <w:widowControl w:val="0"/>
              <w:autoSpaceDE w:val="0"/>
              <w:autoSpaceDN w:val="0"/>
              <w:spacing w:line="249" w:lineRule="exact"/>
              <w:ind w:left="107"/>
              <w:rPr>
                <w:rFonts w:eastAsia="Calibri"/>
                <w:b/>
                <w:lang w:val="en-US"/>
              </w:rPr>
            </w:pPr>
            <w:r>
              <w:rPr>
                <w:rFonts w:eastAsia="Calibri"/>
                <w:b/>
                <w:w w:val="99"/>
                <w:lang w:val="en-US"/>
              </w:rPr>
              <w:t>N</w:t>
            </w:r>
          </w:p>
        </w:tc>
        <w:tc>
          <w:tcPr>
            <w:tcW w:w="784" w:type="pct"/>
            <w:shd w:val="clear" w:color="auto" w:fill="auto"/>
          </w:tcPr>
          <w:p w:rsidR="00224F0F" w:rsidRDefault="00485CCD">
            <w:pPr>
              <w:widowControl w:val="0"/>
              <w:autoSpaceDE w:val="0"/>
              <w:autoSpaceDN w:val="0"/>
              <w:spacing w:line="233" w:lineRule="exact"/>
              <w:ind w:left="107"/>
              <w:rPr>
                <w:rFonts w:eastAsia="Calibri"/>
                <w:b/>
                <w:bCs/>
                <w:lang w:val="en-US"/>
              </w:rPr>
            </w:pPr>
            <w:r>
              <w:rPr>
                <w:b/>
                <w:bCs/>
                <w:color w:val="000000"/>
                <w:lang w:val="hu-HU"/>
              </w:rPr>
              <w:t>12 - &lt;18 év</w:t>
            </w:r>
          </w:p>
        </w:tc>
        <w:tc>
          <w:tcPr>
            <w:tcW w:w="297" w:type="pct"/>
            <w:shd w:val="clear" w:color="auto" w:fill="auto"/>
          </w:tcPr>
          <w:p w:rsidR="00224F0F" w:rsidRDefault="00485CCD">
            <w:pPr>
              <w:widowControl w:val="0"/>
              <w:autoSpaceDE w:val="0"/>
              <w:autoSpaceDN w:val="0"/>
              <w:spacing w:line="249" w:lineRule="exact"/>
              <w:ind w:left="107"/>
              <w:rPr>
                <w:rFonts w:eastAsia="Calibri"/>
                <w:b/>
                <w:lang w:val="en-US"/>
              </w:rPr>
            </w:pPr>
            <w:r>
              <w:rPr>
                <w:rFonts w:eastAsia="Calibri"/>
                <w:b/>
                <w:w w:val="99"/>
                <w:lang w:val="en-US"/>
              </w:rPr>
              <w:t>N</w:t>
            </w:r>
          </w:p>
        </w:tc>
        <w:tc>
          <w:tcPr>
            <w:tcW w:w="768" w:type="pct"/>
            <w:shd w:val="clear" w:color="auto" w:fill="auto"/>
          </w:tcPr>
          <w:p w:rsidR="00224F0F" w:rsidRDefault="00485CCD">
            <w:pPr>
              <w:widowControl w:val="0"/>
              <w:autoSpaceDE w:val="0"/>
              <w:autoSpaceDN w:val="0"/>
              <w:spacing w:line="249" w:lineRule="exact"/>
              <w:ind w:left="106"/>
              <w:rPr>
                <w:rFonts w:eastAsia="Calibri"/>
                <w:b/>
                <w:lang w:val="en-US"/>
              </w:rPr>
            </w:pPr>
            <w:r>
              <w:rPr>
                <w:rFonts w:eastAsia="Calibri"/>
                <w:b/>
                <w:lang w:val="en-US"/>
              </w:rPr>
              <w:t>6 -&lt; 12 év</w:t>
            </w:r>
          </w:p>
        </w:tc>
        <w:tc>
          <w:tcPr>
            <w:tcW w:w="233" w:type="pct"/>
            <w:shd w:val="clear" w:color="auto" w:fill="auto"/>
          </w:tcPr>
          <w:p w:rsidR="00224F0F" w:rsidRDefault="00224F0F">
            <w:pPr>
              <w:widowControl w:val="0"/>
              <w:autoSpaceDE w:val="0"/>
              <w:autoSpaceDN w:val="0"/>
              <w:rPr>
                <w:rFonts w:eastAsia="Calibri"/>
                <w:lang w:val="en-US"/>
              </w:rPr>
            </w:pPr>
          </w:p>
        </w:tc>
        <w:tc>
          <w:tcPr>
            <w:tcW w:w="787" w:type="pct"/>
            <w:shd w:val="clear" w:color="auto" w:fill="auto"/>
          </w:tcPr>
          <w:p w:rsidR="00224F0F" w:rsidRDefault="00224F0F">
            <w:pPr>
              <w:widowControl w:val="0"/>
              <w:autoSpaceDE w:val="0"/>
              <w:autoSpaceDN w:val="0"/>
              <w:rPr>
                <w:rFonts w:eastAsia="Calibri"/>
                <w:lang w:val="en-US"/>
              </w:rPr>
            </w:pPr>
          </w:p>
        </w:tc>
        <w:tc>
          <w:tcPr>
            <w:tcW w:w="230" w:type="pct"/>
            <w:shd w:val="clear" w:color="auto" w:fill="auto"/>
          </w:tcPr>
          <w:p w:rsidR="00224F0F" w:rsidRDefault="00224F0F">
            <w:pPr>
              <w:widowControl w:val="0"/>
              <w:autoSpaceDE w:val="0"/>
              <w:autoSpaceDN w:val="0"/>
              <w:rPr>
                <w:rFonts w:eastAsia="Calibri"/>
                <w:lang w:val="en-US"/>
              </w:rPr>
            </w:pPr>
          </w:p>
        </w:tc>
        <w:tc>
          <w:tcPr>
            <w:tcW w:w="900" w:type="pct"/>
            <w:shd w:val="clear" w:color="auto" w:fill="auto"/>
          </w:tcPr>
          <w:p w:rsidR="00224F0F" w:rsidRDefault="00224F0F">
            <w:pPr>
              <w:widowControl w:val="0"/>
              <w:autoSpaceDE w:val="0"/>
              <w:autoSpaceDN w:val="0"/>
              <w:rPr>
                <w:rFonts w:eastAsia="Calibri"/>
                <w:lang w:val="en-US"/>
              </w:rPr>
            </w:pPr>
          </w:p>
        </w:tc>
      </w:tr>
      <w:tr w:rsidR="00224F0F">
        <w:trPr>
          <w:trHeight w:val="506"/>
        </w:trPr>
        <w:tc>
          <w:tcPr>
            <w:tcW w:w="704" w:type="pct"/>
            <w:shd w:val="clear" w:color="auto" w:fill="auto"/>
          </w:tcPr>
          <w:p w:rsidR="00224F0F" w:rsidRDefault="00485CCD">
            <w:pPr>
              <w:widowControl w:val="0"/>
              <w:autoSpaceDE w:val="0"/>
              <w:autoSpaceDN w:val="0"/>
              <w:spacing w:line="253" w:lineRule="exact"/>
              <w:ind w:left="107"/>
              <w:rPr>
                <w:rFonts w:eastAsia="Calibri"/>
                <w:lang w:val="en-US"/>
              </w:rPr>
            </w:pPr>
            <w:r>
              <w:rPr>
                <w:color w:val="000000"/>
                <w:lang w:val="hu-HU"/>
              </w:rPr>
              <w:t>2,5 – 4 óra után</w:t>
            </w:r>
          </w:p>
        </w:tc>
        <w:tc>
          <w:tcPr>
            <w:tcW w:w="298" w:type="pct"/>
            <w:shd w:val="clear" w:color="auto" w:fill="auto"/>
          </w:tcPr>
          <w:p w:rsidR="00224F0F" w:rsidRDefault="00485CCD">
            <w:pPr>
              <w:widowControl w:val="0"/>
              <w:autoSpaceDE w:val="0"/>
              <w:autoSpaceDN w:val="0"/>
              <w:spacing w:line="253" w:lineRule="exact"/>
              <w:ind w:left="107"/>
              <w:rPr>
                <w:rFonts w:eastAsia="Calibri"/>
                <w:lang w:val="en-US"/>
              </w:rPr>
            </w:pPr>
            <w:r>
              <w:rPr>
                <w:rFonts w:eastAsia="Calibri"/>
                <w:lang w:val="en-US"/>
              </w:rPr>
              <w:t>171</w:t>
            </w:r>
          </w:p>
        </w:tc>
        <w:tc>
          <w:tcPr>
            <w:tcW w:w="784" w:type="pct"/>
            <w:shd w:val="clear" w:color="auto" w:fill="auto"/>
          </w:tcPr>
          <w:p w:rsidR="00224F0F" w:rsidRDefault="00485CCD">
            <w:pPr>
              <w:widowControl w:val="0"/>
              <w:autoSpaceDE w:val="0"/>
              <w:autoSpaceDN w:val="0"/>
              <w:spacing w:line="253" w:lineRule="exact"/>
              <w:ind w:left="107"/>
              <w:rPr>
                <w:rFonts w:eastAsia="Calibri"/>
                <w:lang w:val="en-US"/>
              </w:rPr>
            </w:pPr>
            <w:r>
              <w:rPr>
                <w:rFonts w:eastAsia="Calibri"/>
                <w:lang w:val="en-US"/>
              </w:rPr>
              <w:t>241.5</w:t>
            </w:r>
          </w:p>
          <w:p w:rsidR="00224F0F" w:rsidRDefault="00485CCD">
            <w:pPr>
              <w:widowControl w:val="0"/>
              <w:autoSpaceDE w:val="0"/>
              <w:autoSpaceDN w:val="0"/>
              <w:spacing w:line="233" w:lineRule="exact"/>
              <w:ind w:left="107"/>
              <w:rPr>
                <w:rFonts w:eastAsia="Calibri"/>
                <w:lang w:val="en-US"/>
              </w:rPr>
            </w:pPr>
            <w:r>
              <w:rPr>
                <w:rFonts w:eastAsia="Calibri"/>
                <w:lang w:val="en-US"/>
              </w:rPr>
              <w:t>(105-484)</w:t>
            </w:r>
          </w:p>
        </w:tc>
        <w:tc>
          <w:tcPr>
            <w:tcW w:w="297" w:type="pct"/>
            <w:shd w:val="clear" w:color="auto" w:fill="auto"/>
          </w:tcPr>
          <w:p w:rsidR="00224F0F" w:rsidRDefault="00485CCD">
            <w:pPr>
              <w:widowControl w:val="0"/>
              <w:autoSpaceDE w:val="0"/>
              <w:autoSpaceDN w:val="0"/>
              <w:spacing w:line="253" w:lineRule="exact"/>
              <w:ind w:left="107"/>
              <w:rPr>
                <w:rFonts w:eastAsia="Calibri"/>
                <w:lang w:val="en-US"/>
              </w:rPr>
            </w:pPr>
            <w:r>
              <w:rPr>
                <w:rFonts w:eastAsia="Calibri"/>
                <w:lang w:val="en-US"/>
              </w:rPr>
              <w:t>24</w:t>
            </w:r>
          </w:p>
        </w:tc>
        <w:tc>
          <w:tcPr>
            <w:tcW w:w="768" w:type="pct"/>
            <w:shd w:val="clear" w:color="auto" w:fill="auto"/>
          </w:tcPr>
          <w:p w:rsidR="00224F0F" w:rsidRDefault="00485CCD">
            <w:pPr>
              <w:widowControl w:val="0"/>
              <w:autoSpaceDE w:val="0"/>
              <w:autoSpaceDN w:val="0"/>
              <w:spacing w:line="253" w:lineRule="exact"/>
              <w:ind w:left="106"/>
              <w:rPr>
                <w:rFonts w:eastAsia="Calibri"/>
                <w:lang w:val="en-US"/>
              </w:rPr>
            </w:pPr>
            <w:r>
              <w:rPr>
                <w:rFonts w:eastAsia="Calibri"/>
                <w:lang w:val="en-US"/>
              </w:rPr>
              <w:t>229.7</w:t>
            </w:r>
          </w:p>
          <w:p w:rsidR="00224F0F" w:rsidRDefault="00485CCD">
            <w:pPr>
              <w:widowControl w:val="0"/>
              <w:autoSpaceDE w:val="0"/>
              <w:autoSpaceDN w:val="0"/>
              <w:spacing w:line="233" w:lineRule="exact"/>
              <w:ind w:left="106"/>
              <w:rPr>
                <w:rFonts w:eastAsia="Calibri"/>
                <w:lang w:val="en-US"/>
              </w:rPr>
            </w:pPr>
            <w:r>
              <w:rPr>
                <w:rFonts w:eastAsia="Calibri"/>
                <w:lang w:val="en-US"/>
              </w:rPr>
              <w:t>(91.5-777)</w:t>
            </w:r>
          </w:p>
        </w:tc>
        <w:tc>
          <w:tcPr>
            <w:tcW w:w="233" w:type="pct"/>
            <w:shd w:val="clear" w:color="auto" w:fill="auto"/>
          </w:tcPr>
          <w:p w:rsidR="00224F0F" w:rsidRDefault="00224F0F">
            <w:pPr>
              <w:widowControl w:val="0"/>
              <w:autoSpaceDE w:val="0"/>
              <w:autoSpaceDN w:val="0"/>
              <w:rPr>
                <w:rFonts w:eastAsia="Calibri"/>
                <w:lang w:val="en-US"/>
              </w:rPr>
            </w:pPr>
          </w:p>
        </w:tc>
        <w:tc>
          <w:tcPr>
            <w:tcW w:w="787" w:type="pct"/>
            <w:shd w:val="clear" w:color="auto" w:fill="auto"/>
          </w:tcPr>
          <w:p w:rsidR="00224F0F" w:rsidRDefault="00224F0F">
            <w:pPr>
              <w:widowControl w:val="0"/>
              <w:autoSpaceDE w:val="0"/>
              <w:autoSpaceDN w:val="0"/>
              <w:rPr>
                <w:rFonts w:eastAsia="Calibri"/>
                <w:lang w:val="en-US"/>
              </w:rPr>
            </w:pPr>
          </w:p>
        </w:tc>
        <w:tc>
          <w:tcPr>
            <w:tcW w:w="230" w:type="pct"/>
            <w:shd w:val="clear" w:color="auto" w:fill="auto"/>
          </w:tcPr>
          <w:p w:rsidR="00224F0F" w:rsidRDefault="00224F0F">
            <w:pPr>
              <w:widowControl w:val="0"/>
              <w:autoSpaceDE w:val="0"/>
              <w:autoSpaceDN w:val="0"/>
              <w:rPr>
                <w:rFonts w:eastAsia="Calibri"/>
                <w:lang w:val="en-US"/>
              </w:rPr>
            </w:pPr>
          </w:p>
        </w:tc>
        <w:tc>
          <w:tcPr>
            <w:tcW w:w="900" w:type="pct"/>
            <w:shd w:val="clear" w:color="auto" w:fill="auto"/>
          </w:tcPr>
          <w:p w:rsidR="00224F0F" w:rsidRDefault="00224F0F">
            <w:pPr>
              <w:widowControl w:val="0"/>
              <w:autoSpaceDE w:val="0"/>
              <w:autoSpaceDN w:val="0"/>
              <w:rPr>
                <w:rFonts w:eastAsia="Calibri"/>
                <w:lang w:val="en-US"/>
              </w:rPr>
            </w:pPr>
          </w:p>
        </w:tc>
      </w:tr>
      <w:tr w:rsidR="00224F0F">
        <w:trPr>
          <w:trHeight w:val="504"/>
        </w:trPr>
        <w:tc>
          <w:tcPr>
            <w:tcW w:w="704" w:type="pct"/>
            <w:shd w:val="clear" w:color="auto" w:fill="auto"/>
          </w:tcPr>
          <w:p w:rsidR="00224F0F" w:rsidRDefault="00485CCD">
            <w:pPr>
              <w:widowControl w:val="0"/>
              <w:autoSpaceDE w:val="0"/>
              <w:autoSpaceDN w:val="0"/>
              <w:spacing w:line="253" w:lineRule="exact"/>
              <w:ind w:left="107"/>
              <w:rPr>
                <w:rFonts w:eastAsia="Calibri"/>
                <w:lang w:val="en-US"/>
              </w:rPr>
            </w:pPr>
            <w:r>
              <w:rPr>
                <w:color w:val="000000"/>
                <w:lang w:val="hu-HU"/>
              </w:rPr>
              <w:t>20 – 24 óra után</w:t>
            </w:r>
          </w:p>
        </w:tc>
        <w:tc>
          <w:tcPr>
            <w:tcW w:w="298" w:type="pct"/>
            <w:shd w:val="clear" w:color="auto" w:fill="auto"/>
          </w:tcPr>
          <w:p w:rsidR="00224F0F" w:rsidRDefault="00485CCD">
            <w:pPr>
              <w:widowControl w:val="0"/>
              <w:autoSpaceDE w:val="0"/>
              <w:autoSpaceDN w:val="0"/>
              <w:spacing w:line="253" w:lineRule="exact"/>
              <w:ind w:left="107"/>
              <w:rPr>
                <w:rFonts w:eastAsia="Calibri"/>
                <w:lang w:val="en-US"/>
              </w:rPr>
            </w:pPr>
            <w:r>
              <w:rPr>
                <w:rFonts w:eastAsia="Calibri"/>
                <w:lang w:val="en-US"/>
              </w:rPr>
              <w:t>151</w:t>
            </w:r>
          </w:p>
        </w:tc>
        <w:tc>
          <w:tcPr>
            <w:tcW w:w="784" w:type="pct"/>
            <w:shd w:val="clear" w:color="auto" w:fill="auto"/>
          </w:tcPr>
          <w:p w:rsidR="00224F0F" w:rsidRDefault="00485CCD">
            <w:pPr>
              <w:widowControl w:val="0"/>
              <w:autoSpaceDE w:val="0"/>
              <w:autoSpaceDN w:val="0"/>
              <w:spacing w:line="252" w:lineRule="exact"/>
              <w:ind w:left="107"/>
              <w:rPr>
                <w:rFonts w:eastAsia="Calibri"/>
                <w:lang w:val="en-US"/>
              </w:rPr>
            </w:pPr>
            <w:r>
              <w:rPr>
                <w:rFonts w:eastAsia="Calibri"/>
                <w:lang w:val="en-US"/>
              </w:rPr>
              <w:t>20.6</w:t>
            </w:r>
          </w:p>
          <w:p w:rsidR="00224F0F" w:rsidRDefault="00485CCD">
            <w:pPr>
              <w:widowControl w:val="0"/>
              <w:autoSpaceDE w:val="0"/>
              <w:autoSpaceDN w:val="0"/>
              <w:spacing w:line="233" w:lineRule="exact"/>
              <w:ind w:left="107"/>
              <w:rPr>
                <w:rFonts w:eastAsia="Calibri"/>
                <w:lang w:val="en-US"/>
              </w:rPr>
            </w:pPr>
            <w:r>
              <w:rPr>
                <w:rFonts w:eastAsia="Calibri"/>
                <w:lang w:val="en-US"/>
              </w:rPr>
              <w:t>(5.69-66.5)</w:t>
            </w:r>
          </w:p>
        </w:tc>
        <w:tc>
          <w:tcPr>
            <w:tcW w:w="297" w:type="pct"/>
            <w:shd w:val="clear" w:color="auto" w:fill="auto"/>
          </w:tcPr>
          <w:p w:rsidR="00224F0F" w:rsidRDefault="00485CCD">
            <w:pPr>
              <w:widowControl w:val="0"/>
              <w:autoSpaceDE w:val="0"/>
              <w:autoSpaceDN w:val="0"/>
              <w:spacing w:line="253" w:lineRule="exact"/>
              <w:ind w:left="107"/>
              <w:rPr>
                <w:rFonts w:eastAsia="Calibri"/>
                <w:lang w:val="en-US"/>
              </w:rPr>
            </w:pPr>
            <w:r>
              <w:rPr>
                <w:rFonts w:eastAsia="Calibri"/>
                <w:lang w:val="en-US"/>
              </w:rPr>
              <w:t>24</w:t>
            </w:r>
          </w:p>
        </w:tc>
        <w:tc>
          <w:tcPr>
            <w:tcW w:w="768" w:type="pct"/>
            <w:shd w:val="clear" w:color="auto" w:fill="auto"/>
          </w:tcPr>
          <w:p w:rsidR="00224F0F" w:rsidRDefault="00485CCD">
            <w:pPr>
              <w:widowControl w:val="0"/>
              <w:autoSpaceDE w:val="0"/>
              <w:autoSpaceDN w:val="0"/>
              <w:spacing w:line="252" w:lineRule="exact"/>
              <w:ind w:left="106"/>
              <w:rPr>
                <w:rFonts w:eastAsia="Calibri"/>
                <w:lang w:val="en-US"/>
              </w:rPr>
            </w:pPr>
            <w:r>
              <w:rPr>
                <w:rFonts w:eastAsia="Calibri"/>
                <w:lang w:val="en-US"/>
              </w:rPr>
              <w:t>15.9</w:t>
            </w:r>
          </w:p>
          <w:p w:rsidR="00224F0F" w:rsidRDefault="00485CCD">
            <w:pPr>
              <w:widowControl w:val="0"/>
              <w:autoSpaceDE w:val="0"/>
              <w:autoSpaceDN w:val="0"/>
              <w:spacing w:line="233" w:lineRule="exact"/>
              <w:ind w:left="106"/>
              <w:rPr>
                <w:rFonts w:eastAsia="Calibri"/>
                <w:lang w:val="en-US"/>
              </w:rPr>
            </w:pPr>
            <w:r>
              <w:rPr>
                <w:rFonts w:eastAsia="Calibri"/>
                <w:lang w:val="en-US"/>
              </w:rPr>
              <w:t>(3.42-45.5)</w:t>
            </w:r>
          </w:p>
        </w:tc>
        <w:tc>
          <w:tcPr>
            <w:tcW w:w="233" w:type="pct"/>
            <w:shd w:val="clear" w:color="auto" w:fill="auto"/>
          </w:tcPr>
          <w:p w:rsidR="00224F0F" w:rsidRDefault="00224F0F">
            <w:pPr>
              <w:widowControl w:val="0"/>
              <w:autoSpaceDE w:val="0"/>
              <w:autoSpaceDN w:val="0"/>
              <w:rPr>
                <w:rFonts w:eastAsia="Calibri"/>
                <w:lang w:val="en-US"/>
              </w:rPr>
            </w:pPr>
          </w:p>
        </w:tc>
        <w:tc>
          <w:tcPr>
            <w:tcW w:w="787" w:type="pct"/>
            <w:shd w:val="clear" w:color="auto" w:fill="auto"/>
          </w:tcPr>
          <w:p w:rsidR="00224F0F" w:rsidRDefault="00224F0F">
            <w:pPr>
              <w:widowControl w:val="0"/>
              <w:autoSpaceDE w:val="0"/>
              <w:autoSpaceDN w:val="0"/>
              <w:rPr>
                <w:rFonts w:eastAsia="Calibri"/>
                <w:lang w:val="en-US"/>
              </w:rPr>
            </w:pPr>
          </w:p>
        </w:tc>
        <w:tc>
          <w:tcPr>
            <w:tcW w:w="230" w:type="pct"/>
            <w:shd w:val="clear" w:color="auto" w:fill="auto"/>
          </w:tcPr>
          <w:p w:rsidR="00224F0F" w:rsidRDefault="00224F0F">
            <w:pPr>
              <w:widowControl w:val="0"/>
              <w:autoSpaceDE w:val="0"/>
              <w:autoSpaceDN w:val="0"/>
              <w:rPr>
                <w:rFonts w:eastAsia="Calibri"/>
                <w:lang w:val="en-US"/>
              </w:rPr>
            </w:pPr>
          </w:p>
        </w:tc>
        <w:tc>
          <w:tcPr>
            <w:tcW w:w="900" w:type="pct"/>
            <w:shd w:val="clear" w:color="auto" w:fill="auto"/>
          </w:tcPr>
          <w:p w:rsidR="00224F0F" w:rsidRDefault="00224F0F">
            <w:pPr>
              <w:widowControl w:val="0"/>
              <w:autoSpaceDE w:val="0"/>
              <w:autoSpaceDN w:val="0"/>
              <w:rPr>
                <w:rFonts w:eastAsia="Calibri"/>
                <w:lang w:val="en-US"/>
              </w:rPr>
            </w:pPr>
          </w:p>
        </w:tc>
      </w:tr>
      <w:tr w:rsidR="00224F0F">
        <w:trPr>
          <w:trHeight w:val="254"/>
        </w:trPr>
        <w:tc>
          <w:tcPr>
            <w:tcW w:w="704" w:type="pct"/>
            <w:shd w:val="clear" w:color="auto" w:fill="auto"/>
          </w:tcPr>
          <w:p w:rsidR="00224F0F" w:rsidRDefault="00485CCD">
            <w:pPr>
              <w:widowControl w:val="0"/>
              <w:autoSpaceDE w:val="0"/>
              <w:autoSpaceDN w:val="0"/>
              <w:spacing w:before="1" w:line="233" w:lineRule="exact"/>
              <w:ind w:left="107"/>
              <w:rPr>
                <w:rFonts w:eastAsia="Calibri"/>
                <w:b/>
                <w:lang w:val="en-US"/>
              </w:rPr>
            </w:pPr>
            <w:r>
              <w:rPr>
                <w:rFonts w:eastAsia="Calibri"/>
                <w:b/>
                <w:lang w:val="en-US"/>
              </w:rPr>
              <w:t>b.i.d.</w:t>
            </w:r>
          </w:p>
        </w:tc>
        <w:tc>
          <w:tcPr>
            <w:tcW w:w="298" w:type="pct"/>
            <w:shd w:val="clear" w:color="auto" w:fill="auto"/>
          </w:tcPr>
          <w:p w:rsidR="00224F0F" w:rsidRDefault="00485CCD">
            <w:pPr>
              <w:widowControl w:val="0"/>
              <w:autoSpaceDE w:val="0"/>
              <w:autoSpaceDN w:val="0"/>
              <w:spacing w:before="1" w:line="233" w:lineRule="exact"/>
              <w:ind w:left="107"/>
              <w:rPr>
                <w:rFonts w:eastAsia="Calibri"/>
                <w:b/>
                <w:lang w:val="en-US"/>
              </w:rPr>
            </w:pPr>
            <w:r>
              <w:rPr>
                <w:rFonts w:eastAsia="Calibri"/>
                <w:b/>
                <w:w w:val="99"/>
                <w:lang w:val="en-US"/>
              </w:rPr>
              <w:t>N</w:t>
            </w:r>
          </w:p>
        </w:tc>
        <w:tc>
          <w:tcPr>
            <w:tcW w:w="784" w:type="pct"/>
            <w:shd w:val="clear" w:color="auto" w:fill="auto"/>
          </w:tcPr>
          <w:p w:rsidR="00224F0F" w:rsidRDefault="00485CCD">
            <w:pPr>
              <w:widowControl w:val="0"/>
              <w:autoSpaceDE w:val="0"/>
              <w:autoSpaceDN w:val="0"/>
              <w:spacing w:before="1" w:line="233" w:lineRule="exact"/>
              <w:ind w:left="107"/>
              <w:rPr>
                <w:rFonts w:eastAsia="Calibri"/>
                <w:b/>
                <w:lang w:val="en-US"/>
              </w:rPr>
            </w:pPr>
            <w:r>
              <w:rPr>
                <w:rFonts w:eastAsia="Calibri"/>
                <w:b/>
                <w:lang w:val="en-US"/>
              </w:rPr>
              <w:t>6 -&lt; 12 év</w:t>
            </w:r>
          </w:p>
        </w:tc>
        <w:tc>
          <w:tcPr>
            <w:tcW w:w="297" w:type="pct"/>
            <w:shd w:val="clear" w:color="auto" w:fill="auto"/>
          </w:tcPr>
          <w:p w:rsidR="00224F0F" w:rsidRDefault="00485CCD">
            <w:pPr>
              <w:widowControl w:val="0"/>
              <w:autoSpaceDE w:val="0"/>
              <w:autoSpaceDN w:val="0"/>
              <w:spacing w:before="1" w:line="233" w:lineRule="exact"/>
              <w:ind w:left="107"/>
              <w:rPr>
                <w:rFonts w:eastAsia="Calibri"/>
                <w:b/>
                <w:lang w:val="en-US"/>
              </w:rPr>
            </w:pPr>
            <w:r>
              <w:rPr>
                <w:rFonts w:eastAsia="Calibri"/>
                <w:b/>
                <w:w w:val="99"/>
                <w:lang w:val="en-US"/>
              </w:rPr>
              <w:t>N</w:t>
            </w:r>
          </w:p>
        </w:tc>
        <w:tc>
          <w:tcPr>
            <w:tcW w:w="768" w:type="pct"/>
            <w:shd w:val="clear" w:color="auto" w:fill="auto"/>
          </w:tcPr>
          <w:p w:rsidR="00224F0F" w:rsidRDefault="00485CCD">
            <w:pPr>
              <w:widowControl w:val="0"/>
              <w:autoSpaceDE w:val="0"/>
              <w:autoSpaceDN w:val="0"/>
              <w:spacing w:before="1" w:line="233" w:lineRule="exact"/>
              <w:ind w:left="106"/>
              <w:rPr>
                <w:rFonts w:eastAsia="Calibri"/>
                <w:b/>
                <w:lang w:val="en-US"/>
              </w:rPr>
            </w:pPr>
            <w:r>
              <w:rPr>
                <w:rFonts w:eastAsia="Calibri"/>
                <w:b/>
                <w:lang w:val="en-US"/>
              </w:rPr>
              <w:t>2 -&lt; 6 év</w:t>
            </w:r>
          </w:p>
        </w:tc>
        <w:tc>
          <w:tcPr>
            <w:tcW w:w="233" w:type="pct"/>
            <w:shd w:val="clear" w:color="auto" w:fill="auto"/>
          </w:tcPr>
          <w:p w:rsidR="00224F0F" w:rsidRDefault="00485CCD">
            <w:pPr>
              <w:widowControl w:val="0"/>
              <w:autoSpaceDE w:val="0"/>
              <w:autoSpaceDN w:val="0"/>
              <w:spacing w:before="1" w:line="233" w:lineRule="exact"/>
              <w:ind w:left="107"/>
              <w:rPr>
                <w:rFonts w:eastAsia="Calibri"/>
                <w:b/>
                <w:lang w:val="en-US"/>
              </w:rPr>
            </w:pPr>
            <w:r>
              <w:rPr>
                <w:rFonts w:eastAsia="Calibri"/>
                <w:b/>
                <w:w w:val="99"/>
                <w:lang w:val="en-US"/>
              </w:rPr>
              <w:t>N</w:t>
            </w:r>
          </w:p>
        </w:tc>
        <w:tc>
          <w:tcPr>
            <w:tcW w:w="787" w:type="pct"/>
            <w:shd w:val="clear" w:color="auto" w:fill="auto"/>
          </w:tcPr>
          <w:p w:rsidR="00224F0F" w:rsidRDefault="00485CCD">
            <w:pPr>
              <w:widowControl w:val="0"/>
              <w:autoSpaceDE w:val="0"/>
              <w:autoSpaceDN w:val="0"/>
              <w:spacing w:before="1" w:line="233" w:lineRule="exact"/>
              <w:ind w:left="106"/>
              <w:rPr>
                <w:rFonts w:eastAsia="Calibri"/>
                <w:b/>
                <w:lang w:val="en-US"/>
              </w:rPr>
            </w:pPr>
            <w:r>
              <w:rPr>
                <w:rFonts w:eastAsia="Calibri"/>
                <w:b/>
                <w:lang w:val="en-US"/>
              </w:rPr>
              <w:t>0.5 -&lt; 2 év</w:t>
            </w:r>
          </w:p>
        </w:tc>
        <w:tc>
          <w:tcPr>
            <w:tcW w:w="230" w:type="pct"/>
            <w:shd w:val="clear" w:color="auto" w:fill="auto"/>
          </w:tcPr>
          <w:p w:rsidR="00224F0F" w:rsidRDefault="00224F0F">
            <w:pPr>
              <w:widowControl w:val="0"/>
              <w:autoSpaceDE w:val="0"/>
              <w:autoSpaceDN w:val="0"/>
              <w:rPr>
                <w:rFonts w:eastAsia="Calibri"/>
                <w:lang w:val="en-US"/>
              </w:rPr>
            </w:pPr>
          </w:p>
        </w:tc>
        <w:tc>
          <w:tcPr>
            <w:tcW w:w="900" w:type="pct"/>
            <w:shd w:val="clear" w:color="auto" w:fill="auto"/>
          </w:tcPr>
          <w:p w:rsidR="00224F0F" w:rsidRDefault="00224F0F">
            <w:pPr>
              <w:widowControl w:val="0"/>
              <w:autoSpaceDE w:val="0"/>
              <w:autoSpaceDN w:val="0"/>
              <w:rPr>
                <w:rFonts w:eastAsia="Calibri"/>
                <w:lang w:val="en-US"/>
              </w:rPr>
            </w:pPr>
          </w:p>
        </w:tc>
      </w:tr>
      <w:tr w:rsidR="00224F0F">
        <w:trPr>
          <w:trHeight w:val="505"/>
        </w:trPr>
        <w:tc>
          <w:tcPr>
            <w:tcW w:w="704" w:type="pct"/>
            <w:shd w:val="clear" w:color="auto" w:fill="auto"/>
          </w:tcPr>
          <w:p w:rsidR="00224F0F" w:rsidRDefault="00485CCD">
            <w:pPr>
              <w:widowControl w:val="0"/>
              <w:autoSpaceDE w:val="0"/>
              <w:autoSpaceDN w:val="0"/>
              <w:spacing w:line="253" w:lineRule="exact"/>
              <w:ind w:left="107"/>
              <w:rPr>
                <w:rFonts w:eastAsia="Calibri"/>
                <w:lang w:val="en-US"/>
              </w:rPr>
            </w:pPr>
            <w:r>
              <w:rPr>
                <w:color w:val="000000"/>
                <w:lang w:val="hu-HU"/>
              </w:rPr>
              <w:t>2,5 – 4 óra után</w:t>
            </w:r>
          </w:p>
        </w:tc>
        <w:tc>
          <w:tcPr>
            <w:tcW w:w="298" w:type="pct"/>
            <w:shd w:val="clear" w:color="auto" w:fill="auto"/>
          </w:tcPr>
          <w:p w:rsidR="00224F0F" w:rsidRDefault="00485CCD">
            <w:pPr>
              <w:widowControl w:val="0"/>
              <w:autoSpaceDE w:val="0"/>
              <w:autoSpaceDN w:val="0"/>
              <w:spacing w:line="253" w:lineRule="exact"/>
              <w:ind w:left="107"/>
              <w:rPr>
                <w:rFonts w:eastAsia="Calibri"/>
                <w:lang w:val="en-US"/>
              </w:rPr>
            </w:pPr>
            <w:r>
              <w:rPr>
                <w:rFonts w:eastAsia="Calibri"/>
                <w:lang w:val="en-US"/>
              </w:rPr>
              <w:t>36</w:t>
            </w:r>
          </w:p>
        </w:tc>
        <w:tc>
          <w:tcPr>
            <w:tcW w:w="784" w:type="pct"/>
            <w:shd w:val="clear" w:color="auto" w:fill="auto"/>
          </w:tcPr>
          <w:p w:rsidR="00224F0F" w:rsidRDefault="00485CCD">
            <w:pPr>
              <w:widowControl w:val="0"/>
              <w:autoSpaceDE w:val="0"/>
              <w:autoSpaceDN w:val="0"/>
              <w:spacing w:line="253" w:lineRule="exact"/>
              <w:ind w:left="107"/>
              <w:rPr>
                <w:rFonts w:eastAsia="Calibri"/>
                <w:lang w:val="en-US"/>
              </w:rPr>
            </w:pPr>
            <w:r>
              <w:rPr>
                <w:rFonts w:eastAsia="Calibri"/>
                <w:lang w:val="en-US"/>
              </w:rPr>
              <w:t>145.4</w:t>
            </w:r>
          </w:p>
          <w:p w:rsidR="00224F0F" w:rsidRDefault="00485CCD">
            <w:pPr>
              <w:widowControl w:val="0"/>
              <w:autoSpaceDE w:val="0"/>
              <w:autoSpaceDN w:val="0"/>
              <w:spacing w:line="233" w:lineRule="exact"/>
              <w:ind w:left="107"/>
              <w:rPr>
                <w:rFonts w:eastAsia="Calibri"/>
                <w:lang w:val="en-US"/>
              </w:rPr>
            </w:pPr>
            <w:r>
              <w:rPr>
                <w:rFonts w:eastAsia="Calibri"/>
                <w:lang w:val="en-US"/>
              </w:rPr>
              <w:t>(46.0-343)</w:t>
            </w:r>
          </w:p>
        </w:tc>
        <w:tc>
          <w:tcPr>
            <w:tcW w:w="297" w:type="pct"/>
            <w:shd w:val="clear" w:color="auto" w:fill="auto"/>
          </w:tcPr>
          <w:p w:rsidR="00224F0F" w:rsidRDefault="00485CCD">
            <w:pPr>
              <w:widowControl w:val="0"/>
              <w:autoSpaceDE w:val="0"/>
              <w:autoSpaceDN w:val="0"/>
              <w:spacing w:line="253" w:lineRule="exact"/>
              <w:ind w:left="107"/>
              <w:rPr>
                <w:rFonts w:eastAsia="Calibri"/>
                <w:lang w:val="en-US"/>
              </w:rPr>
            </w:pPr>
            <w:r>
              <w:rPr>
                <w:rFonts w:eastAsia="Calibri"/>
                <w:lang w:val="en-US"/>
              </w:rPr>
              <w:t>38</w:t>
            </w:r>
          </w:p>
        </w:tc>
        <w:tc>
          <w:tcPr>
            <w:tcW w:w="768" w:type="pct"/>
            <w:shd w:val="clear" w:color="auto" w:fill="auto"/>
          </w:tcPr>
          <w:p w:rsidR="00224F0F" w:rsidRDefault="00485CCD">
            <w:pPr>
              <w:widowControl w:val="0"/>
              <w:autoSpaceDE w:val="0"/>
              <w:autoSpaceDN w:val="0"/>
              <w:spacing w:line="253" w:lineRule="exact"/>
              <w:ind w:left="106"/>
              <w:rPr>
                <w:rFonts w:eastAsia="Calibri"/>
                <w:lang w:val="en-US"/>
              </w:rPr>
            </w:pPr>
            <w:r>
              <w:rPr>
                <w:rFonts w:eastAsia="Calibri"/>
                <w:lang w:val="en-US"/>
              </w:rPr>
              <w:t>171.8</w:t>
            </w:r>
          </w:p>
          <w:p w:rsidR="00224F0F" w:rsidRDefault="00485CCD">
            <w:pPr>
              <w:widowControl w:val="0"/>
              <w:autoSpaceDE w:val="0"/>
              <w:autoSpaceDN w:val="0"/>
              <w:spacing w:line="233" w:lineRule="exact"/>
              <w:ind w:left="106"/>
              <w:rPr>
                <w:rFonts w:eastAsia="Calibri"/>
                <w:lang w:val="en-US"/>
              </w:rPr>
            </w:pPr>
            <w:r>
              <w:rPr>
                <w:rFonts w:eastAsia="Calibri"/>
                <w:lang w:val="en-US"/>
              </w:rPr>
              <w:t>(70.7-438)</w:t>
            </w:r>
          </w:p>
        </w:tc>
        <w:tc>
          <w:tcPr>
            <w:tcW w:w="233" w:type="pct"/>
            <w:shd w:val="clear" w:color="auto" w:fill="auto"/>
          </w:tcPr>
          <w:p w:rsidR="00224F0F" w:rsidRDefault="00485CCD">
            <w:pPr>
              <w:widowControl w:val="0"/>
              <w:autoSpaceDE w:val="0"/>
              <w:autoSpaceDN w:val="0"/>
              <w:spacing w:line="253" w:lineRule="exact"/>
              <w:ind w:left="107"/>
              <w:rPr>
                <w:rFonts w:eastAsia="Calibri"/>
                <w:lang w:val="en-US"/>
              </w:rPr>
            </w:pPr>
            <w:r>
              <w:rPr>
                <w:rFonts w:eastAsia="Calibri"/>
                <w:w w:val="99"/>
                <w:lang w:val="en-US"/>
              </w:rPr>
              <w:t>2</w:t>
            </w:r>
          </w:p>
        </w:tc>
        <w:tc>
          <w:tcPr>
            <w:tcW w:w="787" w:type="pct"/>
            <w:shd w:val="clear" w:color="auto" w:fill="auto"/>
          </w:tcPr>
          <w:p w:rsidR="00224F0F" w:rsidRDefault="00485CCD">
            <w:pPr>
              <w:widowControl w:val="0"/>
              <w:autoSpaceDE w:val="0"/>
              <w:autoSpaceDN w:val="0"/>
              <w:spacing w:line="253" w:lineRule="exact"/>
              <w:ind w:left="106"/>
              <w:rPr>
                <w:rFonts w:eastAsia="Calibri"/>
                <w:lang w:val="en-US"/>
              </w:rPr>
            </w:pPr>
            <w:r>
              <w:rPr>
                <w:rFonts w:eastAsia="Calibri"/>
                <w:lang w:val="en-US"/>
              </w:rPr>
              <w:t>n.sz.</w:t>
            </w:r>
          </w:p>
        </w:tc>
        <w:tc>
          <w:tcPr>
            <w:tcW w:w="230" w:type="pct"/>
            <w:shd w:val="clear" w:color="auto" w:fill="auto"/>
          </w:tcPr>
          <w:p w:rsidR="00224F0F" w:rsidRDefault="00224F0F">
            <w:pPr>
              <w:widowControl w:val="0"/>
              <w:autoSpaceDE w:val="0"/>
              <w:autoSpaceDN w:val="0"/>
              <w:rPr>
                <w:rFonts w:eastAsia="Calibri"/>
                <w:lang w:val="en-US"/>
              </w:rPr>
            </w:pPr>
          </w:p>
        </w:tc>
        <w:tc>
          <w:tcPr>
            <w:tcW w:w="900" w:type="pct"/>
            <w:shd w:val="clear" w:color="auto" w:fill="auto"/>
          </w:tcPr>
          <w:p w:rsidR="00224F0F" w:rsidRDefault="00224F0F">
            <w:pPr>
              <w:widowControl w:val="0"/>
              <w:autoSpaceDE w:val="0"/>
              <w:autoSpaceDN w:val="0"/>
              <w:rPr>
                <w:rFonts w:eastAsia="Calibri"/>
                <w:lang w:val="en-US"/>
              </w:rPr>
            </w:pPr>
          </w:p>
        </w:tc>
      </w:tr>
      <w:tr w:rsidR="00224F0F">
        <w:trPr>
          <w:trHeight w:val="506"/>
        </w:trPr>
        <w:tc>
          <w:tcPr>
            <w:tcW w:w="704" w:type="pct"/>
            <w:shd w:val="clear" w:color="auto" w:fill="auto"/>
          </w:tcPr>
          <w:p w:rsidR="00224F0F" w:rsidRDefault="00485CCD">
            <w:pPr>
              <w:widowControl w:val="0"/>
              <w:autoSpaceDE w:val="0"/>
              <w:autoSpaceDN w:val="0"/>
              <w:spacing w:line="253" w:lineRule="exact"/>
              <w:ind w:left="107"/>
              <w:rPr>
                <w:rFonts w:eastAsia="Calibri"/>
                <w:lang w:val="en-US"/>
              </w:rPr>
            </w:pPr>
            <w:r>
              <w:rPr>
                <w:color w:val="000000"/>
                <w:lang w:val="hu-HU"/>
              </w:rPr>
              <w:t>10–16 óra után</w:t>
            </w:r>
          </w:p>
        </w:tc>
        <w:tc>
          <w:tcPr>
            <w:tcW w:w="298" w:type="pct"/>
            <w:shd w:val="clear" w:color="auto" w:fill="auto"/>
          </w:tcPr>
          <w:p w:rsidR="00224F0F" w:rsidRDefault="00485CCD">
            <w:pPr>
              <w:widowControl w:val="0"/>
              <w:autoSpaceDE w:val="0"/>
              <w:autoSpaceDN w:val="0"/>
              <w:spacing w:line="253" w:lineRule="exact"/>
              <w:ind w:left="107"/>
              <w:rPr>
                <w:rFonts w:eastAsia="Calibri"/>
                <w:lang w:val="en-US"/>
              </w:rPr>
            </w:pPr>
            <w:r>
              <w:rPr>
                <w:rFonts w:eastAsia="Calibri"/>
                <w:lang w:val="en-US"/>
              </w:rPr>
              <w:t>33</w:t>
            </w:r>
          </w:p>
        </w:tc>
        <w:tc>
          <w:tcPr>
            <w:tcW w:w="784" w:type="pct"/>
            <w:shd w:val="clear" w:color="auto" w:fill="auto"/>
          </w:tcPr>
          <w:p w:rsidR="00224F0F" w:rsidRDefault="00485CCD">
            <w:pPr>
              <w:widowControl w:val="0"/>
              <w:autoSpaceDE w:val="0"/>
              <w:autoSpaceDN w:val="0"/>
              <w:spacing w:line="253" w:lineRule="exact"/>
              <w:ind w:left="107"/>
              <w:rPr>
                <w:rFonts w:eastAsia="Calibri"/>
                <w:lang w:val="en-US"/>
              </w:rPr>
            </w:pPr>
            <w:r>
              <w:rPr>
                <w:rFonts w:eastAsia="Calibri"/>
                <w:lang w:val="en-US"/>
              </w:rPr>
              <w:t>26.0</w:t>
            </w:r>
          </w:p>
          <w:p w:rsidR="00224F0F" w:rsidRDefault="00485CCD">
            <w:pPr>
              <w:widowControl w:val="0"/>
              <w:autoSpaceDE w:val="0"/>
              <w:autoSpaceDN w:val="0"/>
              <w:spacing w:line="233" w:lineRule="exact"/>
              <w:ind w:left="107"/>
              <w:rPr>
                <w:rFonts w:eastAsia="Calibri"/>
                <w:lang w:val="en-US"/>
              </w:rPr>
            </w:pPr>
            <w:r>
              <w:rPr>
                <w:rFonts w:eastAsia="Calibri"/>
                <w:lang w:val="en-US"/>
              </w:rPr>
              <w:t>(7.99-94.9)</w:t>
            </w:r>
          </w:p>
        </w:tc>
        <w:tc>
          <w:tcPr>
            <w:tcW w:w="297" w:type="pct"/>
            <w:shd w:val="clear" w:color="auto" w:fill="auto"/>
          </w:tcPr>
          <w:p w:rsidR="00224F0F" w:rsidRDefault="00485CCD">
            <w:pPr>
              <w:widowControl w:val="0"/>
              <w:autoSpaceDE w:val="0"/>
              <w:autoSpaceDN w:val="0"/>
              <w:spacing w:line="253" w:lineRule="exact"/>
              <w:ind w:left="107"/>
              <w:rPr>
                <w:rFonts w:eastAsia="Calibri"/>
                <w:lang w:val="en-US"/>
              </w:rPr>
            </w:pPr>
            <w:r>
              <w:rPr>
                <w:rFonts w:eastAsia="Calibri"/>
                <w:lang w:val="en-US"/>
              </w:rPr>
              <w:t>37</w:t>
            </w:r>
          </w:p>
        </w:tc>
        <w:tc>
          <w:tcPr>
            <w:tcW w:w="768" w:type="pct"/>
            <w:shd w:val="clear" w:color="auto" w:fill="auto"/>
          </w:tcPr>
          <w:p w:rsidR="00224F0F" w:rsidRDefault="00485CCD">
            <w:pPr>
              <w:widowControl w:val="0"/>
              <w:autoSpaceDE w:val="0"/>
              <w:autoSpaceDN w:val="0"/>
              <w:spacing w:line="253" w:lineRule="exact"/>
              <w:ind w:left="106"/>
              <w:rPr>
                <w:rFonts w:eastAsia="Calibri"/>
                <w:lang w:val="en-US"/>
              </w:rPr>
            </w:pPr>
            <w:r>
              <w:rPr>
                <w:rFonts w:eastAsia="Calibri"/>
                <w:lang w:val="en-US"/>
              </w:rPr>
              <w:t>22.2</w:t>
            </w:r>
          </w:p>
          <w:p w:rsidR="00224F0F" w:rsidRDefault="00485CCD">
            <w:pPr>
              <w:widowControl w:val="0"/>
              <w:autoSpaceDE w:val="0"/>
              <w:autoSpaceDN w:val="0"/>
              <w:spacing w:line="233" w:lineRule="exact"/>
              <w:ind w:left="106"/>
              <w:rPr>
                <w:rFonts w:eastAsia="Calibri"/>
                <w:lang w:val="en-US"/>
              </w:rPr>
            </w:pPr>
            <w:r>
              <w:rPr>
                <w:rFonts w:eastAsia="Calibri"/>
                <w:lang w:val="en-US"/>
              </w:rPr>
              <w:t>(0.25-127)</w:t>
            </w:r>
          </w:p>
        </w:tc>
        <w:tc>
          <w:tcPr>
            <w:tcW w:w="233" w:type="pct"/>
            <w:shd w:val="clear" w:color="auto" w:fill="auto"/>
          </w:tcPr>
          <w:p w:rsidR="00224F0F" w:rsidRDefault="00485CCD">
            <w:pPr>
              <w:widowControl w:val="0"/>
              <w:autoSpaceDE w:val="0"/>
              <w:autoSpaceDN w:val="0"/>
              <w:spacing w:line="253" w:lineRule="exact"/>
              <w:ind w:left="107"/>
              <w:rPr>
                <w:rFonts w:eastAsia="Calibri"/>
                <w:lang w:val="en-US"/>
              </w:rPr>
            </w:pPr>
            <w:r>
              <w:rPr>
                <w:rFonts w:eastAsia="Calibri"/>
                <w:w w:val="99"/>
                <w:lang w:val="en-US"/>
              </w:rPr>
              <w:t>3</w:t>
            </w:r>
          </w:p>
        </w:tc>
        <w:tc>
          <w:tcPr>
            <w:tcW w:w="787" w:type="pct"/>
            <w:shd w:val="clear" w:color="auto" w:fill="auto"/>
          </w:tcPr>
          <w:p w:rsidR="00224F0F" w:rsidRDefault="00485CCD">
            <w:pPr>
              <w:widowControl w:val="0"/>
              <w:autoSpaceDE w:val="0"/>
              <w:autoSpaceDN w:val="0"/>
              <w:spacing w:line="253" w:lineRule="exact"/>
              <w:ind w:left="106"/>
              <w:rPr>
                <w:rFonts w:eastAsia="Calibri"/>
                <w:lang w:val="en-US"/>
              </w:rPr>
            </w:pPr>
            <w:r>
              <w:rPr>
                <w:rFonts w:eastAsia="Calibri"/>
                <w:lang w:val="en-US"/>
              </w:rPr>
              <w:t>10.7</w:t>
            </w:r>
          </w:p>
          <w:p w:rsidR="00224F0F" w:rsidRDefault="00485CCD">
            <w:pPr>
              <w:widowControl w:val="0"/>
              <w:autoSpaceDE w:val="0"/>
              <w:autoSpaceDN w:val="0"/>
              <w:spacing w:line="233" w:lineRule="exact"/>
              <w:ind w:left="106"/>
              <w:rPr>
                <w:rFonts w:eastAsia="Calibri"/>
                <w:lang w:val="en-US"/>
              </w:rPr>
            </w:pPr>
            <w:r>
              <w:rPr>
                <w:rFonts w:eastAsia="Calibri"/>
                <w:lang w:val="en-US"/>
              </w:rPr>
              <w:t>(n.sz.-n.sz.)</w:t>
            </w:r>
          </w:p>
        </w:tc>
        <w:tc>
          <w:tcPr>
            <w:tcW w:w="230" w:type="pct"/>
            <w:shd w:val="clear" w:color="auto" w:fill="auto"/>
          </w:tcPr>
          <w:p w:rsidR="00224F0F" w:rsidRDefault="00224F0F">
            <w:pPr>
              <w:widowControl w:val="0"/>
              <w:autoSpaceDE w:val="0"/>
              <w:autoSpaceDN w:val="0"/>
              <w:rPr>
                <w:rFonts w:eastAsia="Calibri"/>
                <w:lang w:val="en-US"/>
              </w:rPr>
            </w:pPr>
          </w:p>
        </w:tc>
        <w:tc>
          <w:tcPr>
            <w:tcW w:w="900" w:type="pct"/>
            <w:shd w:val="clear" w:color="auto" w:fill="auto"/>
          </w:tcPr>
          <w:p w:rsidR="00224F0F" w:rsidRDefault="00224F0F">
            <w:pPr>
              <w:widowControl w:val="0"/>
              <w:autoSpaceDE w:val="0"/>
              <w:autoSpaceDN w:val="0"/>
              <w:rPr>
                <w:rFonts w:eastAsia="Calibri"/>
                <w:lang w:val="en-US"/>
              </w:rPr>
            </w:pPr>
          </w:p>
        </w:tc>
      </w:tr>
      <w:tr w:rsidR="00224F0F">
        <w:trPr>
          <w:trHeight w:val="505"/>
        </w:trPr>
        <w:tc>
          <w:tcPr>
            <w:tcW w:w="704" w:type="pct"/>
            <w:shd w:val="clear" w:color="auto" w:fill="auto"/>
          </w:tcPr>
          <w:p w:rsidR="00224F0F" w:rsidRDefault="00485CCD">
            <w:pPr>
              <w:widowControl w:val="0"/>
              <w:autoSpaceDE w:val="0"/>
              <w:autoSpaceDN w:val="0"/>
              <w:spacing w:line="253" w:lineRule="exact"/>
              <w:ind w:left="107"/>
              <w:rPr>
                <w:rFonts w:eastAsia="Calibri"/>
                <w:b/>
                <w:lang w:val="en-US"/>
              </w:rPr>
            </w:pPr>
            <w:r>
              <w:rPr>
                <w:rFonts w:eastAsia="Calibri"/>
                <w:b/>
                <w:lang w:val="en-US"/>
              </w:rPr>
              <w:t>t.i.d.</w:t>
            </w:r>
          </w:p>
        </w:tc>
        <w:tc>
          <w:tcPr>
            <w:tcW w:w="298" w:type="pct"/>
            <w:shd w:val="clear" w:color="auto" w:fill="auto"/>
          </w:tcPr>
          <w:p w:rsidR="00224F0F" w:rsidRDefault="00485CCD">
            <w:pPr>
              <w:widowControl w:val="0"/>
              <w:autoSpaceDE w:val="0"/>
              <w:autoSpaceDN w:val="0"/>
              <w:spacing w:line="253" w:lineRule="exact"/>
              <w:ind w:left="107"/>
              <w:rPr>
                <w:rFonts w:eastAsia="Calibri"/>
                <w:b/>
                <w:lang w:val="en-US"/>
              </w:rPr>
            </w:pPr>
            <w:r>
              <w:rPr>
                <w:rFonts w:eastAsia="Calibri"/>
                <w:b/>
                <w:w w:val="99"/>
                <w:lang w:val="en-US"/>
              </w:rPr>
              <w:t>N</w:t>
            </w:r>
          </w:p>
        </w:tc>
        <w:tc>
          <w:tcPr>
            <w:tcW w:w="784" w:type="pct"/>
            <w:shd w:val="clear" w:color="auto" w:fill="auto"/>
          </w:tcPr>
          <w:p w:rsidR="00224F0F" w:rsidRDefault="00485CCD">
            <w:pPr>
              <w:widowControl w:val="0"/>
              <w:autoSpaceDE w:val="0"/>
              <w:autoSpaceDN w:val="0"/>
              <w:spacing w:line="253" w:lineRule="exact"/>
              <w:ind w:left="107"/>
              <w:rPr>
                <w:rFonts w:eastAsia="Calibri"/>
                <w:b/>
                <w:lang w:val="en-US"/>
              </w:rPr>
            </w:pPr>
            <w:r>
              <w:rPr>
                <w:rFonts w:eastAsia="Calibri"/>
                <w:b/>
                <w:lang w:val="en-US"/>
              </w:rPr>
              <w:t>2 - &lt; 6 év</w:t>
            </w:r>
          </w:p>
        </w:tc>
        <w:tc>
          <w:tcPr>
            <w:tcW w:w="297" w:type="pct"/>
            <w:shd w:val="clear" w:color="auto" w:fill="auto"/>
          </w:tcPr>
          <w:p w:rsidR="00224F0F" w:rsidRDefault="00485CCD">
            <w:pPr>
              <w:widowControl w:val="0"/>
              <w:autoSpaceDE w:val="0"/>
              <w:autoSpaceDN w:val="0"/>
              <w:spacing w:line="253" w:lineRule="exact"/>
              <w:ind w:left="107"/>
              <w:rPr>
                <w:rFonts w:eastAsia="Calibri"/>
                <w:b/>
                <w:lang w:val="en-US"/>
              </w:rPr>
            </w:pPr>
            <w:r>
              <w:rPr>
                <w:rFonts w:eastAsia="Calibri"/>
                <w:b/>
                <w:w w:val="99"/>
                <w:lang w:val="en-US"/>
              </w:rPr>
              <w:t>N</w:t>
            </w:r>
          </w:p>
        </w:tc>
        <w:tc>
          <w:tcPr>
            <w:tcW w:w="768" w:type="pct"/>
            <w:shd w:val="clear" w:color="auto" w:fill="auto"/>
          </w:tcPr>
          <w:p w:rsidR="00224F0F" w:rsidRDefault="00485CCD">
            <w:pPr>
              <w:widowControl w:val="0"/>
              <w:autoSpaceDE w:val="0"/>
              <w:autoSpaceDN w:val="0"/>
              <w:spacing w:line="233" w:lineRule="exact"/>
              <w:ind w:left="106"/>
              <w:rPr>
                <w:rFonts w:eastAsia="Calibri"/>
                <w:b/>
                <w:bCs/>
                <w:lang w:val="en-US"/>
              </w:rPr>
            </w:pPr>
            <w:r>
              <w:rPr>
                <w:b/>
                <w:bCs/>
                <w:color w:val="000000"/>
                <w:lang w:val="hu-HU"/>
              </w:rPr>
              <w:t>Születéstől &lt; 2 évig</w:t>
            </w:r>
          </w:p>
        </w:tc>
        <w:tc>
          <w:tcPr>
            <w:tcW w:w="233" w:type="pct"/>
            <w:shd w:val="clear" w:color="auto" w:fill="auto"/>
          </w:tcPr>
          <w:p w:rsidR="00224F0F" w:rsidRDefault="00485CCD">
            <w:pPr>
              <w:widowControl w:val="0"/>
              <w:autoSpaceDE w:val="0"/>
              <w:autoSpaceDN w:val="0"/>
              <w:spacing w:line="253" w:lineRule="exact"/>
              <w:ind w:left="107"/>
              <w:rPr>
                <w:rFonts w:eastAsia="Calibri"/>
                <w:b/>
                <w:lang w:val="en-US"/>
              </w:rPr>
            </w:pPr>
            <w:r>
              <w:rPr>
                <w:rFonts w:eastAsia="Calibri"/>
                <w:b/>
                <w:w w:val="99"/>
                <w:lang w:val="en-US"/>
              </w:rPr>
              <w:t>N</w:t>
            </w:r>
          </w:p>
        </w:tc>
        <w:tc>
          <w:tcPr>
            <w:tcW w:w="787" w:type="pct"/>
            <w:shd w:val="clear" w:color="auto" w:fill="auto"/>
          </w:tcPr>
          <w:p w:rsidR="00224F0F" w:rsidRDefault="00485CCD">
            <w:pPr>
              <w:widowControl w:val="0"/>
              <w:autoSpaceDE w:val="0"/>
              <w:autoSpaceDN w:val="0"/>
              <w:spacing w:line="253" w:lineRule="exact"/>
              <w:ind w:left="106"/>
              <w:rPr>
                <w:rFonts w:eastAsia="Calibri"/>
                <w:b/>
                <w:lang w:val="en-US"/>
              </w:rPr>
            </w:pPr>
            <w:r>
              <w:rPr>
                <w:rFonts w:eastAsia="Calibri"/>
                <w:b/>
                <w:lang w:val="en-US"/>
              </w:rPr>
              <w:t>0.5 -&lt; 2 év</w:t>
            </w:r>
          </w:p>
        </w:tc>
        <w:tc>
          <w:tcPr>
            <w:tcW w:w="230" w:type="pct"/>
            <w:shd w:val="clear" w:color="auto" w:fill="auto"/>
          </w:tcPr>
          <w:p w:rsidR="00224F0F" w:rsidRDefault="00485CCD">
            <w:pPr>
              <w:widowControl w:val="0"/>
              <w:autoSpaceDE w:val="0"/>
              <w:autoSpaceDN w:val="0"/>
              <w:spacing w:line="253" w:lineRule="exact"/>
              <w:jc w:val="center"/>
              <w:rPr>
                <w:rFonts w:eastAsia="Calibri"/>
                <w:b/>
                <w:lang w:val="en-US"/>
              </w:rPr>
            </w:pPr>
            <w:r>
              <w:rPr>
                <w:rFonts w:eastAsia="Calibri"/>
                <w:b/>
                <w:w w:val="99"/>
                <w:lang w:val="en-US"/>
              </w:rPr>
              <w:t>N</w:t>
            </w:r>
          </w:p>
        </w:tc>
        <w:tc>
          <w:tcPr>
            <w:tcW w:w="900" w:type="pct"/>
            <w:shd w:val="clear" w:color="auto" w:fill="auto"/>
          </w:tcPr>
          <w:p w:rsidR="00224F0F" w:rsidRDefault="00485CCD">
            <w:pPr>
              <w:widowControl w:val="0"/>
              <w:autoSpaceDE w:val="0"/>
              <w:autoSpaceDN w:val="0"/>
              <w:spacing w:line="233" w:lineRule="exact"/>
              <w:ind w:left="106"/>
              <w:rPr>
                <w:rFonts w:eastAsia="Calibri"/>
                <w:b/>
                <w:bCs/>
                <w:lang w:val="en-US"/>
              </w:rPr>
            </w:pPr>
            <w:r>
              <w:rPr>
                <w:b/>
                <w:bCs/>
                <w:color w:val="000000"/>
                <w:lang w:val="hu-HU"/>
              </w:rPr>
              <w:t>Születéstől &lt; 0,5 évig</w:t>
            </w:r>
          </w:p>
        </w:tc>
      </w:tr>
      <w:tr w:rsidR="00224F0F">
        <w:trPr>
          <w:trHeight w:val="504"/>
        </w:trPr>
        <w:tc>
          <w:tcPr>
            <w:tcW w:w="704" w:type="pct"/>
            <w:shd w:val="clear" w:color="auto" w:fill="auto"/>
          </w:tcPr>
          <w:p w:rsidR="00224F0F" w:rsidRDefault="00485CCD">
            <w:pPr>
              <w:widowControl w:val="0"/>
              <w:autoSpaceDE w:val="0"/>
              <w:autoSpaceDN w:val="0"/>
              <w:spacing w:line="253" w:lineRule="exact"/>
              <w:ind w:left="107"/>
              <w:rPr>
                <w:rFonts w:eastAsia="Calibri"/>
                <w:lang w:val="en-US"/>
              </w:rPr>
            </w:pPr>
            <w:r>
              <w:rPr>
                <w:color w:val="000000"/>
                <w:lang w:val="hu-HU"/>
              </w:rPr>
              <w:t>0,5 – 3 óra után</w:t>
            </w:r>
          </w:p>
        </w:tc>
        <w:tc>
          <w:tcPr>
            <w:tcW w:w="298" w:type="pct"/>
            <w:shd w:val="clear" w:color="auto" w:fill="auto"/>
          </w:tcPr>
          <w:p w:rsidR="00224F0F" w:rsidRDefault="00485CCD">
            <w:pPr>
              <w:widowControl w:val="0"/>
              <w:autoSpaceDE w:val="0"/>
              <w:autoSpaceDN w:val="0"/>
              <w:spacing w:line="253" w:lineRule="exact"/>
              <w:ind w:left="107"/>
              <w:rPr>
                <w:rFonts w:eastAsia="Calibri"/>
                <w:lang w:val="en-US"/>
              </w:rPr>
            </w:pPr>
            <w:r>
              <w:rPr>
                <w:rFonts w:eastAsia="Calibri"/>
                <w:w w:val="99"/>
                <w:lang w:val="en-US"/>
              </w:rPr>
              <w:t>5</w:t>
            </w:r>
          </w:p>
        </w:tc>
        <w:tc>
          <w:tcPr>
            <w:tcW w:w="784" w:type="pct"/>
            <w:shd w:val="clear" w:color="auto" w:fill="auto"/>
          </w:tcPr>
          <w:p w:rsidR="00224F0F" w:rsidRDefault="00485CCD">
            <w:pPr>
              <w:widowControl w:val="0"/>
              <w:autoSpaceDE w:val="0"/>
              <w:autoSpaceDN w:val="0"/>
              <w:spacing w:line="252" w:lineRule="exact"/>
              <w:ind w:left="107"/>
              <w:rPr>
                <w:rFonts w:eastAsia="Calibri"/>
                <w:lang w:val="en-US"/>
              </w:rPr>
            </w:pPr>
            <w:r>
              <w:rPr>
                <w:rFonts w:eastAsia="Calibri"/>
                <w:lang w:val="en-US"/>
              </w:rPr>
              <w:t>164.7</w:t>
            </w:r>
          </w:p>
          <w:p w:rsidR="00224F0F" w:rsidRDefault="00485CCD">
            <w:pPr>
              <w:widowControl w:val="0"/>
              <w:autoSpaceDE w:val="0"/>
              <w:autoSpaceDN w:val="0"/>
              <w:spacing w:line="233" w:lineRule="exact"/>
              <w:ind w:left="107"/>
              <w:rPr>
                <w:rFonts w:eastAsia="Calibri"/>
                <w:lang w:val="en-US"/>
              </w:rPr>
            </w:pPr>
            <w:r>
              <w:rPr>
                <w:rFonts w:eastAsia="Calibri"/>
                <w:lang w:val="en-US"/>
              </w:rPr>
              <w:t>(108-283)</w:t>
            </w:r>
          </w:p>
        </w:tc>
        <w:tc>
          <w:tcPr>
            <w:tcW w:w="297" w:type="pct"/>
            <w:shd w:val="clear" w:color="auto" w:fill="auto"/>
          </w:tcPr>
          <w:p w:rsidR="00224F0F" w:rsidRDefault="00485CCD">
            <w:pPr>
              <w:widowControl w:val="0"/>
              <w:autoSpaceDE w:val="0"/>
              <w:autoSpaceDN w:val="0"/>
              <w:spacing w:line="253" w:lineRule="exact"/>
              <w:ind w:left="107"/>
              <w:rPr>
                <w:rFonts w:eastAsia="Calibri"/>
                <w:lang w:val="en-US"/>
              </w:rPr>
            </w:pPr>
            <w:r>
              <w:rPr>
                <w:rFonts w:eastAsia="Calibri"/>
                <w:lang w:val="en-US"/>
              </w:rPr>
              <w:t>25</w:t>
            </w:r>
          </w:p>
        </w:tc>
        <w:tc>
          <w:tcPr>
            <w:tcW w:w="768" w:type="pct"/>
            <w:shd w:val="clear" w:color="auto" w:fill="auto"/>
          </w:tcPr>
          <w:p w:rsidR="00224F0F" w:rsidRDefault="00485CCD">
            <w:pPr>
              <w:widowControl w:val="0"/>
              <w:autoSpaceDE w:val="0"/>
              <w:autoSpaceDN w:val="0"/>
              <w:spacing w:line="252" w:lineRule="exact"/>
              <w:ind w:left="106"/>
              <w:rPr>
                <w:rFonts w:eastAsia="Calibri"/>
                <w:lang w:val="en-US"/>
              </w:rPr>
            </w:pPr>
            <w:r>
              <w:rPr>
                <w:rFonts w:eastAsia="Calibri"/>
                <w:lang w:val="en-US"/>
              </w:rPr>
              <w:t>111.2</w:t>
            </w:r>
          </w:p>
          <w:p w:rsidR="00224F0F" w:rsidRDefault="00485CCD">
            <w:pPr>
              <w:widowControl w:val="0"/>
              <w:autoSpaceDE w:val="0"/>
              <w:autoSpaceDN w:val="0"/>
              <w:spacing w:line="233" w:lineRule="exact"/>
              <w:ind w:left="106"/>
              <w:rPr>
                <w:rFonts w:eastAsia="Calibri"/>
                <w:lang w:val="en-US"/>
              </w:rPr>
            </w:pPr>
            <w:r>
              <w:rPr>
                <w:rFonts w:eastAsia="Calibri"/>
                <w:lang w:val="en-US"/>
              </w:rPr>
              <w:t>(22.9-320)</w:t>
            </w:r>
          </w:p>
        </w:tc>
        <w:tc>
          <w:tcPr>
            <w:tcW w:w="233" w:type="pct"/>
            <w:shd w:val="clear" w:color="auto" w:fill="auto"/>
          </w:tcPr>
          <w:p w:rsidR="00224F0F" w:rsidRDefault="00485CCD">
            <w:pPr>
              <w:widowControl w:val="0"/>
              <w:autoSpaceDE w:val="0"/>
              <w:autoSpaceDN w:val="0"/>
              <w:spacing w:line="253" w:lineRule="exact"/>
              <w:ind w:left="107"/>
              <w:rPr>
                <w:rFonts w:eastAsia="Calibri"/>
                <w:lang w:val="en-US"/>
              </w:rPr>
            </w:pPr>
            <w:r>
              <w:rPr>
                <w:rFonts w:eastAsia="Calibri"/>
                <w:lang w:val="en-US"/>
              </w:rPr>
              <w:t>13</w:t>
            </w:r>
          </w:p>
        </w:tc>
        <w:tc>
          <w:tcPr>
            <w:tcW w:w="787" w:type="pct"/>
            <w:shd w:val="clear" w:color="auto" w:fill="auto"/>
          </w:tcPr>
          <w:p w:rsidR="00224F0F" w:rsidRDefault="00485CCD">
            <w:pPr>
              <w:widowControl w:val="0"/>
              <w:autoSpaceDE w:val="0"/>
              <w:autoSpaceDN w:val="0"/>
              <w:spacing w:line="252" w:lineRule="exact"/>
              <w:ind w:left="106"/>
              <w:rPr>
                <w:rFonts w:eastAsia="Calibri"/>
                <w:lang w:val="en-US"/>
              </w:rPr>
            </w:pPr>
            <w:r>
              <w:rPr>
                <w:rFonts w:eastAsia="Calibri"/>
                <w:lang w:val="en-US"/>
              </w:rPr>
              <w:t>114.3</w:t>
            </w:r>
          </w:p>
          <w:p w:rsidR="00224F0F" w:rsidRDefault="00485CCD">
            <w:pPr>
              <w:widowControl w:val="0"/>
              <w:autoSpaceDE w:val="0"/>
              <w:autoSpaceDN w:val="0"/>
              <w:spacing w:line="233" w:lineRule="exact"/>
              <w:ind w:left="106"/>
              <w:rPr>
                <w:rFonts w:eastAsia="Calibri"/>
                <w:lang w:val="en-US"/>
              </w:rPr>
            </w:pPr>
            <w:r>
              <w:rPr>
                <w:rFonts w:eastAsia="Calibri"/>
                <w:lang w:val="en-US"/>
              </w:rPr>
              <w:t>(22.9-346)</w:t>
            </w:r>
          </w:p>
        </w:tc>
        <w:tc>
          <w:tcPr>
            <w:tcW w:w="230" w:type="pct"/>
            <w:shd w:val="clear" w:color="auto" w:fill="auto"/>
          </w:tcPr>
          <w:p w:rsidR="00224F0F" w:rsidRDefault="00485CCD">
            <w:pPr>
              <w:widowControl w:val="0"/>
              <w:autoSpaceDE w:val="0"/>
              <w:autoSpaceDN w:val="0"/>
              <w:spacing w:line="253" w:lineRule="exact"/>
              <w:ind w:left="88"/>
              <w:jc w:val="center"/>
              <w:rPr>
                <w:rFonts w:eastAsia="Calibri"/>
                <w:lang w:val="en-US"/>
              </w:rPr>
            </w:pPr>
            <w:r>
              <w:rPr>
                <w:rFonts w:eastAsia="Calibri"/>
                <w:lang w:val="en-US"/>
              </w:rPr>
              <w:t>12</w:t>
            </w:r>
          </w:p>
        </w:tc>
        <w:tc>
          <w:tcPr>
            <w:tcW w:w="900" w:type="pct"/>
            <w:shd w:val="clear" w:color="auto" w:fill="auto"/>
          </w:tcPr>
          <w:p w:rsidR="00224F0F" w:rsidRDefault="00485CCD">
            <w:pPr>
              <w:widowControl w:val="0"/>
              <w:autoSpaceDE w:val="0"/>
              <w:autoSpaceDN w:val="0"/>
              <w:spacing w:line="252" w:lineRule="exact"/>
              <w:ind w:left="106"/>
              <w:rPr>
                <w:rFonts w:eastAsia="Calibri"/>
                <w:lang w:val="en-US"/>
              </w:rPr>
            </w:pPr>
            <w:r>
              <w:rPr>
                <w:rFonts w:eastAsia="Calibri"/>
                <w:lang w:val="en-US"/>
              </w:rPr>
              <w:t>108.0</w:t>
            </w:r>
          </w:p>
          <w:p w:rsidR="00224F0F" w:rsidRDefault="00485CCD">
            <w:pPr>
              <w:widowControl w:val="0"/>
              <w:autoSpaceDE w:val="0"/>
              <w:autoSpaceDN w:val="0"/>
              <w:spacing w:line="233" w:lineRule="exact"/>
              <w:ind w:left="106"/>
              <w:rPr>
                <w:rFonts w:eastAsia="Calibri"/>
                <w:lang w:val="en-US"/>
              </w:rPr>
            </w:pPr>
            <w:r>
              <w:rPr>
                <w:rFonts w:eastAsia="Calibri"/>
                <w:lang w:val="en-US"/>
              </w:rPr>
              <w:t>(19.2-320)</w:t>
            </w:r>
          </w:p>
        </w:tc>
      </w:tr>
      <w:tr w:rsidR="00224F0F">
        <w:trPr>
          <w:trHeight w:val="505"/>
        </w:trPr>
        <w:tc>
          <w:tcPr>
            <w:tcW w:w="704" w:type="pct"/>
            <w:shd w:val="clear" w:color="auto" w:fill="auto"/>
          </w:tcPr>
          <w:p w:rsidR="00224F0F" w:rsidRDefault="00485CCD">
            <w:pPr>
              <w:widowControl w:val="0"/>
              <w:autoSpaceDE w:val="0"/>
              <w:autoSpaceDN w:val="0"/>
              <w:spacing w:before="1"/>
              <w:ind w:left="107"/>
              <w:rPr>
                <w:rFonts w:eastAsia="Calibri"/>
                <w:lang w:val="en-US"/>
              </w:rPr>
            </w:pPr>
            <w:r>
              <w:rPr>
                <w:color w:val="000000"/>
                <w:lang w:val="hu-HU"/>
              </w:rPr>
              <w:t>7 – 8 óra után</w:t>
            </w:r>
          </w:p>
        </w:tc>
        <w:tc>
          <w:tcPr>
            <w:tcW w:w="298" w:type="pct"/>
            <w:shd w:val="clear" w:color="auto" w:fill="auto"/>
          </w:tcPr>
          <w:p w:rsidR="00224F0F" w:rsidRDefault="00485CCD">
            <w:pPr>
              <w:widowControl w:val="0"/>
              <w:autoSpaceDE w:val="0"/>
              <w:autoSpaceDN w:val="0"/>
              <w:spacing w:before="1"/>
              <w:ind w:left="107"/>
              <w:rPr>
                <w:rFonts w:eastAsia="Calibri"/>
                <w:lang w:val="en-US"/>
              </w:rPr>
            </w:pPr>
            <w:r>
              <w:rPr>
                <w:rFonts w:eastAsia="Calibri"/>
                <w:w w:val="99"/>
                <w:lang w:val="en-US"/>
              </w:rPr>
              <w:t>5</w:t>
            </w:r>
          </w:p>
        </w:tc>
        <w:tc>
          <w:tcPr>
            <w:tcW w:w="784" w:type="pct"/>
            <w:shd w:val="clear" w:color="auto" w:fill="auto"/>
          </w:tcPr>
          <w:p w:rsidR="00224F0F" w:rsidRDefault="00485CCD">
            <w:pPr>
              <w:widowControl w:val="0"/>
              <w:autoSpaceDE w:val="0"/>
              <w:autoSpaceDN w:val="0"/>
              <w:spacing w:before="1" w:line="252" w:lineRule="exact"/>
              <w:ind w:left="107"/>
              <w:rPr>
                <w:rFonts w:eastAsia="Calibri"/>
                <w:lang w:val="en-US"/>
              </w:rPr>
            </w:pPr>
            <w:r>
              <w:rPr>
                <w:rFonts w:eastAsia="Calibri"/>
                <w:lang w:val="en-US"/>
              </w:rPr>
              <w:t>33.2</w:t>
            </w:r>
          </w:p>
          <w:p w:rsidR="00224F0F" w:rsidRDefault="00485CCD">
            <w:pPr>
              <w:widowControl w:val="0"/>
              <w:autoSpaceDE w:val="0"/>
              <w:autoSpaceDN w:val="0"/>
              <w:spacing w:line="233" w:lineRule="exact"/>
              <w:ind w:left="107"/>
              <w:rPr>
                <w:rFonts w:eastAsia="Calibri"/>
                <w:lang w:val="en-US"/>
              </w:rPr>
            </w:pPr>
            <w:r>
              <w:rPr>
                <w:rFonts w:eastAsia="Calibri"/>
                <w:lang w:val="en-US"/>
              </w:rPr>
              <w:t>(18.7-99.7)</w:t>
            </w:r>
          </w:p>
        </w:tc>
        <w:tc>
          <w:tcPr>
            <w:tcW w:w="297" w:type="pct"/>
            <w:shd w:val="clear" w:color="auto" w:fill="auto"/>
          </w:tcPr>
          <w:p w:rsidR="00224F0F" w:rsidRDefault="00485CCD">
            <w:pPr>
              <w:widowControl w:val="0"/>
              <w:autoSpaceDE w:val="0"/>
              <w:autoSpaceDN w:val="0"/>
              <w:spacing w:before="1"/>
              <w:ind w:left="107"/>
              <w:rPr>
                <w:rFonts w:eastAsia="Calibri"/>
                <w:lang w:val="en-US"/>
              </w:rPr>
            </w:pPr>
            <w:r>
              <w:rPr>
                <w:rFonts w:eastAsia="Calibri"/>
                <w:lang w:val="en-US"/>
              </w:rPr>
              <w:t>23</w:t>
            </w:r>
          </w:p>
        </w:tc>
        <w:tc>
          <w:tcPr>
            <w:tcW w:w="768" w:type="pct"/>
            <w:shd w:val="clear" w:color="auto" w:fill="auto"/>
          </w:tcPr>
          <w:p w:rsidR="00224F0F" w:rsidRDefault="00485CCD">
            <w:pPr>
              <w:widowControl w:val="0"/>
              <w:autoSpaceDE w:val="0"/>
              <w:autoSpaceDN w:val="0"/>
              <w:spacing w:before="1" w:line="252" w:lineRule="exact"/>
              <w:ind w:left="106"/>
              <w:rPr>
                <w:rFonts w:eastAsia="Calibri"/>
                <w:lang w:val="en-US"/>
              </w:rPr>
            </w:pPr>
            <w:r>
              <w:rPr>
                <w:rFonts w:eastAsia="Calibri"/>
                <w:lang w:val="en-US"/>
              </w:rPr>
              <w:t>18.7</w:t>
            </w:r>
          </w:p>
          <w:p w:rsidR="00224F0F" w:rsidRDefault="00485CCD">
            <w:pPr>
              <w:widowControl w:val="0"/>
              <w:autoSpaceDE w:val="0"/>
              <w:autoSpaceDN w:val="0"/>
              <w:spacing w:line="233" w:lineRule="exact"/>
              <w:ind w:left="106"/>
              <w:rPr>
                <w:rFonts w:eastAsia="Calibri"/>
                <w:lang w:val="en-US"/>
              </w:rPr>
            </w:pPr>
            <w:r>
              <w:rPr>
                <w:rFonts w:eastAsia="Calibri"/>
                <w:lang w:val="en-US"/>
              </w:rPr>
              <w:t>(10.1-36.5)</w:t>
            </w:r>
          </w:p>
        </w:tc>
        <w:tc>
          <w:tcPr>
            <w:tcW w:w="233" w:type="pct"/>
            <w:shd w:val="clear" w:color="auto" w:fill="auto"/>
          </w:tcPr>
          <w:p w:rsidR="00224F0F" w:rsidRDefault="00485CCD">
            <w:pPr>
              <w:widowControl w:val="0"/>
              <w:autoSpaceDE w:val="0"/>
              <w:autoSpaceDN w:val="0"/>
              <w:spacing w:before="1"/>
              <w:ind w:left="107"/>
              <w:rPr>
                <w:rFonts w:eastAsia="Calibri"/>
                <w:lang w:val="en-US"/>
              </w:rPr>
            </w:pPr>
            <w:r>
              <w:rPr>
                <w:rFonts w:eastAsia="Calibri"/>
                <w:lang w:val="en-US"/>
              </w:rPr>
              <w:t>12</w:t>
            </w:r>
          </w:p>
        </w:tc>
        <w:tc>
          <w:tcPr>
            <w:tcW w:w="787" w:type="pct"/>
            <w:shd w:val="clear" w:color="auto" w:fill="auto"/>
          </w:tcPr>
          <w:p w:rsidR="00224F0F" w:rsidRDefault="00485CCD">
            <w:pPr>
              <w:widowControl w:val="0"/>
              <w:autoSpaceDE w:val="0"/>
              <w:autoSpaceDN w:val="0"/>
              <w:spacing w:before="1" w:line="252" w:lineRule="exact"/>
              <w:ind w:left="106"/>
              <w:rPr>
                <w:rFonts w:eastAsia="Calibri"/>
                <w:lang w:val="en-US"/>
              </w:rPr>
            </w:pPr>
            <w:r>
              <w:rPr>
                <w:rFonts w:eastAsia="Calibri"/>
                <w:lang w:val="en-US"/>
              </w:rPr>
              <w:t>21.4</w:t>
            </w:r>
          </w:p>
          <w:p w:rsidR="00224F0F" w:rsidRDefault="00485CCD">
            <w:pPr>
              <w:widowControl w:val="0"/>
              <w:autoSpaceDE w:val="0"/>
              <w:autoSpaceDN w:val="0"/>
              <w:spacing w:line="233" w:lineRule="exact"/>
              <w:ind w:left="106"/>
              <w:rPr>
                <w:rFonts w:eastAsia="Calibri"/>
                <w:lang w:val="en-US"/>
              </w:rPr>
            </w:pPr>
            <w:r>
              <w:rPr>
                <w:rFonts w:eastAsia="Calibri"/>
                <w:lang w:val="en-US"/>
              </w:rPr>
              <w:t>(10.5-65.6)</w:t>
            </w:r>
          </w:p>
        </w:tc>
        <w:tc>
          <w:tcPr>
            <w:tcW w:w="230" w:type="pct"/>
            <w:shd w:val="clear" w:color="auto" w:fill="auto"/>
          </w:tcPr>
          <w:p w:rsidR="00224F0F" w:rsidRDefault="00485CCD">
            <w:pPr>
              <w:widowControl w:val="0"/>
              <w:autoSpaceDE w:val="0"/>
              <w:autoSpaceDN w:val="0"/>
              <w:spacing w:before="1"/>
              <w:ind w:left="88"/>
              <w:jc w:val="center"/>
              <w:rPr>
                <w:rFonts w:eastAsia="Calibri"/>
                <w:lang w:val="en-US"/>
              </w:rPr>
            </w:pPr>
            <w:r>
              <w:rPr>
                <w:rFonts w:eastAsia="Calibri"/>
                <w:lang w:val="en-US"/>
              </w:rPr>
              <w:t>11</w:t>
            </w:r>
          </w:p>
        </w:tc>
        <w:tc>
          <w:tcPr>
            <w:tcW w:w="900" w:type="pct"/>
            <w:shd w:val="clear" w:color="auto" w:fill="auto"/>
          </w:tcPr>
          <w:p w:rsidR="00224F0F" w:rsidRDefault="00485CCD">
            <w:pPr>
              <w:widowControl w:val="0"/>
              <w:autoSpaceDE w:val="0"/>
              <w:autoSpaceDN w:val="0"/>
              <w:spacing w:before="1" w:line="252" w:lineRule="exact"/>
              <w:ind w:left="106"/>
              <w:rPr>
                <w:rFonts w:eastAsia="Calibri"/>
                <w:lang w:val="en-US"/>
              </w:rPr>
            </w:pPr>
            <w:r>
              <w:rPr>
                <w:rFonts w:eastAsia="Calibri"/>
                <w:lang w:val="en-US"/>
              </w:rPr>
              <w:t>16.1</w:t>
            </w:r>
          </w:p>
          <w:p w:rsidR="00224F0F" w:rsidRDefault="00485CCD">
            <w:pPr>
              <w:widowControl w:val="0"/>
              <w:autoSpaceDE w:val="0"/>
              <w:autoSpaceDN w:val="0"/>
              <w:spacing w:line="233" w:lineRule="exact"/>
              <w:ind w:left="106"/>
              <w:rPr>
                <w:rFonts w:eastAsia="Calibri"/>
                <w:lang w:val="en-US"/>
              </w:rPr>
            </w:pPr>
            <w:r>
              <w:rPr>
                <w:rFonts w:eastAsia="Calibri"/>
                <w:lang w:val="en-US"/>
              </w:rPr>
              <w:t>(1.03-33.6)</w:t>
            </w:r>
          </w:p>
        </w:tc>
      </w:tr>
    </w:tbl>
    <w:p w:rsidR="00224F0F" w:rsidRDefault="00485CCD">
      <w:pPr>
        <w:spacing w:line="240" w:lineRule="auto"/>
        <w:rPr>
          <w:color w:val="000000"/>
          <w:lang w:val="hu-HU"/>
        </w:rPr>
      </w:pPr>
      <w:r>
        <w:rPr>
          <w:color w:val="000000"/>
          <w:lang w:val="hu-HU"/>
        </w:rPr>
        <w:t>o.d. = napi egyszeri adagolás, b.i.d. = napi kétszer, t.i.d. = napi háromszor, n.sz. = nem számították ki</w:t>
      </w:r>
    </w:p>
    <w:p w:rsidR="00224F0F" w:rsidRDefault="00485CCD">
      <w:pPr>
        <w:spacing w:line="240" w:lineRule="auto"/>
        <w:rPr>
          <w:color w:val="000000"/>
          <w:lang w:val="hu-HU"/>
        </w:rPr>
      </w:pPr>
      <w:r>
        <w:rPr>
          <w:color w:val="000000"/>
          <w:lang w:val="hu-HU"/>
        </w:rPr>
        <w:t>A mennyiségi kimutathatóság alsó határa (lower limit of quantification, LLOQ) alatti értékeket ½ LLOQ-val helyettesítettek a statisztikai számításokhoz (LLOQ = 0,5 µg/l).</w:t>
      </w:r>
    </w:p>
    <w:p w:rsidR="00224F0F" w:rsidRDefault="00224F0F">
      <w:pPr>
        <w:spacing w:line="240" w:lineRule="auto"/>
        <w:rPr>
          <w:color w:val="000000"/>
          <w:lang w:val="hu-HU"/>
        </w:rPr>
      </w:pPr>
    </w:p>
    <w:p w:rsidR="00224F0F" w:rsidRDefault="00485CCD">
      <w:pPr>
        <w:pStyle w:val="Default"/>
        <w:rPr>
          <w:sz w:val="22"/>
          <w:szCs w:val="22"/>
        </w:rPr>
      </w:pPr>
      <w:r>
        <w:rPr>
          <w:sz w:val="22"/>
          <w:szCs w:val="22"/>
          <w:u w:val="single"/>
        </w:rPr>
        <w:t>A farmakokinetika/farmakodinámia közötti összefüggés</w:t>
      </w:r>
    </w:p>
    <w:p w:rsidR="00224F0F" w:rsidRDefault="00485CCD">
      <w:pPr>
        <w:pStyle w:val="Default"/>
        <w:rPr>
          <w:sz w:val="22"/>
          <w:szCs w:val="22"/>
        </w:rPr>
      </w:pPr>
      <w:r>
        <w:rPr>
          <w:sz w:val="22"/>
          <w:szCs w:val="22"/>
        </w:rPr>
        <w:t>Különböző, széles tartományt felölelő dózisok (naponta kétszer 5</w:t>
      </w:r>
      <w:r>
        <w:rPr>
          <w:sz w:val="22"/>
          <w:szCs w:val="22"/>
        </w:rPr>
        <w:noBreakHyphen/>
        <w:t>30 mg) beadását követően vizsgálták a rivaroxabán plazmakoncentrációja és számos farmakodinamikai végpont (Xa faktor gátlás, protrombin idő - PI, aktivált parciális thromboplasztin idő - aPTI, Heptest) közötti farmakokinetikai/ farmakodinamikai (FK/FD) összefüggést. A rivaroxabán koncentrációja és a Xa faktor aktivitása közötti összefüggést legjobban egy E</w:t>
      </w:r>
      <w:r>
        <w:rPr>
          <w:sz w:val="22"/>
          <w:szCs w:val="22"/>
          <w:vertAlign w:val="subscript"/>
        </w:rPr>
        <w:t xml:space="preserve">max </w:t>
      </w:r>
      <w:r>
        <w:rPr>
          <w:position w:val="-8"/>
          <w:sz w:val="22"/>
          <w:szCs w:val="22"/>
          <w:vertAlign w:val="subscript"/>
        </w:rPr>
        <w:t xml:space="preserve"> </w:t>
      </w:r>
      <w:r>
        <w:rPr>
          <w:sz w:val="22"/>
          <w:szCs w:val="22"/>
        </w:rPr>
        <w:t xml:space="preserve">modell írta le. A PI esetében a lineáris </w:t>
      </w:r>
      <w:r>
        <w:rPr>
          <w:sz w:val="22"/>
          <w:szCs w:val="22"/>
        </w:rPr>
        <w:lastRenderedPageBreak/>
        <w:t>metszési modell általában jobban írta le az adatokat. A PI meghatározásához alkalmazott különböző reagensektől függően a görbe meredeksége jelentős eltéréseket mutatott. Ha a PI idő meghatározása Neoplastin reagenssel történt, a PI kiindulási értéke körülbelül 13 másodperc volt, a meredekség pedig 3 - 4 másodperc/(100 mikrogramm/l). A II. és III. fázisú vizsgálatok során elvégzett FK/FD elemzések eredményei egybevágtak az egészséges alanyok körében kapott adatokkal.</w:t>
      </w:r>
    </w:p>
    <w:p w:rsidR="00224F0F" w:rsidRDefault="00224F0F">
      <w:pPr>
        <w:pStyle w:val="Default"/>
        <w:rPr>
          <w:sz w:val="22"/>
          <w:szCs w:val="22"/>
        </w:rPr>
      </w:pPr>
    </w:p>
    <w:p w:rsidR="00224F0F" w:rsidRDefault="00485CCD">
      <w:pPr>
        <w:spacing w:line="240" w:lineRule="auto"/>
        <w:rPr>
          <w:color w:val="000000"/>
          <w:lang w:val="hu-HU"/>
        </w:rPr>
      </w:pPr>
      <w:r>
        <w:rPr>
          <w:color w:val="000000"/>
          <w:u w:val="single"/>
          <w:lang w:val="hu-HU"/>
        </w:rPr>
        <w:t>Gyermekek és serdülők</w:t>
      </w:r>
    </w:p>
    <w:p w:rsidR="00224F0F" w:rsidRDefault="00485CCD">
      <w:pPr>
        <w:spacing w:line="240" w:lineRule="auto"/>
        <w:rPr>
          <w:color w:val="000000"/>
        </w:rPr>
      </w:pPr>
      <w:r>
        <w:rPr>
          <w:color w:val="000000"/>
        </w:rPr>
        <w:t>A biztonságosságot és hatásosságot - a nem valvularis eredetű pitvarfibrillációban szenvedő betegekben történő stroke és systemás embolisatio megelőzésének javallatában - nem igazolták gyermekeknél és 18 év alatti serdülőknél</w:t>
      </w:r>
    </w:p>
    <w:p w:rsidR="00224F0F" w:rsidRDefault="00224F0F">
      <w:pPr>
        <w:spacing w:line="240" w:lineRule="auto"/>
        <w:rPr>
          <w:color w:val="000000"/>
          <w:lang w:val="hu-HU"/>
        </w:rPr>
      </w:pPr>
    </w:p>
    <w:p w:rsidR="00224F0F" w:rsidRDefault="00485CCD">
      <w:pPr>
        <w:pStyle w:val="Default"/>
        <w:ind w:left="567" w:hanging="568"/>
        <w:rPr>
          <w:b/>
          <w:bCs/>
          <w:sz w:val="22"/>
          <w:szCs w:val="22"/>
        </w:rPr>
      </w:pPr>
      <w:r>
        <w:rPr>
          <w:b/>
          <w:bCs/>
          <w:sz w:val="22"/>
          <w:szCs w:val="22"/>
        </w:rPr>
        <w:t>5.3</w:t>
      </w:r>
      <w:r>
        <w:rPr>
          <w:b/>
          <w:bCs/>
          <w:sz w:val="22"/>
          <w:szCs w:val="22"/>
        </w:rPr>
        <w:tab/>
        <w:t>A preklinikai biztonságossági vizsgálatok eredményei</w:t>
      </w:r>
    </w:p>
    <w:p w:rsidR="00224F0F" w:rsidRDefault="00224F0F">
      <w:pPr>
        <w:pStyle w:val="Default"/>
        <w:ind w:left="567" w:hanging="568"/>
        <w:rPr>
          <w:sz w:val="22"/>
          <w:szCs w:val="22"/>
        </w:rPr>
      </w:pPr>
    </w:p>
    <w:p w:rsidR="00224F0F" w:rsidRDefault="00485CCD">
      <w:pPr>
        <w:pStyle w:val="Default"/>
        <w:rPr>
          <w:sz w:val="22"/>
          <w:szCs w:val="22"/>
        </w:rPr>
      </w:pPr>
      <w:r>
        <w:rPr>
          <w:sz w:val="22"/>
          <w:szCs w:val="22"/>
        </w:rPr>
        <w:t>A hagyományos - farmakológiai biztonságossági, egyszeres adagolású dózistoxicitási, fototoxicitási, genotoxicitási, karcinogenitási és juvenilis toxicitási – vizsgálatokból származó nem klinikai jellegű adatok azt igazolták, hogy a készítmény alkalmazásakor humán vonatkozásban különleges kockázat nem várható.</w:t>
      </w:r>
    </w:p>
    <w:p w:rsidR="00224F0F" w:rsidRDefault="00485CCD">
      <w:pPr>
        <w:pStyle w:val="Default"/>
        <w:rPr>
          <w:sz w:val="22"/>
          <w:szCs w:val="22"/>
        </w:rPr>
      </w:pPr>
      <w:r>
        <w:rPr>
          <w:sz w:val="22"/>
          <w:szCs w:val="22"/>
        </w:rPr>
        <w:t>Az ismételt adagolású dózistoxicitási vizsgálatok során megfigyelt hatásokat főként a rivaroxabán fokozott farmakodinámiás aktivitására lehetett visszavezetni. Patkányokban klinikailag releváns expozíciós szintek mellett emelkedett IgG- és IgA-plazmaszinteket figyeltek meg a plazmában.</w:t>
      </w:r>
    </w:p>
    <w:p w:rsidR="00224F0F" w:rsidRDefault="00485CCD">
      <w:pPr>
        <w:pStyle w:val="Default"/>
        <w:rPr>
          <w:sz w:val="22"/>
          <w:szCs w:val="22"/>
        </w:rPr>
      </w:pPr>
      <w:r>
        <w:rPr>
          <w:sz w:val="22"/>
          <w:szCs w:val="22"/>
        </w:rPr>
        <w:t>Patkányoknál nem észleltek a hímek vagy nőstények fertilitására gyakorolt hatásokat. Állatkísérletek a rivaroxabán hatásmechanizmusával összefüggő reproduktív toxicitást mutattak (pl. vérzéses szövődményeket). Klinikailag releváns plazmakoncentrációk mellett embrionális és magzati toxicitást (az embrió beágyazódás utáni elvesztését, lassult/előrehaladott csontosodási folyamatot, számos halvány foltot a májon), valamint az általános fejlődési rendellenességek és a placentát érintő elváltozások nagyobb előfordulási gyakoriságát figyelték meg. Patkányokkal végzett pre- és postnatalis vizsgálatokban az anyaállatra toxikus dózis mellett az utódok csökkent vitalitását figyelték meg.</w:t>
      </w:r>
    </w:p>
    <w:p w:rsidR="00224F0F" w:rsidRDefault="00224F0F">
      <w:pPr>
        <w:spacing w:line="240" w:lineRule="auto"/>
        <w:rPr>
          <w:color w:val="000000"/>
          <w:lang w:val="hu-HU"/>
        </w:rPr>
      </w:pPr>
    </w:p>
    <w:p w:rsidR="00224F0F" w:rsidRDefault="00485CCD">
      <w:pPr>
        <w:spacing w:line="240" w:lineRule="auto"/>
        <w:rPr>
          <w:color w:val="000000"/>
        </w:rPr>
      </w:pPr>
      <w:r>
        <w:rPr>
          <w:color w:val="000000"/>
        </w:rPr>
        <w:t>A rivaroxabánt vizsgálták fiatal patkányoknál a születés utáni 4. napon megkezdett, 3 hónapig terjedő kezelés során, amelyben periinsularis bevérzés nem dózisfüggő növekedését mutatták ki. Nem tapasztaltak célszervre specifikus toxicitásra utaló bizonyítékot.</w:t>
      </w:r>
    </w:p>
    <w:p w:rsidR="00224F0F" w:rsidRDefault="00224F0F">
      <w:pPr>
        <w:spacing w:line="240" w:lineRule="auto"/>
        <w:rPr>
          <w:color w:val="000000"/>
        </w:rPr>
      </w:pPr>
    </w:p>
    <w:p w:rsidR="00224F0F" w:rsidRDefault="00224F0F">
      <w:pPr>
        <w:spacing w:line="240" w:lineRule="auto"/>
        <w:rPr>
          <w:color w:val="000000"/>
          <w:lang w:val="hu-HU"/>
        </w:rPr>
      </w:pPr>
    </w:p>
    <w:p w:rsidR="00224F0F" w:rsidRDefault="00485CCD">
      <w:pPr>
        <w:spacing w:line="240" w:lineRule="auto"/>
        <w:ind w:left="567" w:hanging="567"/>
        <w:outlineLvl w:val="0"/>
        <w:rPr>
          <w:b/>
          <w:noProof/>
          <w:color w:val="000000"/>
          <w:lang w:val="hu-HU"/>
        </w:rPr>
      </w:pPr>
      <w:r>
        <w:rPr>
          <w:b/>
          <w:noProof/>
          <w:color w:val="000000"/>
          <w:lang w:val="hu-HU"/>
        </w:rPr>
        <w:t>6.</w:t>
      </w:r>
      <w:r>
        <w:rPr>
          <w:b/>
          <w:noProof/>
          <w:color w:val="000000"/>
          <w:lang w:val="hu-HU"/>
        </w:rPr>
        <w:tab/>
        <w:t>GYÓGYSZERÉSZETI JELLEMZŐK</w:t>
      </w:r>
    </w:p>
    <w:p w:rsidR="00224F0F" w:rsidRDefault="00224F0F">
      <w:pPr>
        <w:spacing w:line="240" w:lineRule="auto"/>
        <w:ind w:left="567" w:hanging="567"/>
        <w:outlineLvl w:val="0"/>
        <w:rPr>
          <w:b/>
          <w:color w:val="000000"/>
          <w:lang w:val="hu-HU"/>
        </w:rPr>
      </w:pPr>
    </w:p>
    <w:p w:rsidR="00224F0F" w:rsidRDefault="00485CCD">
      <w:pPr>
        <w:spacing w:line="240" w:lineRule="auto"/>
        <w:ind w:left="567" w:hanging="567"/>
        <w:outlineLvl w:val="0"/>
        <w:rPr>
          <w:b/>
          <w:noProof/>
          <w:color w:val="000000"/>
          <w:lang w:val="hu-HU"/>
        </w:rPr>
      </w:pPr>
      <w:r>
        <w:rPr>
          <w:b/>
          <w:noProof/>
          <w:color w:val="000000"/>
          <w:lang w:val="hu-HU"/>
        </w:rPr>
        <w:t>6.1</w:t>
      </w:r>
      <w:r>
        <w:rPr>
          <w:b/>
          <w:noProof/>
          <w:color w:val="000000"/>
          <w:lang w:val="hu-HU"/>
        </w:rPr>
        <w:tab/>
        <w:t>Segédanyagok felsorolása</w:t>
      </w:r>
    </w:p>
    <w:p w:rsidR="00224F0F" w:rsidRDefault="00224F0F">
      <w:pPr>
        <w:spacing w:line="240" w:lineRule="auto"/>
        <w:rPr>
          <w:noProof/>
          <w:color w:val="000000"/>
          <w:lang w:val="hu-HU"/>
        </w:rPr>
      </w:pPr>
    </w:p>
    <w:p w:rsidR="00224F0F" w:rsidRDefault="00485CCD">
      <w:pPr>
        <w:spacing w:line="240" w:lineRule="auto"/>
        <w:rPr>
          <w:color w:val="000000"/>
          <w:lang w:val="hu-HU"/>
        </w:rPr>
      </w:pPr>
      <w:r>
        <w:rPr>
          <w:color w:val="000000"/>
          <w:u w:val="single"/>
          <w:lang w:val="hu-HU"/>
        </w:rPr>
        <w:t>Tablettamag:</w:t>
      </w:r>
    </w:p>
    <w:p w:rsidR="00224F0F" w:rsidRDefault="00485CCD">
      <w:pPr>
        <w:spacing w:line="240" w:lineRule="auto"/>
        <w:rPr>
          <w:color w:val="000000"/>
          <w:lang w:val="hu-HU"/>
        </w:rPr>
      </w:pPr>
      <w:r>
        <w:rPr>
          <w:color w:val="000000"/>
          <w:lang w:val="hu-HU"/>
        </w:rPr>
        <w:t>mannit</w:t>
      </w:r>
    </w:p>
    <w:p w:rsidR="00224F0F" w:rsidRDefault="00485CCD">
      <w:pPr>
        <w:spacing w:line="240" w:lineRule="auto"/>
        <w:rPr>
          <w:color w:val="000000"/>
          <w:lang w:val="hu-HU"/>
        </w:rPr>
      </w:pPr>
      <w:r>
        <w:rPr>
          <w:color w:val="000000"/>
          <w:lang w:val="hu-HU"/>
        </w:rPr>
        <w:t>mikrokristályos Cellulóz</w:t>
      </w:r>
    </w:p>
    <w:p w:rsidR="00224F0F" w:rsidRDefault="00485CCD">
      <w:pPr>
        <w:spacing w:line="240" w:lineRule="auto"/>
        <w:rPr>
          <w:color w:val="000000"/>
          <w:lang w:val="hu-HU"/>
        </w:rPr>
      </w:pPr>
      <w:r>
        <w:rPr>
          <w:color w:val="000000"/>
          <w:lang w:val="hu-HU"/>
        </w:rPr>
        <w:t>makrogol</w:t>
      </w:r>
    </w:p>
    <w:p w:rsidR="00224F0F" w:rsidRDefault="00485CCD">
      <w:pPr>
        <w:spacing w:line="240" w:lineRule="auto"/>
        <w:rPr>
          <w:color w:val="000000"/>
          <w:lang w:val="hu-HU"/>
        </w:rPr>
      </w:pPr>
      <w:r>
        <w:rPr>
          <w:color w:val="000000"/>
          <w:lang w:val="hu-HU"/>
        </w:rPr>
        <w:t>poloxamer</w:t>
      </w:r>
    </w:p>
    <w:p w:rsidR="00224F0F" w:rsidRDefault="00485CCD">
      <w:pPr>
        <w:spacing w:line="240" w:lineRule="auto"/>
        <w:rPr>
          <w:color w:val="000000"/>
          <w:lang w:val="hu-HU"/>
        </w:rPr>
      </w:pPr>
      <w:r>
        <w:rPr>
          <w:color w:val="000000"/>
          <w:lang w:val="hu-HU"/>
        </w:rPr>
        <w:t>nátrium-lauril-szulfát</w:t>
      </w:r>
    </w:p>
    <w:p w:rsidR="00224F0F" w:rsidRDefault="00485CCD">
      <w:pPr>
        <w:spacing w:line="240" w:lineRule="auto"/>
        <w:rPr>
          <w:color w:val="000000"/>
          <w:lang w:val="hu-HU"/>
        </w:rPr>
      </w:pPr>
      <w:r>
        <w:rPr>
          <w:color w:val="000000"/>
          <w:lang w:val="hu-HU"/>
        </w:rPr>
        <w:t>kroszkarmellóz-nátrium</w:t>
      </w:r>
    </w:p>
    <w:p w:rsidR="00224F0F" w:rsidRDefault="00485CCD">
      <w:pPr>
        <w:spacing w:line="240" w:lineRule="auto"/>
        <w:rPr>
          <w:color w:val="000000"/>
          <w:lang w:val="hu-HU"/>
        </w:rPr>
      </w:pPr>
      <w:r>
        <w:rPr>
          <w:color w:val="000000"/>
          <w:lang w:val="hu-HU"/>
        </w:rPr>
        <w:t>vízmentes kolloid szilícium-dioxid</w:t>
      </w:r>
    </w:p>
    <w:p w:rsidR="00224F0F" w:rsidRDefault="00485CCD">
      <w:pPr>
        <w:spacing w:line="240" w:lineRule="auto"/>
        <w:rPr>
          <w:color w:val="000000"/>
          <w:lang w:val="hu-HU"/>
        </w:rPr>
      </w:pPr>
      <w:r>
        <w:rPr>
          <w:color w:val="000000"/>
          <w:lang w:val="hu-HU"/>
        </w:rPr>
        <w:t>nátrium-sztearil-fumarát</w:t>
      </w:r>
    </w:p>
    <w:p w:rsidR="00224F0F" w:rsidRDefault="00224F0F">
      <w:pPr>
        <w:spacing w:line="240" w:lineRule="auto"/>
        <w:rPr>
          <w:color w:val="000000"/>
          <w:lang w:val="hu-HU"/>
        </w:rPr>
      </w:pPr>
    </w:p>
    <w:p w:rsidR="00224F0F" w:rsidRDefault="00485CCD">
      <w:pPr>
        <w:spacing w:line="240" w:lineRule="auto"/>
        <w:rPr>
          <w:color w:val="000000"/>
          <w:lang w:val="hu-HU"/>
        </w:rPr>
      </w:pPr>
      <w:r>
        <w:rPr>
          <w:color w:val="000000"/>
          <w:u w:val="single"/>
          <w:lang w:val="hu-HU"/>
        </w:rPr>
        <w:t>Filmbevonat:</w:t>
      </w:r>
    </w:p>
    <w:p w:rsidR="00224F0F" w:rsidRDefault="00485CCD">
      <w:pPr>
        <w:spacing w:line="240" w:lineRule="auto"/>
        <w:rPr>
          <w:color w:val="000000"/>
          <w:lang w:val="hu-HU"/>
        </w:rPr>
      </w:pPr>
      <w:r>
        <w:rPr>
          <w:color w:val="000000"/>
          <w:lang w:val="hu-HU"/>
        </w:rPr>
        <w:t>hipromellóz</w:t>
      </w:r>
    </w:p>
    <w:p w:rsidR="00224F0F" w:rsidRDefault="00485CCD">
      <w:pPr>
        <w:spacing w:line="240" w:lineRule="auto"/>
        <w:rPr>
          <w:color w:val="000000"/>
          <w:lang w:val="hu-HU"/>
        </w:rPr>
      </w:pPr>
      <w:r>
        <w:rPr>
          <w:color w:val="000000"/>
          <w:lang w:val="hu-HU"/>
        </w:rPr>
        <w:t>makrogol</w:t>
      </w:r>
    </w:p>
    <w:p w:rsidR="00224F0F" w:rsidRDefault="00485CCD">
      <w:pPr>
        <w:spacing w:line="240" w:lineRule="auto"/>
        <w:rPr>
          <w:color w:val="000000"/>
          <w:lang w:val="hu-HU"/>
        </w:rPr>
      </w:pPr>
      <w:r>
        <w:rPr>
          <w:color w:val="000000"/>
          <w:lang w:val="hu-HU"/>
        </w:rPr>
        <w:t>titán-dioxid (E171)</w:t>
      </w:r>
    </w:p>
    <w:p w:rsidR="00224F0F" w:rsidRDefault="00485CCD">
      <w:pPr>
        <w:spacing w:line="240" w:lineRule="auto"/>
        <w:rPr>
          <w:color w:val="000000"/>
          <w:lang w:val="hu-HU"/>
        </w:rPr>
      </w:pPr>
      <w:r>
        <w:rPr>
          <w:color w:val="000000"/>
          <w:lang w:val="hu-HU"/>
        </w:rPr>
        <w:t>sárga vas-oxid (E172)</w:t>
      </w:r>
    </w:p>
    <w:p w:rsidR="00224F0F" w:rsidRDefault="00485CCD">
      <w:pPr>
        <w:spacing w:line="240" w:lineRule="auto"/>
        <w:rPr>
          <w:color w:val="000000"/>
          <w:lang w:val="hu-HU"/>
        </w:rPr>
      </w:pPr>
      <w:r>
        <w:rPr>
          <w:color w:val="000000"/>
          <w:lang w:val="hu-HU"/>
        </w:rPr>
        <w:t>vörös vas-oxid (E172)</w:t>
      </w:r>
    </w:p>
    <w:p w:rsidR="00224F0F" w:rsidRDefault="00224F0F">
      <w:pPr>
        <w:spacing w:line="240" w:lineRule="auto"/>
        <w:rPr>
          <w:color w:val="000000"/>
          <w:lang w:val="hu-HU"/>
        </w:rPr>
      </w:pPr>
    </w:p>
    <w:p w:rsidR="00224F0F" w:rsidRDefault="00485CCD">
      <w:pPr>
        <w:spacing w:line="240" w:lineRule="auto"/>
        <w:ind w:left="567" w:hanging="567"/>
        <w:outlineLvl w:val="0"/>
        <w:rPr>
          <w:b/>
          <w:noProof/>
          <w:color w:val="000000"/>
          <w:lang w:val="hu-HU"/>
        </w:rPr>
      </w:pPr>
      <w:r>
        <w:rPr>
          <w:b/>
          <w:noProof/>
          <w:color w:val="000000"/>
          <w:lang w:val="hu-HU"/>
        </w:rPr>
        <w:lastRenderedPageBreak/>
        <w:t>6.2</w:t>
      </w:r>
      <w:r>
        <w:rPr>
          <w:b/>
          <w:noProof/>
          <w:color w:val="000000"/>
          <w:lang w:val="hu-HU"/>
        </w:rPr>
        <w:tab/>
        <w:t>Inkompatibilitások</w:t>
      </w:r>
    </w:p>
    <w:p w:rsidR="00224F0F" w:rsidRDefault="00224F0F">
      <w:pPr>
        <w:spacing w:line="240" w:lineRule="auto"/>
        <w:rPr>
          <w:noProof/>
          <w:color w:val="000000"/>
          <w:lang w:val="hu-HU"/>
        </w:rPr>
      </w:pPr>
    </w:p>
    <w:p w:rsidR="00224F0F" w:rsidRDefault="00485CCD">
      <w:pPr>
        <w:spacing w:line="240" w:lineRule="auto"/>
        <w:rPr>
          <w:noProof/>
          <w:color w:val="000000"/>
          <w:lang w:val="hu-HU"/>
        </w:rPr>
      </w:pPr>
      <w:r>
        <w:rPr>
          <w:noProof/>
          <w:color w:val="000000"/>
          <w:lang w:val="hu-HU"/>
        </w:rPr>
        <w:t>Nem értelmezhető.</w:t>
      </w:r>
    </w:p>
    <w:p w:rsidR="00224F0F" w:rsidRDefault="00224F0F">
      <w:pPr>
        <w:spacing w:line="240" w:lineRule="auto"/>
        <w:rPr>
          <w:color w:val="000000"/>
          <w:lang w:val="hu-HU"/>
        </w:rPr>
      </w:pPr>
    </w:p>
    <w:p w:rsidR="00224F0F" w:rsidRDefault="00485CCD">
      <w:pPr>
        <w:spacing w:line="240" w:lineRule="auto"/>
        <w:ind w:left="567" w:hanging="567"/>
        <w:outlineLvl w:val="0"/>
        <w:rPr>
          <w:b/>
          <w:noProof/>
          <w:color w:val="000000"/>
          <w:lang w:val="hu-HU"/>
        </w:rPr>
      </w:pPr>
      <w:r>
        <w:rPr>
          <w:b/>
          <w:noProof/>
          <w:color w:val="000000"/>
          <w:lang w:val="hu-HU"/>
        </w:rPr>
        <w:t>6.3</w:t>
      </w:r>
      <w:r>
        <w:rPr>
          <w:b/>
          <w:noProof/>
          <w:color w:val="000000"/>
          <w:lang w:val="hu-HU"/>
        </w:rPr>
        <w:tab/>
        <w:t>Felhasználhatósági időtartam</w:t>
      </w:r>
    </w:p>
    <w:p w:rsidR="00224F0F" w:rsidRDefault="00224F0F">
      <w:pPr>
        <w:spacing w:line="240" w:lineRule="auto"/>
        <w:rPr>
          <w:noProof/>
          <w:color w:val="000000"/>
          <w:lang w:val="hu-HU"/>
        </w:rPr>
      </w:pPr>
    </w:p>
    <w:p w:rsidR="00224F0F" w:rsidRDefault="00485CCD">
      <w:pPr>
        <w:spacing w:line="240" w:lineRule="auto"/>
        <w:rPr>
          <w:noProof/>
          <w:color w:val="000000"/>
        </w:rPr>
      </w:pPr>
      <w:r>
        <w:rPr>
          <w:noProof/>
          <w:color w:val="000000"/>
        </w:rPr>
        <w:t>5 év</w:t>
      </w:r>
    </w:p>
    <w:p w:rsidR="00224F0F" w:rsidRDefault="00224F0F">
      <w:pPr>
        <w:spacing w:line="240" w:lineRule="auto"/>
        <w:rPr>
          <w:noProof/>
          <w:color w:val="000000"/>
        </w:rPr>
      </w:pPr>
    </w:p>
    <w:p w:rsidR="00224F0F" w:rsidRDefault="00485CCD">
      <w:pPr>
        <w:spacing w:line="240" w:lineRule="auto"/>
        <w:ind w:left="567" w:hanging="567"/>
        <w:outlineLvl w:val="0"/>
        <w:rPr>
          <w:b/>
          <w:noProof/>
          <w:color w:val="000000"/>
        </w:rPr>
      </w:pPr>
      <w:r>
        <w:rPr>
          <w:b/>
          <w:noProof/>
          <w:color w:val="000000"/>
        </w:rPr>
        <w:t>6.4</w:t>
      </w:r>
      <w:r>
        <w:rPr>
          <w:b/>
          <w:noProof/>
          <w:color w:val="000000"/>
        </w:rPr>
        <w:tab/>
        <w:t>Különleges tárolási előírások</w:t>
      </w:r>
    </w:p>
    <w:p w:rsidR="00224F0F" w:rsidRDefault="00224F0F">
      <w:pPr>
        <w:spacing w:line="240" w:lineRule="auto"/>
        <w:ind w:left="567" w:hanging="567"/>
        <w:outlineLvl w:val="0"/>
        <w:rPr>
          <w:b/>
          <w:color w:val="000000"/>
        </w:rPr>
      </w:pPr>
    </w:p>
    <w:p w:rsidR="00224F0F" w:rsidRDefault="00485CCD">
      <w:pPr>
        <w:spacing w:line="240" w:lineRule="auto"/>
        <w:rPr>
          <w:noProof/>
          <w:color w:val="000000"/>
        </w:rPr>
      </w:pPr>
      <w:r>
        <w:rPr>
          <w:noProof/>
          <w:color w:val="000000"/>
        </w:rPr>
        <w:t>Ez a gyógyszer nem igényel különleges tárolást.</w:t>
      </w:r>
    </w:p>
    <w:p w:rsidR="00224F0F" w:rsidRDefault="00224F0F">
      <w:pPr>
        <w:spacing w:line="240" w:lineRule="auto"/>
        <w:rPr>
          <w:noProof/>
          <w:color w:val="000000"/>
        </w:rPr>
      </w:pPr>
    </w:p>
    <w:p w:rsidR="00224F0F" w:rsidRDefault="00485CCD">
      <w:pPr>
        <w:spacing w:line="240" w:lineRule="auto"/>
        <w:ind w:left="567" w:hanging="567"/>
        <w:outlineLvl w:val="0"/>
        <w:rPr>
          <w:b/>
          <w:noProof/>
          <w:color w:val="000000"/>
        </w:rPr>
      </w:pPr>
      <w:r>
        <w:rPr>
          <w:b/>
          <w:noProof/>
          <w:color w:val="000000"/>
        </w:rPr>
        <w:t>6.5</w:t>
      </w:r>
      <w:r>
        <w:rPr>
          <w:b/>
          <w:noProof/>
          <w:color w:val="000000"/>
        </w:rPr>
        <w:tab/>
        <w:t xml:space="preserve">Csomagolás típusa és kiszerelése </w:t>
      </w:r>
    </w:p>
    <w:p w:rsidR="00224F0F" w:rsidRDefault="00224F0F">
      <w:pPr>
        <w:spacing w:line="240" w:lineRule="auto"/>
        <w:ind w:left="567" w:hanging="567"/>
        <w:outlineLvl w:val="0"/>
        <w:rPr>
          <w:b/>
          <w:noProof/>
          <w:color w:val="000000"/>
        </w:rPr>
      </w:pPr>
    </w:p>
    <w:p w:rsidR="00224F0F" w:rsidRDefault="00485CCD">
      <w:pPr>
        <w:spacing w:line="240" w:lineRule="auto"/>
        <w:rPr>
          <w:lang w:val="hu-HU"/>
        </w:rPr>
      </w:pPr>
      <w:r>
        <w:rPr>
          <w:lang w:val="hu-HU"/>
        </w:rPr>
        <w:t>10, 15, 30, 60, 90 és 100 db filmtabletta átlátszó PVC/PVDC/PVC fólia//Al fólia buborékcsomagolásban és dobozban.</w:t>
      </w:r>
    </w:p>
    <w:p w:rsidR="00224F0F" w:rsidRDefault="00485CCD">
      <w:pPr>
        <w:spacing w:line="240" w:lineRule="auto"/>
        <w:rPr>
          <w:lang w:val="hu-HU"/>
        </w:rPr>
      </w:pPr>
      <w:r>
        <w:rPr>
          <w:lang w:val="hu-HU"/>
        </w:rPr>
        <w:t>10</w:t>
      </w:r>
      <w:r w:rsidR="00332B5A">
        <w:rPr>
          <w:lang w:val="hu-HU"/>
        </w:rPr>
        <w:t>×</w:t>
      </w:r>
      <w:r>
        <w:rPr>
          <w:lang w:val="hu-HU"/>
        </w:rPr>
        <w:t>1, 30</w:t>
      </w:r>
      <w:r w:rsidR="00332B5A">
        <w:rPr>
          <w:lang w:val="hu-HU"/>
        </w:rPr>
        <w:t>×</w:t>
      </w:r>
      <w:r>
        <w:rPr>
          <w:lang w:val="hu-HU"/>
        </w:rPr>
        <w:t>1, 60</w:t>
      </w:r>
      <w:r w:rsidR="00332B5A">
        <w:rPr>
          <w:lang w:val="hu-HU"/>
        </w:rPr>
        <w:t>×</w:t>
      </w:r>
      <w:r>
        <w:rPr>
          <w:lang w:val="hu-HU"/>
        </w:rPr>
        <w:t>1, 90</w:t>
      </w:r>
      <w:r w:rsidR="00332B5A">
        <w:rPr>
          <w:lang w:val="hu-HU"/>
        </w:rPr>
        <w:t>×</w:t>
      </w:r>
      <w:r>
        <w:rPr>
          <w:lang w:val="hu-HU"/>
        </w:rPr>
        <w:t>1 és 100</w:t>
      </w:r>
      <w:r w:rsidR="00332B5A">
        <w:rPr>
          <w:lang w:val="hu-HU"/>
        </w:rPr>
        <w:t>×</w:t>
      </w:r>
      <w:r>
        <w:rPr>
          <w:lang w:val="hu-HU"/>
        </w:rPr>
        <w:t>1 db filmtabletta adagonként perforált átlátszó PVC/PVDC/PVC fólia//Al fólia buborékcsomagolásban és dobozban.</w:t>
      </w:r>
    </w:p>
    <w:p w:rsidR="00224F0F" w:rsidRDefault="00485CCD">
      <w:pPr>
        <w:spacing w:line="240" w:lineRule="auto"/>
        <w:rPr>
          <w:lang w:val="hu-HU"/>
        </w:rPr>
      </w:pPr>
      <w:r>
        <w:rPr>
          <w:lang w:val="hu-HU"/>
        </w:rPr>
        <w:t>14, 28, 42, 56, 98 db filmtabletta naptár jelzéses, átlátszó PVC/PVDC/PVC fólia//Al fólia buborékcsomagolásban és dobozban.</w:t>
      </w:r>
    </w:p>
    <w:p w:rsidR="00224F0F" w:rsidRDefault="00224F0F">
      <w:pPr>
        <w:spacing w:line="240" w:lineRule="auto"/>
        <w:rPr>
          <w:lang w:val="hu-HU"/>
        </w:rPr>
      </w:pPr>
    </w:p>
    <w:p w:rsidR="00224F0F" w:rsidRDefault="00485CCD">
      <w:pPr>
        <w:spacing w:line="240" w:lineRule="auto"/>
        <w:rPr>
          <w:noProof/>
          <w:lang w:val="hu-HU"/>
        </w:rPr>
      </w:pPr>
      <w:r>
        <w:rPr>
          <w:noProof/>
          <w:lang w:val="hu-HU"/>
        </w:rPr>
        <w:t>Minden doboz betegemlékeztető kártyát is tartalmaz.</w:t>
      </w:r>
    </w:p>
    <w:p w:rsidR="00224F0F" w:rsidRDefault="00224F0F">
      <w:pPr>
        <w:spacing w:line="240" w:lineRule="auto"/>
        <w:rPr>
          <w:noProof/>
          <w:lang w:val="hu-HU"/>
        </w:rPr>
      </w:pPr>
    </w:p>
    <w:p w:rsidR="00224F0F" w:rsidRDefault="00485CCD">
      <w:pPr>
        <w:spacing w:line="240" w:lineRule="auto"/>
        <w:rPr>
          <w:noProof/>
          <w:lang w:val="hu-HU"/>
        </w:rPr>
      </w:pPr>
      <w:r>
        <w:rPr>
          <w:noProof/>
          <w:lang w:val="hu-HU"/>
        </w:rPr>
        <w:t>Nem feltétlenül mindegyik kiszerelés kerül kereskedelmi forgalomba.</w:t>
      </w:r>
    </w:p>
    <w:p w:rsidR="00224F0F" w:rsidRDefault="00224F0F">
      <w:pPr>
        <w:spacing w:line="240" w:lineRule="auto"/>
        <w:rPr>
          <w:noProof/>
          <w:color w:val="000000"/>
        </w:rPr>
      </w:pPr>
    </w:p>
    <w:p w:rsidR="00224F0F" w:rsidRDefault="00485CCD">
      <w:pPr>
        <w:spacing w:line="240" w:lineRule="auto"/>
        <w:ind w:left="567" w:hanging="567"/>
        <w:outlineLvl w:val="0"/>
        <w:rPr>
          <w:b/>
          <w:noProof/>
          <w:color w:val="000000"/>
        </w:rPr>
      </w:pPr>
      <w:r>
        <w:rPr>
          <w:b/>
          <w:noProof/>
          <w:color w:val="000000"/>
        </w:rPr>
        <w:t>6.6</w:t>
      </w:r>
      <w:r>
        <w:rPr>
          <w:b/>
          <w:noProof/>
          <w:color w:val="000000"/>
        </w:rPr>
        <w:tab/>
        <w:t>A megsemmisítésre vonatkozó különleges óvintézkedések és egyéb, a készítmény kezelésével kapcsolatos információk</w:t>
      </w:r>
    </w:p>
    <w:p w:rsidR="00224F0F" w:rsidRDefault="00224F0F">
      <w:pPr>
        <w:spacing w:line="240" w:lineRule="auto"/>
        <w:ind w:left="567" w:hanging="567"/>
        <w:outlineLvl w:val="0"/>
        <w:rPr>
          <w:b/>
          <w:color w:val="000000"/>
        </w:rPr>
      </w:pPr>
    </w:p>
    <w:p w:rsidR="00224F0F" w:rsidRDefault="00485CCD">
      <w:pPr>
        <w:tabs>
          <w:tab w:val="clear" w:pos="567"/>
          <w:tab w:val="left" w:pos="0"/>
        </w:tabs>
        <w:spacing w:line="240" w:lineRule="auto"/>
        <w:outlineLvl w:val="0"/>
        <w:rPr>
          <w:color w:val="000000"/>
        </w:rPr>
      </w:pPr>
      <w:r>
        <w:rPr>
          <w:color w:val="000000"/>
        </w:rPr>
        <w:t>Bármilyen fel nem használt gyógyszer, illetve hulladékanyag megsemmisítését a gyógyszerekre vonatkozó előírások szerint kell végrehajtani.</w:t>
      </w:r>
    </w:p>
    <w:p w:rsidR="00224F0F" w:rsidRDefault="00224F0F">
      <w:pPr>
        <w:tabs>
          <w:tab w:val="clear" w:pos="567"/>
          <w:tab w:val="left" w:pos="0"/>
        </w:tabs>
        <w:spacing w:line="240" w:lineRule="auto"/>
        <w:outlineLvl w:val="0"/>
        <w:rPr>
          <w:color w:val="000000"/>
        </w:rPr>
      </w:pPr>
    </w:p>
    <w:p w:rsidR="00224F0F" w:rsidRDefault="00485CCD">
      <w:pPr>
        <w:tabs>
          <w:tab w:val="clear" w:pos="567"/>
          <w:tab w:val="left" w:pos="0"/>
        </w:tabs>
        <w:spacing w:line="240" w:lineRule="auto"/>
        <w:outlineLvl w:val="0"/>
        <w:rPr>
          <w:color w:val="000000"/>
          <w:u w:val="single"/>
        </w:rPr>
      </w:pPr>
      <w:r>
        <w:rPr>
          <w:color w:val="000000"/>
          <w:u w:val="single"/>
        </w:rPr>
        <w:t>Porrá tört tabletta</w:t>
      </w:r>
    </w:p>
    <w:p w:rsidR="00224F0F" w:rsidRDefault="00485CCD">
      <w:pPr>
        <w:tabs>
          <w:tab w:val="clear" w:pos="567"/>
          <w:tab w:val="left" w:pos="0"/>
        </w:tabs>
        <w:spacing w:line="240" w:lineRule="auto"/>
        <w:outlineLvl w:val="0"/>
        <w:rPr>
          <w:color w:val="000000"/>
        </w:rPr>
      </w:pPr>
      <w:r>
        <w:rPr>
          <w:color w:val="000000"/>
        </w:rPr>
        <w:t>A rivaroxabán tabletta porrá törhető és 50 ml vízben szuszpendálható, majd a szuszpenziót be lehet adni nasogastricus szondán vagy tápláló gyomorszondán át, miután meggyőződtek arról, hogy a szonda vége a gyomorban helyezkedik el. Használat után a szondát át kell öblíteni vízzel. A rivaroxabán felszívódása a hatóanyag felszabadulásának helyétől függ, ezért a rivaroxabán beadását a gyomor utáni bélszakaszba el kell kerülni, mert ez csökkent felszívódáshoz, következésképpen pedig csökkent hatóanyag expozícióhoz vezethet. A 15 mg-os vagy 20 mg-os porrá tört tabletta alkalmazását közvetlenül enterális táplálásnak kell követnie.</w:t>
      </w:r>
    </w:p>
    <w:p w:rsidR="00224F0F" w:rsidRDefault="00224F0F">
      <w:pPr>
        <w:spacing w:line="240" w:lineRule="auto"/>
        <w:outlineLvl w:val="0"/>
        <w:rPr>
          <w:b/>
          <w:color w:val="000000"/>
          <w:lang w:val="hu-HU"/>
        </w:rPr>
      </w:pPr>
    </w:p>
    <w:p w:rsidR="00224F0F" w:rsidRDefault="00485CCD">
      <w:pPr>
        <w:rPr>
          <w:b/>
        </w:rPr>
      </w:pPr>
      <w:r>
        <w:rPr>
          <w:b/>
        </w:rPr>
        <w:t>Megjegyzés</w:t>
      </w:r>
      <w:r>
        <w:t>:</w:t>
      </w:r>
      <w:r>
        <w:rPr>
          <w:b/>
        </w:rPr>
        <w:t xml:space="preserve"> </w:t>
      </w:r>
      <w:r>
        <w:sym w:font="Wingdings" w:char="F058"/>
      </w:r>
      <w:r>
        <w:t xml:space="preserve"> (egy keresztes)</w:t>
      </w:r>
    </w:p>
    <w:p w:rsidR="00224F0F" w:rsidRDefault="00485CCD">
      <w:pPr>
        <w:rPr>
          <w:b/>
        </w:rPr>
      </w:pPr>
      <w:r>
        <w:t xml:space="preserve">Osztályozás: </w:t>
      </w:r>
      <w:r>
        <w:rPr>
          <w:b/>
        </w:rPr>
        <w:t>II./1 csoport</w:t>
      </w:r>
    </w:p>
    <w:p w:rsidR="00224F0F" w:rsidRDefault="00485CCD">
      <w:pPr>
        <w:tabs>
          <w:tab w:val="left" w:pos="0"/>
        </w:tabs>
        <w:outlineLvl w:val="0"/>
      </w:pPr>
      <w:r>
        <w:t>Korlátozott érvényű orvosi rendelvényhez kötött, szakorvosi kórházi diagnózist követő járóbeteg-ellátásban alkalmazható gyógyszer (J).</w:t>
      </w:r>
    </w:p>
    <w:p w:rsidR="00224F0F" w:rsidRDefault="00224F0F">
      <w:pPr>
        <w:spacing w:line="240" w:lineRule="auto"/>
        <w:ind w:left="567" w:hanging="567"/>
        <w:outlineLvl w:val="0"/>
        <w:rPr>
          <w:b/>
          <w:color w:val="000000"/>
          <w:lang w:val="hu-HU"/>
        </w:rPr>
      </w:pPr>
    </w:p>
    <w:p w:rsidR="00224F0F" w:rsidRDefault="00224F0F">
      <w:pPr>
        <w:spacing w:line="240" w:lineRule="auto"/>
        <w:ind w:left="567" w:hanging="567"/>
        <w:outlineLvl w:val="0"/>
        <w:rPr>
          <w:b/>
          <w:color w:val="000000"/>
          <w:lang w:val="hu-HU"/>
        </w:rPr>
      </w:pPr>
    </w:p>
    <w:p w:rsidR="00224F0F" w:rsidRDefault="00485CCD">
      <w:pPr>
        <w:spacing w:line="240" w:lineRule="auto"/>
        <w:ind w:left="567" w:hanging="567"/>
        <w:outlineLvl w:val="0"/>
        <w:rPr>
          <w:b/>
          <w:noProof/>
          <w:color w:val="000000"/>
          <w:lang w:val="it-IT"/>
        </w:rPr>
      </w:pPr>
      <w:r>
        <w:rPr>
          <w:b/>
          <w:noProof/>
          <w:color w:val="000000"/>
          <w:lang w:val="it-IT"/>
        </w:rPr>
        <w:t>7.</w:t>
      </w:r>
      <w:r>
        <w:rPr>
          <w:b/>
          <w:noProof/>
          <w:color w:val="000000"/>
          <w:lang w:val="it-IT"/>
        </w:rPr>
        <w:tab/>
        <w:t>A FORGALOMBA HOZATALI ENGEDÉLY JOGOSULTJA</w:t>
      </w:r>
    </w:p>
    <w:p w:rsidR="00224F0F" w:rsidRDefault="00224F0F">
      <w:pPr>
        <w:spacing w:line="240" w:lineRule="auto"/>
        <w:ind w:left="567" w:hanging="567"/>
        <w:outlineLvl w:val="0"/>
        <w:rPr>
          <w:b/>
          <w:color w:val="000000"/>
          <w:lang w:val="it-IT"/>
        </w:rPr>
      </w:pPr>
    </w:p>
    <w:p w:rsidR="00224F0F" w:rsidRDefault="00485CCD">
      <w:pPr>
        <w:spacing w:line="240" w:lineRule="auto"/>
        <w:rPr>
          <w:lang w:val="hu-HU"/>
        </w:rPr>
      </w:pPr>
      <w:r>
        <w:rPr>
          <w:lang w:val="hu-HU"/>
        </w:rPr>
        <w:t>TAD Pharma GmbH</w:t>
      </w:r>
    </w:p>
    <w:p w:rsidR="00224F0F" w:rsidRDefault="00485CCD">
      <w:pPr>
        <w:spacing w:line="240" w:lineRule="auto"/>
        <w:rPr>
          <w:lang w:val="hu-HU"/>
        </w:rPr>
      </w:pPr>
      <w:r>
        <w:rPr>
          <w:lang w:val="hu-HU"/>
        </w:rPr>
        <w:t>Heinz-Lohmann-Straße 5</w:t>
      </w:r>
    </w:p>
    <w:p w:rsidR="00224F0F" w:rsidRDefault="00485CCD">
      <w:pPr>
        <w:spacing w:line="240" w:lineRule="auto"/>
        <w:rPr>
          <w:lang w:val="hu-HU"/>
        </w:rPr>
      </w:pPr>
      <w:r>
        <w:rPr>
          <w:lang w:val="hu-HU"/>
        </w:rPr>
        <w:t>27472 Cuxhaven</w:t>
      </w:r>
    </w:p>
    <w:p w:rsidR="00224F0F" w:rsidRDefault="00485CCD">
      <w:pPr>
        <w:spacing w:line="240" w:lineRule="auto"/>
        <w:rPr>
          <w:noProof/>
          <w:lang w:val="hu-HU"/>
        </w:rPr>
      </w:pPr>
      <w:r>
        <w:rPr>
          <w:lang w:val="hu-HU"/>
        </w:rPr>
        <w:t>Németország</w:t>
      </w:r>
    </w:p>
    <w:p w:rsidR="00224F0F" w:rsidRDefault="00224F0F">
      <w:pPr>
        <w:spacing w:line="240" w:lineRule="auto"/>
        <w:ind w:left="567" w:hanging="567"/>
        <w:outlineLvl w:val="0"/>
        <w:rPr>
          <w:b/>
          <w:color w:val="000000"/>
        </w:rPr>
      </w:pPr>
    </w:p>
    <w:p w:rsidR="00224F0F" w:rsidRDefault="00224F0F">
      <w:pPr>
        <w:spacing w:line="240" w:lineRule="auto"/>
        <w:ind w:left="567" w:hanging="567"/>
        <w:outlineLvl w:val="0"/>
        <w:rPr>
          <w:b/>
          <w:color w:val="000000"/>
        </w:rPr>
      </w:pPr>
    </w:p>
    <w:p w:rsidR="00224F0F" w:rsidRDefault="00485CCD" w:rsidP="00A54C3F">
      <w:pPr>
        <w:keepNext/>
        <w:spacing w:line="240" w:lineRule="auto"/>
        <w:ind w:left="567" w:hanging="567"/>
        <w:outlineLvl w:val="0"/>
        <w:rPr>
          <w:b/>
          <w:noProof/>
          <w:color w:val="000000"/>
          <w:lang w:val="it-IT"/>
        </w:rPr>
      </w:pPr>
      <w:r>
        <w:rPr>
          <w:b/>
          <w:noProof/>
          <w:color w:val="000000"/>
          <w:lang w:val="it-IT"/>
        </w:rPr>
        <w:lastRenderedPageBreak/>
        <w:t>8.</w:t>
      </w:r>
      <w:r>
        <w:rPr>
          <w:b/>
          <w:noProof/>
          <w:color w:val="000000"/>
          <w:lang w:val="it-IT"/>
        </w:rPr>
        <w:tab/>
        <w:t>A FORGALOMBA HOZATALI ENGEDÉLY SZÁMA(I)</w:t>
      </w:r>
    </w:p>
    <w:p w:rsidR="00224F0F" w:rsidRDefault="00224F0F">
      <w:pPr>
        <w:spacing w:line="240" w:lineRule="auto"/>
        <w:ind w:left="567" w:hanging="567"/>
        <w:outlineLvl w:val="0"/>
        <w:rPr>
          <w:b/>
          <w:color w:val="000000"/>
          <w:lang w:val="it-IT"/>
        </w:rPr>
      </w:pPr>
    </w:p>
    <w:p w:rsidR="00224F0F" w:rsidRDefault="00485CCD">
      <w:pPr>
        <w:pStyle w:val="NormlWeb"/>
        <w:rPr>
          <w:rFonts w:ascii="Calibri" w:hAnsi="Calibri" w:cs="Calibri"/>
          <w:color w:val="000000"/>
          <w:sz w:val="22"/>
          <w:szCs w:val="22"/>
        </w:rPr>
      </w:pPr>
      <w:r>
        <w:rPr>
          <w:color w:val="000000"/>
          <w:sz w:val="22"/>
          <w:szCs w:val="22"/>
        </w:rPr>
        <w:t>OGYI-T-24371/33</w:t>
      </w:r>
      <w:r>
        <w:rPr>
          <w:color w:val="000000"/>
          <w:sz w:val="22"/>
          <w:szCs w:val="22"/>
        </w:rPr>
        <w:tab/>
        <w:t>10×</w:t>
      </w:r>
      <w:r>
        <w:rPr>
          <w:color w:val="000000"/>
          <w:sz w:val="22"/>
          <w:szCs w:val="22"/>
        </w:rPr>
        <w:tab/>
        <w:t>átlátszó PVC/PVDC/PVC fólia//Al fólia buborékcsomagolásban</w:t>
      </w:r>
    </w:p>
    <w:p w:rsidR="00224F0F" w:rsidRDefault="00485CCD">
      <w:pPr>
        <w:pStyle w:val="NormlWeb"/>
        <w:rPr>
          <w:rFonts w:ascii="Calibri" w:hAnsi="Calibri" w:cs="Calibri"/>
          <w:color w:val="000000"/>
          <w:sz w:val="22"/>
          <w:szCs w:val="22"/>
        </w:rPr>
      </w:pPr>
      <w:r>
        <w:rPr>
          <w:color w:val="000000"/>
          <w:sz w:val="22"/>
          <w:szCs w:val="22"/>
        </w:rPr>
        <w:t>OGYI-T-24371/34</w:t>
      </w:r>
      <w:r>
        <w:rPr>
          <w:color w:val="000000"/>
          <w:sz w:val="22"/>
          <w:szCs w:val="22"/>
        </w:rPr>
        <w:tab/>
        <w:t>10×1</w:t>
      </w:r>
      <w:r>
        <w:rPr>
          <w:color w:val="000000"/>
          <w:sz w:val="22"/>
          <w:szCs w:val="22"/>
        </w:rPr>
        <w:tab/>
        <w:t>adagonként perforált átlátszó PVC/PVDC/PVC fólia//Al fólia buborékcsomagolásban</w:t>
      </w:r>
    </w:p>
    <w:p w:rsidR="00224F0F" w:rsidRDefault="00485CCD">
      <w:pPr>
        <w:pStyle w:val="NormlWeb"/>
        <w:rPr>
          <w:rFonts w:ascii="Calibri" w:hAnsi="Calibri" w:cs="Calibri"/>
          <w:color w:val="000000"/>
          <w:sz w:val="22"/>
          <w:szCs w:val="22"/>
        </w:rPr>
      </w:pPr>
      <w:r>
        <w:rPr>
          <w:color w:val="000000"/>
          <w:sz w:val="22"/>
          <w:szCs w:val="22"/>
        </w:rPr>
        <w:t>OGYI-T-24371/35</w:t>
      </w:r>
      <w:r>
        <w:rPr>
          <w:color w:val="000000"/>
          <w:sz w:val="22"/>
          <w:szCs w:val="22"/>
        </w:rPr>
        <w:tab/>
        <w:t>14×</w:t>
      </w:r>
      <w:r>
        <w:rPr>
          <w:color w:val="000000"/>
          <w:sz w:val="22"/>
          <w:szCs w:val="22"/>
        </w:rPr>
        <w:tab/>
        <w:t>naptár jelzéses, átlátszó PVC/PVDC/PVC fólia//Al fólia buborékcsomagolásban</w:t>
      </w:r>
    </w:p>
    <w:p w:rsidR="00224F0F" w:rsidRDefault="00485CCD">
      <w:pPr>
        <w:pStyle w:val="NormlWeb"/>
        <w:rPr>
          <w:rFonts w:ascii="Calibri" w:hAnsi="Calibri" w:cs="Calibri"/>
          <w:color w:val="000000"/>
          <w:sz w:val="22"/>
          <w:szCs w:val="22"/>
        </w:rPr>
      </w:pPr>
      <w:r>
        <w:rPr>
          <w:color w:val="000000"/>
          <w:sz w:val="22"/>
          <w:szCs w:val="22"/>
        </w:rPr>
        <w:t>OGYI-T-24371/36</w:t>
      </w:r>
      <w:r>
        <w:rPr>
          <w:color w:val="000000"/>
          <w:sz w:val="22"/>
          <w:szCs w:val="22"/>
        </w:rPr>
        <w:tab/>
        <w:t>15×</w:t>
      </w:r>
      <w:r>
        <w:rPr>
          <w:color w:val="000000"/>
          <w:sz w:val="22"/>
          <w:szCs w:val="22"/>
        </w:rPr>
        <w:tab/>
        <w:t>átlátszó PVC/PVDC/PVC fólia//Al fólia buborékcsomagolásban</w:t>
      </w:r>
    </w:p>
    <w:p w:rsidR="00224F0F" w:rsidRDefault="00485CCD">
      <w:pPr>
        <w:pStyle w:val="NormlWeb"/>
        <w:rPr>
          <w:rFonts w:ascii="Calibri" w:hAnsi="Calibri" w:cs="Calibri"/>
          <w:color w:val="000000"/>
          <w:sz w:val="22"/>
          <w:szCs w:val="22"/>
        </w:rPr>
      </w:pPr>
      <w:r>
        <w:rPr>
          <w:color w:val="000000"/>
          <w:sz w:val="22"/>
          <w:szCs w:val="22"/>
        </w:rPr>
        <w:t>OGYI-T-24371/37</w:t>
      </w:r>
      <w:r>
        <w:rPr>
          <w:color w:val="000000"/>
          <w:sz w:val="22"/>
          <w:szCs w:val="22"/>
        </w:rPr>
        <w:tab/>
        <w:t>28×</w:t>
      </w:r>
      <w:r>
        <w:rPr>
          <w:color w:val="000000"/>
          <w:sz w:val="22"/>
          <w:szCs w:val="22"/>
        </w:rPr>
        <w:tab/>
        <w:t>naptár jelzéses, átlátszó PVC/PVDC/PVC fólia//Al fólia buborékcsomagolásban</w:t>
      </w:r>
    </w:p>
    <w:p w:rsidR="00224F0F" w:rsidRDefault="00485CCD">
      <w:pPr>
        <w:pStyle w:val="NormlWeb"/>
        <w:rPr>
          <w:rFonts w:ascii="Calibri" w:hAnsi="Calibri" w:cs="Calibri"/>
          <w:color w:val="000000"/>
          <w:sz w:val="22"/>
          <w:szCs w:val="22"/>
        </w:rPr>
      </w:pPr>
      <w:r>
        <w:rPr>
          <w:color w:val="000000"/>
          <w:sz w:val="22"/>
          <w:szCs w:val="22"/>
        </w:rPr>
        <w:t>OGYI-T-24371/38</w:t>
      </w:r>
      <w:r>
        <w:rPr>
          <w:color w:val="000000"/>
          <w:sz w:val="22"/>
          <w:szCs w:val="22"/>
        </w:rPr>
        <w:tab/>
        <w:t>30×</w:t>
      </w:r>
      <w:r>
        <w:rPr>
          <w:color w:val="000000"/>
          <w:sz w:val="22"/>
          <w:szCs w:val="22"/>
        </w:rPr>
        <w:tab/>
        <w:t>átlátszó PVC/PVDC/PVC fólia//Al fólia buborékcsomagolásban</w:t>
      </w:r>
    </w:p>
    <w:p w:rsidR="00224F0F" w:rsidRDefault="00485CCD">
      <w:pPr>
        <w:pStyle w:val="NormlWeb"/>
        <w:rPr>
          <w:rFonts w:ascii="Calibri" w:hAnsi="Calibri" w:cs="Calibri"/>
          <w:color w:val="000000"/>
          <w:sz w:val="22"/>
          <w:szCs w:val="22"/>
        </w:rPr>
      </w:pPr>
      <w:r>
        <w:rPr>
          <w:color w:val="000000"/>
          <w:sz w:val="22"/>
          <w:szCs w:val="22"/>
        </w:rPr>
        <w:t>OGYI-T-24371/39</w:t>
      </w:r>
      <w:r>
        <w:rPr>
          <w:color w:val="000000"/>
          <w:sz w:val="22"/>
          <w:szCs w:val="22"/>
        </w:rPr>
        <w:tab/>
        <w:t>30×1</w:t>
      </w:r>
      <w:r>
        <w:rPr>
          <w:color w:val="000000"/>
          <w:sz w:val="22"/>
          <w:szCs w:val="22"/>
        </w:rPr>
        <w:tab/>
        <w:t>adagonként perforált átlátszó PVC/PVDC/PVC fólia//Al fólia buborékcsomagolásban</w:t>
      </w:r>
    </w:p>
    <w:p w:rsidR="00224F0F" w:rsidRDefault="00485CCD">
      <w:pPr>
        <w:pStyle w:val="NormlWeb"/>
        <w:rPr>
          <w:rFonts w:ascii="Calibri" w:hAnsi="Calibri" w:cs="Calibri"/>
          <w:color w:val="000000"/>
          <w:sz w:val="22"/>
          <w:szCs w:val="22"/>
        </w:rPr>
      </w:pPr>
      <w:r>
        <w:rPr>
          <w:color w:val="000000"/>
          <w:sz w:val="22"/>
          <w:szCs w:val="22"/>
        </w:rPr>
        <w:t>OGYI-T-24371/40</w:t>
      </w:r>
      <w:r>
        <w:rPr>
          <w:color w:val="000000"/>
          <w:sz w:val="22"/>
          <w:szCs w:val="22"/>
        </w:rPr>
        <w:tab/>
        <w:t>42×</w:t>
      </w:r>
      <w:r>
        <w:rPr>
          <w:color w:val="000000"/>
          <w:sz w:val="22"/>
          <w:szCs w:val="22"/>
        </w:rPr>
        <w:tab/>
        <w:t>naptár jelzéses, átlátszó PVC/PVDC/PVC fólia//Al fólia buborékcsomagolásban</w:t>
      </w:r>
    </w:p>
    <w:p w:rsidR="00224F0F" w:rsidRDefault="00485CCD">
      <w:pPr>
        <w:pStyle w:val="NormlWeb"/>
        <w:rPr>
          <w:rFonts w:ascii="Calibri" w:hAnsi="Calibri" w:cs="Calibri"/>
          <w:color w:val="000000"/>
          <w:sz w:val="22"/>
          <w:szCs w:val="22"/>
        </w:rPr>
      </w:pPr>
      <w:r>
        <w:rPr>
          <w:color w:val="000000"/>
          <w:sz w:val="22"/>
          <w:szCs w:val="22"/>
        </w:rPr>
        <w:t>OGYI-T-24371/41</w:t>
      </w:r>
      <w:r>
        <w:rPr>
          <w:color w:val="000000"/>
          <w:sz w:val="22"/>
          <w:szCs w:val="22"/>
        </w:rPr>
        <w:tab/>
        <w:t>56×</w:t>
      </w:r>
      <w:r>
        <w:rPr>
          <w:color w:val="000000"/>
          <w:sz w:val="22"/>
          <w:szCs w:val="22"/>
        </w:rPr>
        <w:tab/>
        <w:t>naptár jelzéses, átlátszó PVC/PVDC/PVC fólia//Al fólia buborékcsomagolásban</w:t>
      </w:r>
    </w:p>
    <w:p w:rsidR="00224F0F" w:rsidRDefault="00485CCD">
      <w:pPr>
        <w:pStyle w:val="NormlWeb"/>
        <w:rPr>
          <w:rFonts w:ascii="Calibri" w:hAnsi="Calibri" w:cs="Calibri"/>
          <w:color w:val="000000"/>
          <w:sz w:val="22"/>
          <w:szCs w:val="22"/>
        </w:rPr>
      </w:pPr>
      <w:r>
        <w:rPr>
          <w:color w:val="000000"/>
          <w:sz w:val="22"/>
          <w:szCs w:val="22"/>
        </w:rPr>
        <w:t>OGYI-T-24371/42</w:t>
      </w:r>
      <w:r>
        <w:rPr>
          <w:color w:val="000000"/>
          <w:sz w:val="22"/>
          <w:szCs w:val="22"/>
        </w:rPr>
        <w:tab/>
        <w:t>60×</w:t>
      </w:r>
      <w:r>
        <w:rPr>
          <w:color w:val="000000"/>
          <w:sz w:val="22"/>
          <w:szCs w:val="22"/>
        </w:rPr>
        <w:tab/>
        <w:t>átlátszó PVC/PVDC/PVC fólia//Al fólia buborékcsomagolásban</w:t>
      </w:r>
    </w:p>
    <w:p w:rsidR="00224F0F" w:rsidRDefault="00485CCD">
      <w:pPr>
        <w:pStyle w:val="NormlWeb"/>
        <w:rPr>
          <w:rFonts w:ascii="Calibri" w:hAnsi="Calibri" w:cs="Calibri"/>
          <w:color w:val="000000"/>
          <w:sz w:val="22"/>
          <w:szCs w:val="22"/>
        </w:rPr>
      </w:pPr>
      <w:r>
        <w:rPr>
          <w:color w:val="000000"/>
          <w:sz w:val="22"/>
          <w:szCs w:val="22"/>
        </w:rPr>
        <w:t>OGYI-T-24371/43</w:t>
      </w:r>
      <w:r>
        <w:rPr>
          <w:color w:val="000000"/>
          <w:sz w:val="22"/>
          <w:szCs w:val="22"/>
        </w:rPr>
        <w:tab/>
        <w:t>60×1</w:t>
      </w:r>
      <w:r>
        <w:rPr>
          <w:color w:val="000000"/>
          <w:sz w:val="22"/>
          <w:szCs w:val="22"/>
        </w:rPr>
        <w:tab/>
        <w:t>adagonként perforált átlátszó PVC/PVDC/PVC fólia//Al fólia buborékcsomagolásban</w:t>
      </w:r>
    </w:p>
    <w:p w:rsidR="00224F0F" w:rsidRDefault="00485CCD">
      <w:pPr>
        <w:pStyle w:val="NormlWeb"/>
        <w:rPr>
          <w:rFonts w:ascii="Calibri" w:hAnsi="Calibri" w:cs="Calibri"/>
          <w:color w:val="000000"/>
          <w:sz w:val="22"/>
          <w:szCs w:val="22"/>
        </w:rPr>
      </w:pPr>
      <w:r>
        <w:rPr>
          <w:color w:val="000000"/>
          <w:sz w:val="22"/>
          <w:szCs w:val="22"/>
        </w:rPr>
        <w:t>OGYI-T-24371/44</w:t>
      </w:r>
      <w:r>
        <w:rPr>
          <w:color w:val="000000"/>
          <w:sz w:val="22"/>
          <w:szCs w:val="22"/>
        </w:rPr>
        <w:tab/>
        <w:t>90×</w:t>
      </w:r>
      <w:r>
        <w:rPr>
          <w:color w:val="000000"/>
          <w:sz w:val="22"/>
          <w:szCs w:val="22"/>
        </w:rPr>
        <w:tab/>
        <w:t>átlátszó PVC/PVDC/PVC fólia//Al fólia buborékcsomagolásban</w:t>
      </w:r>
    </w:p>
    <w:p w:rsidR="00224F0F" w:rsidRDefault="00485CCD">
      <w:pPr>
        <w:pStyle w:val="NormlWeb"/>
        <w:rPr>
          <w:rFonts w:ascii="Calibri" w:hAnsi="Calibri" w:cs="Calibri"/>
          <w:color w:val="000000"/>
          <w:sz w:val="22"/>
          <w:szCs w:val="22"/>
        </w:rPr>
      </w:pPr>
      <w:r>
        <w:rPr>
          <w:color w:val="000000"/>
          <w:sz w:val="22"/>
          <w:szCs w:val="22"/>
        </w:rPr>
        <w:t>OGYI-T-24371/45</w:t>
      </w:r>
      <w:r>
        <w:rPr>
          <w:color w:val="000000"/>
          <w:sz w:val="22"/>
          <w:szCs w:val="22"/>
        </w:rPr>
        <w:tab/>
        <w:t>90×1</w:t>
      </w:r>
      <w:r>
        <w:rPr>
          <w:color w:val="000000"/>
          <w:sz w:val="22"/>
          <w:szCs w:val="22"/>
        </w:rPr>
        <w:tab/>
        <w:t>adagonként perforált átlátszó PVC/PVDC/PVC fólia//Al fólia buborékcsomagolásban</w:t>
      </w:r>
    </w:p>
    <w:p w:rsidR="00224F0F" w:rsidRDefault="00485CCD">
      <w:pPr>
        <w:pStyle w:val="NormlWeb"/>
        <w:rPr>
          <w:rFonts w:ascii="Calibri" w:hAnsi="Calibri" w:cs="Calibri"/>
          <w:color w:val="000000"/>
          <w:sz w:val="22"/>
          <w:szCs w:val="22"/>
        </w:rPr>
      </w:pPr>
      <w:r>
        <w:rPr>
          <w:color w:val="000000"/>
          <w:sz w:val="22"/>
          <w:szCs w:val="22"/>
        </w:rPr>
        <w:t>OGYI-T-24371/46</w:t>
      </w:r>
      <w:r>
        <w:rPr>
          <w:color w:val="000000"/>
          <w:sz w:val="22"/>
          <w:szCs w:val="22"/>
        </w:rPr>
        <w:tab/>
        <w:t>98×</w:t>
      </w:r>
      <w:r>
        <w:rPr>
          <w:color w:val="000000"/>
          <w:sz w:val="22"/>
          <w:szCs w:val="22"/>
        </w:rPr>
        <w:tab/>
        <w:t>naptár jelzéses, átlátszó PVC/PVDC/PVC fólia//Al fólia buborékcsomagolásban</w:t>
      </w:r>
    </w:p>
    <w:p w:rsidR="00224F0F" w:rsidRDefault="00485CCD">
      <w:pPr>
        <w:pStyle w:val="NormlWeb"/>
        <w:rPr>
          <w:rFonts w:ascii="Calibri" w:hAnsi="Calibri" w:cs="Calibri"/>
          <w:color w:val="000000"/>
          <w:sz w:val="22"/>
          <w:szCs w:val="22"/>
        </w:rPr>
      </w:pPr>
      <w:r>
        <w:rPr>
          <w:color w:val="000000"/>
          <w:sz w:val="22"/>
          <w:szCs w:val="22"/>
        </w:rPr>
        <w:t>OGYI-T-24371/47</w:t>
      </w:r>
      <w:r>
        <w:rPr>
          <w:color w:val="000000"/>
          <w:sz w:val="22"/>
          <w:szCs w:val="22"/>
        </w:rPr>
        <w:tab/>
        <w:t>100×</w:t>
      </w:r>
      <w:r>
        <w:rPr>
          <w:color w:val="000000"/>
          <w:sz w:val="22"/>
          <w:szCs w:val="22"/>
        </w:rPr>
        <w:tab/>
        <w:t>átlátszó PVC/PVDC/PVC fólia//Al fólia buborékcsomagolásban</w:t>
      </w:r>
    </w:p>
    <w:p w:rsidR="00224F0F" w:rsidRDefault="00485CCD">
      <w:pPr>
        <w:pStyle w:val="NormlWeb"/>
        <w:rPr>
          <w:rFonts w:ascii="Calibri" w:hAnsi="Calibri" w:cs="Calibri"/>
          <w:color w:val="000000"/>
          <w:sz w:val="22"/>
          <w:szCs w:val="22"/>
        </w:rPr>
      </w:pPr>
      <w:r>
        <w:rPr>
          <w:color w:val="000000"/>
          <w:sz w:val="22"/>
          <w:szCs w:val="22"/>
        </w:rPr>
        <w:t>OGYI-T-24371/48</w:t>
      </w:r>
      <w:r>
        <w:rPr>
          <w:color w:val="000000"/>
          <w:sz w:val="22"/>
          <w:szCs w:val="22"/>
        </w:rPr>
        <w:tab/>
        <w:t>100×1</w:t>
      </w:r>
      <w:r>
        <w:rPr>
          <w:color w:val="000000"/>
          <w:sz w:val="22"/>
          <w:szCs w:val="22"/>
        </w:rPr>
        <w:tab/>
        <w:t>adagonként perforált átlátszó PVC/PVDC/PVC fólia//Al fólia buborékcsomagolásban</w:t>
      </w:r>
    </w:p>
    <w:p w:rsidR="00224F0F" w:rsidRDefault="00224F0F">
      <w:pPr>
        <w:spacing w:line="240" w:lineRule="auto"/>
        <w:rPr>
          <w:color w:val="000000"/>
          <w:lang w:val="it-IT"/>
        </w:rPr>
      </w:pPr>
    </w:p>
    <w:p w:rsidR="00224F0F" w:rsidRDefault="00224F0F">
      <w:pPr>
        <w:spacing w:line="240" w:lineRule="auto"/>
        <w:rPr>
          <w:color w:val="000000"/>
          <w:lang w:val="it-IT"/>
        </w:rPr>
      </w:pPr>
    </w:p>
    <w:p w:rsidR="00224F0F" w:rsidRDefault="00485CCD">
      <w:pPr>
        <w:spacing w:line="240" w:lineRule="auto"/>
        <w:ind w:left="567" w:hanging="567"/>
        <w:outlineLvl w:val="0"/>
        <w:rPr>
          <w:b/>
          <w:color w:val="000000"/>
          <w:lang w:val="de-DE"/>
        </w:rPr>
      </w:pPr>
      <w:r>
        <w:rPr>
          <w:b/>
          <w:noProof/>
          <w:color w:val="000000"/>
          <w:lang w:val="de-DE"/>
        </w:rPr>
        <w:t>9.</w:t>
      </w:r>
      <w:r>
        <w:rPr>
          <w:b/>
          <w:noProof/>
          <w:color w:val="000000"/>
          <w:lang w:val="de-DE"/>
        </w:rPr>
        <w:tab/>
        <w:t>A FORGALOMBA HOZATALI ENGEDÉLY ELSŐ KIADÁSÁNAK/ MEGÚJÍTÁSÁNAK</w:t>
      </w:r>
      <w:r>
        <w:rPr>
          <w:b/>
          <w:color w:val="000000"/>
          <w:lang w:val="de-DE"/>
        </w:rPr>
        <w:t xml:space="preserve"> DÁTUMA</w:t>
      </w:r>
    </w:p>
    <w:p w:rsidR="00224F0F" w:rsidRDefault="00224F0F">
      <w:pPr>
        <w:spacing w:line="240" w:lineRule="auto"/>
        <w:rPr>
          <w:noProof/>
          <w:color w:val="000000"/>
          <w:lang w:val="de-DE"/>
        </w:rPr>
      </w:pPr>
    </w:p>
    <w:p w:rsidR="00224F0F" w:rsidRDefault="00485CCD">
      <w:pPr>
        <w:spacing w:line="240" w:lineRule="auto"/>
        <w:rPr>
          <w:noProof/>
          <w:lang w:val="hu-HU"/>
        </w:rPr>
      </w:pPr>
      <w:r>
        <w:rPr>
          <w:noProof/>
        </w:rPr>
        <w:t>A forgalomba hozatali engedély első kiadásának dátuma: 2024. április 22.</w:t>
      </w:r>
    </w:p>
    <w:p w:rsidR="00224F0F" w:rsidRDefault="00224F0F">
      <w:pPr>
        <w:spacing w:line="240" w:lineRule="auto"/>
        <w:rPr>
          <w:noProof/>
          <w:color w:val="000000"/>
          <w:lang w:val="it-IT"/>
        </w:rPr>
      </w:pPr>
    </w:p>
    <w:p w:rsidR="00224F0F" w:rsidRDefault="00224F0F">
      <w:pPr>
        <w:spacing w:line="240" w:lineRule="auto"/>
        <w:rPr>
          <w:noProof/>
          <w:color w:val="000000"/>
          <w:lang w:val="it-IT"/>
        </w:rPr>
      </w:pPr>
    </w:p>
    <w:p w:rsidR="00224F0F" w:rsidRDefault="00485CCD">
      <w:pPr>
        <w:spacing w:line="240" w:lineRule="auto"/>
        <w:ind w:left="567" w:hanging="567"/>
        <w:outlineLvl w:val="0"/>
        <w:rPr>
          <w:b/>
          <w:noProof/>
          <w:color w:val="000000"/>
          <w:lang w:val="it-IT"/>
        </w:rPr>
      </w:pPr>
      <w:r>
        <w:rPr>
          <w:b/>
          <w:noProof/>
          <w:color w:val="000000"/>
          <w:lang w:val="it-IT"/>
        </w:rPr>
        <w:t>10.</w:t>
      </w:r>
      <w:r>
        <w:rPr>
          <w:b/>
          <w:noProof/>
          <w:color w:val="000000"/>
          <w:lang w:val="it-IT"/>
        </w:rPr>
        <w:tab/>
        <w:t>A SZÖVEG ELLENŐRZÉSÉNEK DÁTUMA</w:t>
      </w:r>
    </w:p>
    <w:p w:rsidR="00224F0F" w:rsidRDefault="00224F0F">
      <w:pPr>
        <w:spacing w:line="240" w:lineRule="auto"/>
        <w:ind w:left="567" w:hanging="567"/>
        <w:outlineLvl w:val="0"/>
        <w:rPr>
          <w:b/>
          <w:color w:val="000000"/>
          <w:lang w:val="it-IT"/>
        </w:rPr>
      </w:pPr>
    </w:p>
    <w:p w:rsidR="00526E29" w:rsidRDefault="00526E29" w:rsidP="00526E29">
      <w:pPr>
        <w:spacing w:line="240" w:lineRule="auto"/>
      </w:pPr>
      <w:r>
        <w:t>2026. február 6.</w:t>
      </w:r>
    </w:p>
    <w:p w:rsidR="00224F0F" w:rsidRDefault="00224F0F">
      <w:pPr>
        <w:tabs>
          <w:tab w:val="clear" w:pos="567"/>
        </w:tabs>
        <w:spacing w:after="160" w:line="259" w:lineRule="auto"/>
        <w:rPr>
          <w:lang w:val="hu-HU"/>
        </w:rPr>
      </w:pPr>
    </w:p>
    <w:sectPr w:rsidR="00224F0F">
      <w:footerReference w:type="firs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5CCD" w:rsidRDefault="00485CCD">
      <w:pPr>
        <w:spacing w:line="240" w:lineRule="auto"/>
      </w:pPr>
      <w:r>
        <w:separator/>
      </w:r>
    </w:p>
  </w:endnote>
  <w:endnote w:type="continuationSeparator" w:id="0">
    <w:p w:rsidR="00485CCD" w:rsidRDefault="00485C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Helvetica">
    <w:panose1 w:val="020B0604020202020204"/>
    <w:charset w:val="EE"/>
    <w:family w:val="swiss"/>
    <w:pitch w:val="variable"/>
    <w:sig w:usb0="E0002E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lbany">
    <w:altName w:val="Arial"/>
    <w:charset w:val="00"/>
    <w:family w:val="swiss"/>
    <w:pitch w:val="variable"/>
  </w:font>
  <w:font w:name="HG Mincho Light J">
    <w:altName w:val="Times New Roman"/>
    <w:charset w:val="00"/>
    <w:family w:val="auto"/>
    <w:pitch w:val="variable"/>
  </w:font>
  <w:font w:name="TimesNewRomanPS-ItalicMT">
    <w:altName w:val="MS Mincho"/>
    <w:panose1 w:val="00000000000000000000"/>
    <w:charset w:val="80"/>
    <w:family w:val="auto"/>
    <w:notTrueType/>
    <w:pitch w:val="default"/>
    <w:sig w:usb0="00000000" w:usb1="08070000" w:usb2="00000010" w:usb3="00000000" w:csb0="00020000" w:csb1="00000000"/>
  </w:font>
  <w:font w:name="TimesNewRomanPSMT">
    <w:altName w:val="MS Mincho"/>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CCD" w:rsidRDefault="00485CCD" w:rsidP="00485CCD">
    <w:pPr>
      <w:pStyle w:val="llb"/>
      <w:rPr>
        <w:sz w:val="18"/>
        <w:szCs w:val="18"/>
      </w:rPr>
    </w:pPr>
    <w:r w:rsidRPr="00485CCD">
      <w:rPr>
        <w:sz w:val="18"/>
        <w:szCs w:val="18"/>
      </w:rPr>
      <w:t>NNGYK/ETGY/28247/2025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5CCD" w:rsidRDefault="00485CCD">
      <w:pPr>
        <w:spacing w:line="240" w:lineRule="auto"/>
      </w:pPr>
      <w:r>
        <w:separator/>
      </w:r>
    </w:p>
  </w:footnote>
  <w:footnote w:type="continuationSeparator" w:id="0">
    <w:p w:rsidR="00485CCD" w:rsidRDefault="00485CC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 w15:restartNumberingAfterBreak="0">
    <w:nsid w:val="00000003"/>
    <w:multiLevelType w:val="multilevel"/>
    <w:tmpl w:val="0000000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900ED"/>
    <w:multiLevelType w:val="hybridMultilevel"/>
    <w:tmpl w:val="3D08C984"/>
    <w:lvl w:ilvl="0" w:tplc="04090001">
      <w:start w:val="1"/>
      <w:numFmt w:val="bullet"/>
      <w:pStyle w:val="Cmsor1"/>
      <w:lvlText w:val=""/>
      <w:lvlJc w:val="left"/>
      <w:pPr>
        <w:tabs>
          <w:tab w:val="num" w:pos="360"/>
        </w:tabs>
        <w:ind w:left="360" w:hanging="360"/>
      </w:pPr>
      <w:rPr>
        <w:rFonts w:ascii="Symbol" w:hAnsi="Symbol" w:hint="default"/>
      </w:rPr>
    </w:lvl>
    <w:lvl w:ilvl="1" w:tplc="04090003" w:tentative="1">
      <w:start w:val="1"/>
      <w:numFmt w:val="bullet"/>
      <w:pStyle w:val="Cmsor2"/>
      <w:lvlText w:val="o"/>
      <w:lvlJc w:val="left"/>
      <w:pPr>
        <w:tabs>
          <w:tab w:val="num" w:pos="1080"/>
        </w:tabs>
        <w:ind w:left="1080" w:hanging="360"/>
      </w:pPr>
      <w:rPr>
        <w:rFonts w:ascii="Courier New" w:hAnsi="Courier New" w:hint="default"/>
      </w:rPr>
    </w:lvl>
    <w:lvl w:ilvl="2" w:tplc="04090005" w:tentative="1">
      <w:start w:val="1"/>
      <w:numFmt w:val="bullet"/>
      <w:pStyle w:val="Cmsor3"/>
      <w:lvlText w:val=""/>
      <w:lvlJc w:val="left"/>
      <w:pPr>
        <w:tabs>
          <w:tab w:val="num" w:pos="1800"/>
        </w:tabs>
        <w:ind w:left="1800" w:hanging="360"/>
      </w:pPr>
      <w:rPr>
        <w:rFonts w:ascii="Wingdings" w:hAnsi="Wingdings" w:hint="default"/>
      </w:rPr>
    </w:lvl>
    <w:lvl w:ilvl="3" w:tplc="04090001" w:tentative="1">
      <w:start w:val="1"/>
      <w:numFmt w:val="bullet"/>
      <w:pStyle w:val="Cmsor4"/>
      <w:lvlText w:val=""/>
      <w:lvlJc w:val="left"/>
      <w:pPr>
        <w:tabs>
          <w:tab w:val="num" w:pos="2520"/>
        </w:tabs>
        <w:ind w:left="2520" w:hanging="360"/>
      </w:pPr>
      <w:rPr>
        <w:rFonts w:ascii="Symbol" w:hAnsi="Symbol" w:hint="default"/>
      </w:rPr>
    </w:lvl>
    <w:lvl w:ilvl="4" w:tplc="04090003" w:tentative="1">
      <w:start w:val="1"/>
      <w:numFmt w:val="bullet"/>
      <w:pStyle w:val="Cmsor5"/>
      <w:lvlText w:val="o"/>
      <w:lvlJc w:val="left"/>
      <w:pPr>
        <w:tabs>
          <w:tab w:val="num" w:pos="3240"/>
        </w:tabs>
        <w:ind w:left="3240" w:hanging="360"/>
      </w:pPr>
      <w:rPr>
        <w:rFonts w:ascii="Courier New" w:hAnsi="Courier New" w:hint="default"/>
      </w:rPr>
    </w:lvl>
    <w:lvl w:ilvl="5" w:tplc="04090005" w:tentative="1">
      <w:start w:val="1"/>
      <w:numFmt w:val="bullet"/>
      <w:pStyle w:val="Cmsor6"/>
      <w:lvlText w:val=""/>
      <w:lvlJc w:val="left"/>
      <w:pPr>
        <w:tabs>
          <w:tab w:val="num" w:pos="3960"/>
        </w:tabs>
        <w:ind w:left="3960" w:hanging="360"/>
      </w:pPr>
      <w:rPr>
        <w:rFonts w:ascii="Wingdings" w:hAnsi="Wingdings" w:hint="default"/>
      </w:rPr>
    </w:lvl>
    <w:lvl w:ilvl="6" w:tplc="04090001" w:tentative="1">
      <w:start w:val="1"/>
      <w:numFmt w:val="bullet"/>
      <w:pStyle w:val="Cmsor7"/>
      <w:lvlText w:val=""/>
      <w:lvlJc w:val="left"/>
      <w:pPr>
        <w:tabs>
          <w:tab w:val="num" w:pos="4680"/>
        </w:tabs>
        <w:ind w:left="4680" w:hanging="360"/>
      </w:pPr>
      <w:rPr>
        <w:rFonts w:ascii="Symbol" w:hAnsi="Symbol" w:hint="default"/>
      </w:rPr>
    </w:lvl>
    <w:lvl w:ilvl="7" w:tplc="04090003" w:tentative="1">
      <w:start w:val="1"/>
      <w:numFmt w:val="bullet"/>
      <w:pStyle w:val="Cmsor8"/>
      <w:lvlText w:val="o"/>
      <w:lvlJc w:val="left"/>
      <w:pPr>
        <w:tabs>
          <w:tab w:val="num" w:pos="5400"/>
        </w:tabs>
        <w:ind w:left="5400" w:hanging="360"/>
      </w:pPr>
      <w:rPr>
        <w:rFonts w:ascii="Courier New" w:hAnsi="Courier New" w:hint="default"/>
      </w:rPr>
    </w:lvl>
    <w:lvl w:ilvl="8" w:tplc="04090005" w:tentative="1">
      <w:start w:val="1"/>
      <w:numFmt w:val="bullet"/>
      <w:pStyle w:val="Cmsor9"/>
      <w:lvlText w:val=""/>
      <w:lvlJc w:val="left"/>
      <w:pPr>
        <w:tabs>
          <w:tab w:val="num" w:pos="6120"/>
        </w:tabs>
        <w:ind w:left="6120" w:hanging="360"/>
      </w:pPr>
      <w:rPr>
        <w:rFonts w:ascii="Wingdings" w:hAnsi="Wingdings" w:hint="default"/>
      </w:rPr>
    </w:lvl>
  </w:abstractNum>
  <w:abstractNum w:abstractNumId="5" w15:restartNumberingAfterBreak="0">
    <w:nsid w:val="0076523C"/>
    <w:multiLevelType w:val="hybridMultilevel"/>
    <w:tmpl w:val="FBC0948C"/>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5076656"/>
    <w:multiLevelType w:val="hybridMultilevel"/>
    <w:tmpl w:val="D64484CC"/>
    <w:lvl w:ilvl="0" w:tplc="2B5A7312">
      <w:start w:val="6"/>
      <w:numFmt w:val="decimal"/>
      <w:lvlText w:val="%1."/>
      <w:lvlJc w:val="left"/>
      <w:pPr>
        <w:ind w:left="720" w:hanging="360"/>
      </w:pPr>
      <w:rPr>
        <w:rFonts w:hint="default"/>
        <w:b/>
        <w:bCs/>
        <w:sz w:val="22"/>
        <w:szCs w:val="22"/>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16CD61D8"/>
    <w:multiLevelType w:val="multilevel"/>
    <w:tmpl w:val="CC08E63C"/>
    <w:lvl w:ilvl="0">
      <w:start w:val="1"/>
      <w:numFmt w:val="bullet"/>
      <w:lvlText w:val=""/>
      <w:lvlJc w:val="left"/>
      <w:pPr>
        <w:tabs>
          <w:tab w:val="num" w:pos="502"/>
        </w:tabs>
      </w:pPr>
      <w:rPr>
        <w:rFonts w:ascii="Symbol" w:hAnsi="Symbol" w:hint="default"/>
      </w:rPr>
    </w:lvl>
    <w:lvl w:ilvl="1">
      <w:start w:val="1"/>
      <w:numFmt w:val="decimal"/>
      <w:lvlText w:val="%2."/>
      <w:lvlJc w:val="left"/>
      <w:pPr>
        <w:tabs>
          <w:tab w:val="num" w:pos="142"/>
        </w:tabs>
      </w:pPr>
      <w:rPr>
        <w:rFonts w:cs="Times New Roman"/>
      </w:rPr>
    </w:lvl>
    <w:lvl w:ilvl="2">
      <w:start w:val="1"/>
      <w:numFmt w:val="decimal"/>
      <w:lvlText w:val="%3."/>
      <w:lvlJc w:val="left"/>
      <w:pPr>
        <w:tabs>
          <w:tab w:val="num" w:pos="142"/>
        </w:tabs>
      </w:pPr>
      <w:rPr>
        <w:rFonts w:cs="Times New Roman"/>
      </w:rPr>
    </w:lvl>
    <w:lvl w:ilvl="3">
      <w:start w:val="1"/>
      <w:numFmt w:val="decimal"/>
      <w:lvlText w:val="%4."/>
      <w:lvlJc w:val="left"/>
      <w:pPr>
        <w:tabs>
          <w:tab w:val="num" w:pos="142"/>
        </w:tabs>
      </w:pPr>
      <w:rPr>
        <w:rFonts w:cs="Times New Roman"/>
      </w:rPr>
    </w:lvl>
    <w:lvl w:ilvl="4">
      <w:start w:val="1"/>
      <w:numFmt w:val="decimal"/>
      <w:lvlText w:val="%5."/>
      <w:lvlJc w:val="left"/>
      <w:pPr>
        <w:tabs>
          <w:tab w:val="num" w:pos="142"/>
        </w:tabs>
      </w:pPr>
      <w:rPr>
        <w:rFonts w:cs="Times New Roman"/>
      </w:rPr>
    </w:lvl>
    <w:lvl w:ilvl="5">
      <w:start w:val="1"/>
      <w:numFmt w:val="decimal"/>
      <w:lvlText w:val="%6."/>
      <w:lvlJc w:val="left"/>
      <w:pPr>
        <w:tabs>
          <w:tab w:val="num" w:pos="142"/>
        </w:tabs>
      </w:pPr>
      <w:rPr>
        <w:rFonts w:cs="Times New Roman"/>
      </w:rPr>
    </w:lvl>
    <w:lvl w:ilvl="6">
      <w:start w:val="1"/>
      <w:numFmt w:val="decimal"/>
      <w:lvlText w:val="%7."/>
      <w:lvlJc w:val="left"/>
      <w:pPr>
        <w:tabs>
          <w:tab w:val="num" w:pos="142"/>
        </w:tabs>
      </w:pPr>
      <w:rPr>
        <w:rFonts w:cs="Times New Roman"/>
      </w:rPr>
    </w:lvl>
    <w:lvl w:ilvl="7">
      <w:start w:val="1"/>
      <w:numFmt w:val="decimal"/>
      <w:lvlText w:val="%8."/>
      <w:lvlJc w:val="left"/>
      <w:pPr>
        <w:tabs>
          <w:tab w:val="num" w:pos="142"/>
        </w:tabs>
      </w:pPr>
      <w:rPr>
        <w:rFonts w:cs="Times New Roman"/>
      </w:rPr>
    </w:lvl>
    <w:lvl w:ilvl="8">
      <w:start w:val="1"/>
      <w:numFmt w:val="decimal"/>
      <w:lvlText w:val="%9."/>
      <w:lvlJc w:val="left"/>
      <w:pPr>
        <w:tabs>
          <w:tab w:val="num" w:pos="142"/>
        </w:tabs>
      </w:pPr>
      <w:rPr>
        <w:rFonts w:cs="Times New Roman"/>
      </w:rPr>
    </w:lvl>
  </w:abstractNum>
  <w:abstractNum w:abstractNumId="8" w15:restartNumberingAfterBreak="0">
    <w:nsid w:val="1E0D1116"/>
    <w:multiLevelType w:val="hybridMultilevel"/>
    <w:tmpl w:val="3B908A68"/>
    <w:lvl w:ilvl="0" w:tplc="01DCBFA4">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1F1D55CF"/>
    <w:multiLevelType w:val="hybridMultilevel"/>
    <w:tmpl w:val="F45CF0B0"/>
    <w:lvl w:ilvl="0" w:tplc="FFFFFFFF">
      <w:start w:val="1"/>
      <w:numFmt w:val="bullet"/>
      <w:lvlText w:val="-"/>
      <w:lvlJc w:val="left"/>
      <w:pPr>
        <w:ind w:left="720" w:hanging="360"/>
      </w:pPr>
    </w:lvl>
    <w:lvl w:ilvl="1" w:tplc="257A23FC">
      <w:numFmt w:val="bullet"/>
      <w:lvlText w:val="•"/>
      <w:lvlJc w:val="left"/>
      <w:pPr>
        <w:ind w:left="1440" w:hanging="360"/>
      </w:pPr>
      <w:rPr>
        <w:rFonts w:ascii="Times New Roman" w:eastAsia="SimSun"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1F3E466E"/>
    <w:multiLevelType w:val="hybridMultilevel"/>
    <w:tmpl w:val="3B628BF4"/>
    <w:lvl w:ilvl="0" w:tplc="9E76A184">
      <w:start w:val="1"/>
      <w:numFmt w:val="bullet"/>
      <w:lvlText w:val=""/>
      <w:lvlJc w:val="left"/>
      <w:pPr>
        <w:ind w:left="397" w:hanging="285"/>
      </w:pPr>
      <w:rPr>
        <w:rFonts w:ascii="Symbol" w:eastAsia="Symbol" w:hAnsi="Symbol" w:hint="default"/>
        <w:w w:val="99"/>
        <w:sz w:val="22"/>
        <w:szCs w:val="22"/>
      </w:rPr>
    </w:lvl>
    <w:lvl w:ilvl="1" w:tplc="AC00203C">
      <w:start w:val="1"/>
      <w:numFmt w:val="bullet"/>
      <w:lvlText w:val="•"/>
      <w:lvlJc w:val="left"/>
      <w:pPr>
        <w:ind w:left="1324" w:hanging="285"/>
      </w:pPr>
      <w:rPr>
        <w:rFonts w:hint="default"/>
      </w:rPr>
    </w:lvl>
    <w:lvl w:ilvl="2" w:tplc="18EA4852">
      <w:start w:val="1"/>
      <w:numFmt w:val="bullet"/>
      <w:lvlText w:val="•"/>
      <w:lvlJc w:val="left"/>
      <w:pPr>
        <w:ind w:left="2251" w:hanging="285"/>
      </w:pPr>
      <w:rPr>
        <w:rFonts w:hint="default"/>
      </w:rPr>
    </w:lvl>
    <w:lvl w:ilvl="3" w:tplc="C6706956">
      <w:start w:val="1"/>
      <w:numFmt w:val="bullet"/>
      <w:lvlText w:val="•"/>
      <w:lvlJc w:val="left"/>
      <w:pPr>
        <w:ind w:left="3178" w:hanging="285"/>
      </w:pPr>
      <w:rPr>
        <w:rFonts w:hint="default"/>
      </w:rPr>
    </w:lvl>
    <w:lvl w:ilvl="4" w:tplc="7B480960">
      <w:start w:val="1"/>
      <w:numFmt w:val="bullet"/>
      <w:lvlText w:val="•"/>
      <w:lvlJc w:val="left"/>
      <w:pPr>
        <w:ind w:left="4105" w:hanging="285"/>
      </w:pPr>
      <w:rPr>
        <w:rFonts w:hint="default"/>
      </w:rPr>
    </w:lvl>
    <w:lvl w:ilvl="5" w:tplc="ED185482">
      <w:start w:val="1"/>
      <w:numFmt w:val="bullet"/>
      <w:lvlText w:val="•"/>
      <w:lvlJc w:val="left"/>
      <w:pPr>
        <w:ind w:left="5032" w:hanging="285"/>
      </w:pPr>
      <w:rPr>
        <w:rFonts w:hint="default"/>
      </w:rPr>
    </w:lvl>
    <w:lvl w:ilvl="6" w:tplc="5B10F520">
      <w:start w:val="1"/>
      <w:numFmt w:val="bullet"/>
      <w:lvlText w:val="•"/>
      <w:lvlJc w:val="left"/>
      <w:pPr>
        <w:ind w:left="5959" w:hanging="285"/>
      </w:pPr>
      <w:rPr>
        <w:rFonts w:hint="default"/>
      </w:rPr>
    </w:lvl>
    <w:lvl w:ilvl="7" w:tplc="59E059AE">
      <w:start w:val="1"/>
      <w:numFmt w:val="bullet"/>
      <w:lvlText w:val="•"/>
      <w:lvlJc w:val="left"/>
      <w:pPr>
        <w:ind w:left="6886" w:hanging="285"/>
      </w:pPr>
      <w:rPr>
        <w:rFonts w:hint="default"/>
      </w:rPr>
    </w:lvl>
    <w:lvl w:ilvl="8" w:tplc="FEDAC03E">
      <w:start w:val="1"/>
      <w:numFmt w:val="bullet"/>
      <w:lvlText w:val="•"/>
      <w:lvlJc w:val="left"/>
      <w:pPr>
        <w:ind w:left="7813" w:hanging="285"/>
      </w:pPr>
      <w:rPr>
        <w:rFonts w:hint="default"/>
      </w:rPr>
    </w:lvl>
  </w:abstractNum>
  <w:abstractNum w:abstractNumId="11" w15:restartNumberingAfterBreak="0">
    <w:nsid w:val="20470C80"/>
    <w:multiLevelType w:val="hybridMultilevel"/>
    <w:tmpl w:val="1E5AABE8"/>
    <w:lvl w:ilvl="0" w:tplc="B888CF38">
      <w:start w:val="1"/>
      <w:numFmt w:val="decimal"/>
      <w:lvlText w:val="%1."/>
      <w:lvlJc w:val="left"/>
      <w:pPr>
        <w:tabs>
          <w:tab w:val="num" w:pos="570"/>
        </w:tabs>
        <w:ind w:left="570" w:hanging="57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2" w15:restartNumberingAfterBreak="0">
    <w:nsid w:val="204E0D43"/>
    <w:multiLevelType w:val="hybridMultilevel"/>
    <w:tmpl w:val="078012BA"/>
    <w:lvl w:ilvl="0" w:tplc="F72E47DA">
      <w:numFmt w:val="bullet"/>
      <w:lvlText w:val="•"/>
      <w:lvlJc w:val="left"/>
      <w:pPr>
        <w:ind w:left="720" w:hanging="360"/>
      </w:pPr>
      <w:rPr>
        <w:rFonts w:ascii="Times New Roman" w:eastAsia="SimSu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20BA27C5"/>
    <w:multiLevelType w:val="hybridMultilevel"/>
    <w:tmpl w:val="074AE12C"/>
    <w:lvl w:ilvl="0" w:tplc="845890DE">
      <w:numFmt w:val="bullet"/>
      <w:lvlText w:val="•"/>
      <w:lvlJc w:val="left"/>
      <w:pPr>
        <w:ind w:left="359" w:hanging="360"/>
      </w:pPr>
      <w:rPr>
        <w:rFonts w:ascii="Times New Roman" w:eastAsia="SimSun" w:hAnsi="Times New Roman" w:cs="Times New Roman" w:hint="default"/>
      </w:rPr>
    </w:lvl>
    <w:lvl w:ilvl="1" w:tplc="040E0003" w:tentative="1">
      <w:start w:val="1"/>
      <w:numFmt w:val="bullet"/>
      <w:lvlText w:val="o"/>
      <w:lvlJc w:val="left"/>
      <w:pPr>
        <w:ind w:left="1079" w:hanging="360"/>
      </w:pPr>
      <w:rPr>
        <w:rFonts w:ascii="Courier New" w:hAnsi="Courier New" w:cs="Courier New" w:hint="default"/>
      </w:rPr>
    </w:lvl>
    <w:lvl w:ilvl="2" w:tplc="040E0005" w:tentative="1">
      <w:start w:val="1"/>
      <w:numFmt w:val="bullet"/>
      <w:lvlText w:val=""/>
      <w:lvlJc w:val="left"/>
      <w:pPr>
        <w:ind w:left="1799" w:hanging="360"/>
      </w:pPr>
      <w:rPr>
        <w:rFonts w:ascii="Wingdings" w:hAnsi="Wingdings" w:hint="default"/>
      </w:rPr>
    </w:lvl>
    <w:lvl w:ilvl="3" w:tplc="040E0001" w:tentative="1">
      <w:start w:val="1"/>
      <w:numFmt w:val="bullet"/>
      <w:lvlText w:val=""/>
      <w:lvlJc w:val="left"/>
      <w:pPr>
        <w:ind w:left="2519" w:hanging="360"/>
      </w:pPr>
      <w:rPr>
        <w:rFonts w:ascii="Symbol" w:hAnsi="Symbol" w:hint="default"/>
      </w:rPr>
    </w:lvl>
    <w:lvl w:ilvl="4" w:tplc="040E0003" w:tentative="1">
      <w:start w:val="1"/>
      <w:numFmt w:val="bullet"/>
      <w:lvlText w:val="o"/>
      <w:lvlJc w:val="left"/>
      <w:pPr>
        <w:ind w:left="3239" w:hanging="360"/>
      </w:pPr>
      <w:rPr>
        <w:rFonts w:ascii="Courier New" w:hAnsi="Courier New" w:cs="Courier New" w:hint="default"/>
      </w:rPr>
    </w:lvl>
    <w:lvl w:ilvl="5" w:tplc="040E0005" w:tentative="1">
      <w:start w:val="1"/>
      <w:numFmt w:val="bullet"/>
      <w:lvlText w:val=""/>
      <w:lvlJc w:val="left"/>
      <w:pPr>
        <w:ind w:left="3959" w:hanging="360"/>
      </w:pPr>
      <w:rPr>
        <w:rFonts w:ascii="Wingdings" w:hAnsi="Wingdings" w:hint="default"/>
      </w:rPr>
    </w:lvl>
    <w:lvl w:ilvl="6" w:tplc="040E0001" w:tentative="1">
      <w:start w:val="1"/>
      <w:numFmt w:val="bullet"/>
      <w:lvlText w:val=""/>
      <w:lvlJc w:val="left"/>
      <w:pPr>
        <w:ind w:left="4679" w:hanging="360"/>
      </w:pPr>
      <w:rPr>
        <w:rFonts w:ascii="Symbol" w:hAnsi="Symbol" w:hint="default"/>
      </w:rPr>
    </w:lvl>
    <w:lvl w:ilvl="7" w:tplc="040E0003" w:tentative="1">
      <w:start w:val="1"/>
      <w:numFmt w:val="bullet"/>
      <w:lvlText w:val="o"/>
      <w:lvlJc w:val="left"/>
      <w:pPr>
        <w:ind w:left="5399" w:hanging="360"/>
      </w:pPr>
      <w:rPr>
        <w:rFonts w:ascii="Courier New" w:hAnsi="Courier New" w:cs="Courier New" w:hint="default"/>
      </w:rPr>
    </w:lvl>
    <w:lvl w:ilvl="8" w:tplc="040E0005" w:tentative="1">
      <w:start w:val="1"/>
      <w:numFmt w:val="bullet"/>
      <w:lvlText w:val=""/>
      <w:lvlJc w:val="left"/>
      <w:pPr>
        <w:ind w:left="6119" w:hanging="360"/>
      </w:pPr>
      <w:rPr>
        <w:rFonts w:ascii="Wingdings" w:hAnsi="Wingdings" w:hint="default"/>
      </w:rPr>
    </w:lvl>
  </w:abstractNum>
  <w:abstractNum w:abstractNumId="14" w15:restartNumberingAfterBreak="0">
    <w:nsid w:val="23F22D89"/>
    <w:multiLevelType w:val="hybridMultilevel"/>
    <w:tmpl w:val="1C427070"/>
    <w:lvl w:ilvl="0" w:tplc="FC5E35FC">
      <w:numFmt w:val="bullet"/>
      <w:lvlText w:val="-"/>
      <w:lvlJc w:val="left"/>
      <w:pPr>
        <w:ind w:left="720" w:hanging="360"/>
      </w:pPr>
      <w:rPr>
        <w:rFonts w:ascii="Arial" w:eastAsia="Times New Roman" w:hAnsi="Arial" w:hint="default"/>
      </w:rPr>
    </w:lvl>
    <w:lvl w:ilvl="1" w:tplc="040E0003">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27A465FC"/>
    <w:multiLevelType w:val="hybridMultilevel"/>
    <w:tmpl w:val="3828E48A"/>
    <w:lvl w:ilvl="0" w:tplc="040E000F">
      <w:start w:val="3"/>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2BEF3682"/>
    <w:multiLevelType w:val="hybridMultilevel"/>
    <w:tmpl w:val="CFEC48CC"/>
    <w:lvl w:ilvl="0" w:tplc="FC5E35FC">
      <w:numFmt w:val="bullet"/>
      <w:lvlText w:val="-"/>
      <w:lvlJc w:val="left"/>
      <w:pPr>
        <w:ind w:left="720" w:hanging="360"/>
      </w:pPr>
      <w:rPr>
        <w:rFonts w:ascii="Arial" w:eastAsia="Times New Roman" w:hAnsi="Aria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8" w15:restartNumberingAfterBreak="0">
    <w:nsid w:val="2EC43F36"/>
    <w:multiLevelType w:val="hybridMultilevel"/>
    <w:tmpl w:val="5BA42128"/>
    <w:lvl w:ilvl="0" w:tplc="EF94C522">
      <w:start w:val="2"/>
      <w:numFmt w:val="decimal"/>
      <w:lvlText w:val="%1."/>
      <w:lvlJc w:val="left"/>
      <w:pPr>
        <w:tabs>
          <w:tab w:val="num" w:pos="570"/>
        </w:tabs>
        <w:ind w:left="570" w:hanging="57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9" w15:restartNumberingAfterBreak="0">
    <w:nsid w:val="30347FCD"/>
    <w:multiLevelType w:val="hybridMultilevel"/>
    <w:tmpl w:val="739CA644"/>
    <w:lvl w:ilvl="0" w:tplc="0E402EA4">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3AB86B2A"/>
    <w:multiLevelType w:val="hybridMultilevel"/>
    <w:tmpl w:val="0C183C16"/>
    <w:lvl w:ilvl="0" w:tplc="040E0001">
      <w:start w:val="1"/>
      <w:numFmt w:val="bullet"/>
      <w:lvlText w:val=""/>
      <w:lvlJc w:val="left"/>
      <w:pPr>
        <w:ind w:left="1287" w:hanging="360"/>
      </w:pPr>
      <w:rPr>
        <w:rFonts w:ascii="Symbol" w:hAnsi="Symbol"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21" w15:restartNumberingAfterBreak="0">
    <w:nsid w:val="3E307B47"/>
    <w:multiLevelType w:val="hybridMultilevel"/>
    <w:tmpl w:val="CDB08A1E"/>
    <w:lvl w:ilvl="0" w:tplc="040E0001">
      <w:start w:val="1"/>
      <w:numFmt w:val="bullet"/>
      <w:lvlText w:val=""/>
      <w:lvlJc w:val="left"/>
      <w:pPr>
        <w:ind w:left="1341" w:hanging="360"/>
      </w:pPr>
      <w:rPr>
        <w:rFonts w:ascii="Symbol" w:hAnsi="Symbol" w:hint="default"/>
      </w:rPr>
    </w:lvl>
    <w:lvl w:ilvl="1" w:tplc="040E0001">
      <w:start w:val="1"/>
      <w:numFmt w:val="bullet"/>
      <w:lvlText w:val=""/>
      <w:lvlJc w:val="left"/>
      <w:pPr>
        <w:ind w:left="2061" w:hanging="360"/>
      </w:pPr>
      <w:rPr>
        <w:rFonts w:ascii="Symbol" w:hAnsi="Symbol" w:hint="default"/>
      </w:rPr>
    </w:lvl>
    <w:lvl w:ilvl="2" w:tplc="040E0005" w:tentative="1">
      <w:start w:val="1"/>
      <w:numFmt w:val="bullet"/>
      <w:lvlText w:val=""/>
      <w:lvlJc w:val="left"/>
      <w:pPr>
        <w:ind w:left="2781" w:hanging="360"/>
      </w:pPr>
      <w:rPr>
        <w:rFonts w:ascii="Wingdings" w:hAnsi="Wingdings" w:hint="default"/>
      </w:rPr>
    </w:lvl>
    <w:lvl w:ilvl="3" w:tplc="040E0001" w:tentative="1">
      <w:start w:val="1"/>
      <w:numFmt w:val="bullet"/>
      <w:lvlText w:val=""/>
      <w:lvlJc w:val="left"/>
      <w:pPr>
        <w:ind w:left="3501" w:hanging="360"/>
      </w:pPr>
      <w:rPr>
        <w:rFonts w:ascii="Symbol" w:hAnsi="Symbol" w:hint="default"/>
      </w:rPr>
    </w:lvl>
    <w:lvl w:ilvl="4" w:tplc="040E0003" w:tentative="1">
      <w:start w:val="1"/>
      <w:numFmt w:val="bullet"/>
      <w:lvlText w:val="o"/>
      <w:lvlJc w:val="left"/>
      <w:pPr>
        <w:ind w:left="4221" w:hanging="360"/>
      </w:pPr>
      <w:rPr>
        <w:rFonts w:ascii="Courier New" w:hAnsi="Courier New" w:cs="Courier New" w:hint="default"/>
      </w:rPr>
    </w:lvl>
    <w:lvl w:ilvl="5" w:tplc="040E0005" w:tentative="1">
      <w:start w:val="1"/>
      <w:numFmt w:val="bullet"/>
      <w:lvlText w:val=""/>
      <w:lvlJc w:val="left"/>
      <w:pPr>
        <w:ind w:left="4941" w:hanging="360"/>
      </w:pPr>
      <w:rPr>
        <w:rFonts w:ascii="Wingdings" w:hAnsi="Wingdings" w:hint="default"/>
      </w:rPr>
    </w:lvl>
    <w:lvl w:ilvl="6" w:tplc="040E0001" w:tentative="1">
      <w:start w:val="1"/>
      <w:numFmt w:val="bullet"/>
      <w:lvlText w:val=""/>
      <w:lvlJc w:val="left"/>
      <w:pPr>
        <w:ind w:left="5661" w:hanging="360"/>
      </w:pPr>
      <w:rPr>
        <w:rFonts w:ascii="Symbol" w:hAnsi="Symbol" w:hint="default"/>
      </w:rPr>
    </w:lvl>
    <w:lvl w:ilvl="7" w:tplc="040E0003" w:tentative="1">
      <w:start w:val="1"/>
      <w:numFmt w:val="bullet"/>
      <w:lvlText w:val="o"/>
      <w:lvlJc w:val="left"/>
      <w:pPr>
        <w:ind w:left="6381" w:hanging="360"/>
      </w:pPr>
      <w:rPr>
        <w:rFonts w:ascii="Courier New" w:hAnsi="Courier New" w:cs="Courier New" w:hint="default"/>
      </w:rPr>
    </w:lvl>
    <w:lvl w:ilvl="8" w:tplc="040E0005" w:tentative="1">
      <w:start w:val="1"/>
      <w:numFmt w:val="bullet"/>
      <w:lvlText w:val=""/>
      <w:lvlJc w:val="left"/>
      <w:pPr>
        <w:ind w:left="7101" w:hanging="360"/>
      </w:pPr>
      <w:rPr>
        <w:rFonts w:ascii="Wingdings" w:hAnsi="Wingdings" w:hint="default"/>
      </w:rPr>
    </w:lvl>
  </w:abstractNum>
  <w:abstractNum w:abstractNumId="22" w15:restartNumberingAfterBreak="0">
    <w:nsid w:val="468E6813"/>
    <w:multiLevelType w:val="hybridMultilevel"/>
    <w:tmpl w:val="C666B9E2"/>
    <w:lvl w:ilvl="0" w:tplc="0E402EA4">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49300409"/>
    <w:multiLevelType w:val="hybridMultilevel"/>
    <w:tmpl w:val="E00A8022"/>
    <w:lvl w:ilvl="0" w:tplc="3A6E18C0">
      <w:start w:val="1"/>
      <w:numFmt w:val="bullet"/>
      <w:lvlText w:val="-"/>
      <w:lvlJc w:val="left"/>
      <w:pPr>
        <w:ind w:left="735" w:hanging="263"/>
      </w:pPr>
      <w:rPr>
        <w:rFonts w:ascii="Times New Roman" w:eastAsia="Times New Roman" w:hAnsi="Times New Roman" w:hint="default"/>
        <w:w w:val="99"/>
        <w:sz w:val="22"/>
        <w:szCs w:val="22"/>
      </w:rPr>
    </w:lvl>
    <w:lvl w:ilvl="1" w:tplc="D86660C0">
      <w:start w:val="1"/>
      <w:numFmt w:val="bullet"/>
      <w:lvlText w:val="•"/>
      <w:lvlJc w:val="left"/>
      <w:pPr>
        <w:ind w:left="1628" w:hanging="263"/>
      </w:pPr>
      <w:rPr>
        <w:rFonts w:hint="default"/>
      </w:rPr>
    </w:lvl>
    <w:lvl w:ilvl="2" w:tplc="049E6C1C">
      <w:start w:val="1"/>
      <w:numFmt w:val="bullet"/>
      <w:lvlText w:val="•"/>
      <w:lvlJc w:val="left"/>
      <w:pPr>
        <w:ind w:left="2521" w:hanging="263"/>
      </w:pPr>
      <w:rPr>
        <w:rFonts w:hint="default"/>
      </w:rPr>
    </w:lvl>
    <w:lvl w:ilvl="3" w:tplc="E9BEC726">
      <w:start w:val="1"/>
      <w:numFmt w:val="bullet"/>
      <w:lvlText w:val="•"/>
      <w:lvlJc w:val="left"/>
      <w:pPr>
        <w:ind w:left="3415" w:hanging="263"/>
      </w:pPr>
      <w:rPr>
        <w:rFonts w:hint="default"/>
      </w:rPr>
    </w:lvl>
    <w:lvl w:ilvl="4" w:tplc="97C4E48A">
      <w:start w:val="1"/>
      <w:numFmt w:val="bullet"/>
      <w:lvlText w:val="•"/>
      <w:lvlJc w:val="left"/>
      <w:pPr>
        <w:ind w:left="4308" w:hanging="263"/>
      </w:pPr>
      <w:rPr>
        <w:rFonts w:hint="default"/>
      </w:rPr>
    </w:lvl>
    <w:lvl w:ilvl="5" w:tplc="FD28A9F2">
      <w:start w:val="1"/>
      <w:numFmt w:val="bullet"/>
      <w:lvlText w:val="•"/>
      <w:lvlJc w:val="left"/>
      <w:pPr>
        <w:ind w:left="5201" w:hanging="263"/>
      </w:pPr>
      <w:rPr>
        <w:rFonts w:hint="default"/>
      </w:rPr>
    </w:lvl>
    <w:lvl w:ilvl="6" w:tplc="29E48386">
      <w:start w:val="1"/>
      <w:numFmt w:val="bullet"/>
      <w:lvlText w:val="•"/>
      <w:lvlJc w:val="left"/>
      <w:pPr>
        <w:ind w:left="6094" w:hanging="263"/>
      </w:pPr>
      <w:rPr>
        <w:rFonts w:hint="default"/>
      </w:rPr>
    </w:lvl>
    <w:lvl w:ilvl="7" w:tplc="0B10D936">
      <w:start w:val="1"/>
      <w:numFmt w:val="bullet"/>
      <w:lvlText w:val="•"/>
      <w:lvlJc w:val="left"/>
      <w:pPr>
        <w:ind w:left="6987" w:hanging="263"/>
      </w:pPr>
      <w:rPr>
        <w:rFonts w:hint="default"/>
      </w:rPr>
    </w:lvl>
    <w:lvl w:ilvl="8" w:tplc="736EDF82">
      <w:start w:val="1"/>
      <w:numFmt w:val="bullet"/>
      <w:lvlText w:val="•"/>
      <w:lvlJc w:val="left"/>
      <w:pPr>
        <w:ind w:left="7881" w:hanging="263"/>
      </w:pPr>
      <w:rPr>
        <w:rFonts w:hint="default"/>
      </w:rPr>
    </w:lvl>
  </w:abstractNum>
  <w:abstractNum w:abstractNumId="24" w15:restartNumberingAfterBreak="0">
    <w:nsid w:val="4A3B7AD2"/>
    <w:multiLevelType w:val="hybridMultilevel"/>
    <w:tmpl w:val="225A19FC"/>
    <w:lvl w:ilvl="0" w:tplc="2710E934">
      <w:start w:val="10"/>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013088"/>
    <w:multiLevelType w:val="hybridMultilevel"/>
    <w:tmpl w:val="0390EAB0"/>
    <w:lvl w:ilvl="0" w:tplc="040E0001">
      <w:start w:val="1"/>
      <w:numFmt w:val="bullet"/>
      <w:lvlText w:val=""/>
      <w:lvlJc w:val="left"/>
      <w:pPr>
        <w:ind w:left="719" w:hanging="360"/>
      </w:pPr>
      <w:rPr>
        <w:rFonts w:ascii="Symbol" w:hAnsi="Symbol" w:hint="default"/>
      </w:rPr>
    </w:lvl>
    <w:lvl w:ilvl="1" w:tplc="040E0003" w:tentative="1">
      <w:start w:val="1"/>
      <w:numFmt w:val="bullet"/>
      <w:lvlText w:val="o"/>
      <w:lvlJc w:val="left"/>
      <w:pPr>
        <w:ind w:left="1439" w:hanging="360"/>
      </w:pPr>
      <w:rPr>
        <w:rFonts w:ascii="Courier New" w:hAnsi="Courier New" w:cs="Courier New" w:hint="default"/>
      </w:rPr>
    </w:lvl>
    <w:lvl w:ilvl="2" w:tplc="040E0005" w:tentative="1">
      <w:start w:val="1"/>
      <w:numFmt w:val="bullet"/>
      <w:lvlText w:val=""/>
      <w:lvlJc w:val="left"/>
      <w:pPr>
        <w:ind w:left="2159" w:hanging="360"/>
      </w:pPr>
      <w:rPr>
        <w:rFonts w:ascii="Wingdings" w:hAnsi="Wingdings" w:hint="default"/>
      </w:rPr>
    </w:lvl>
    <w:lvl w:ilvl="3" w:tplc="040E0001" w:tentative="1">
      <w:start w:val="1"/>
      <w:numFmt w:val="bullet"/>
      <w:lvlText w:val=""/>
      <w:lvlJc w:val="left"/>
      <w:pPr>
        <w:ind w:left="2879" w:hanging="360"/>
      </w:pPr>
      <w:rPr>
        <w:rFonts w:ascii="Symbol" w:hAnsi="Symbol" w:hint="default"/>
      </w:rPr>
    </w:lvl>
    <w:lvl w:ilvl="4" w:tplc="040E0003" w:tentative="1">
      <w:start w:val="1"/>
      <w:numFmt w:val="bullet"/>
      <w:lvlText w:val="o"/>
      <w:lvlJc w:val="left"/>
      <w:pPr>
        <w:ind w:left="3599" w:hanging="360"/>
      </w:pPr>
      <w:rPr>
        <w:rFonts w:ascii="Courier New" w:hAnsi="Courier New" w:cs="Courier New" w:hint="default"/>
      </w:rPr>
    </w:lvl>
    <w:lvl w:ilvl="5" w:tplc="040E0005" w:tentative="1">
      <w:start w:val="1"/>
      <w:numFmt w:val="bullet"/>
      <w:lvlText w:val=""/>
      <w:lvlJc w:val="left"/>
      <w:pPr>
        <w:ind w:left="4319" w:hanging="360"/>
      </w:pPr>
      <w:rPr>
        <w:rFonts w:ascii="Wingdings" w:hAnsi="Wingdings" w:hint="default"/>
      </w:rPr>
    </w:lvl>
    <w:lvl w:ilvl="6" w:tplc="040E0001" w:tentative="1">
      <w:start w:val="1"/>
      <w:numFmt w:val="bullet"/>
      <w:lvlText w:val=""/>
      <w:lvlJc w:val="left"/>
      <w:pPr>
        <w:ind w:left="5039" w:hanging="360"/>
      </w:pPr>
      <w:rPr>
        <w:rFonts w:ascii="Symbol" w:hAnsi="Symbol" w:hint="default"/>
      </w:rPr>
    </w:lvl>
    <w:lvl w:ilvl="7" w:tplc="040E0003" w:tentative="1">
      <w:start w:val="1"/>
      <w:numFmt w:val="bullet"/>
      <w:lvlText w:val="o"/>
      <w:lvlJc w:val="left"/>
      <w:pPr>
        <w:ind w:left="5759" w:hanging="360"/>
      </w:pPr>
      <w:rPr>
        <w:rFonts w:ascii="Courier New" w:hAnsi="Courier New" w:cs="Courier New" w:hint="default"/>
      </w:rPr>
    </w:lvl>
    <w:lvl w:ilvl="8" w:tplc="040E0005" w:tentative="1">
      <w:start w:val="1"/>
      <w:numFmt w:val="bullet"/>
      <w:lvlText w:val=""/>
      <w:lvlJc w:val="left"/>
      <w:pPr>
        <w:ind w:left="6479" w:hanging="360"/>
      </w:pPr>
      <w:rPr>
        <w:rFonts w:ascii="Wingdings" w:hAnsi="Wingdings" w:hint="default"/>
      </w:rPr>
    </w:lvl>
  </w:abstractNum>
  <w:abstractNum w:abstractNumId="26"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cs="Times New Roman"/>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27" w15:restartNumberingAfterBreak="0">
    <w:nsid w:val="5AAB1E16"/>
    <w:multiLevelType w:val="hybridMultilevel"/>
    <w:tmpl w:val="EDBABA20"/>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5BC00C90"/>
    <w:multiLevelType w:val="hybridMultilevel"/>
    <w:tmpl w:val="2440F8C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662855FA"/>
    <w:multiLevelType w:val="hybridMultilevel"/>
    <w:tmpl w:val="B9EABEB4"/>
    <w:lvl w:ilvl="0" w:tplc="FD321D42">
      <w:numFmt w:val="bullet"/>
      <w:lvlText w:val="-"/>
      <w:lvlJc w:val="left"/>
      <w:pPr>
        <w:ind w:left="720" w:hanging="360"/>
      </w:pPr>
      <w:rPr>
        <w:rFonts w:ascii="Times New Roman" w:eastAsia="Times New Roman" w:hAnsi="Times New Roman" w:cs="Times New Roman" w:hint="default"/>
        <w:color w:val="auto"/>
        <w:sz w:val="24"/>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66C02362"/>
    <w:multiLevelType w:val="multilevel"/>
    <w:tmpl w:val="25160E52"/>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ymbol" w:hAnsi="Symbol" w:hint="default"/>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1" w15:restartNumberingAfterBreak="0">
    <w:nsid w:val="6B3A5D4F"/>
    <w:multiLevelType w:val="hybridMultilevel"/>
    <w:tmpl w:val="60F4C940"/>
    <w:lvl w:ilvl="0" w:tplc="3D425FC0">
      <w:start w:val="1"/>
      <w:numFmt w:val="bullet"/>
      <w:lvlText w:val="-"/>
      <w:lvlJc w:val="left"/>
      <w:pPr>
        <w:ind w:left="720" w:hanging="360"/>
      </w:pPr>
      <w:rPr>
        <w:rFonts w:hint="default"/>
      </w:rPr>
    </w:lvl>
    <w:lvl w:ilvl="1" w:tplc="3D425FC0">
      <w:start w:val="1"/>
      <w:numFmt w:val="bullet"/>
      <w:lvlText w:val="-"/>
      <w:lvlJc w:val="left"/>
      <w:pPr>
        <w:ind w:left="1440" w:hanging="360"/>
      </w:pPr>
      <w:rPr>
        <w:rFonts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2" w15:restartNumberingAfterBreak="0">
    <w:nsid w:val="6C3E6052"/>
    <w:multiLevelType w:val="hybridMultilevel"/>
    <w:tmpl w:val="D7DE2120"/>
    <w:lvl w:ilvl="0" w:tplc="BB52AA78">
      <w:start w:val="1"/>
      <w:numFmt w:val="bullet"/>
      <w:lvlText w:val=""/>
      <w:lvlJc w:val="left"/>
      <w:pPr>
        <w:ind w:left="720" w:hanging="360"/>
      </w:pPr>
      <w:rPr>
        <w:rFonts w:ascii="Symbol" w:hAnsi="Symbol" w:hint="default"/>
      </w:rPr>
    </w:lvl>
    <w:lvl w:ilvl="1" w:tplc="6194F362" w:tentative="1">
      <w:start w:val="1"/>
      <w:numFmt w:val="bullet"/>
      <w:lvlText w:val="o"/>
      <w:lvlJc w:val="left"/>
      <w:pPr>
        <w:ind w:left="1440" w:hanging="360"/>
      </w:pPr>
      <w:rPr>
        <w:rFonts w:ascii="Courier New" w:hAnsi="Courier New" w:hint="default"/>
      </w:rPr>
    </w:lvl>
    <w:lvl w:ilvl="2" w:tplc="839439DA" w:tentative="1">
      <w:start w:val="1"/>
      <w:numFmt w:val="bullet"/>
      <w:lvlText w:val=""/>
      <w:lvlJc w:val="left"/>
      <w:pPr>
        <w:ind w:left="2160" w:hanging="360"/>
      </w:pPr>
      <w:rPr>
        <w:rFonts w:ascii="Wingdings" w:hAnsi="Wingdings" w:hint="default"/>
      </w:rPr>
    </w:lvl>
    <w:lvl w:ilvl="3" w:tplc="B352BF52" w:tentative="1">
      <w:start w:val="1"/>
      <w:numFmt w:val="bullet"/>
      <w:lvlText w:val=""/>
      <w:lvlJc w:val="left"/>
      <w:pPr>
        <w:ind w:left="2880" w:hanging="360"/>
      </w:pPr>
      <w:rPr>
        <w:rFonts w:ascii="Symbol" w:hAnsi="Symbol" w:hint="default"/>
      </w:rPr>
    </w:lvl>
    <w:lvl w:ilvl="4" w:tplc="6126443C" w:tentative="1">
      <w:start w:val="1"/>
      <w:numFmt w:val="bullet"/>
      <w:lvlText w:val="o"/>
      <w:lvlJc w:val="left"/>
      <w:pPr>
        <w:ind w:left="3600" w:hanging="360"/>
      </w:pPr>
      <w:rPr>
        <w:rFonts w:ascii="Courier New" w:hAnsi="Courier New" w:hint="default"/>
      </w:rPr>
    </w:lvl>
    <w:lvl w:ilvl="5" w:tplc="45B467BA" w:tentative="1">
      <w:start w:val="1"/>
      <w:numFmt w:val="bullet"/>
      <w:lvlText w:val=""/>
      <w:lvlJc w:val="left"/>
      <w:pPr>
        <w:ind w:left="4320" w:hanging="360"/>
      </w:pPr>
      <w:rPr>
        <w:rFonts w:ascii="Wingdings" w:hAnsi="Wingdings" w:hint="default"/>
      </w:rPr>
    </w:lvl>
    <w:lvl w:ilvl="6" w:tplc="AD1E0DB2" w:tentative="1">
      <w:start w:val="1"/>
      <w:numFmt w:val="bullet"/>
      <w:lvlText w:val=""/>
      <w:lvlJc w:val="left"/>
      <w:pPr>
        <w:ind w:left="5040" w:hanging="360"/>
      </w:pPr>
      <w:rPr>
        <w:rFonts w:ascii="Symbol" w:hAnsi="Symbol" w:hint="default"/>
      </w:rPr>
    </w:lvl>
    <w:lvl w:ilvl="7" w:tplc="A96AB06A" w:tentative="1">
      <w:start w:val="1"/>
      <w:numFmt w:val="bullet"/>
      <w:lvlText w:val="o"/>
      <w:lvlJc w:val="left"/>
      <w:pPr>
        <w:ind w:left="5760" w:hanging="360"/>
      </w:pPr>
      <w:rPr>
        <w:rFonts w:ascii="Courier New" w:hAnsi="Courier New" w:hint="default"/>
      </w:rPr>
    </w:lvl>
    <w:lvl w:ilvl="8" w:tplc="7E10C76A" w:tentative="1">
      <w:start w:val="1"/>
      <w:numFmt w:val="bullet"/>
      <w:lvlText w:val=""/>
      <w:lvlJc w:val="left"/>
      <w:pPr>
        <w:ind w:left="6480" w:hanging="360"/>
      </w:pPr>
      <w:rPr>
        <w:rFonts w:ascii="Wingdings" w:hAnsi="Wingdings" w:hint="default"/>
      </w:rPr>
    </w:lvl>
  </w:abstractNum>
  <w:abstractNum w:abstractNumId="33" w15:restartNumberingAfterBreak="0">
    <w:nsid w:val="6DFB0874"/>
    <w:multiLevelType w:val="hybridMultilevel"/>
    <w:tmpl w:val="DA5CA3F4"/>
    <w:lvl w:ilvl="0" w:tplc="9E76A184">
      <w:start w:val="1"/>
      <w:numFmt w:val="bullet"/>
      <w:lvlText w:val=""/>
      <w:lvlJc w:val="left"/>
      <w:pPr>
        <w:ind w:left="681" w:hanging="568"/>
      </w:pPr>
      <w:rPr>
        <w:rFonts w:ascii="Symbol" w:eastAsia="Symbol" w:hAnsi="Symbol" w:hint="default"/>
        <w:w w:val="99"/>
        <w:sz w:val="22"/>
        <w:szCs w:val="22"/>
      </w:rPr>
    </w:lvl>
    <w:lvl w:ilvl="1" w:tplc="9E76A184">
      <w:start w:val="1"/>
      <w:numFmt w:val="bullet"/>
      <w:lvlText w:val=""/>
      <w:lvlJc w:val="left"/>
      <w:pPr>
        <w:ind w:left="499" w:hanging="427"/>
      </w:pPr>
      <w:rPr>
        <w:rFonts w:ascii="Symbol" w:eastAsia="Symbol" w:hAnsi="Symbol" w:hint="default"/>
        <w:w w:val="99"/>
        <w:sz w:val="22"/>
        <w:szCs w:val="22"/>
      </w:rPr>
    </w:lvl>
    <w:lvl w:ilvl="2" w:tplc="D616B26C">
      <w:start w:val="1"/>
      <w:numFmt w:val="bullet"/>
      <w:lvlText w:val="•"/>
      <w:lvlJc w:val="left"/>
      <w:pPr>
        <w:ind w:left="1700" w:hanging="427"/>
      </w:pPr>
      <w:rPr>
        <w:rFonts w:hint="default"/>
      </w:rPr>
    </w:lvl>
    <w:lvl w:ilvl="3" w:tplc="6A662F1E">
      <w:start w:val="1"/>
      <w:numFmt w:val="bullet"/>
      <w:lvlText w:val="•"/>
      <w:lvlJc w:val="left"/>
      <w:pPr>
        <w:ind w:left="2718" w:hanging="427"/>
      </w:pPr>
      <w:rPr>
        <w:rFonts w:hint="default"/>
      </w:rPr>
    </w:lvl>
    <w:lvl w:ilvl="4" w:tplc="1E7E4B7C">
      <w:start w:val="1"/>
      <w:numFmt w:val="bullet"/>
      <w:lvlText w:val="•"/>
      <w:lvlJc w:val="left"/>
      <w:pPr>
        <w:ind w:left="3737" w:hanging="427"/>
      </w:pPr>
      <w:rPr>
        <w:rFonts w:hint="default"/>
      </w:rPr>
    </w:lvl>
    <w:lvl w:ilvl="5" w:tplc="4D1A7028">
      <w:start w:val="1"/>
      <w:numFmt w:val="bullet"/>
      <w:lvlText w:val="•"/>
      <w:lvlJc w:val="left"/>
      <w:pPr>
        <w:ind w:left="4755" w:hanging="427"/>
      </w:pPr>
      <w:rPr>
        <w:rFonts w:hint="default"/>
      </w:rPr>
    </w:lvl>
    <w:lvl w:ilvl="6" w:tplc="330CBF5E">
      <w:start w:val="1"/>
      <w:numFmt w:val="bullet"/>
      <w:lvlText w:val="•"/>
      <w:lvlJc w:val="left"/>
      <w:pPr>
        <w:ind w:left="5773" w:hanging="427"/>
      </w:pPr>
      <w:rPr>
        <w:rFonts w:hint="default"/>
      </w:rPr>
    </w:lvl>
    <w:lvl w:ilvl="7" w:tplc="28DAC056">
      <w:start w:val="1"/>
      <w:numFmt w:val="bullet"/>
      <w:lvlText w:val="•"/>
      <w:lvlJc w:val="left"/>
      <w:pPr>
        <w:ind w:left="6792" w:hanging="427"/>
      </w:pPr>
      <w:rPr>
        <w:rFonts w:hint="default"/>
      </w:rPr>
    </w:lvl>
    <w:lvl w:ilvl="8" w:tplc="3C223D1A">
      <w:start w:val="1"/>
      <w:numFmt w:val="bullet"/>
      <w:lvlText w:val="•"/>
      <w:lvlJc w:val="left"/>
      <w:pPr>
        <w:ind w:left="7810" w:hanging="427"/>
      </w:pPr>
      <w:rPr>
        <w:rFonts w:hint="default"/>
      </w:rPr>
    </w:lvl>
  </w:abstractNum>
  <w:abstractNum w:abstractNumId="34" w15:restartNumberingAfterBreak="0">
    <w:nsid w:val="7030258C"/>
    <w:multiLevelType w:val="hybridMultilevel"/>
    <w:tmpl w:val="54407EC4"/>
    <w:lvl w:ilvl="0" w:tplc="FFFFFFFF">
      <w:start w:val="1"/>
      <w:numFmt w:val="bullet"/>
      <w:lvlText w:val="-"/>
      <w:lvlJc w:val="left"/>
      <w:pPr>
        <w:ind w:left="719" w:hanging="360"/>
      </w:pPr>
    </w:lvl>
    <w:lvl w:ilvl="1" w:tplc="040E0003">
      <w:start w:val="1"/>
      <w:numFmt w:val="bullet"/>
      <w:lvlText w:val="o"/>
      <w:lvlJc w:val="left"/>
      <w:pPr>
        <w:ind w:left="1439" w:hanging="360"/>
      </w:pPr>
      <w:rPr>
        <w:rFonts w:ascii="Courier New" w:hAnsi="Courier New" w:cs="Courier New" w:hint="default"/>
      </w:rPr>
    </w:lvl>
    <w:lvl w:ilvl="2" w:tplc="040E0005">
      <w:start w:val="1"/>
      <w:numFmt w:val="bullet"/>
      <w:lvlText w:val=""/>
      <w:lvlJc w:val="left"/>
      <w:pPr>
        <w:ind w:left="2159" w:hanging="360"/>
      </w:pPr>
      <w:rPr>
        <w:rFonts w:ascii="Wingdings" w:hAnsi="Wingdings" w:hint="default"/>
      </w:rPr>
    </w:lvl>
    <w:lvl w:ilvl="3" w:tplc="040E0001">
      <w:start w:val="1"/>
      <w:numFmt w:val="bullet"/>
      <w:lvlText w:val=""/>
      <w:lvlJc w:val="left"/>
      <w:pPr>
        <w:ind w:left="2879" w:hanging="360"/>
      </w:pPr>
      <w:rPr>
        <w:rFonts w:ascii="Symbol" w:hAnsi="Symbol" w:hint="default"/>
      </w:rPr>
    </w:lvl>
    <w:lvl w:ilvl="4" w:tplc="040E0003">
      <w:start w:val="1"/>
      <w:numFmt w:val="bullet"/>
      <w:lvlText w:val="o"/>
      <w:lvlJc w:val="left"/>
      <w:pPr>
        <w:ind w:left="3599" w:hanging="360"/>
      </w:pPr>
      <w:rPr>
        <w:rFonts w:ascii="Courier New" w:hAnsi="Courier New" w:cs="Courier New" w:hint="default"/>
      </w:rPr>
    </w:lvl>
    <w:lvl w:ilvl="5" w:tplc="040E0005">
      <w:start w:val="1"/>
      <w:numFmt w:val="bullet"/>
      <w:lvlText w:val=""/>
      <w:lvlJc w:val="left"/>
      <w:pPr>
        <w:ind w:left="4319" w:hanging="360"/>
      </w:pPr>
      <w:rPr>
        <w:rFonts w:ascii="Wingdings" w:hAnsi="Wingdings" w:hint="default"/>
      </w:rPr>
    </w:lvl>
    <w:lvl w:ilvl="6" w:tplc="040E0001">
      <w:start w:val="1"/>
      <w:numFmt w:val="bullet"/>
      <w:lvlText w:val=""/>
      <w:lvlJc w:val="left"/>
      <w:pPr>
        <w:ind w:left="5039" w:hanging="360"/>
      </w:pPr>
      <w:rPr>
        <w:rFonts w:ascii="Symbol" w:hAnsi="Symbol" w:hint="default"/>
      </w:rPr>
    </w:lvl>
    <w:lvl w:ilvl="7" w:tplc="040E0003">
      <w:start w:val="1"/>
      <w:numFmt w:val="bullet"/>
      <w:lvlText w:val="o"/>
      <w:lvlJc w:val="left"/>
      <w:pPr>
        <w:ind w:left="5759" w:hanging="360"/>
      </w:pPr>
      <w:rPr>
        <w:rFonts w:ascii="Courier New" w:hAnsi="Courier New" w:cs="Courier New" w:hint="default"/>
      </w:rPr>
    </w:lvl>
    <w:lvl w:ilvl="8" w:tplc="040E0005">
      <w:start w:val="1"/>
      <w:numFmt w:val="bullet"/>
      <w:lvlText w:val=""/>
      <w:lvlJc w:val="left"/>
      <w:pPr>
        <w:ind w:left="6479" w:hanging="360"/>
      </w:pPr>
      <w:rPr>
        <w:rFonts w:ascii="Wingdings" w:hAnsi="Wingdings" w:hint="default"/>
      </w:rPr>
    </w:lvl>
  </w:abstractNum>
  <w:abstractNum w:abstractNumId="35" w15:restartNumberingAfterBreak="0">
    <w:nsid w:val="70AB133B"/>
    <w:multiLevelType w:val="hybridMultilevel"/>
    <w:tmpl w:val="DD00E58E"/>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6" w15:restartNumberingAfterBreak="0">
    <w:nsid w:val="76F262B5"/>
    <w:multiLevelType w:val="hybridMultilevel"/>
    <w:tmpl w:val="E9002AE6"/>
    <w:lvl w:ilvl="0" w:tplc="FFFFFFFF">
      <w:start w:val="1"/>
      <w:numFmt w:val="bullet"/>
      <w:lvlText w:val="-"/>
      <w:lvlJc w:val="left"/>
      <w:pPr>
        <w:ind w:left="776" w:hanging="360"/>
      </w:pPr>
    </w:lvl>
    <w:lvl w:ilvl="1" w:tplc="040E0003" w:tentative="1">
      <w:start w:val="1"/>
      <w:numFmt w:val="bullet"/>
      <w:lvlText w:val="o"/>
      <w:lvlJc w:val="left"/>
      <w:pPr>
        <w:ind w:left="1496" w:hanging="360"/>
      </w:pPr>
      <w:rPr>
        <w:rFonts w:ascii="Courier New" w:hAnsi="Courier New" w:cs="Courier New" w:hint="default"/>
      </w:rPr>
    </w:lvl>
    <w:lvl w:ilvl="2" w:tplc="040E0005" w:tentative="1">
      <w:start w:val="1"/>
      <w:numFmt w:val="bullet"/>
      <w:lvlText w:val=""/>
      <w:lvlJc w:val="left"/>
      <w:pPr>
        <w:ind w:left="2216" w:hanging="360"/>
      </w:pPr>
      <w:rPr>
        <w:rFonts w:ascii="Wingdings" w:hAnsi="Wingdings" w:hint="default"/>
      </w:rPr>
    </w:lvl>
    <w:lvl w:ilvl="3" w:tplc="040E0001" w:tentative="1">
      <w:start w:val="1"/>
      <w:numFmt w:val="bullet"/>
      <w:lvlText w:val=""/>
      <w:lvlJc w:val="left"/>
      <w:pPr>
        <w:ind w:left="2936" w:hanging="360"/>
      </w:pPr>
      <w:rPr>
        <w:rFonts w:ascii="Symbol" w:hAnsi="Symbol" w:hint="default"/>
      </w:rPr>
    </w:lvl>
    <w:lvl w:ilvl="4" w:tplc="040E0003" w:tentative="1">
      <w:start w:val="1"/>
      <w:numFmt w:val="bullet"/>
      <w:lvlText w:val="o"/>
      <w:lvlJc w:val="left"/>
      <w:pPr>
        <w:ind w:left="3656" w:hanging="360"/>
      </w:pPr>
      <w:rPr>
        <w:rFonts w:ascii="Courier New" w:hAnsi="Courier New" w:cs="Courier New" w:hint="default"/>
      </w:rPr>
    </w:lvl>
    <w:lvl w:ilvl="5" w:tplc="040E0005" w:tentative="1">
      <w:start w:val="1"/>
      <w:numFmt w:val="bullet"/>
      <w:lvlText w:val=""/>
      <w:lvlJc w:val="left"/>
      <w:pPr>
        <w:ind w:left="4376" w:hanging="360"/>
      </w:pPr>
      <w:rPr>
        <w:rFonts w:ascii="Wingdings" w:hAnsi="Wingdings" w:hint="default"/>
      </w:rPr>
    </w:lvl>
    <w:lvl w:ilvl="6" w:tplc="040E0001" w:tentative="1">
      <w:start w:val="1"/>
      <w:numFmt w:val="bullet"/>
      <w:lvlText w:val=""/>
      <w:lvlJc w:val="left"/>
      <w:pPr>
        <w:ind w:left="5096" w:hanging="360"/>
      </w:pPr>
      <w:rPr>
        <w:rFonts w:ascii="Symbol" w:hAnsi="Symbol" w:hint="default"/>
      </w:rPr>
    </w:lvl>
    <w:lvl w:ilvl="7" w:tplc="040E0003" w:tentative="1">
      <w:start w:val="1"/>
      <w:numFmt w:val="bullet"/>
      <w:lvlText w:val="o"/>
      <w:lvlJc w:val="left"/>
      <w:pPr>
        <w:ind w:left="5816" w:hanging="360"/>
      </w:pPr>
      <w:rPr>
        <w:rFonts w:ascii="Courier New" w:hAnsi="Courier New" w:cs="Courier New" w:hint="default"/>
      </w:rPr>
    </w:lvl>
    <w:lvl w:ilvl="8" w:tplc="040E0005" w:tentative="1">
      <w:start w:val="1"/>
      <w:numFmt w:val="bullet"/>
      <w:lvlText w:val=""/>
      <w:lvlJc w:val="left"/>
      <w:pPr>
        <w:ind w:left="6536" w:hanging="360"/>
      </w:pPr>
      <w:rPr>
        <w:rFonts w:ascii="Wingdings" w:hAnsi="Wingdings" w:hint="default"/>
      </w:rPr>
    </w:lvl>
  </w:abstractNum>
  <w:abstractNum w:abstractNumId="37" w15:restartNumberingAfterBreak="0">
    <w:nsid w:val="7B652975"/>
    <w:multiLevelType w:val="hybridMultilevel"/>
    <w:tmpl w:val="2CD40B70"/>
    <w:lvl w:ilvl="0" w:tplc="01DCBFA4">
      <w:start w:val="1"/>
      <w:numFmt w:val="bullet"/>
      <w:lvlText w:val="-"/>
      <w:lvlJc w:val="left"/>
      <w:pPr>
        <w:ind w:left="1287" w:hanging="360"/>
      </w:pPr>
      <w:rPr>
        <w:rFonts w:ascii="Times New Roman" w:hAnsi="Times New Roman" w:cs="Times New Roman" w:hint="default"/>
      </w:rPr>
    </w:lvl>
    <w:lvl w:ilvl="1" w:tplc="040E0003" w:tentative="1">
      <w:start w:val="1"/>
      <w:numFmt w:val="bullet"/>
      <w:lvlText w:val="o"/>
      <w:lvlJc w:val="left"/>
      <w:pPr>
        <w:ind w:left="2007" w:hanging="360"/>
      </w:pPr>
      <w:rPr>
        <w:rFonts w:ascii="Courier New" w:hAnsi="Courier New" w:cs="Courier New" w:hint="default"/>
      </w:rPr>
    </w:lvl>
    <w:lvl w:ilvl="2" w:tplc="040E0005" w:tentative="1">
      <w:start w:val="1"/>
      <w:numFmt w:val="bullet"/>
      <w:lvlText w:val=""/>
      <w:lvlJc w:val="left"/>
      <w:pPr>
        <w:ind w:left="2727" w:hanging="360"/>
      </w:pPr>
      <w:rPr>
        <w:rFonts w:ascii="Wingdings" w:hAnsi="Wingdings" w:hint="default"/>
      </w:rPr>
    </w:lvl>
    <w:lvl w:ilvl="3" w:tplc="040E0001" w:tentative="1">
      <w:start w:val="1"/>
      <w:numFmt w:val="bullet"/>
      <w:lvlText w:val=""/>
      <w:lvlJc w:val="left"/>
      <w:pPr>
        <w:ind w:left="3447" w:hanging="360"/>
      </w:pPr>
      <w:rPr>
        <w:rFonts w:ascii="Symbol" w:hAnsi="Symbol" w:hint="default"/>
      </w:rPr>
    </w:lvl>
    <w:lvl w:ilvl="4" w:tplc="040E0003" w:tentative="1">
      <w:start w:val="1"/>
      <w:numFmt w:val="bullet"/>
      <w:lvlText w:val="o"/>
      <w:lvlJc w:val="left"/>
      <w:pPr>
        <w:ind w:left="4167" w:hanging="360"/>
      </w:pPr>
      <w:rPr>
        <w:rFonts w:ascii="Courier New" w:hAnsi="Courier New" w:cs="Courier New" w:hint="default"/>
      </w:rPr>
    </w:lvl>
    <w:lvl w:ilvl="5" w:tplc="040E0005" w:tentative="1">
      <w:start w:val="1"/>
      <w:numFmt w:val="bullet"/>
      <w:lvlText w:val=""/>
      <w:lvlJc w:val="left"/>
      <w:pPr>
        <w:ind w:left="4887" w:hanging="360"/>
      </w:pPr>
      <w:rPr>
        <w:rFonts w:ascii="Wingdings" w:hAnsi="Wingdings" w:hint="default"/>
      </w:rPr>
    </w:lvl>
    <w:lvl w:ilvl="6" w:tplc="040E0001" w:tentative="1">
      <w:start w:val="1"/>
      <w:numFmt w:val="bullet"/>
      <w:lvlText w:val=""/>
      <w:lvlJc w:val="left"/>
      <w:pPr>
        <w:ind w:left="5607" w:hanging="360"/>
      </w:pPr>
      <w:rPr>
        <w:rFonts w:ascii="Symbol" w:hAnsi="Symbol" w:hint="default"/>
      </w:rPr>
    </w:lvl>
    <w:lvl w:ilvl="7" w:tplc="040E0003" w:tentative="1">
      <w:start w:val="1"/>
      <w:numFmt w:val="bullet"/>
      <w:lvlText w:val="o"/>
      <w:lvlJc w:val="left"/>
      <w:pPr>
        <w:ind w:left="6327" w:hanging="360"/>
      </w:pPr>
      <w:rPr>
        <w:rFonts w:ascii="Courier New" w:hAnsi="Courier New" w:cs="Courier New" w:hint="default"/>
      </w:rPr>
    </w:lvl>
    <w:lvl w:ilvl="8" w:tplc="040E0005" w:tentative="1">
      <w:start w:val="1"/>
      <w:numFmt w:val="bullet"/>
      <w:lvlText w:val=""/>
      <w:lvlJc w:val="left"/>
      <w:pPr>
        <w:ind w:left="7047" w:hanging="360"/>
      </w:pPr>
      <w:rPr>
        <w:rFonts w:ascii="Wingdings" w:hAnsi="Wingdings" w:hint="default"/>
      </w:rPr>
    </w:lvl>
  </w:abstractNum>
  <w:abstractNum w:abstractNumId="38" w15:restartNumberingAfterBreak="0">
    <w:nsid w:val="7DF45702"/>
    <w:multiLevelType w:val="hybridMultilevel"/>
    <w:tmpl w:val="4D5C1742"/>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2"/>
  </w:num>
  <w:num w:numId="6">
    <w:abstractNumId w:val="29"/>
  </w:num>
  <w:num w:numId="7">
    <w:abstractNumId w:val="13"/>
  </w:num>
  <w:num w:numId="8">
    <w:abstractNumId w:val="4"/>
  </w:num>
  <w:num w:numId="9">
    <w:abstractNumId w:val="31"/>
  </w:num>
  <w:num w:numId="10">
    <w:abstractNumId w:val="24"/>
  </w:num>
  <w:num w:numId="11">
    <w:abstractNumId w:val="25"/>
  </w:num>
  <w:num w:numId="12">
    <w:abstractNumId w:val="14"/>
  </w:num>
  <w:num w:numId="13">
    <w:abstractNumId w:val="16"/>
  </w:num>
  <w:num w:numId="14">
    <w:abstractNumId w:val="19"/>
  </w:num>
  <w:num w:numId="15">
    <w:abstractNumId w:val="33"/>
  </w:num>
  <w:num w:numId="16">
    <w:abstractNumId w:val="10"/>
  </w:num>
  <w:num w:numId="17">
    <w:abstractNumId w:val="23"/>
  </w:num>
  <w:num w:numId="18">
    <w:abstractNumId w:val="36"/>
  </w:num>
  <w:num w:numId="19">
    <w:abstractNumId w:val="21"/>
  </w:num>
  <w:num w:numId="20">
    <w:abstractNumId w:val="30"/>
  </w:num>
  <w:num w:numId="21">
    <w:abstractNumId w:val="7"/>
  </w:num>
  <w:num w:numId="22">
    <w:abstractNumId w:val="35"/>
  </w:num>
  <w:num w:numId="23">
    <w:abstractNumId w:val="15"/>
  </w:num>
  <w:num w:numId="2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num>
  <w:num w:numId="31">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17"/>
  </w:num>
  <w:num w:numId="35">
    <w:abstractNumId w:val="5"/>
  </w:num>
  <w:num w:numId="36">
    <w:abstractNumId w:val="27"/>
  </w:num>
  <w:num w:numId="37">
    <w:abstractNumId w:val="38"/>
  </w:num>
  <w:num w:numId="38">
    <w:abstractNumId w:val="32"/>
  </w:num>
  <w:num w:numId="39">
    <w:abstractNumId w:val="11"/>
  </w:num>
  <w:num w:numId="40">
    <w:abstractNumId w:val="18"/>
  </w:num>
  <w:num w:numId="41">
    <w:abstractNumId w:val="9"/>
  </w:num>
  <w:num w:numId="42">
    <w:abstractNumId w:val="37"/>
  </w:num>
  <w:num w:numId="43">
    <w:abstractNumId w:val="22"/>
  </w:num>
  <w:num w:numId="44">
    <w:abstractNumId w:val="8"/>
  </w:num>
  <w:num w:numId="45">
    <w:abstractNumId w:val="6"/>
  </w:num>
  <w:num w:numId="46">
    <w:abstractNumId w:val="20"/>
  </w:num>
  <w:num w:numId="4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131078" w:nlCheck="1" w:checkStyle="0"/>
  <w:activeWritingStyle w:appName="MSWord" w:lang="en-GB" w:vendorID="64" w:dllVersion="131078" w:nlCheck="1" w:checkStyle="1"/>
  <w:activeWritingStyle w:appName="MSWord" w:lang="en-US" w:vendorID="64" w:dllVersion="131078" w:nlCheck="1" w:checkStyle="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F0F"/>
    <w:rsid w:val="00072FB5"/>
    <w:rsid w:val="00224F0F"/>
    <w:rsid w:val="002C6FA3"/>
    <w:rsid w:val="00332B5A"/>
    <w:rsid w:val="00485CCD"/>
    <w:rsid w:val="00526E29"/>
    <w:rsid w:val="006A0BAE"/>
    <w:rsid w:val="00764E87"/>
    <w:rsid w:val="00773611"/>
    <w:rsid w:val="007A54A5"/>
    <w:rsid w:val="00A54C3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D3CF85FD-D10D-4EFF-8800-AE1B6FB45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tabs>
        <w:tab w:val="left" w:pos="567"/>
      </w:tabs>
      <w:spacing w:after="0" w:line="260" w:lineRule="exact"/>
    </w:pPr>
    <w:rPr>
      <w:rFonts w:ascii="Times New Roman" w:eastAsia="SimSun" w:hAnsi="Times New Roman" w:cs="Times New Roman"/>
      <w:lang w:val="en-GB"/>
    </w:rPr>
  </w:style>
  <w:style w:type="paragraph" w:styleId="Cmsor1">
    <w:name w:val="heading 1"/>
    <w:basedOn w:val="Norml"/>
    <w:next w:val="Norml"/>
    <w:link w:val="Cmsor1Char"/>
    <w:qFormat/>
    <w:pPr>
      <w:numPr>
        <w:numId w:val="8"/>
      </w:numPr>
      <w:tabs>
        <w:tab w:val="clear" w:pos="567"/>
      </w:tabs>
      <w:suppressAutoHyphens/>
      <w:spacing w:before="240" w:after="120"/>
      <w:outlineLvl w:val="0"/>
    </w:pPr>
    <w:rPr>
      <w:b/>
      <w:caps/>
      <w:sz w:val="26"/>
      <w:szCs w:val="20"/>
      <w:lang w:val="en-US"/>
    </w:rPr>
  </w:style>
  <w:style w:type="paragraph" w:styleId="Cmsor2">
    <w:name w:val="heading 2"/>
    <w:basedOn w:val="Norml"/>
    <w:next w:val="Norml"/>
    <w:link w:val="Cmsor2Char"/>
    <w:qFormat/>
    <w:pPr>
      <w:keepNext/>
      <w:numPr>
        <w:ilvl w:val="1"/>
        <w:numId w:val="8"/>
      </w:numPr>
      <w:tabs>
        <w:tab w:val="clear" w:pos="567"/>
      </w:tabs>
      <w:suppressAutoHyphens/>
      <w:spacing w:before="240" w:after="60"/>
      <w:outlineLvl w:val="1"/>
    </w:pPr>
    <w:rPr>
      <w:rFonts w:ascii="Helvetica" w:hAnsi="Helvetica"/>
      <w:b/>
      <w:i/>
      <w:sz w:val="24"/>
      <w:szCs w:val="20"/>
      <w:lang w:val="hu-HU"/>
    </w:rPr>
  </w:style>
  <w:style w:type="paragraph" w:styleId="Cmsor3">
    <w:name w:val="heading 3"/>
    <w:basedOn w:val="Norml"/>
    <w:next w:val="Norml"/>
    <w:link w:val="Cmsor3Char"/>
    <w:qFormat/>
    <w:pPr>
      <w:keepNext/>
      <w:keepLines/>
      <w:numPr>
        <w:ilvl w:val="2"/>
        <w:numId w:val="8"/>
      </w:numPr>
      <w:tabs>
        <w:tab w:val="clear" w:pos="567"/>
      </w:tabs>
      <w:suppressAutoHyphens/>
      <w:spacing w:before="120" w:after="80"/>
      <w:outlineLvl w:val="2"/>
    </w:pPr>
    <w:rPr>
      <w:b/>
      <w:kern w:val="1"/>
      <w:sz w:val="24"/>
      <w:szCs w:val="20"/>
      <w:lang w:val="en-US"/>
    </w:rPr>
  </w:style>
  <w:style w:type="paragraph" w:styleId="Cmsor4">
    <w:name w:val="heading 4"/>
    <w:basedOn w:val="Norml"/>
    <w:next w:val="Norml"/>
    <w:link w:val="Cmsor4Char"/>
    <w:qFormat/>
    <w:pPr>
      <w:keepNext/>
      <w:numPr>
        <w:ilvl w:val="3"/>
        <w:numId w:val="8"/>
      </w:numPr>
      <w:tabs>
        <w:tab w:val="clear" w:pos="567"/>
      </w:tabs>
      <w:suppressAutoHyphens/>
      <w:jc w:val="both"/>
      <w:outlineLvl w:val="3"/>
    </w:pPr>
    <w:rPr>
      <w:b/>
      <w:szCs w:val="20"/>
    </w:rPr>
  </w:style>
  <w:style w:type="paragraph" w:styleId="Cmsor5">
    <w:name w:val="heading 5"/>
    <w:basedOn w:val="Norml"/>
    <w:next w:val="Norml"/>
    <w:link w:val="Cmsor5Char"/>
    <w:qFormat/>
    <w:pPr>
      <w:keepNext/>
      <w:numPr>
        <w:ilvl w:val="4"/>
        <w:numId w:val="8"/>
      </w:numPr>
      <w:tabs>
        <w:tab w:val="clear" w:pos="567"/>
      </w:tabs>
      <w:suppressAutoHyphens/>
      <w:jc w:val="both"/>
      <w:outlineLvl w:val="4"/>
    </w:pPr>
    <w:rPr>
      <w:szCs w:val="20"/>
    </w:rPr>
  </w:style>
  <w:style w:type="paragraph" w:styleId="Cmsor6">
    <w:name w:val="heading 6"/>
    <w:basedOn w:val="Norml"/>
    <w:next w:val="Norml"/>
    <w:link w:val="Cmsor6Char"/>
    <w:qFormat/>
    <w:pPr>
      <w:keepNext/>
      <w:numPr>
        <w:ilvl w:val="5"/>
        <w:numId w:val="8"/>
      </w:numPr>
      <w:tabs>
        <w:tab w:val="left" w:pos="4536"/>
      </w:tabs>
      <w:suppressAutoHyphens/>
      <w:outlineLvl w:val="5"/>
    </w:pPr>
    <w:rPr>
      <w:i/>
      <w:szCs w:val="20"/>
      <w:lang w:val="hu-HU"/>
    </w:rPr>
  </w:style>
  <w:style w:type="paragraph" w:styleId="Cmsor7">
    <w:name w:val="heading 7"/>
    <w:basedOn w:val="Norml"/>
    <w:next w:val="Norml"/>
    <w:link w:val="Cmsor7Char"/>
    <w:qFormat/>
    <w:pPr>
      <w:keepNext/>
      <w:numPr>
        <w:ilvl w:val="6"/>
        <w:numId w:val="8"/>
      </w:numPr>
      <w:tabs>
        <w:tab w:val="left" w:pos="4536"/>
      </w:tabs>
      <w:suppressAutoHyphens/>
      <w:jc w:val="both"/>
      <w:outlineLvl w:val="6"/>
    </w:pPr>
    <w:rPr>
      <w:i/>
      <w:szCs w:val="20"/>
      <w:lang w:val="hu-HU"/>
    </w:rPr>
  </w:style>
  <w:style w:type="paragraph" w:styleId="Cmsor8">
    <w:name w:val="heading 8"/>
    <w:basedOn w:val="Norml"/>
    <w:next w:val="Norml"/>
    <w:link w:val="Cmsor8Char"/>
    <w:qFormat/>
    <w:pPr>
      <w:keepNext/>
      <w:numPr>
        <w:ilvl w:val="7"/>
        <w:numId w:val="8"/>
      </w:numPr>
      <w:tabs>
        <w:tab w:val="clear" w:pos="567"/>
      </w:tabs>
      <w:suppressAutoHyphens/>
      <w:jc w:val="both"/>
      <w:outlineLvl w:val="7"/>
    </w:pPr>
    <w:rPr>
      <w:b/>
      <w:i/>
      <w:szCs w:val="20"/>
      <w:lang w:val="hu-HU"/>
    </w:rPr>
  </w:style>
  <w:style w:type="paragraph" w:styleId="Cmsor9">
    <w:name w:val="heading 9"/>
    <w:basedOn w:val="Norml"/>
    <w:next w:val="Norml"/>
    <w:link w:val="Cmsor9Char"/>
    <w:qFormat/>
    <w:pPr>
      <w:keepNext/>
      <w:numPr>
        <w:ilvl w:val="8"/>
        <w:numId w:val="8"/>
      </w:numPr>
      <w:tabs>
        <w:tab w:val="clear" w:pos="567"/>
      </w:tabs>
      <w:suppressAutoHyphens/>
      <w:jc w:val="both"/>
      <w:outlineLvl w:val="8"/>
    </w:pPr>
    <w:rPr>
      <w:b/>
      <w:i/>
      <w:szCs w:val="20"/>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Pr>
      <w:rFonts w:ascii="Times New Roman" w:eastAsia="SimSun" w:hAnsi="Times New Roman" w:cs="Times New Roman"/>
      <w:b/>
      <w:caps/>
      <w:sz w:val="26"/>
      <w:szCs w:val="20"/>
      <w:lang w:val="en-US"/>
    </w:rPr>
  </w:style>
  <w:style w:type="character" w:customStyle="1" w:styleId="Cmsor2Char">
    <w:name w:val="Címsor 2 Char"/>
    <w:basedOn w:val="Bekezdsalapbettpusa"/>
    <w:link w:val="Cmsor2"/>
    <w:rPr>
      <w:rFonts w:ascii="Helvetica" w:eastAsia="SimSun" w:hAnsi="Helvetica" w:cs="Times New Roman"/>
      <w:b/>
      <w:i/>
      <w:sz w:val="24"/>
      <w:szCs w:val="20"/>
    </w:rPr>
  </w:style>
  <w:style w:type="character" w:customStyle="1" w:styleId="Cmsor3Char">
    <w:name w:val="Címsor 3 Char"/>
    <w:basedOn w:val="Bekezdsalapbettpusa"/>
    <w:link w:val="Cmsor3"/>
    <w:rPr>
      <w:rFonts w:ascii="Times New Roman" w:eastAsia="SimSun" w:hAnsi="Times New Roman" w:cs="Times New Roman"/>
      <w:b/>
      <w:kern w:val="1"/>
      <w:sz w:val="24"/>
      <w:szCs w:val="20"/>
      <w:lang w:val="en-US"/>
    </w:rPr>
  </w:style>
  <w:style w:type="character" w:customStyle="1" w:styleId="Cmsor4Char">
    <w:name w:val="Címsor 4 Char"/>
    <w:basedOn w:val="Bekezdsalapbettpusa"/>
    <w:link w:val="Cmsor4"/>
    <w:rPr>
      <w:rFonts w:ascii="Times New Roman" w:eastAsia="SimSun" w:hAnsi="Times New Roman" w:cs="Times New Roman"/>
      <w:b/>
      <w:szCs w:val="20"/>
      <w:lang w:val="en-GB"/>
    </w:rPr>
  </w:style>
  <w:style w:type="character" w:customStyle="1" w:styleId="Cmsor5Char">
    <w:name w:val="Címsor 5 Char"/>
    <w:basedOn w:val="Bekezdsalapbettpusa"/>
    <w:link w:val="Cmsor5"/>
    <w:rPr>
      <w:rFonts w:ascii="Times New Roman" w:eastAsia="SimSun" w:hAnsi="Times New Roman" w:cs="Times New Roman"/>
      <w:szCs w:val="20"/>
      <w:lang w:val="en-GB"/>
    </w:rPr>
  </w:style>
  <w:style w:type="character" w:customStyle="1" w:styleId="Cmsor6Char">
    <w:name w:val="Címsor 6 Char"/>
    <w:basedOn w:val="Bekezdsalapbettpusa"/>
    <w:link w:val="Cmsor6"/>
    <w:rPr>
      <w:rFonts w:ascii="Times New Roman" w:eastAsia="SimSun" w:hAnsi="Times New Roman" w:cs="Times New Roman"/>
      <w:i/>
      <w:szCs w:val="20"/>
    </w:rPr>
  </w:style>
  <w:style w:type="character" w:customStyle="1" w:styleId="Cmsor7Char">
    <w:name w:val="Címsor 7 Char"/>
    <w:basedOn w:val="Bekezdsalapbettpusa"/>
    <w:link w:val="Cmsor7"/>
    <w:rPr>
      <w:rFonts w:ascii="Times New Roman" w:eastAsia="SimSun" w:hAnsi="Times New Roman" w:cs="Times New Roman"/>
      <w:i/>
      <w:szCs w:val="20"/>
    </w:rPr>
  </w:style>
  <w:style w:type="character" w:customStyle="1" w:styleId="Cmsor8Char">
    <w:name w:val="Címsor 8 Char"/>
    <w:basedOn w:val="Bekezdsalapbettpusa"/>
    <w:link w:val="Cmsor8"/>
    <w:rPr>
      <w:rFonts w:ascii="Times New Roman" w:eastAsia="SimSun" w:hAnsi="Times New Roman" w:cs="Times New Roman"/>
      <w:b/>
      <w:i/>
      <w:szCs w:val="20"/>
    </w:rPr>
  </w:style>
  <w:style w:type="character" w:customStyle="1" w:styleId="Cmsor9Char">
    <w:name w:val="Címsor 9 Char"/>
    <w:basedOn w:val="Bekezdsalapbettpusa"/>
    <w:link w:val="Cmsor9"/>
    <w:rPr>
      <w:rFonts w:ascii="Times New Roman" w:eastAsia="SimSun" w:hAnsi="Times New Roman" w:cs="Times New Roman"/>
      <w:b/>
      <w:i/>
      <w:szCs w:val="20"/>
    </w:rPr>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pPr>
      <w:tabs>
        <w:tab w:val="center" w:pos="4153"/>
        <w:tab w:val="right" w:pos="8306"/>
      </w:tabs>
    </w:pPr>
    <w:rPr>
      <w:lang w:eastAsia="hu-HU"/>
    </w:rPr>
  </w:style>
  <w:style w:type="character" w:customStyle="1" w:styleId="lfejChar">
    <w:name w:val="Élőfej Char"/>
    <w:link w:val="lfej1"/>
    <w:uiPriority w:val="99"/>
    <w:locked/>
    <w:rPr>
      <w:rFonts w:ascii="Times New Roman" w:eastAsia="SimSun" w:hAnsi="Times New Roman" w:cs="Times New Roman"/>
      <w:lang w:val="en-GB" w:eastAsia="hu-HU"/>
    </w:rPr>
  </w:style>
  <w:style w:type="character" w:customStyle="1" w:styleId="Oldalszm1">
    <w:name w:val="Oldalszám1"/>
    <w:basedOn w:val="Bekezdsalapbettpusa"/>
    <w:uiPriority w:val="99"/>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Pr>
      <w:rFonts w:ascii="Times New Roman" w:eastAsia="SimSun" w:hAnsi="Times New Roman" w:cs="Times New Roman"/>
      <w:lang w:val="en-GB" w:eastAsia="hu-HU"/>
    </w:rPr>
  </w:style>
  <w:style w:type="paragraph" w:customStyle="1" w:styleId="EMEAEnBodyText">
    <w:name w:val="EMEA En Body Text"/>
    <w:basedOn w:val="Norml"/>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pPr>
      <w:tabs>
        <w:tab w:val="clear" w:pos="567"/>
      </w:tabs>
      <w:spacing w:line="280" w:lineRule="exact"/>
    </w:pPr>
    <w:rPr>
      <w:rFonts w:ascii="Verdana" w:hAnsi="Verdana" w:cs="Verdana"/>
      <w:sz w:val="18"/>
      <w:szCs w:val="18"/>
    </w:rPr>
  </w:style>
  <w:style w:type="character" w:customStyle="1" w:styleId="tw4winMark">
    <w:name w:val="tw4winMark"/>
    <w:uiPriority w:val="99"/>
    <w:rPr>
      <w:rFonts w:ascii="Courier New" w:hAnsi="Courier New" w:cs="Courier New"/>
      <w:vanish/>
      <w:color w:val="800080"/>
      <w:sz w:val="24"/>
      <w:szCs w:val="24"/>
      <w:vertAlign w:val="subscript"/>
    </w:rPr>
  </w:style>
  <w:style w:type="character" w:customStyle="1" w:styleId="tw4winError">
    <w:name w:val="tw4winError"/>
    <w:uiPriority w:val="99"/>
    <w:rPr>
      <w:rFonts w:ascii="Courier New" w:hAnsi="Courier New" w:cs="Courier New"/>
      <w:color w:val="00FF00"/>
      <w:sz w:val="40"/>
      <w:szCs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cs="Courier New"/>
      <w:noProof/>
      <w:color w:val="008000"/>
    </w:rPr>
  </w:style>
  <w:style w:type="character" w:customStyle="1" w:styleId="tw4winJump">
    <w:name w:val="tw4winJump"/>
    <w:uiPriority w:val="99"/>
    <w:rPr>
      <w:rFonts w:ascii="Courier New" w:hAnsi="Courier New" w:cs="Courier New"/>
      <w:noProof/>
      <w:color w:val="008080"/>
    </w:rPr>
  </w:style>
  <w:style w:type="character" w:customStyle="1" w:styleId="tw4winExternal">
    <w:name w:val="tw4winExternal"/>
    <w:uiPriority w:val="99"/>
    <w:rPr>
      <w:rFonts w:ascii="Courier New" w:hAnsi="Courier New" w:cs="Courier New"/>
      <w:noProof/>
      <w:color w:val="808080"/>
    </w:rPr>
  </w:style>
  <w:style w:type="character" w:customStyle="1" w:styleId="tw4winInternal">
    <w:name w:val="tw4winInternal"/>
    <w:uiPriority w:val="99"/>
    <w:rPr>
      <w:rFonts w:ascii="Courier New" w:hAnsi="Courier New" w:cs="Courier New"/>
      <w:noProof/>
      <w:color w:val="FF0000"/>
    </w:rPr>
  </w:style>
  <w:style w:type="character" w:customStyle="1" w:styleId="DONOTTRANSLATE">
    <w:name w:val="DO_NOT_TRANSLATE"/>
    <w:uiPriority w:val="99"/>
    <w:rPr>
      <w:rFonts w:ascii="Courier New" w:hAnsi="Courier New" w:cs="Courier New"/>
      <w:noProof/>
      <w:color w:val="800000"/>
    </w:rPr>
  </w:style>
  <w:style w:type="paragraph" w:customStyle="1" w:styleId="Listaszerbekezds1">
    <w:name w:val="Listaszerű bekezdés1"/>
    <w:basedOn w:val="Norml"/>
    <w:uiPriority w:val="99"/>
    <w:qFormat/>
    <w:pPr>
      <w:ind w:left="720"/>
    </w:pPr>
  </w:style>
  <w:style w:type="paragraph" w:customStyle="1" w:styleId="Buborkszveg1">
    <w:name w:val="Buborékszöveg1"/>
    <w:basedOn w:val="Norml"/>
    <w:link w:val="BuborkszvegChar"/>
    <w:semiHidden/>
    <w:pPr>
      <w:spacing w:line="240" w:lineRule="auto"/>
    </w:pPr>
    <w:rPr>
      <w:rFonts w:ascii="Tahoma" w:hAnsi="Tahoma" w:cs="Tahoma"/>
      <w:sz w:val="16"/>
      <w:szCs w:val="16"/>
    </w:rPr>
  </w:style>
  <w:style w:type="character" w:customStyle="1" w:styleId="BuborkszvegChar">
    <w:name w:val="Buborékszöveg Char"/>
    <w:link w:val="Buborkszveg1"/>
    <w:semiHidden/>
    <w:locked/>
    <w:rPr>
      <w:rFonts w:ascii="Tahoma" w:eastAsia="SimSun" w:hAnsi="Tahoma" w:cs="Tahoma"/>
      <w:sz w:val="16"/>
      <w:szCs w:val="16"/>
      <w:lang w:val="en-GB"/>
    </w:rPr>
  </w:style>
  <w:style w:type="character" w:customStyle="1" w:styleId="Jegyzethivatkozs1">
    <w:name w:val="Jegyzethivatkozás1"/>
    <w:uiPriority w:val="99"/>
    <w:semiHidden/>
    <w:rPr>
      <w:sz w:val="16"/>
      <w:szCs w:val="16"/>
    </w:rPr>
  </w:style>
  <w:style w:type="paragraph" w:customStyle="1" w:styleId="Jegyzetszveg1">
    <w:name w:val="Jegyzetszöveg1"/>
    <w:basedOn w:val="Norml"/>
    <w:link w:val="JegyzetszvegChar"/>
    <w:uiPriority w:val="99"/>
    <w:semiHidden/>
    <w:rPr>
      <w:sz w:val="20"/>
      <w:szCs w:val="20"/>
    </w:rPr>
  </w:style>
  <w:style w:type="character" w:customStyle="1" w:styleId="JegyzetszvegChar">
    <w:name w:val="Jegyzetszöveg Char"/>
    <w:link w:val="Jegyzetszveg1"/>
    <w:uiPriority w:val="99"/>
    <w:semiHidden/>
    <w:rPr>
      <w:rFonts w:ascii="Times New Roman" w:eastAsia="SimSun" w:hAnsi="Times New Roman" w:cs="Times New Roman"/>
      <w:sz w:val="20"/>
      <w:szCs w:val="20"/>
      <w:lang w:val="en-GB"/>
    </w:rPr>
  </w:style>
  <w:style w:type="paragraph" w:customStyle="1" w:styleId="Megjegyzstrgya1">
    <w:name w:val="Megjegyzés tárgya1"/>
    <w:basedOn w:val="Jegyzetszveg1"/>
    <w:next w:val="Jegyzetszveg1"/>
    <w:link w:val="MegjegyzstrgyaChar"/>
    <w:uiPriority w:val="99"/>
    <w:semiHidden/>
    <w:rPr>
      <w:b/>
      <w:bCs/>
    </w:rPr>
  </w:style>
  <w:style w:type="character" w:customStyle="1" w:styleId="MegjegyzstrgyaChar">
    <w:name w:val="Megjegyzés tárgya Char"/>
    <w:link w:val="Megjegyzstrgya1"/>
    <w:uiPriority w:val="99"/>
    <w:semiHidden/>
    <w:rPr>
      <w:rFonts w:ascii="Times New Roman" w:eastAsia="SimSun" w:hAnsi="Times New Roman" w:cs="Times New Roman"/>
      <w:b/>
      <w:bCs/>
      <w:sz w:val="20"/>
      <w:szCs w:val="20"/>
      <w:lang w:val="en-GB"/>
    </w:rPr>
  </w:style>
  <w:style w:type="paragraph" w:customStyle="1" w:styleId="Vltozat1">
    <w:name w:val="Változat1"/>
    <w:hidden/>
    <w:uiPriority w:val="99"/>
    <w:semiHidden/>
    <w:pPr>
      <w:spacing w:after="0" w:line="240" w:lineRule="auto"/>
    </w:pPr>
    <w:rPr>
      <w:rFonts w:ascii="Times New Roman" w:eastAsia="SimSun" w:hAnsi="Times New Roman" w:cs="Times New Roman"/>
      <w:lang w:val="en-GB"/>
    </w:rPr>
  </w:style>
  <w:style w:type="paragraph" w:styleId="lfej">
    <w:name w:val="header"/>
    <w:basedOn w:val="Norml"/>
    <w:link w:val="lfejChar1"/>
    <w:uiPriority w:val="99"/>
    <w:pPr>
      <w:tabs>
        <w:tab w:val="clear" w:pos="567"/>
        <w:tab w:val="center" w:pos="4513"/>
        <w:tab w:val="right" w:pos="9026"/>
      </w:tabs>
    </w:pPr>
  </w:style>
  <w:style w:type="character" w:customStyle="1" w:styleId="lfejChar1">
    <w:name w:val="Élőfej Char1"/>
    <w:basedOn w:val="Bekezdsalapbettpusa"/>
    <w:link w:val="lfej"/>
    <w:uiPriority w:val="99"/>
    <w:rPr>
      <w:rFonts w:ascii="Times New Roman" w:eastAsia="SimSun" w:hAnsi="Times New Roman" w:cs="Times New Roman"/>
      <w:lang w:val="en-GB"/>
    </w:rPr>
  </w:style>
  <w:style w:type="paragraph" w:styleId="llb">
    <w:name w:val="footer"/>
    <w:basedOn w:val="Norml"/>
    <w:link w:val="llbChar1"/>
    <w:pPr>
      <w:tabs>
        <w:tab w:val="clear" w:pos="567"/>
        <w:tab w:val="center" w:pos="4513"/>
        <w:tab w:val="right" w:pos="9026"/>
      </w:tabs>
    </w:pPr>
  </w:style>
  <w:style w:type="character" w:customStyle="1" w:styleId="llbChar1">
    <w:name w:val="Élőláb Char1"/>
    <w:basedOn w:val="Bekezdsalapbettpusa"/>
    <w:link w:val="llb"/>
    <w:rPr>
      <w:rFonts w:ascii="Times New Roman" w:eastAsia="SimSun" w:hAnsi="Times New Roman" w:cs="Times New Roman"/>
      <w:lang w:val="en-GB"/>
    </w:rPr>
  </w:style>
  <w:style w:type="paragraph" w:styleId="Buborkszveg">
    <w:name w:val="Balloon Text"/>
    <w:basedOn w:val="Norml"/>
    <w:link w:val="BuborkszvegChar1"/>
    <w:unhideWhenUsed/>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rPr>
      <w:rFonts w:ascii="Segoe UI" w:eastAsia="SimSun" w:hAnsi="Segoe UI" w:cs="Segoe UI"/>
      <w:sz w:val="18"/>
      <w:szCs w:val="18"/>
      <w:lang w:val="en-GB"/>
    </w:rPr>
  </w:style>
  <w:style w:type="paragraph" w:styleId="Vltozat">
    <w:name w:val="Revision"/>
    <w:hidden/>
    <w:uiPriority w:val="99"/>
    <w:semiHidden/>
    <w:pPr>
      <w:spacing w:after="0" w:line="240" w:lineRule="auto"/>
    </w:pPr>
    <w:rPr>
      <w:rFonts w:ascii="Times New Roman" w:eastAsia="SimSun" w:hAnsi="Times New Roman" w:cs="Times New Roman"/>
      <w:lang w:val="en-GB"/>
    </w:rPr>
  </w:style>
  <w:style w:type="character" w:styleId="Jegyzethivatkozs">
    <w:name w:val="annotation reference"/>
    <w:basedOn w:val="Bekezdsalapbettpusa"/>
    <w:semiHidden/>
    <w:unhideWhenUsed/>
    <w:rPr>
      <w:sz w:val="16"/>
      <w:szCs w:val="16"/>
    </w:rPr>
  </w:style>
  <w:style w:type="paragraph" w:styleId="Jegyzetszveg">
    <w:name w:val="annotation text"/>
    <w:basedOn w:val="Norml"/>
    <w:link w:val="JegyzetszvegChar1"/>
    <w:unhideWhenUsed/>
    <w:pPr>
      <w:spacing w:line="240" w:lineRule="auto"/>
    </w:pPr>
    <w:rPr>
      <w:sz w:val="20"/>
      <w:szCs w:val="20"/>
    </w:rPr>
  </w:style>
  <w:style w:type="character" w:customStyle="1" w:styleId="JegyzetszvegChar1">
    <w:name w:val="Jegyzetszöveg Char1"/>
    <w:basedOn w:val="Bekezdsalapbettpusa"/>
    <w:link w:val="Jegyzetszveg"/>
    <w:rPr>
      <w:rFonts w:ascii="Times New Roman" w:eastAsia="SimSun" w:hAnsi="Times New Roman" w:cs="Times New Roman"/>
      <w:sz w:val="20"/>
      <w:szCs w:val="20"/>
      <w:lang w:val="en-GB"/>
    </w:rPr>
  </w:style>
  <w:style w:type="character" w:customStyle="1" w:styleId="cf01">
    <w:name w:val="cf01"/>
    <w:basedOn w:val="Bekezdsalapbettpusa"/>
    <w:rPr>
      <w:rFonts w:ascii="Segoe UI" w:hAnsi="Segoe UI" w:cs="Segoe UI" w:hint="default"/>
      <w:sz w:val="18"/>
      <w:szCs w:val="18"/>
    </w:rPr>
  </w:style>
  <w:style w:type="paragraph" w:styleId="Listaszerbekezds">
    <w:name w:val="List Paragraph"/>
    <w:basedOn w:val="Norml"/>
    <w:uiPriority w:val="1"/>
    <w:qFormat/>
    <w:pPr>
      <w:ind w:left="720"/>
      <w:contextualSpacing/>
    </w:pPr>
  </w:style>
  <w:style w:type="paragraph" w:customStyle="1" w:styleId="Default">
    <w:name w:val="Default"/>
    <w:pPr>
      <w:autoSpaceDE w:val="0"/>
      <w:autoSpaceDN w:val="0"/>
      <w:adjustRightInd w:val="0"/>
      <w:spacing w:after="0" w:line="240" w:lineRule="auto"/>
    </w:pPr>
    <w:rPr>
      <w:rFonts w:ascii="Times New Roman" w:eastAsia="SimSun" w:hAnsi="Times New Roman" w:cs="Times New Roman"/>
      <w:color w:val="000000"/>
      <w:sz w:val="24"/>
      <w:szCs w:val="24"/>
      <w:lang w:eastAsia="hu-HU"/>
    </w:rPr>
  </w:style>
  <w:style w:type="character" w:styleId="Hiperhivatkozs">
    <w:name w:val="Hyperlink"/>
    <w:rPr>
      <w:rFonts w:cs="Times New Roman"/>
      <w:color w:val="0000FF"/>
      <w:u w:val="single"/>
    </w:rPr>
  </w:style>
  <w:style w:type="character" w:styleId="Oldalszm">
    <w:name w:val="page number"/>
    <w:rPr>
      <w:rFonts w:cs="Times New Roman"/>
    </w:rPr>
  </w:style>
  <w:style w:type="paragraph" w:styleId="Megjegyzstrgya">
    <w:name w:val="annotation subject"/>
    <w:basedOn w:val="Jegyzetszveg"/>
    <w:next w:val="Jegyzetszveg"/>
    <w:link w:val="MegjegyzstrgyaChar1"/>
    <w:semiHidden/>
    <w:pPr>
      <w:spacing w:line="260" w:lineRule="exact"/>
    </w:pPr>
    <w:rPr>
      <w:b/>
      <w:bCs/>
      <w:snapToGrid w:val="0"/>
      <w:lang w:eastAsia="zh-CN"/>
    </w:rPr>
  </w:style>
  <w:style w:type="character" w:customStyle="1" w:styleId="MegjegyzstrgyaChar1">
    <w:name w:val="Megjegyzés tárgya Char1"/>
    <w:basedOn w:val="JegyzetszvegChar1"/>
    <w:link w:val="Megjegyzstrgya"/>
    <w:semiHidden/>
    <w:rPr>
      <w:rFonts w:ascii="Times New Roman" w:eastAsia="SimSun" w:hAnsi="Times New Roman" w:cs="Times New Roman"/>
      <w:b/>
      <w:bCs/>
      <w:snapToGrid w:val="0"/>
      <w:sz w:val="20"/>
      <w:szCs w:val="20"/>
      <w:lang w:val="en-GB" w:eastAsia="zh-CN"/>
    </w:rPr>
  </w:style>
  <w:style w:type="character" w:styleId="Mrltotthiperhivatkozs">
    <w:name w:val="FollowedHyperlink"/>
    <w:rPr>
      <w:color w:val="800080"/>
      <w:u w:val="single"/>
    </w:rPr>
  </w:style>
  <w:style w:type="paragraph" w:styleId="Szvegtrzs">
    <w:name w:val="Body Text"/>
    <w:basedOn w:val="Norml"/>
    <w:link w:val="SzvegtrzsChar"/>
    <w:pPr>
      <w:tabs>
        <w:tab w:val="clear" w:pos="567"/>
      </w:tabs>
      <w:suppressAutoHyphens/>
    </w:pPr>
    <w:rPr>
      <w:b/>
      <w:i/>
      <w:szCs w:val="20"/>
      <w:lang w:val="hu-HU"/>
    </w:rPr>
  </w:style>
  <w:style w:type="character" w:customStyle="1" w:styleId="SzvegtrzsChar">
    <w:name w:val="Szövegtörzs Char"/>
    <w:basedOn w:val="Bekezdsalapbettpusa"/>
    <w:link w:val="Szvegtrzs"/>
    <w:rPr>
      <w:rFonts w:ascii="Times New Roman" w:eastAsia="SimSun" w:hAnsi="Times New Roman" w:cs="Times New Roman"/>
      <w:b/>
      <w:i/>
      <w:szCs w:val="20"/>
    </w:rPr>
  </w:style>
  <w:style w:type="paragraph" w:styleId="Lista">
    <w:name w:val="List"/>
    <w:basedOn w:val="Szvegtrzs"/>
    <w:rPr>
      <w:rFonts w:cs="Tahoma"/>
    </w:rPr>
  </w:style>
  <w:style w:type="paragraph" w:styleId="Szvegtrzsbehzssal">
    <w:name w:val="Body Text Indent"/>
    <w:basedOn w:val="Norml"/>
    <w:link w:val="SzvegtrzsbehzssalChar"/>
    <w:pPr>
      <w:tabs>
        <w:tab w:val="clear" w:pos="567"/>
      </w:tabs>
      <w:suppressAutoHyphens/>
      <w:spacing w:line="260" w:lineRule="atLeast"/>
      <w:ind w:left="567" w:hanging="567"/>
    </w:pPr>
    <w:rPr>
      <w:b/>
      <w:color w:val="808080"/>
      <w:szCs w:val="20"/>
      <w:lang w:val="hu-HU"/>
    </w:rPr>
  </w:style>
  <w:style w:type="character" w:customStyle="1" w:styleId="SzvegtrzsbehzssalChar">
    <w:name w:val="Szövegtörzs behúzással Char"/>
    <w:basedOn w:val="Bekezdsalapbettpusa"/>
    <w:link w:val="Szvegtrzsbehzssal"/>
    <w:rPr>
      <w:rFonts w:ascii="Times New Roman" w:eastAsia="SimSun" w:hAnsi="Times New Roman" w:cs="Times New Roman"/>
      <w:b/>
      <w:color w:val="808080"/>
      <w:szCs w:val="20"/>
    </w:rPr>
  </w:style>
  <w:style w:type="paragraph" w:styleId="Bortkcm">
    <w:name w:val="envelope address"/>
    <w:basedOn w:val="Norml"/>
    <w:next w:val="Szvegtrzs"/>
    <w:pPr>
      <w:keepNext/>
      <w:tabs>
        <w:tab w:val="clear" w:pos="567"/>
      </w:tabs>
      <w:suppressAutoHyphens/>
      <w:spacing w:before="240" w:after="120"/>
    </w:pPr>
    <w:rPr>
      <w:rFonts w:ascii="Albany" w:eastAsia="HG Mincho Light J" w:hAnsi="Albany"/>
      <w:sz w:val="28"/>
      <w:szCs w:val="20"/>
      <w:lang w:val="hu-HU"/>
    </w:rPr>
  </w:style>
  <w:style w:type="paragraph" w:styleId="Lbjegyzetszveg">
    <w:name w:val="footnote text"/>
    <w:basedOn w:val="Norml"/>
    <w:link w:val="LbjegyzetszvegChar"/>
    <w:pPr>
      <w:tabs>
        <w:tab w:val="clear" w:pos="567"/>
      </w:tabs>
      <w:suppressAutoHyphens/>
    </w:pPr>
    <w:rPr>
      <w:sz w:val="20"/>
      <w:szCs w:val="20"/>
      <w:lang w:val="hu-HU"/>
    </w:rPr>
  </w:style>
  <w:style w:type="character" w:customStyle="1" w:styleId="LbjegyzetszvegChar">
    <w:name w:val="Lábjegyzetszöveg Char"/>
    <w:basedOn w:val="Bekezdsalapbettpusa"/>
    <w:link w:val="Lbjegyzetszveg"/>
    <w:rPr>
      <w:rFonts w:ascii="Times New Roman" w:eastAsia="SimSun" w:hAnsi="Times New Roman" w:cs="Times New Roman"/>
      <w:sz w:val="20"/>
      <w:szCs w:val="20"/>
    </w:rPr>
  </w:style>
  <w:style w:type="paragraph" w:styleId="Vgjegyzetszvege">
    <w:name w:val="endnote text"/>
    <w:basedOn w:val="Norml"/>
    <w:next w:val="Norml"/>
    <w:link w:val="VgjegyzetszvegeChar"/>
    <w:pPr>
      <w:tabs>
        <w:tab w:val="clear" w:pos="567"/>
      </w:tabs>
      <w:suppressAutoHyphens/>
      <w:spacing w:line="260" w:lineRule="atLeast"/>
    </w:pPr>
    <w:rPr>
      <w:szCs w:val="20"/>
      <w:lang w:val="hu-HU"/>
    </w:rPr>
  </w:style>
  <w:style w:type="character" w:customStyle="1" w:styleId="VgjegyzetszvegeChar">
    <w:name w:val="Végjegyzet szövege Char"/>
    <w:basedOn w:val="Bekezdsalapbettpusa"/>
    <w:link w:val="Vgjegyzetszvege"/>
    <w:rPr>
      <w:rFonts w:ascii="Times New Roman" w:eastAsia="SimSun" w:hAnsi="Times New Roman" w:cs="Times New Roman"/>
      <w:szCs w:val="20"/>
    </w:rPr>
  </w:style>
  <w:style w:type="paragraph" w:styleId="Szvegblokk">
    <w:name w:val="Block Text"/>
    <w:basedOn w:val="Norml"/>
    <w:pPr>
      <w:tabs>
        <w:tab w:val="clear" w:pos="567"/>
      </w:tabs>
      <w:suppressAutoHyphens/>
      <w:spacing w:line="260" w:lineRule="atLeast"/>
      <w:ind w:left="567" w:right="-2" w:hanging="567"/>
    </w:pPr>
    <w:rPr>
      <w:b/>
      <w:szCs w:val="20"/>
      <w:lang w:val="hu-HU"/>
    </w:rPr>
  </w:style>
  <w:style w:type="table" w:styleId="Rcsostblzat">
    <w:name w:val="Table Grid"/>
    <w:basedOn w:val="Normltblzat"/>
    <w:pPr>
      <w:spacing w:after="0" w:line="240" w:lineRule="auto"/>
    </w:pPr>
    <w:rPr>
      <w:rFonts w:ascii="Times New Roman" w:eastAsia="SimSu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incstrkz">
    <w:name w:val="No Spacing"/>
    <w:uiPriority w:val="1"/>
    <w:qFormat/>
    <w:pPr>
      <w:spacing w:after="0" w:line="240" w:lineRule="auto"/>
    </w:pPr>
    <w:rPr>
      <w:rFonts w:ascii="Times New Roman" w:eastAsia="Calibri" w:hAnsi="Times New Roman" w:cs="Times New Roman"/>
    </w:rPr>
  </w:style>
  <w:style w:type="table" w:customStyle="1" w:styleId="TableNormal1">
    <w:name w:val="Table Normal1"/>
    <w:uiPriority w:val="2"/>
    <w:semiHidden/>
    <w:unhideWhenUsed/>
    <w:qFormat/>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l"/>
    <w:uiPriority w:val="1"/>
    <w:qFormat/>
    <w:pPr>
      <w:widowControl w:val="0"/>
      <w:tabs>
        <w:tab w:val="clear" w:pos="567"/>
      </w:tabs>
      <w:autoSpaceDE w:val="0"/>
      <w:autoSpaceDN w:val="0"/>
      <w:spacing w:line="240" w:lineRule="auto"/>
      <w:ind w:left="107"/>
    </w:pPr>
    <w:rPr>
      <w:lang w:val="hu-HU" w:eastAsia="hu-HU" w:bidi="hu-HU"/>
    </w:rPr>
  </w:style>
  <w:style w:type="character" w:customStyle="1" w:styleId="st1">
    <w:name w:val="st1"/>
  </w:style>
  <w:style w:type="paragraph" w:styleId="NormlWeb">
    <w:name w:val="Normal (Web)"/>
    <w:basedOn w:val="Norml"/>
    <w:uiPriority w:val="99"/>
    <w:semiHidden/>
    <w:unhideWhenUsed/>
    <w:pPr>
      <w:tabs>
        <w:tab w:val="clear" w:pos="567"/>
      </w:tabs>
      <w:spacing w:line="240" w:lineRule="auto"/>
    </w:pPr>
    <w:rPr>
      <w:rFonts w:eastAsiaTheme="minorHAnsi"/>
      <w:sz w:val="24"/>
      <w:szCs w:val="24"/>
      <w:lang w:val="hu-HU"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577362">
      <w:bodyDiv w:val="1"/>
      <w:marLeft w:val="0"/>
      <w:marRight w:val="0"/>
      <w:marTop w:val="0"/>
      <w:marBottom w:val="0"/>
      <w:divBdr>
        <w:top w:val="none" w:sz="0" w:space="0" w:color="auto"/>
        <w:left w:val="none" w:sz="0" w:space="0" w:color="auto"/>
        <w:bottom w:val="none" w:sz="0" w:space="0" w:color="auto"/>
        <w:right w:val="none" w:sz="0" w:space="0" w:color="auto"/>
      </w:divBdr>
    </w:div>
    <w:div w:id="937754642">
      <w:bodyDiv w:val="1"/>
      <w:marLeft w:val="0"/>
      <w:marRight w:val="0"/>
      <w:marTop w:val="0"/>
      <w:marBottom w:val="0"/>
      <w:divBdr>
        <w:top w:val="none" w:sz="0" w:space="0" w:color="auto"/>
        <w:left w:val="none" w:sz="0" w:space="0" w:color="auto"/>
        <w:bottom w:val="none" w:sz="0" w:space="0" w:color="auto"/>
        <w:right w:val="none" w:sz="0" w:space="0" w:color="auto"/>
      </w:divBdr>
    </w:div>
    <w:div w:id="1712264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86061-72E3-4E76-8C15-9BB94CB84A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13999</Words>
  <Characters>96596</Characters>
  <Application>Microsoft Office Word</Application>
  <DocSecurity>0</DocSecurity>
  <Lines>804</Lines>
  <Paragraphs>220</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110375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Type IB C.I.2.a</dc:creator>
  <cp:keywords/>
  <dc:description/>
  <cp:lastModifiedBy>HU_OGYEI_16.1.2</cp:lastModifiedBy>
  <cp:revision>3</cp:revision>
  <dcterms:created xsi:type="dcterms:W3CDTF">2026-09-04T14:51:00Z</dcterms:created>
  <dcterms:modified xsi:type="dcterms:W3CDTF">2026-09-04T14:52:00Z</dcterms:modified>
</cp:coreProperties>
</file>