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CC3" w:rsidRDefault="00F50CC3">
      <w:pPr>
        <w:widowControl w:val="0"/>
        <w:spacing w:line="240" w:lineRule="auto"/>
        <w:rPr>
          <w:b/>
          <w:noProof/>
          <w:lang w:val="hu-HU"/>
        </w:rPr>
      </w:pPr>
      <w:bookmarkStart w:id="0" w:name="_GoBack"/>
      <w:bookmarkEnd w:id="0"/>
    </w:p>
    <w:p w:rsidR="00F50CC3" w:rsidRDefault="00730655">
      <w:pPr>
        <w:widowControl w:val="0"/>
        <w:spacing w:line="240" w:lineRule="auto"/>
        <w:rPr>
          <w:color w:val="000000"/>
          <w:lang w:val="hu-HU"/>
        </w:rPr>
      </w:pPr>
      <w:r>
        <w:rPr>
          <w:b/>
          <w:noProof/>
          <w:lang w:val="hu-HU"/>
        </w:rPr>
        <w:t>1.</w:t>
      </w:r>
      <w:r>
        <w:rPr>
          <w:b/>
          <w:noProof/>
          <w:lang w:val="hu-HU"/>
        </w:rPr>
        <w:tab/>
        <w:t>A GYÓGYSZER NEVE</w:t>
      </w:r>
    </w:p>
    <w:p w:rsidR="00F50CC3" w:rsidRDefault="00F50CC3">
      <w:pPr>
        <w:widowControl w:val="0"/>
        <w:spacing w:line="240" w:lineRule="auto"/>
        <w:rPr>
          <w:noProof/>
          <w:lang w:val="hu-HU"/>
        </w:rPr>
      </w:pPr>
    </w:p>
    <w:p w:rsidR="00F50CC3" w:rsidRDefault="00730655">
      <w:pPr>
        <w:widowControl w:val="0"/>
        <w:spacing w:line="240" w:lineRule="auto"/>
        <w:rPr>
          <w:noProof/>
          <w:lang w:val="hu-HU"/>
        </w:rPr>
      </w:pPr>
      <w:r>
        <w:rPr>
          <w:noProof/>
          <w:lang w:val="hu-HU"/>
        </w:rPr>
        <w:t>Razarxo 10 mg filmtabletta</w:t>
      </w:r>
    </w:p>
    <w:p w:rsidR="00F50CC3" w:rsidRDefault="00F50CC3">
      <w:pPr>
        <w:widowControl w:val="0"/>
        <w:spacing w:line="240" w:lineRule="auto"/>
        <w:rPr>
          <w:noProof/>
          <w:lang w:val="hu-HU"/>
        </w:rPr>
      </w:pPr>
    </w:p>
    <w:p w:rsidR="00F50CC3" w:rsidRDefault="00F50CC3">
      <w:pPr>
        <w:widowControl w:val="0"/>
        <w:spacing w:line="240" w:lineRule="auto"/>
        <w:rPr>
          <w:noProof/>
          <w:lang w:val="hu-HU"/>
        </w:rPr>
      </w:pPr>
    </w:p>
    <w:p w:rsidR="00F50CC3" w:rsidRDefault="00730655">
      <w:pPr>
        <w:widowControl w:val="0"/>
        <w:spacing w:line="240" w:lineRule="auto"/>
        <w:rPr>
          <w:b/>
          <w:lang w:val="hu-HU"/>
        </w:rPr>
      </w:pPr>
      <w:r>
        <w:rPr>
          <w:b/>
          <w:lang w:val="hu-HU"/>
        </w:rPr>
        <w:t>2.</w:t>
      </w:r>
      <w:r>
        <w:rPr>
          <w:b/>
          <w:lang w:val="hu-HU"/>
        </w:rPr>
        <w:tab/>
        <w:t>MINŐSÉGI ÉS MENNYISÉGI ÖSSZETÉTEL</w:t>
      </w:r>
    </w:p>
    <w:p w:rsidR="00F50CC3" w:rsidRDefault="00F50CC3">
      <w:pPr>
        <w:widowControl w:val="0"/>
        <w:spacing w:line="240" w:lineRule="auto"/>
        <w:rPr>
          <w:b/>
          <w:noProof/>
          <w:lang w:val="hu-HU"/>
        </w:rPr>
      </w:pPr>
    </w:p>
    <w:p w:rsidR="00F50CC3" w:rsidRDefault="00730655">
      <w:pPr>
        <w:pStyle w:val="EMEAEnBodyText"/>
        <w:autoSpaceDE w:val="0"/>
        <w:autoSpaceDN w:val="0"/>
        <w:adjustRightInd w:val="0"/>
        <w:spacing w:before="0" w:after="0"/>
        <w:rPr>
          <w:bCs/>
          <w:noProof/>
          <w:lang w:val="hu-HU"/>
        </w:rPr>
      </w:pPr>
      <w:r>
        <w:rPr>
          <w:bCs/>
          <w:noProof/>
          <w:lang w:val="hu-HU"/>
        </w:rPr>
        <w:t>10 mg rivaroxabánt tartalmaz filmtablettánként.</w:t>
      </w:r>
    </w:p>
    <w:p w:rsidR="00F50CC3" w:rsidRDefault="00F50CC3">
      <w:pPr>
        <w:pStyle w:val="EMEAEnBodyText"/>
        <w:autoSpaceDE w:val="0"/>
        <w:autoSpaceDN w:val="0"/>
        <w:adjustRightInd w:val="0"/>
        <w:spacing w:before="0" w:after="0"/>
        <w:rPr>
          <w:bCs/>
          <w:noProof/>
          <w:lang w:val="hu-HU"/>
        </w:rPr>
      </w:pPr>
    </w:p>
    <w:p w:rsidR="00F50CC3" w:rsidRDefault="00730655">
      <w:pPr>
        <w:pStyle w:val="EMEAEnBodyText"/>
        <w:autoSpaceDE w:val="0"/>
        <w:autoSpaceDN w:val="0"/>
        <w:adjustRightInd w:val="0"/>
        <w:spacing w:before="0" w:after="0"/>
        <w:rPr>
          <w:bCs/>
          <w:noProof/>
          <w:lang w:val="hu-HU"/>
        </w:rPr>
      </w:pPr>
      <w:r>
        <w:rPr>
          <w:lang w:val="hu-HU"/>
        </w:rPr>
        <w:t xml:space="preserve">A segédanyagok teljes </w:t>
      </w:r>
      <w:r>
        <w:rPr>
          <w:bCs/>
          <w:noProof/>
          <w:lang w:val="hu-HU"/>
        </w:rPr>
        <w:t>listáját</w:t>
      </w:r>
      <w:r>
        <w:rPr>
          <w:lang w:val="hu-HU"/>
        </w:rPr>
        <w:t xml:space="preserve"> lásd a 6.1 pontban</w:t>
      </w:r>
      <w:r>
        <w:rPr>
          <w:bCs/>
          <w:noProof/>
          <w:lang w:val="hu-HU"/>
        </w:rPr>
        <w:t>.</w:t>
      </w:r>
    </w:p>
    <w:p w:rsidR="00F50CC3" w:rsidRDefault="00F50CC3">
      <w:pPr>
        <w:pStyle w:val="EMEAEnBodyText"/>
        <w:autoSpaceDE w:val="0"/>
        <w:autoSpaceDN w:val="0"/>
        <w:adjustRightInd w:val="0"/>
        <w:spacing w:before="0" w:after="0"/>
        <w:rPr>
          <w:lang w:val="hu-HU"/>
        </w:rPr>
      </w:pPr>
    </w:p>
    <w:p w:rsidR="00F50CC3" w:rsidRDefault="00F50CC3">
      <w:pPr>
        <w:widowControl w:val="0"/>
        <w:spacing w:line="240" w:lineRule="auto"/>
        <w:rPr>
          <w:b/>
          <w:lang w:val="hu-HU"/>
        </w:rPr>
      </w:pPr>
    </w:p>
    <w:p w:rsidR="00F50CC3" w:rsidRDefault="00730655">
      <w:pPr>
        <w:spacing w:line="240" w:lineRule="auto"/>
        <w:ind w:left="567" w:hanging="567"/>
        <w:rPr>
          <w:b/>
          <w:noProof/>
          <w:lang w:val="hu-HU"/>
        </w:rPr>
      </w:pPr>
      <w:r>
        <w:rPr>
          <w:b/>
          <w:noProof/>
          <w:lang w:val="hu-HU"/>
        </w:rPr>
        <w:t>3.</w:t>
      </w:r>
      <w:r>
        <w:rPr>
          <w:b/>
          <w:noProof/>
          <w:lang w:val="hu-HU"/>
        </w:rPr>
        <w:tab/>
        <w:t>GYÓGYSZERFORMA</w:t>
      </w:r>
    </w:p>
    <w:p w:rsidR="00F50CC3" w:rsidRDefault="00F50CC3">
      <w:pPr>
        <w:spacing w:line="240" w:lineRule="auto"/>
        <w:ind w:left="567" w:hanging="567"/>
        <w:rPr>
          <w:b/>
          <w:lang w:val="hu-HU"/>
        </w:rPr>
      </w:pPr>
    </w:p>
    <w:p w:rsidR="00F50CC3" w:rsidRDefault="00730655">
      <w:pPr>
        <w:spacing w:line="240" w:lineRule="auto"/>
        <w:ind w:left="567" w:hanging="567"/>
        <w:rPr>
          <w:lang w:val="hu-HU"/>
        </w:rPr>
      </w:pPr>
      <w:r>
        <w:rPr>
          <w:lang w:val="hu-HU"/>
        </w:rPr>
        <w:t>Filmtabletta (tabletta)</w:t>
      </w:r>
    </w:p>
    <w:p w:rsidR="00F50CC3" w:rsidRDefault="00F50CC3">
      <w:pPr>
        <w:spacing w:line="240" w:lineRule="auto"/>
        <w:ind w:left="567" w:hanging="567"/>
        <w:rPr>
          <w:lang w:val="hu-HU"/>
        </w:rPr>
      </w:pPr>
    </w:p>
    <w:p w:rsidR="00F50CC3" w:rsidRDefault="00730655">
      <w:pPr>
        <w:spacing w:line="240" w:lineRule="auto"/>
        <w:rPr>
          <w:lang w:val="hu-HU"/>
        </w:rPr>
      </w:pPr>
      <w:r>
        <w:rPr>
          <w:lang w:val="hu-HU"/>
        </w:rPr>
        <w:t>Barnásvörös, kerek, mindkét oldalán kissé domború felületű, egyik oldalán ’10’ jelöléssel ellátott filmtabletta.</w:t>
      </w:r>
    </w:p>
    <w:p w:rsidR="00F50CC3" w:rsidRDefault="00730655">
      <w:pPr>
        <w:spacing w:line="240" w:lineRule="auto"/>
        <w:rPr>
          <w:lang w:val="hu-HU"/>
        </w:rPr>
      </w:pPr>
      <w:r>
        <w:rPr>
          <w:lang w:val="hu-HU"/>
        </w:rPr>
        <w:t>Átmérője kb. 6,5 mm.</w:t>
      </w:r>
    </w:p>
    <w:p w:rsidR="00F50CC3" w:rsidRDefault="00F50CC3">
      <w:pPr>
        <w:autoSpaceDE w:val="0"/>
        <w:autoSpaceDN w:val="0"/>
        <w:adjustRightInd w:val="0"/>
        <w:spacing w:line="240" w:lineRule="auto"/>
        <w:jc w:val="both"/>
        <w:rPr>
          <w:lang w:val="hu-HU"/>
        </w:rPr>
      </w:pPr>
    </w:p>
    <w:p w:rsidR="00F50CC3" w:rsidRDefault="00F50CC3">
      <w:pPr>
        <w:spacing w:line="240" w:lineRule="auto"/>
        <w:rPr>
          <w:lang w:val="hu-HU"/>
        </w:rPr>
      </w:pPr>
    </w:p>
    <w:p w:rsidR="00F50CC3" w:rsidRDefault="00730655">
      <w:pPr>
        <w:spacing w:line="240" w:lineRule="auto"/>
        <w:ind w:left="567" w:hanging="567"/>
        <w:outlineLvl w:val="0"/>
        <w:rPr>
          <w:b/>
          <w:lang w:val="hu-HU"/>
        </w:rPr>
      </w:pPr>
      <w:r>
        <w:rPr>
          <w:b/>
          <w:lang w:val="hu-HU"/>
        </w:rPr>
        <w:t>4.</w:t>
      </w:r>
      <w:r>
        <w:rPr>
          <w:b/>
          <w:lang w:val="hu-HU"/>
        </w:rPr>
        <w:tab/>
        <w:t>KLINIKAI JELLEMZŐK</w:t>
      </w: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b/>
          <w:noProof/>
          <w:lang w:val="hu-HU"/>
        </w:rPr>
      </w:pPr>
      <w:r>
        <w:rPr>
          <w:b/>
          <w:noProof/>
          <w:lang w:val="hu-HU"/>
        </w:rPr>
        <w:t>4.1</w:t>
      </w:r>
      <w:r>
        <w:rPr>
          <w:b/>
          <w:noProof/>
          <w:lang w:val="hu-HU"/>
        </w:rPr>
        <w:tab/>
        <w:t>Terápiás javallatok</w:t>
      </w:r>
    </w:p>
    <w:p w:rsidR="00F50CC3" w:rsidRDefault="00F50CC3">
      <w:pPr>
        <w:spacing w:line="240" w:lineRule="auto"/>
        <w:ind w:left="567" w:hanging="567"/>
        <w:outlineLvl w:val="0"/>
        <w:rPr>
          <w:b/>
          <w:lang w:val="hu-HU"/>
        </w:rPr>
      </w:pPr>
    </w:p>
    <w:p w:rsidR="00F50CC3" w:rsidRDefault="00730655">
      <w:pPr>
        <w:spacing w:line="240" w:lineRule="auto"/>
        <w:rPr>
          <w:lang w:val="hu-HU"/>
        </w:rPr>
      </w:pPr>
      <w:r>
        <w:rPr>
          <w:lang w:val="hu-HU"/>
        </w:rPr>
        <w:t>Vénás thromboembolia (VTE) megelőzése elektív csípő- vagy térdprotézis műtéten átesett felnőtt betegeknél.</w:t>
      </w:r>
    </w:p>
    <w:p w:rsidR="00F50CC3" w:rsidRDefault="00F50CC3">
      <w:pPr>
        <w:spacing w:line="240" w:lineRule="auto"/>
        <w:rPr>
          <w:lang w:val="hu-HU"/>
        </w:rPr>
      </w:pPr>
    </w:p>
    <w:p w:rsidR="00F50CC3" w:rsidRDefault="00730655">
      <w:pPr>
        <w:spacing w:line="240" w:lineRule="auto"/>
        <w:rPr>
          <w:lang w:val="hu-HU"/>
        </w:rPr>
      </w:pPr>
      <w:r>
        <w:rPr>
          <w:lang w:val="hu-HU"/>
        </w:rPr>
        <w:t>Mélyvénás thrombosis (MVT) és pulmonalis embolia (PE) kezelése, és a recidiváló MVT és PE megelőzése felnőtt betegeknél. (A hemodinamikailag instabil betegekkel kapcsolatban lásd 4.4 pont.)</w:t>
      </w:r>
    </w:p>
    <w:p w:rsidR="00F50CC3" w:rsidRDefault="00F50CC3">
      <w:pPr>
        <w:spacing w:line="240" w:lineRule="auto"/>
        <w:rPr>
          <w:lang w:val="hu-HU"/>
        </w:rPr>
      </w:pPr>
    </w:p>
    <w:p w:rsidR="00F50CC3" w:rsidRDefault="00730655">
      <w:pPr>
        <w:spacing w:line="240" w:lineRule="auto"/>
        <w:ind w:left="567" w:hanging="567"/>
        <w:outlineLvl w:val="0"/>
        <w:rPr>
          <w:b/>
          <w:noProof/>
          <w:lang w:val="hu-HU"/>
        </w:rPr>
      </w:pPr>
      <w:r>
        <w:rPr>
          <w:b/>
          <w:noProof/>
          <w:lang w:val="hu-HU"/>
        </w:rPr>
        <w:t>4.2</w:t>
      </w:r>
      <w:r>
        <w:rPr>
          <w:b/>
          <w:noProof/>
          <w:lang w:val="hu-HU"/>
        </w:rPr>
        <w:tab/>
        <w:t>Adagolás és alkalmazás</w:t>
      </w:r>
    </w:p>
    <w:p w:rsidR="00F50CC3" w:rsidRDefault="00F50CC3">
      <w:pPr>
        <w:spacing w:line="240" w:lineRule="auto"/>
        <w:ind w:left="567" w:hanging="567"/>
        <w:outlineLvl w:val="0"/>
        <w:rPr>
          <w:b/>
          <w:lang w:val="hu-HU"/>
        </w:rPr>
      </w:pPr>
    </w:p>
    <w:p w:rsidR="00F50CC3" w:rsidRDefault="00730655">
      <w:pPr>
        <w:spacing w:line="240" w:lineRule="auto"/>
        <w:rPr>
          <w:u w:val="single"/>
          <w:lang w:val="hu-HU"/>
        </w:rPr>
      </w:pPr>
      <w:r>
        <w:rPr>
          <w:u w:val="single"/>
          <w:lang w:val="hu-HU"/>
        </w:rPr>
        <w:t>Adagolás</w:t>
      </w:r>
    </w:p>
    <w:p w:rsidR="00F50CC3" w:rsidRDefault="00F50CC3">
      <w:pPr>
        <w:spacing w:line="240" w:lineRule="auto"/>
        <w:rPr>
          <w:u w:val="single"/>
          <w:lang w:val="hu-HU"/>
        </w:rPr>
      </w:pPr>
    </w:p>
    <w:p w:rsidR="00F50CC3" w:rsidRDefault="00730655">
      <w:pPr>
        <w:spacing w:line="240" w:lineRule="auto"/>
        <w:rPr>
          <w:u w:val="single"/>
          <w:lang w:val="hu-HU"/>
        </w:rPr>
      </w:pPr>
      <w:r>
        <w:rPr>
          <w:i/>
          <w:iCs/>
          <w:lang w:val="hu-HU"/>
        </w:rPr>
        <w:t>VTE megelőzése elektív csípő- vagy térdprotézis műtéten áteső felnőtt betegeknél</w:t>
      </w:r>
    </w:p>
    <w:p w:rsidR="00F50CC3" w:rsidRDefault="00730655">
      <w:pPr>
        <w:pStyle w:val="Default"/>
        <w:rPr>
          <w:sz w:val="22"/>
          <w:szCs w:val="22"/>
        </w:rPr>
      </w:pPr>
      <w:r>
        <w:rPr>
          <w:sz w:val="22"/>
          <w:szCs w:val="22"/>
        </w:rPr>
        <w:t>A javasolt dózis naponta egyszer 10 mg rivaroxabán szájon át. Az első dózist 6 – 10 órával a műtét után kell bevenni, amennyiben a beteg hemosztázisa helyreállt.</w:t>
      </w:r>
    </w:p>
    <w:p w:rsidR="00F50CC3" w:rsidRDefault="00F50CC3">
      <w:pPr>
        <w:pStyle w:val="Default"/>
        <w:rPr>
          <w:sz w:val="22"/>
          <w:szCs w:val="22"/>
        </w:rPr>
      </w:pPr>
    </w:p>
    <w:p w:rsidR="00F50CC3" w:rsidRDefault="00730655">
      <w:pPr>
        <w:pStyle w:val="Default"/>
        <w:rPr>
          <w:sz w:val="22"/>
          <w:szCs w:val="22"/>
        </w:rPr>
      </w:pPr>
      <w:r>
        <w:rPr>
          <w:sz w:val="22"/>
          <w:szCs w:val="22"/>
        </w:rPr>
        <w:t>A kezelés időtartama a vénás thromboembolia szempontjából fennálló egyéni kockázattól függ, amit az ortopéd sebészeti beavatkozás típusa határoz meg.</w:t>
      </w:r>
    </w:p>
    <w:p w:rsidR="00F50CC3" w:rsidRDefault="00730655">
      <w:pPr>
        <w:pStyle w:val="Default"/>
        <w:numPr>
          <w:ilvl w:val="0"/>
          <w:numId w:val="7"/>
        </w:numPr>
        <w:ind w:left="567" w:hanging="568"/>
        <w:rPr>
          <w:sz w:val="22"/>
          <w:szCs w:val="22"/>
        </w:rPr>
      </w:pPr>
      <w:r>
        <w:rPr>
          <w:sz w:val="22"/>
          <w:szCs w:val="22"/>
        </w:rPr>
        <w:t>Nagy csípőízületi műtéten átesett betegek esetében a kezelés javasolt időtartama 5 hét.</w:t>
      </w:r>
    </w:p>
    <w:p w:rsidR="00F50CC3" w:rsidRDefault="00730655">
      <w:pPr>
        <w:pStyle w:val="Default"/>
        <w:numPr>
          <w:ilvl w:val="0"/>
          <w:numId w:val="7"/>
        </w:numPr>
        <w:ind w:left="567" w:hanging="568"/>
        <w:rPr>
          <w:sz w:val="22"/>
          <w:szCs w:val="22"/>
        </w:rPr>
      </w:pPr>
      <w:r>
        <w:rPr>
          <w:sz w:val="22"/>
          <w:szCs w:val="22"/>
        </w:rPr>
        <w:t>Nagy térdízületi műtéten átesett betegek esetében a kezelés javasolt időtartama 2 hét.</w:t>
      </w:r>
    </w:p>
    <w:p w:rsidR="00F50CC3" w:rsidRDefault="00F50CC3">
      <w:pPr>
        <w:pStyle w:val="Default"/>
        <w:rPr>
          <w:sz w:val="22"/>
          <w:szCs w:val="22"/>
        </w:rPr>
      </w:pPr>
    </w:p>
    <w:p w:rsidR="00F50CC3" w:rsidRDefault="00730655">
      <w:pPr>
        <w:pStyle w:val="Default"/>
        <w:rPr>
          <w:sz w:val="22"/>
          <w:szCs w:val="22"/>
        </w:rPr>
      </w:pPr>
      <w:r>
        <w:rPr>
          <w:sz w:val="22"/>
          <w:szCs w:val="22"/>
        </w:rPr>
        <w:t>Ha kimaradt egy adag, a beteg azonnal vegye be a Razarxo-t, majd másnap folytassa tovább a naponta egyszeri alkalmazást a korábbiaknak megfelelően.</w:t>
      </w:r>
    </w:p>
    <w:p w:rsidR="00F50CC3" w:rsidRDefault="00F50CC3">
      <w:pPr>
        <w:pStyle w:val="Default"/>
        <w:rPr>
          <w:sz w:val="22"/>
          <w:szCs w:val="22"/>
        </w:rPr>
      </w:pPr>
    </w:p>
    <w:p w:rsidR="00F50CC3" w:rsidRDefault="00730655">
      <w:pPr>
        <w:pStyle w:val="Default"/>
        <w:ind w:left="567" w:hanging="568"/>
        <w:rPr>
          <w:sz w:val="22"/>
          <w:szCs w:val="22"/>
        </w:rPr>
      </w:pPr>
      <w:r>
        <w:rPr>
          <w:i/>
          <w:iCs/>
          <w:sz w:val="22"/>
          <w:szCs w:val="22"/>
        </w:rPr>
        <w:t>MVT kezelése, PE kezelése és a recidiváló MVT és PE megelőzése</w:t>
      </w:r>
    </w:p>
    <w:p w:rsidR="00F50CC3" w:rsidRDefault="00730655">
      <w:pPr>
        <w:pStyle w:val="Default"/>
        <w:rPr>
          <w:sz w:val="22"/>
          <w:szCs w:val="22"/>
        </w:rPr>
      </w:pPr>
      <w:r>
        <w:rPr>
          <w:sz w:val="22"/>
          <w:szCs w:val="22"/>
        </w:rPr>
        <w:t>Az akut MVT vagy PE kezdeti kezelésére az ajánlott dózis az első három héten naponta kétszer 15 mg, amelyet naponta egyszer 20 mg követ a fenntartó kezelés és a recidiváló MVT és PE megelőzése céljából.</w:t>
      </w:r>
    </w:p>
    <w:p w:rsidR="00F50CC3" w:rsidRDefault="00730655">
      <w:pPr>
        <w:pStyle w:val="Default"/>
        <w:rPr>
          <w:sz w:val="22"/>
          <w:szCs w:val="22"/>
        </w:rPr>
      </w:pPr>
      <w:r>
        <w:rPr>
          <w:sz w:val="22"/>
          <w:szCs w:val="22"/>
        </w:rPr>
        <w:t xml:space="preserve">Rövid távú (legalább 3 hónapos) terápia mérlegelendő azoknál a MVT-ban vagy PE-ban szenvedő betegeknél, akiknél jelentős átmeneti kockázati tényezők (például a közelmúltban történt nagyobb műtét vagy trauma) provokálták az MVT-t, illetve PE-t. Hosszú távú terápia mérlegelendő azoknál a </w:t>
      </w:r>
      <w:r>
        <w:rPr>
          <w:sz w:val="22"/>
          <w:szCs w:val="22"/>
        </w:rPr>
        <w:lastRenderedPageBreak/>
        <w:t>betegeknél, akiknél a provokált MVT vagy PE nem áll összefüggésben jelentősebb átmeneti kockázati tényezőkkel, az MVT-t vagy PE-t nem kockázati tényezők provokálták, illetve kórelőzményükben recidiváló MVT vagy PE szerepel.</w:t>
      </w:r>
    </w:p>
    <w:p w:rsidR="00F50CC3" w:rsidRDefault="00F50CC3">
      <w:pPr>
        <w:pStyle w:val="Default"/>
        <w:rPr>
          <w:sz w:val="22"/>
          <w:szCs w:val="22"/>
        </w:rPr>
      </w:pPr>
    </w:p>
    <w:p w:rsidR="00F50CC3" w:rsidRDefault="00730655">
      <w:pPr>
        <w:pStyle w:val="Default"/>
        <w:rPr>
          <w:sz w:val="22"/>
          <w:szCs w:val="22"/>
        </w:rPr>
      </w:pPr>
      <w:r>
        <w:rPr>
          <w:sz w:val="22"/>
          <w:szCs w:val="22"/>
        </w:rPr>
        <w:t>Amennyiben a recidiváló MVT és PE hosszú távú megelőző kezelése javallott (az MVT, illetve PE miatt alkalmazott, legalább 6 hónapos terápia befejeződését követően), a javasolt dózis naponta egyszer 10 mg. Azoknál a betegeknél, akiknél a recidiváló MVT, illetve PE kockázata magasnak tekinthető, például akiknél szövődményes kísérőbetegségek állnak fenn, vagy akiknél a hosszú távú megelőző kezelés alatt ismételten MVT vagy PE jelentkezett, naponta egyszer 10 mg Razarxo alkalmazása mellett, a napi egyszeri 20 mg Razarxo alkalmazását kell mérlegelni.</w:t>
      </w:r>
    </w:p>
    <w:p w:rsidR="00F50CC3" w:rsidRDefault="00F50CC3">
      <w:pPr>
        <w:pStyle w:val="Default"/>
        <w:rPr>
          <w:sz w:val="22"/>
          <w:szCs w:val="22"/>
        </w:rPr>
      </w:pPr>
    </w:p>
    <w:p w:rsidR="00F50CC3" w:rsidRDefault="00730655">
      <w:pPr>
        <w:pStyle w:val="Default"/>
        <w:rPr>
          <w:sz w:val="22"/>
          <w:szCs w:val="22"/>
        </w:rPr>
      </w:pPr>
      <w:r>
        <w:rPr>
          <w:sz w:val="22"/>
          <w:szCs w:val="22"/>
        </w:rPr>
        <w:t>A terápia időtartamát és a dózist egyénre szabottan, a kezelésből származó előny vérzési kockázattal szembeni gondos mérlegelése után kell meghatározni (lásd 4.4 pont).</w:t>
      </w:r>
    </w:p>
    <w:p w:rsidR="00F50CC3" w:rsidRDefault="00F50CC3">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5"/>
        <w:gridCol w:w="2273"/>
        <w:gridCol w:w="2259"/>
        <w:gridCol w:w="2255"/>
      </w:tblGrid>
      <w:tr w:rsidR="00F50CC3">
        <w:tc>
          <w:tcPr>
            <w:tcW w:w="2321" w:type="dxa"/>
            <w:shd w:val="clear" w:color="auto" w:fill="auto"/>
          </w:tcPr>
          <w:p w:rsidR="00F50CC3" w:rsidRDefault="00F50CC3">
            <w:pPr>
              <w:pStyle w:val="Default"/>
              <w:rPr>
                <w:sz w:val="22"/>
                <w:szCs w:val="22"/>
              </w:rPr>
            </w:pPr>
          </w:p>
        </w:tc>
        <w:tc>
          <w:tcPr>
            <w:tcW w:w="2322" w:type="dxa"/>
            <w:shd w:val="clear" w:color="auto" w:fill="auto"/>
          </w:tcPr>
          <w:p w:rsidR="00F50CC3" w:rsidRDefault="00730655">
            <w:pPr>
              <w:pStyle w:val="Default"/>
              <w:rPr>
                <w:b/>
                <w:sz w:val="22"/>
                <w:szCs w:val="22"/>
              </w:rPr>
            </w:pPr>
            <w:r>
              <w:rPr>
                <w:b/>
                <w:sz w:val="22"/>
                <w:szCs w:val="22"/>
              </w:rPr>
              <w:t>Időtartam</w:t>
            </w:r>
          </w:p>
        </w:tc>
        <w:tc>
          <w:tcPr>
            <w:tcW w:w="2322" w:type="dxa"/>
            <w:shd w:val="clear" w:color="auto" w:fill="auto"/>
          </w:tcPr>
          <w:p w:rsidR="00F50CC3" w:rsidRDefault="00730655">
            <w:pPr>
              <w:pStyle w:val="Default"/>
              <w:rPr>
                <w:b/>
                <w:sz w:val="22"/>
                <w:szCs w:val="22"/>
              </w:rPr>
            </w:pPr>
            <w:r>
              <w:rPr>
                <w:b/>
                <w:sz w:val="22"/>
                <w:szCs w:val="22"/>
              </w:rPr>
              <w:t>Adagolási rend</w:t>
            </w:r>
          </w:p>
        </w:tc>
        <w:tc>
          <w:tcPr>
            <w:tcW w:w="2322" w:type="dxa"/>
            <w:shd w:val="clear" w:color="auto" w:fill="auto"/>
          </w:tcPr>
          <w:p w:rsidR="00F50CC3" w:rsidRDefault="00730655">
            <w:pPr>
              <w:pStyle w:val="Default"/>
              <w:rPr>
                <w:b/>
                <w:sz w:val="22"/>
                <w:szCs w:val="22"/>
              </w:rPr>
            </w:pPr>
            <w:r>
              <w:rPr>
                <w:b/>
                <w:sz w:val="22"/>
                <w:szCs w:val="22"/>
              </w:rPr>
              <w:t>Napi összdózis</w:t>
            </w:r>
          </w:p>
        </w:tc>
      </w:tr>
      <w:tr w:rsidR="00F50CC3">
        <w:tc>
          <w:tcPr>
            <w:tcW w:w="2321" w:type="dxa"/>
            <w:vMerge w:val="restart"/>
            <w:shd w:val="clear" w:color="auto" w:fill="auto"/>
          </w:tcPr>
          <w:tbl>
            <w:tblPr>
              <w:tblW w:w="0" w:type="auto"/>
              <w:tblBorders>
                <w:top w:val="nil"/>
                <w:left w:val="nil"/>
                <w:bottom w:val="nil"/>
                <w:right w:val="nil"/>
              </w:tblBorders>
              <w:tblLook w:val="0000" w:firstRow="0" w:lastRow="0" w:firstColumn="0" w:lastColumn="0" w:noHBand="0" w:noVBand="0"/>
            </w:tblPr>
            <w:tblGrid>
              <w:gridCol w:w="2059"/>
            </w:tblGrid>
            <w:tr w:rsidR="00F50CC3">
              <w:trPr>
                <w:trHeight w:val="274"/>
              </w:trPr>
              <w:tc>
                <w:tcPr>
                  <w:tcW w:w="0" w:type="auto"/>
                </w:tcPr>
                <w:p w:rsidR="00F50CC3" w:rsidRDefault="00730655">
                  <w:pPr>
                    <w:pStyle w:val="Default"/>
                    <w:spacing w:before="120" w:after="120"/>
                    <w:rPr>
                      <w:sz w:val="22"/>
                      <w:szCs w:val="22"/>
                    </w:rPr>
                  </w:pPr>
                  <w:r>
                    <w:rPr>
                      <w:sz w:val="22"/>
                      <w:szCs w:val="22"/>
                    </w:rPr>
                    <w:t xml:space="preserve">Recidiváló MVT és PE megelőzése és kezelése </w:t>
                  </w:r>
                </w:p>
              </w:tc>
            </w:tr>
          </w:tbl>
          <w:p w:rsidR="00F50CC3" w:rsidRDefault="00F50CC3">
            <w:pPr>
              <w:pStyle w:val="Default"/>
              <w:rPr>
                <w:sz w:val="22"/>
                <w:szCs w:val="22"/>
              </w:rPr>
            </w:pPr>
          </w:p>
        </w:tc>
        <w:tc>
          <w:tcPr>
            <w:tcW w:w="2322" w:type="dxa"/>
            <w:shd w:val="clear" w:color="auto" w:fill="auto"/>
          </w:tcPr>
          <w:p w:rsidR="00F50CC3" w:rsidRDefault="00730655">
            <w:pPr>
              <w:pStyle w:val="Default"/>
              <w:rPr>
                <w:sz w:val="22"/>
                <w:szCs w:val="22"/>
              </w:rPr>
            </w:pPr>
            <w:r>
              <w:rPr>
                <w:sz w:val="22"/>
                <w:szCs w:val="22"/>
              </w:rPr>
              <w:t>1-21. nap</w:t>
            </w:r>
          </w:p>
        </w:tc>
        <w:tc>
          <w:tcPr>
            <w:tcW w:w="2322" w:type="dxa"/>
            <w:shd w:val="clear" w:color="auto" w:fill="auto"/>
          </w:tcPr>
          <w:p w:rsidR="00F50CC3" w:rsidRDefault="00730655">
            <w:pPr>
              <w:pStyle w:val="Default"/>
              <w:rPr>
                <w:sz w:val="22"/>
                <w:szCs w:val="22"/>
              </w:rPr>
            </w:pPr>
            <w:r>
              <w:rPr>
                <w:sz w:val="22"/>
                <w:szCs w:val="22"/>
              </w:rPr>
              <w:t>Naponta kétszer 15 mg</w:t>
            </w:r>
          </w:p>
        </w:tc>
        <w:tc>
          <w:tcPr>
            <w:tcW w:w="2322" w:type="dxa"/>
            <w:shd w:val="clear" w:color="auto" w:fill="auto"/>
          </w:tcPr>
          <w:p w:rsidR="00F50CC3" w:rsidRDefault="00730655">
            <w:pPr>
              <w:pStyle w:val="Default"/>
              <w:rPr>
                <w:sz w:val="22"/>
                <w:szCs w:val="22"/>
              </w:rPr>
            </w:pPr>
            <w:r>
              <w:rPr>
                <w:sz w:val="22"/>
                <w:szCs w:val="22"/>
              </w:rPr>
              <w:t>30 mg</w:t>
            </w:r>
          </w:p>
        </w:tc>
      </w:tr>
      <w:tr w:rsidR="00F50CC3">
        <w:tc>
          <w:tcPr>
            <w:tcW w:w="2321" w:type="dxa"/>
            <w:vMerge/>
            <w:shd w:val="clear" w:color="auto" w:fill="auto"/>
          </w:tcPr>
          <w:p w:rsidR="00F50CC3" w:rsidRDefault="00F50CC3">
            <w:pPr>
              <w:pStyle w:val="Default"/>
              <w:rPr>
                <w:sz w:val="22"/>
                <w:szCs w:val="22"/>
              </w:rPr>
            </w:pPr>
          </w:p>
        </w:tc>
        <w:tc>
          <w:tcPr>
            <w:tcW w:w="2322" w:type="dxa"/>
            <w:shd w:val="clear" w:color="auto" w:fill="auto"/>
          </w:tcPr>
          <w:p w:rsidR="00F50CC3" w:rsidRDefault="00730655">
            <w:pPr>
              <w:pStyle w:val="Default"/>
              <w:spacing w:before="120" w:after="120"/>
              <w:rPr>
                <w:sz w:val="22"/>
                <w:szCs w:val="22"/>
              </w:rPr>
            </w:pPr>
            <w:r>
              <w:rPr>
                <w:sz w:val="22"/>
                <w:szCs w:val="22"/>
              </w:rPr>
              <w:t xml:space="preserve">A 22. naptól kezdődően </w:t>
            </w:r>
          </w:p>
        </w:tc>
        <w:tc>
          <w:tcPr>
            <w:tcW w:w="2322" w:type="dxa"/>
            <w:shd w:val="clear" w:color="auto" w:fill="auto"/>
          </w:tcPr>
          <w:p w:rsidR="00F50CC3" w:rsidRDefault="00730655">
            <w:pPr>
              <w:pStyle w:val="Default"/>
              <w:rPr>
                <w:sz w:val="22"/>
                <w:szCs w:val="22"/>
              </w:rPr>
            </w:pPr>
            <w:r>
              <w:rPr>
                <w:sz w:val="22"/>
                <w:szCs w:val="22"/>
              </w:rPr>
              <w:t>Naponta egyszer 20 mg</w:t>
            </w:r>
          </w:p>
        </w:tc>
        <w:tc>
          <w:tcPr>
            <w:tcW w:w="2322" w:type="dxa"/>
            <w:shd w:val="clear" w:color="auto" w:fill="auto"/>
          </w:tcPr>
          <w:p w:rsidR="00F50CC3" w:rsidRDefault="00730655">
            <w:pPr>
              <w:pStyle w:val="Default"/>
              <w:rPr>
                <w:sz w:val="22"/>
                <w:szCs w:val="22"/>
              </w:rPr>
            </w:pPr>
            <w:r>
              <w:rPr>
                <w:sz w:val="22"/>
                <w:szCs w:val="22"/>
              </w:rPr>
              <w:t>20 mg</w:t>
            </w:r>
          </w:p>
        </w:tc>
      </w:tr>
      <w:tr w:rsidR="00F50CC3">
        <w:tc>
          <w:tcPr>
            <w:tcW w:w="2321" w:type="dxa"/>
            <w:shd w:val="clear" w:color="auto" w:fill="auto"/>
          </w:tcPr>
          <w:p w:rsidR="00F50CC3" w:rsidRDefault="00730655">
            <w:pPr>
              <w:pStyle w:val="Default"/>
              <w:spacing w:before="120" w:after="120"/>
              <w:rPr>
                <w:sz w:val="22"/>
                <w:szCs w:val="22"/>
              </w:rPr>
            </w:pPr>
            <w:r>
              <w:rPr>
                <w:sz w:val="22"/>
                <w:szCs w:val="22"/>
              </w:rPr>
              <w:t>Recidiváló MVT és PE megelőzése</w:t>
            </w:r>
          </w:p>
        </w:tc>
        <w:tc>
          <w:tcPr>
            <w:tcW w:w="2322" w:type="dxa"/>
            <w:shd w:val="clear" w:color="auto" w:fill="auto"/>
          </w:tcPr>
          <w:p w:rsidR="00F50CC3" w:rsidRDefault="00730655">
            <w:pPr>
              <w:pStyle w:val="Default"/>
              <w:spacing w:before="120" w:after="120"/>
              <w:rPr>
                <w:sz w:val="22"/>
                <w:szCs w:val="22"/>
              </w:rPr>
            </w:pPr>
            <w:r>
              <w:rPr>
                <w:sz w:val="22"/>
                <w:szCs w:val="22"/>
              </w:rPr>
              <w:t xml:space="preserve">Az MVT-re, illetve PE-re alkalmazott legalább 6 hónapos terápia befejeződését követően </w:t>
            </w:r>
          </w:p>
        </w:tc>
        <w:tc>
          <w:tcPr>
            <w:tcW w:w="2322" w:type="dxa"/>
            <w:shd w:val="clear" w:color="auto" w:fill="auto"/>
          </w:tcPr>
          <w:p w:rsidR="00F50CC3" w:rsidRDefault="00730655">
            <w:pPr>
              <w:pStyle w:val="Default"/>
              <w:spacing w:before="120" w:after="120"/>
              <w:rPr>
                <w:sz w:val="22"/>
                <w:szCs w:val="22"/>
              </w:rPr>
            </w:pPr>
            <w:r>
              <w:rPr>
                <w:sz w:val="22"/>
                <w:szCs w:val="22"/>
              </w:rPr>
              <w:t xml:space="preserve">Naponta egyszer 10 mg vagy naponta egyszer 20 mg </w:t>
            </w:r>
          </w:p>
        </w:tc>
        <w:tc>
          <w:tcPr>
            <w:tcW w:w="2322" w:type="dxa"/>
            <w:shd w:val="clear" w:color="auto" w:fill="auto"/>
          </w:tcPr>
          <w:p w:rsidR="00F50CC3" w:rsidRDefault="00730655">
            <w:pPr>
              <w:pStyle w:val="Default"/>
              <w:rPr>
                <w:sz w:val="22"/>
                <w:szCs w:val="22"/>
              </w:rPr>
            </w:pPr>
            <w:r>
              <w:rPr>
                <w:sz w:val="22"/>
                <w:szCs w:val="22"/>
              </w:rPr>
              <w:t>10 mg vagy 20 mg</w:t>
            </w:r>
          </w:p>
        </w:tc>
      </w:tr>
    </w:tbl>
    <w:p w:rsidR="00F50CC3" w:rsidRDefault="00F50CC3">
      <w:pPr>
        <w:pStyle w:val="Default"/>
        <w:rPr>
          <w:sz w:val="22"/>
          <w:szCs w:val="22"/>
        </w:rPr>
      </w:pPr>
    </w:p>
    <w:p w:rsidR="00F50CC3" w:rsidRDefault="00730655">
      <w:pPr>
        <w:pStyle w:val="Default"/>
        <w:rPr>
          <w:sz w:val="22"/>
          <w:szCs w:val="22"/>
        </w:rPr>
      </w:pPr>
      <w:r>
        <w:rPr>
          <w:sz w:val="22"/>
          <w:szCs w:val="22"/>
        </w:rPr>
        <w:t>A 15 mg-os adagról a 21. napot követően a 20 mg-os adagra való áttérés megkönnyítése érdekében az MVT/PE kezelésére szolgáló rivaroxabán az első 4 hét kezelését elindító kezdőcsomagban is elérhető.</w:t>
      </w:r>
    </w:p>
    <w:p w:rsidR="00F50CC3" w:rsidRDefault="00F50CC3">
      <w:pPr>
        <w:pStyle w:val="Default"/>
        <w:rPr>
          <w:sz w:val="22"/>
          <w:szCs w:val="22"/>
        </w:rPr>
      </w:pPr>
    </w:p>
    <w:p w:rsidR="00F50CC3" w:rsidRDefault="00730655">
      <w:pPr>
        <w:pStyle w:val="Default"/>
        <w:rPr>
          <w:sz w:val="22"/>
          <w:szCs w:val="22"/>
        </w:rPr>
      </w:pPr>
      <w:r>
        <w:rPr>
          <w:sz w:val="22"/>
          <w:szCs w:val="22"/>
        </w:rPr>
        <w:t>Ha a naponta kétszer 15 mg-os kezelési szakasz (1-21. nap) alatt kimarad egy adag, a beteg azonnal vegye be a Razarxo-t, mivel így biztosíthatja a 30 mg Razarxo/nap bevitelét. Ebben az esetben egyszerre két darab 15 mg-os tablettát is be lehet venni. A következő napon a betegnek folytatnia kell a szokásos, naponta kétszer 15 mg bevételét, az ajánlásnak megfelelően.</w:t>
      </w:r>
    </w:p>
    <w:p w:rsidR="00F50CC3" w:rsidRDefault="00F50CC3">
      <w:pPr>
        <w:pStyle w:val="Default"/>
        <w:rPr>
          <w:sz w:val="22"/>
          <w:szCs w:val="22"/>
        </w:rPr>
      </w:pPr>
    </w:p>
    <w:p w:rsidR="00F50CC3" w:rsidRDefault="00730655">
      <w:pPr>
        <w:pStyle w:val="Default"/>
        <w:rPr>
          <w:sz w:val="22"/>
          <w:szCs w:val="22"/>
        </w:rPr>
      </w:pPr>
      <w:r>
        <w:rPr>
          <w:sz w:val="22"/>
          <w:szCs w:val="22"/>
        </w:rPr>
        <w:t>Ha a napi egyszeri adagolással végzett kezelési szakban kimarad egy adag, a beteg azonnal vegye be a Razarxo-t, majd másnap folytassa tovább a napi egyszeri alkalmazást az ajánlásnak megfelelően. Nem szabad ugyanazon a napon kétszeres adagot bevenni a kimaradt adag pótlására.</w:t>
      </w:r>
    </w:p>
    <w:p w:rsidR="00F50CC3" w:rsidRDefault="00F50CC3">
      <w:pPr>
        <w:pStyle w:val="Default"/>
        <w:rPr>
          <w:sz w:val="22"/>
          <w:szCs w:val="22"/>
        </w:rPr>
      </w:pPr>
    </w:p>
    <w:p w:rsidR="00F50CC3" w:rsidRDefault="00730655">
      <w:pPr>
        <w:pStyle w:val="Default"/>
        <w:rPr>
          <w:i/>
          <w:iCs/>
          <w:sz w:val="22"/>
          <w:szCs w:val="22"/>
        </w:rPr>
      </w:pPr>
      <w:r>
        <w:rPr>
          <w:i/>
          <w:iCs/>
          <w:sz w:val="22"/>
          <w:szCs w:val="22"/>
        </w:rPr>
        <w:t>Átállás K-vitamin-antagonistáról (KVA) Razarxo-ra</w:t>
      </w:r>
    </w:p>
    <w:p w:rsidR="00F50CC3" w:rsidRDefault="00730655">
      <w:pPr>
        <w:pStyle w:val="Default"/>
        <w:rPr>
          <w:i/>
          <w:iCs/>
          <w:sz w:val="22"/>
          <w:szCs w:val="22"/>
        </w:rPr>
      </w:pPr>
      <w:r>
        <w:rPr>
          <w:sz w:val="22"/>
          <w:szCs w:val="22"/>
        </w:rPr>
        <w:t xml:space="preserve">Az MVT, PE, és az ismétlődés megelőzése miatt kezelt betegeknél a KVA-kezelést abba kell hagyni, és a Razarxo-kezelést el kell kezdeni, ha az INR (Nemzetközi Normalizált Ráta) </w:t>
      </w:r>
      <w:r>
        <w:rPr>
          <w:rFonts w:hint="eastAsia"/>
          <w:sz w:val="22"/>
          <w:szCs w:val="22"/>
        </w:rPr>
        <w:t>≤</w:t>
      </w:r>
      <w:r>
        <w:rPr>
          <w:rFonts w:hint="eastAsia"/>
          <w:sz w:val="22"/>
          <w:szCs w:val="22"/>
        </w:rPr>
        <w:t> 2,5.</w:t>
      </w:r>
    </w:p>
    <w:p w:rsidR="00F50CC3" w:rsidRDefault="00F50CC3">
      <w:pPr>
        <w:pStyle w:val="Default"/>
        <w:rPr>
          <w:sz w:val="22"/>
          <w:szCs w:val="22"/>
        </w:rPr>
      </w:pPr>
    </w:p>
    <w:p w:rsidR="00F50CC3" w:rsidRDefault="00730655">
      <w:pPr>
        <w:pStyle w:val="Default"/>
        <w:rPr>
          <w:sz w:val="22"/>
          <w:szCs w:val="22"/>
        </w:rPr>
      </w:pPr>
      <w:r>
        <w:rPr>
          <w:sz w:val="22"/>
          <w:szCs w:val="22"/>
        </w:rPr>
        <w:t>KVA-ról Razarxo-ra történő átállításkor a betegeknél tévesen emelkedett INR-értéket lehet mérni a Razarxo bevétele után. Az INR nem alkalmas a Razarxo antikoaguláns aktivitásának mérésére, ezért nem szabad alkalmazni (lásd 4.5 pont).</w:t>
      </w:r>
    </w:p>
    <w:p w:rsidR="00F50CC3" w:rsidRDefault="00F50CC3">
      <w:pPr>
        <w:pStyle w:val="Default"/>
        <w:rPr>
          <w:sz w:val="22"/>
          <w:szCs w:val="22"/>
        </w:rPr>
      </w:pPr>
    </w:p>
    <w:p w:rsidR="00F50CC3" w:rsidRDefault="00730655">
      <w:pPr>
        <w:pStyle w:val="Default"/>
        <w:rPr>
          <w:i/>
          <w:iCs/>
          <w:sz w:val="22"/>
          <w:szCs w:val="22"/>
        </w:rPr>
      </w:pPr>
      <w:r>
        <w:rPr>
          <w:i/>
          <w:iCs/>
          <w:sz w:val="22"/>
          <w:szCs w:val="22"/>
        </w:rPr>
        <w:t xml:space="preserve">Átállás </w:t>
      </w:r>
      <w:r>
        <w:rPr>
          <w:i/>
          <w:sz w:val="22"/>
          <w:szCs w:val="22"/>
        </w:rPr>
        <w:t>Razarxo</w:t>
      </w:r>
      <w:r>
        <w:rPr>
          <w:i/>
          <w:iCs/>
          <w:sz w:val="22"/>
          <w:szCs w:val="22"/>
        </w:rPr>
        <w:t>-ról K-vitamin-antagonistára (KVA)</w:t>
      </w:r>
    </w:p>
    <w:p w:rsidR="00F50CC3" w:rsidRDefault="00730655">
      <w:pPr>
        <w:spacing w:line="240" w:lineRule="auto"/>
        <w:rPr>
          <w:lang w:val="hu-HU"/>
        </w:rPr>
      </w:pPr>
      <w:r>
        <w:rPr>
          <w:lang w:val="hu-HU"/>
        </w:rPr>
        <w:t>Razarxo-ról KVA-ra történő átállás során fennáll az elégtelen véralvadásgátlás lehetősége. Egy másik antikoagulánsra történő átállás alatt folyamatos, megfelelő véralvadásgátlást kell biztosítani. Megjegyzendő, hogy a Razarxo hozzájárulhat az INR emelkedéséhez.</w:t>
      </w:r>
    </w:p>
    <w:p w:rsidR="00F50CC3" w:rsidRDefault="00730655">
      <w:pPr>
        <w:pStyle w:val="Default"/>
        <w:rPr>
          <w:sz w:val="22"/>
          <w:szCs w:val="22"/>
        </w:rPr>
      </w:pPr>
      <w:r>
        <w:rPr>
          <w:sz w:val="22"/>
          <w:szCs w:val="22"/>
        </w:rPr>
        <w:t xml:space="preserve">A Razarxo-ról KVA-ra átálló betegeknél a rivaroxabánt és a KVA-t együtt kell adni addig, amíg az INR </w:t>
      </w:r>
      <w:r>
        <w:rPr>
          <w:rFonts w:hint="eastAsia"/>
          <w:sz w:val="22"/>
          <w:szCs w:val="22"/>
        </w:rPr>
        <w:t>≥</w:t>
      </w:r>
      <w:r>
        <w:rPr>
          <w:rFonts w:hint="eastAsia"/>
          <w:sz w:val="22"/>
          <w:szCs w:val="22"/>
        </w:rPr>
        <w:t> </w:t>
      </w:r>
      <w:r>
        <w:rPr>
          <w:sz w:val="22"/>
          <w:szCs w:val="22"/>
        </w:rPr>
        <w:t xml:space="preserve">2,0 nem lesz. Az átállási időszak első két napján a KVA hagyományos kezdeti dózisát kell alkalmazni, majd ezután az INR-nek megfelelően kell beállítani a KVA dózisát. Amíg a beteg a Razarxo-t és a KVA-t is szedi, az INR-vizsgálatot nem szabad az előző adag Razarxo bevételétől számított 24 órán belül elvégezni, ezt közvetlenül a következő adag Razarxo bevétele előtt kell </w:t>
      </w:r>
      <w:r>
        <w:rPr>
          <w:sz w:val="22"/>
          <w:szCs w:val="22"/>
        </w:rPr>
        <w:lastRenderedPageBreak/>
        <w:t>megtenni. Ha a beteg abbahagyta a Razarxo szedését, akkor az INR-vizsgálat az utolsó adag bevételét követő 24 óra után biztonsággal végezhető (lásd 4.5 és 5.2 pont).</w:t>
      </w:r>
    </w:p>
    <w:p w:rsidR="00F50CC3" w:rsidRDefault="00F50CC3">
      <w:pPr>
        <w:pStyle w:val="Default"/>
        <w:rPr>
          <w:sz w:val="22"/>
          <w:szCs w:val="22"/>
        </w:rPr>
      </w:pPr>
    </w:p>
    <w:p w:rsidR="00F50CC3" w:rsidRDefault="00730655">
      <w:pPr>
        <w:pStyle w:val="Default"/>
        <w:rPr>
          <w:sz w:val="22"/>
          <w:szCs w:val="22"/>
        </w:rPr>
      </w:pPr>
      <w:r>
        <w:rPr>
          <w:i/>
          <w:iCs/>
          <w:sz w:val="22"/>
          <w:szCs w:val="22"/>
        </w:rPr>
        <w:t xml:space="preserve">Átállás parenterális antikoagulánsról </w:t>
      </w:r>
      <w:r>
        <w:rPr>
          <w:i/>
          <w:sz w:val="22"/>
          <w:szCs w:val="22"/>
        </w:rPr>
        <w:t>Razarxo</w:t>
      </w:r>
      <w:r>
        <w:rPr>
          <w:i/>
          <w:iCs/>
          <w:sz w:val="22"/>
          <w:szCs w:val="22"/>
        </w:rPr>
        <w:t>-ra</w:t>
      </w:r>
    </w:p>
    <w:p w:rsidR="00F50CC3" w:rsidRDefault="00730655">
      <w:pPr>
        <w:pStyle w:val="Default"/>
        <w:rPr>
          <w:sz w:val="22"/>
          <w:szCs w:val="22"/>
        </w:rPr>
      </w:pPr>
      <w:r>
        <w:rPr>
          <w:sz w:val="22"/>
          <w:szCs w:val="22"/>
        </w:rPr>
        <w:t>Az aktuálisan parenterális antikoagulánssal kezelt betegek esetén a parenterális antikoaguláns adagolását abba kell hagyni, és a Razarxo-kezelést 0</w:t>
      </w:r>
      <w:r>
        <w:rPr>
          <w:sz w:val="22"/>
          <w:szCs w:val="22"/>
        </w:rPr>
        <w:noBreakHyphen/>
        <w:t>2 órával azelőtt az időpont előtt kell elkezdeni, amikor a következő parenterális gyógyszer (pl. kis molekulatömegű heparinok) esedékes lenne, vagy a folyamatosan adagolt parenterális készítmény (pl. intravénásan adagolt, nem frakcionált heparin) abbahagyásakor kell megkezdeni.</w:t>
      </w:r>
    </w:p>
    <w:p w:rsidR="00F50CC3" w:rsidRDefault="00F50CC3">
      <w:pPr>
        <w:pStyle w:val="Default"/>
        <w:rPr>
          <w:sz w:val="22"/>
          <w:szCs w:val="22"/>
        </w:rPr>
      </w:pPr>
    </w:p>
    <w:p w:rsidR="00F50CC3" w:rsidRDefault="00730655">
      <w:pPr>
        <w:pStyle w:val="Default"/>
        <w:rPr>
          <w:sz w:val="22"/>
          <w:szCs w:val="22"/>
        </w:rPr>
      </w:pPr>
      <w:r>
        <w:rPr>
          <w:i/>
          <w:iCs/>
          <w:sz w:val="22"/>
          <w:szCs w:val="22"/>
        </w:rPr>
        <w:t>Átállás Razarxo-ról parenterális antikoagulánsra</w:t>
      </w:r>
    </w:p>
    <w:p w:rsidR="00F50CC3" w:rsidRDefault="00730655">
      <w:pPr>
        <w:spacing w:line="240" w:lineRule="auto"/>
        <w:rPr>
          <w:lang w:val="hu-HU"/>
        </w:rPr>
      </w:pPr>
      <w:r>
        <w:rPr>
          <w:lang w:val="hu-HU"/>
        </w:rPr>
        <w:t>A parenterális antikoaguláns első adagját a következő Razarxo adag bevételének időpontjában kell beadni.</w:t>
      </w:r>
    </w:p>
    <w:p w:rsidR="00F50CC3" w:rsidRDefault="00F50CC3">
      <w:pPr>
        <w:spacing w:line="240" w:lineRule="auto"/>
        <w:rPr>
          <w:lang w:val="hu-HU"/>
        </w:rPr>
      </w:pPr>
    </w:p>
    <w:p w:rsidR="00F50CC3" w:rsidRDefault="00730655">
      <w:pPr>
        <w:pStyle w:val="Default"/>
        <w:rPr>
          <w:i/>
          <w:iCs/>
          <w:sz w:val="22"/>
          <w:szCs w:val="22"/>
        </w:rPr>
      </w:pPr>
      <w:r>
        <w:rPr>
          <w:sz w:val="22"/>
          <w:szCs w:val="22"/>
          <w:u w:val="single"/>
        </w:rPr>
        <w:t>Különleges betegcsoportok</w:t>
      </w:r>
    </w:p>
    <w:p w:rsidR="00F50CC3" w:rsidRDefault="00730655">
      <w:pPr>
        <w:pStyle w:val="Default"/>
        <w:rPr>
          <w:sz w:val="22"/>
          <w:szCs w:val="22"/>
        </w:rPr>
      </w:pPr>
      <w:r>
        <w:rPr>
          <w:i/>
          <w:iCs/>
          <w:sz w:val="22"/>
          <w:szCs w:val="22"/>
        </w:rPr>
        <w:t>Vesekárosodás</w:t>
      </w:r>
    </w:p>
    <w:p w:rsidR="00F50CC3" w:rsidRDefault="00730655">
      <w:pPr>
        <w:pStyle w:val="Default"/>
        <w:rPr>
          <w:sz w:val="22"/>
          <w:szCs w:val="22"/>
        </w:rPr>
      </w:pPr>
      <w:r>
        <w:rPr>
          <w:sz w:val="22"/>
          <w:szCs w:val="22"/>
        </w:rPr>
        <w:t>A súlyos vesekárosodásban (kreatinin-clearance 15</w:t>
      </w:r>
      <w:r>
        <w:rPr>
          <w:sz w:val="22"/>
          <w:szCs w:val="22"/>
        </w:rPr>
        <w:noBreakHyphen/>
        <w:t>29 ml/perc) szenvedő betegekkel kapcsolatban rendelkezésre álló, korlátozott számú klinikai adat azt jelzi, hogy a rivaroxabán plazmakoncentrációja jelentősen megemelkedik. Ezért a Razarxo-t az ilyen betegek esetében elővigyázatosan kell alkalmazni. Alkalmazása nem javasolt olyan betegeknél, akik kreatinin-clearance-értéke &lt; 15 ml/perc (lásd 4.4 és 5.2 pont).</w:t>
      </w:r>
    </w:p>
    <w:p w:rsidR="00F50CC3" w:rsidRDefault="00F50CC3">
      <w:pPr>
        <w:pStyle w:val="Default"/>
        <w:rPr>
          <w:sz w:val="22"/>
          <w:szCs w:val="22"/>
        </w:rPr>
      </w:pPr>
    </w:p>
    <w:p w:rsidR="00F50CC3" w:rsidRDefault="00730655">
      <w:pPr>
        <w:pStyle w:val="Default"/>
        <w:numPr>
          <w:ilvl w:val="0"/>
          <w:numId w:val="10"/>
        </w:numPr>
        <w:ind w:left="567" w:hanging="567"/>
        <w:rPr>
          <w:sz w:val="22"/>
          <w:szCs w:val="22"/>
        </w:rPr>
      </w:pPr>
      <w:r>
        <w:rPr>
          <w:sz w:val="22"/>
          <w:szCs w:val="22"/>
        </w:rPr>
        <w:t>Elektív csípő- vagy térdprotézis műtéten áteső felnőtt betegeknél VTE megelőzésére történő alkalmazása esetén nem szükséges a dózis módosítása enyhe vesekárosodásban (kreatinin-clearance 50</w:t>
      </w:r>
      <w:r>
        <w:rPr>
          <w:sz w:val="22"/>
          <w:szCs w:val="22"/>
        </w:rPr>
        <w:noBreakHyphen/>
        <w:t>80 ml/perc) vagy mérsékelt fokú vesekárosodásban (kreatinin-clearance 30</w:t>
      </w:r>
      <w:r>
        <w:rPr>
          <w:sz w:val="22"/>
          <w:szCs w:val="22"/>
        </w:rPr>
        <w:noBreakHyphen/>
        <w:t>49 ml/perc) szenvedő betegeknél (lásd 5.2 pont).</w:t>
      </w:r>
    </w:p>
    <w:p w:rsidR="00F50CC3" w:rsidRDefault="00F50CC3">
      <w:pPr>
        <w:pStyle w:val="Default"/>
        <w:rPr>
          <w:sz w:val="22"/>
          <w:szCs w:val="22"/>
        </w:rPr>
      </w:pPr>
    </w:p>
    <w:p w:rsidR="00F50CC3" w:rsidRDefault="00730655">
      <w:pPr>
        <w:pStyle w:val="Default"/>
        <w:numPr>
          <w:ilvl w:val="0"/>
          <w:numId w:val="10"/>
        </w:numPr>
        <w:ind w:left="567" w:hanging="567"/>
        <w:rPr>
          <w:sz w:val="22"/>
          <w:szCs w:val="22"/>
        </w:rPr>
      </w:pPr>
      <w:r>
        <w:rPr>
          <w:sz w:val="22"/>
          <w:szCs w:val="22"/>
        </w:rPr>
        <w:t>MVT kezelésére, PE kezelésére és a recidiváló MVT és PE megelőzésére történő alkalmazása esetén nem szükséges a dózis módosítása enyhe vesekárosodásban (kreatinin-clearance 50</w:t>
      </w:r>
      <w:r>
        <w:rPr>
          <w:sz w:val="22"/>
          <w:szCs w:val="22"/>
        </w:rPr>
        <w:noBreakHyphen/>
        <w:t>80 ml/perc) szenvedő betegeknél (lásd 5.2 pont). Mérsékelt fokú (kreatinin-clearance 30</w:t>
      </w:r>
      <w:r>
        <w:rPr>
          <w:sz w:val="22"/>
          <w:szCs w:val="22"/>
        </w:rPr>
        <w:noBreakHyphen/>
        <w:t>49 ml/perc) vagy súlyos (kreatinin-clearance 15</w:t>
      </w:r>
      <w:r>
        <w:rPr>
          <w:sz w:val="22"/>
          <w:szCs w:val="22"/>
        </w:rPr>
        <w:noBreakHyphen/>
        <w:t>29 ml/perc) vesekárosodásban szenvedő betegek: a betegeket naponta kétszer 15 mg-gal kell kezelni az első három héten. Ezután, amennyiben az ajánlott dózis naponta egyszer 20 mg, a dózis napi egyszeri 20 mg-ról napi egyszeri 15 mg-ra való csökkentését meg kell fontolni, ha a beteg becsült vérzési kockázata nagyobb, mint a recidiváló MVT és PE kockázata. A 15 mg alkalmazásának ajánlása farmakokinetikai modellezésen alapul, és nem vizsgálták ebben a klinikai környezetben (lásd 4.4, 5.1 és 5.2 pont).</w:t>
      </w:r>
    </w:p>
    <w:p w:rsidR="00F50CC3" w:rsidRDefault="00730655">
      <w:pPr>
        <w:pStyle w:val="Default"/>
        <w:ind w:firstLine="567"/>
        <w:rPr>
          <w:sz w:val="22"/>
          <w:szCs w:val="22"/>
        </w:rPr>
      </w:pPr>
      <w:r>
        <w:rPr>
          <w:sz w:val="22"/>
          <w:szCs w:val="22"/>
        </w:rPr>
        <w:t>Amennyiben az ajánlott dózis naponta egyszer 10 mg, ennek módosítása nem szükséges.</w:t>
      </w:r>
    </w:p>
    <w:p w:rsidR="00F50CC3" w:rsidRDefault="00F50CC3">
      <w:pPr>
        <w:spacing w:line="240" w:lineRule="auto"/>
        <w:rPr>
          <w:lang w:val="hu-HU"/>
        </w:rPr>
      </w:pPr>
    </w:p>
    <w:p w:rsidR="00F50CC3" w:rsidRDefault="00730655">
      <w:pPr>
        <w:pStyle w:val="Default"/>
        <w:rPr>
          <w:sz w:val="22"/>
          <w:szCs w:val="22"/>
        </w:rPr>
      </w:pPr>
      <w:r>
        <w:rPr>
          <w:i/>
          <w:iCs/>
          <w:sz w:val="22"/>
          <w:szCs w:val="22"/>
        </w:rPr>
        <w:t>Májkárosodás</w:t>
      </w:r>
    </w:p>
    <w:p w:rsidR="00F50CC3" w:rsidRDefault="00730655">
      <w:pPr>
        <w:pStyle w:val="Default"/>
        <w:rPr>
          <w:sz w:val="22"/>
          <w:szCs w:val="22"/>
        </w:rPr>
      </w:pPr>
      <w:r>
        <w:rPr>
          <w:sz w:val="22"/>
          <w:szCs w:val="22"/>
        </w:rPr>
        <w:t>A Razarxo ellenjavallt olyan betegeknél, akik véralvadási zavarral és klinikailag jelentős vérzési kockázattal járó májbetegségben szenvednek, ideértve a Child-Pugh B és C stádiumú cirrhosisos betegeket is (lásd 4.3 és 5.2 pont).</w:t>
      </w:r>
    </w:p>
    <w:p w:rsidR="00F50CC3" w:rsidRDefault="00F50CC3">
      <w:pPr>
        <w:pStyle w:val="Default"/>
        <w:rPr>
          <w:sz w:val="22"/>
          <w:szCs w:val="22"/>
        </w:rPr>
      </w:pPr>
    </w:p>
    <w:p w:rsidR="00F50CC3" w:rsidRDefault="00730655">
      <w:pPr>
        <w:pStyle w:val="Default"/>
        <w:rPr>
          <w:sz w:val="22"/>
          <w:szCs w:val="22"/>
        </w:rPr>
      </w:pPr>
      <w:r>
        <w:rPr>
          <w:i/>
          <w:iCs/>
          <w:sz w:val="22"/>
          <w:szCs w:val="22"/>
        </w:rPr>
        <w:t>Idősek</w:t>
      </w:r>
    </w:p>
    <w:p w:rsidR="00F50CC3" w:rsidRDefault="00730655">
      <w:pPr>
        <w:pStyle w:val="Default"/>
        <w:rPr>
          <w:sz w:val="22"/>
          <w:szCs w:val="22"/>
        </w:rPr>
      </w:pPr>
      <w:r>
        <w:rPr>
          <w:sz w:val="22"/>
          <w:szCs w:val="22"/>
        </w:rPr>
        <w:t>Nem szükséges a dózis módosítása (lásd 5.2 pont).</w:t>
      </w:r>
    </w:p>
    <w:p w:rsidR="00F50CC3" w:rsidRDefault="00F50CC3">
      <w:pPr>
        <w:pStyle w:val="Default"/>
        <w:rPr>
          <w:sz w:val="22"/>
          <w:szCs w:val="22"/>
        </w:rPr>
      </w:pPr>
    </w:p>
    <w:p w:rsidR="00F50CC3" w:rsidRDefault="00730655">
      <w:pPr>
        <w:pStyle w:val="Default"/>
        <w:rPr>
          <w:sz w:val="22"/>
          <w:szCs w:val="22"/>
        </w:rPr>
      </w:pPr>
      <w:r>
        <w:rPr>
          <w:i/>
          <w:iCs/>
          <w:sz w:val="22"/>
          <w:szCs w:val="22"/>
        </w:rPr>
        <w:t>Testtömeg</w:t>
      </w:r>
    </w:p>
    <w:p w:rsidR="00F50CC3" w:rsidRDefault="00730655">
      <w:pPr>
        <w:pStyle w:val="Default"/>
        <w:rPr>
          <w:sz w:val="22"/>
          <w:szCs w:val="22"/>
        </w:rPr>
      </w:pPr>
      <w:r>
        <w:rPr>
          <w:sz w:val="22"/>
          <w:szCs w:val="22"/>
        </w:rPr>
        <w:t>Nem szükséges a dózis módosítása (lásd 5.2 pont).</w:t>
      </w:r>
    </w:p>
    <w:p w:rsidR="00F50CC3" w:rsidRDefault="00F50CC3">
      <w:pPr>
        <w:pStyle w:val="Default"/>
        <w:rPr>
          <w:sz w:val="22"/>
          <w:szCs w:val="22"/>
        </w:rPr>
      </w:pPr>
    </w:p>
    <w:p w:rsidR="00F50CC3" w:rsidRDefault="00730655">
      <w:pPr>
        <w:pStyle w:val="Default"/>
        <w:rPr>
          <w:sz w:val="22"/>
          <w:szCs w:val="22"/>
        </w:rPr>
      </w:pPr>
      <w:r>
        <w:rPr>
          <w:i/>
          <w:iCs/>
          <w:sz w:val="22"/>
          <w:szCs w:val="22"/>
        </w:rPr>
        <w:t>Nemi különbségek</w:t>
      </w:r>
    </w:p>
    <w:p w:rsidR="00F50CC3" w:rsidRDefault="00730655">
      <w:pPr>
        <w:pStyle w:val="Default"/>
        <w:rPr>
          <w:sz w:val="22"/>
          <w:szCs w:val="22"/>
        </w:rPr>
      </w:pPr>
      <w:r>
        <w:rPr>
          <w:sz w:val="22"/>
          <w:szCs w:val="22"/>
        </w:rPr>
        <w:t>Nem szükséges a dózis módosítása (lásd 5.2 pont).</w:t>
      </w:r>
    </w:p>
    <w:p w:rsidR="00F50CC3" w:rsidRDefault="00F50CC3">
      <w:pPr>
        <w:pStyle w:val="Default"/>
        <w:rPr>
          <w:sz w:val="22"/>
          <w:szCs w:val="22"/>
        </w:rPr>
      </w:pPr>
    </w:p>
    <w:p w:rsidR="00F50CC3" w:rsidRDefault="00730655">
      <w:pPr>
        <w:pStyle w:val="Default"/>
        <w:rPr>
          <w:sz w:val="22"/>
          <w:szCs w:val="22"/>
        </w:rPr>
      </w:pPr>
      <w:r>
        <w:rPr>
          <w:i/>
          <w:iCs/>
          <w:sz w:val="22"/>
          <w:szCs w:val="22"/>
        </w:rPr>
        <w:t>Gyermekek és serdülők</w:t>
      </w:r>
    </w:p>
    <w:p w:rsidR="00F50CC3" w:rsidRDefault="00730655" w:rsidP="00A9412C">
      <w:pPr>
        <w:pStyle w:val="Default"/>
        <w:widowControl w:val="0"/>
        <w:rPr>
          <w:sz w:val="22"/>
          <w:szCs w:val="22"/>
        </w:rPr>
      </w:pPr>
      <w:r>
        <w:rPr>
          <w:sz w:val="22"/>
          <w:szCs w:val="22"/>
        </w:rPr>
        <w:t xml:space="preserve">A rivaroxabán 10 mg tabletta biztonságosságát és hatásosságát 0-18 éves gyermekek és serdülők </w:t>
      </w:r>
      <w:r>
        <w:rPr>
          <w:sz w:val="22"/>
          <w:szCs w:val="22"/>
        </w:rPr>
        <w:lastRenderedPageBreak/>
        <w:t>esetében nem igazolták. Nincsenek rendelkezésre álló adatok. A Razarxo 10 mg tabletta alkalmazása ezért 18 év alatti gyermekeknél és serdülőknél nem javasolt.</w:t>
      </w:r>
    </w:p>
    <w:p w:rsidR="00F50CC3" w:rsidRDefault="00F50CC3">
      <w:pPr>
        <w:spacing w:line="240" w:lineRule="auto"/>
        <w:rPr>
          <w:lang w:val="hu-HU"/>
        </w:rPr>
      </w:pPr>
    </w:p>
    <w:p w:rsidR="00F50CC3" w:rsidRDefault="00730655">
      <w:pPr>
        <w:spacing w:line="240" w:lineRule="auto"/>
        <w:rPr>
          <w:u w:val="single"/>
          <w:lang w:val="hu-HU"/>
        </w:rPr>
      </w:pPr>
      <w:r>
        <w:rPr>
          <w:u w:val="single"/>
          <w:lang w:val="hu-HU"/>
        </w:rPr>
        <w:t>Az alkalmazás módja</w:t>
      </w:r>
    </w:p>
    <w:p w:rsidR="00F50CC3" w:rsidRDefault="00730655">
      <w:pPr>
        <w:pStyle w:val="Default"/>
        <w:rPr>
          <w:sz w:val="22"/>
          <w:szCs w:val="22"/>
        </w:rPr>
      </w:pPr>
      <w:r>
        <w:rPr>
          <w:sz w:val="22"/>
          <w:szCs w:val="22"/>
        </w:rPr>
        <w:t xml:space="preserve">A </w:t>
      </w:r>
      <w:r>
        <w:rPr>
          <w:noProof/>
          <w:sz w:val="22"/>
          <w:szCs w:val="22"/>
        </w:rPr>
        <w:t xml:space="preserve">Razarxo </w:t>
      </w:r>
      <w:r>
        <w:rPr>
          <w:sz w:val="22"/>
          <w:szCs w:val="22"/>
        </w:rPr>
        <w:t>szájon át történő alkalmazásra való.</w:t>
      </w:r>
    </w:p>
    <w:p w:rsidR="00F50CC3" w:rsidRDefault="00730655">
      <w:pPr>
        <w:pStyle w:val="Default"/>
        <w:rPr>
          <w:sz w:val="22"/>
          <w:szCs w:val="22"/>
        </w:rPr>
      </w:pPr>
      <w:r>
        <w:rPr>
          <w:sz w:val="22"/>
          <w:szCs w:val="22"/>
        </w:rPr>
        <w:t>A tablettát étkezés közben vagy attól függetlenül is be lehet venni. (lásd 4.5 és 5.2 pont).</w:t>
      </w:r>
    </w:p>
    <w:p w:rsidR="00F50CC3" w:rsidRDefault="00F50CC3">
      <w:pPr>
        <w:pStyle w:val="Default"/>
        <w:rPr>
          <w:sz w:val="22"/>
          <w:szCs w:val="22"/>
        </w:rPr>
      </w:pPr>
    </w:p>
    <w:p w:rsidR="00F50CC3" w:rsidRDefault="00730655">
      <w:pPr>
        <w:pStyle w:val="Default"/>
        <w:rPr>
          <w:i/>
          <w:sz w:val="22"/>
          <w:szCs w:val="22"/>
        </w:rPr>
      </w:pPr>
      <w:r>
        <w:rPr>
          <w:i/>
          <w:sz w:val="22"/>
          <w:szCs w:val="22"/>
        </w:rPr>
        <w:t>Porrá tört tabletta</w:t>
      </w:r>
    </w:p>
    <w:p w:rsidR="00F50CC3" w:rsidRDefault="00730655">
      <w:pPr>
        <w:pStyle w:val="Default"/>
        <w:rPr>
          <w:sz w:val="22"/>
          <w:szCs w:val="22"/>
        </w:rPr>
      </w:pPr>
      <w:r>
        <w:rPr>
          <w:sz w:val="22"/>
          <w:szCs w:val="22"/>
        </w:rPr>
        <w:t>Azoknak a betegeknek, akik nem tudják egészben lenyelni a tablettát, a Razarxo tabletta közvetlenül a bevétel előtt porrá is törhető, és vízzel vagy almapürével keverve szájon át beadható.</w:t>
      </w:r>
    </w:p>
    <w:p w:rsidR="00F50CC3" w:rsidRDefault="00730655">
      <w:pPr>
        <w:spacing w:line="240" w:lineRule="auto"/>
        <w:rPr>
          <w:u w:val="single"/>
          <w:lang w:val="hu-HU"/>
        </w:rPr>
      </w:pPr>
      <w:r>
        <w:rPr>
          <w:lang w:val="hu-HU"/>
        </w:rPr>
        <w:t>A porrá tört Razarxo tablettát gyomorszondán keresztül is be lehet adni (lásd 5.2 és 6.6 pont).</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4.3</w:t>
      </w:r>
      <w:r>
        <w:rPr>
          <w:b/>
          <w:noProof/>
          <w:lang w:val="hu-HU"/>
        </w:rPr>
        <w:tab/>
        <w:t>Ellenjavallatok</w:t>
      </w:r>
    </w:p>
    <w:p w:rsidR="00F50CC3" w:rsidRDefault="00F50CC3">
      <w:pPr>
        <w:spacing w:line="240" w:lineRule="auto"/>
        <w:rPr>
          <w:noProof/>
          <w:lang w:val="hu-HU"/>
        </w:rPr>
      </w:pPr>
    </w:p>
    <w:p w:rsidR="00F50CC3" w:rsidRDefault="00730655">
      <w:pPr>
        <w:spacing w:line="240" w:lineRule="auto"/>
        <w:rPr>
          <w:noProof/>
          <w:lang w:val="hu-HU"/>
        </w:rPr>
      </w:pPr>
      <w:r>
        <w:rPr>
          <w:noProof/>
          <w:lang w:val="hu-HU"/>
        </w:rPr>
        <w:t>A készítmény hatóanyagával vagy a 6.1 pontban felsorolt bármely segédanyagával szembeni túlérzékenység.</w:t>
      </w:r>
    </w:p>
    <w:p w:rsidR="00F50CC3" w:rsidRDefault="00F50CC3">
      <w:pPr>
        <w:spacing w:line="240" w:lineRule="auto"/>
        <w:rPr>
          <w:noProof/>
          <w:lang w:val="hu-HU"/>
        </w:rPr>
      </w:pPr>
    </w:p>
    <w:p w:rsidR="00F50CC3" w:rsidRDefault="00730655">
      <w:pPr>
        <w:pStyle w:val="Default"/>
        <w:rPr>
          <w:sz w:val="22"/>
          <w:szCs w:val="22"/>
        </w:rPr>
      </w:pPr>
      <w:r>
        <w:rPr>
          <w:sz w:val="22"/>
          <w:szCs w:val="22"/>
        </w:rPr>
        <w:t>Aktív, klinikailag jelentős vérzés.</w:t>
      </w:r>
    </w:p>
    <w:p w:rsidR="00F50CC3" w:rsidRDefault="00F50CC3">
      <w:pPr>
        <w:pStyle w:val="Default"/>
        <w:rPr>
          <w:sz w:val="22"/>
          <w:szCs w:val="22"/>
        </w:rPr>
      </w:pPr>
    </w:p>
    <w:p w:rsidR="00F50CC3" w:rsidRDefault="00730655">
      <w:pPr>
        <w:pStyle w:val="Default"/>
        <w:rPr>
          <w:sz w:val="22"/>
          <w:szCs w:val="22"/>
        </w:rPr>
      </w:pPr>
      <w:r>
        <w:rPr>
          <w:sz w:val="22"/>
          <w:szCs w:val="22"/>
        </w:rPr>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rsidR="00F50CC3" w:rsidRDefault="00F50CC3">
      <w:pPr>
        <w:pStyle w:val="Default"/>
        <w:rPr>
          <w:sz w:val="22"/>
          <w:szCs w:val="22"/>
        </w:rPr>
      </w:pPr>
    </w:p>
    <w:p w:rsidR="00F50CC3" w:rsidRDefault="00730655">
      <w:pPr>
        <w:pStyle w:val="Default"/>
        <w:rPr>
          <w:sz w:val="22"/>
          <w:szCs w:val="22"/>
        </w:rPr>
      </w:pPr>
      <w:r>
        <w:rPr>
          <w:sz w:val="22"/>
          <w:szCs w:val="22"/>
        </w:rPr>
        <w:t>Bármely más antikoagulánssal való együttes kezelés, pl. nem frakcionált heparin (unfractionated heparin, UFH), kis molekulatömegű heparinok (enoxaparin, dalteparin, stb.), heparin származékok (fondaparinux, stb.), orális antikoagulánsok (warfarin, dabigatrán etexilát, apixabán stb.), kivéve abban a speciális esetben, ha az antikoaguláns terápia váltása történik (lásd 4.2 pont), vagy ha az UFH-t olyan dózisban adják, amely egy centrális vénás vagy artériás kanül átjárhatóságának fenntartásához szükséges (lásd 4.5 pont).</w:t>
      </w:r>
    </w:p>
    <w:p w:rsidR="00F50CC3" w:rsidRDefault="00F50CC3">
      <w:pPr>
        <w:pStyle w:val="Default"/>
        <w:rPr>
          <w:sz w:val="22"/>
          <w:szCs w:val="22"/>
        </w:rPr>
      </w:pPr>
    </w:p>
    <w:p w:rsidR="00F50CC3" w:rsidRDefault="00730655">
      <w:pPr>
        <w:pStyle w:val="Default"/>
        <w:rPr>
          <w:sz w:val="22"/>
          <w:szCs w:val="22"/>
        </w:rPr>
      </w:pPr>
      <w:r>
        <w:rPr>
          <w:sz w:val="22"/>
          <w:szCs w:val="22"/>
        </w:rPr>
        <w:t>Véralvadási zavarral és klinikailag jelentős vérzési kockázattal járó májbetegség, beleértve a Child-Pugh-B és C stádiumú cirrhosisos betegeket is (lásd 5.2 pont).</w:t>
      </w:r>
    </w:p>
    <w:p w:rsidR="00F50CC3" w:rsidRDefault="00F50CC3">
      <w:pPr>
        <w:pStyle w:val="Default"/>
        <w:rPr>
          <w:sz w:val="22"/>
          <w:szCs w:val="22"/>
        </w:rPr>
      </w:pPr>
    </w:p>
    <w:p w:rsidR="00F50CC3" w:rsidRDefault="00730655">
      <w:pPr>
        <w:spacing w:line="240" w:lineRule="auto"/>
        <w:rPr>
          <w:noProof/>
          <w:lang w:val="hu-HU"/>
        </w:rPr>
      </w:pPr>
      <w:r>
        <w:rPr>
          <w:lang w:val="hu-HU"/>
        </w:rPr>
        <w:t>Terhesség és szoptatás (lásd 4.6 pont).</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4.4</w:t>
      </w:r>
      <w:r>
        <w:rPr>
          <w:b/>
          <w:noProof/>
          <w:lang w:val="hu-HU"/>
        </w:rPr>
        <w:tab/>
        <w:t>Különleges figyelmeztetések és az alkalmazással kapcsolatos óvintézkedések</w:t>
      </w:r>
    </w:p>
    <w:p w:rsidR="00F50CC3" w:rsidRDefault="00F50CC3">
      <w:pPr>
        <w:spacing w:line="240" w:lineRule="auto"/>
        <w:rPr>
          <w:lang w:val="hu-HU"/>
        </w:rPr>
      </w:pPr>
    </w:p>
    <w:p w:rsidR="00F50CC3" w:rsidRDefault="00730655">
      <w:pPr>
        <w:spacing w:line="240" w:lineRule="auto"/>
        <w:rPr>
          <w:lang w:val="hu-HU"/>
        </w:rPr>
      </w:pPr>
      <w:r>
        <w:rPr>
          <w:lang w:val="hu-HU"/>
        </w:rPr>
        <w:t>A kezelési időszak teljes időtartama alatt az antikoagulációs gyakorlatnak megfelelő klinikai megfigyelés javasolt.</w:t>
      </w:r>
    </w:p>
    <w:p w:rsidR="00F50CC3" w:rsidRDefault="00F50CC3">
      <w:pPr>
        <w:spacing w:line="240" w:lineRule="auto"/>
        <w:rPr>
          <w:lang w:val="hu-HU"/>
        </w:rPr>
      </w:pPr>
    </w:p>
    <w:p w:rsidR="00F50CC3" w:rsidRDefault="00730655">
      <w:pPr>
        <w:pStyle w:val="Default"/>
        <w:rPr>
          <w:sz w:val="22"/>
          <w:szCs w:val="22"/>
          <w:u w:val="single"/>
        </w:rPr>
      </w:pPr>
      <w:r>
        <w:rPr>
          <w:sz w:val="22"/>
          <w:szCs w:val="22"/>
          <w:u w:val="single"/>
        </w:rPr>
        <w:t>Vérzés kockázata</w:t>
      </w:r>
    </w:p>
    <w:p w:rsidR="00F50CC3" w:rsidRDefault="00730655">
      <w:pPr>
        <w:pStyle w:val="Default"/>
        <w:rPr>
          <w:sz w:val="22"/>
          <w:szCs w:val="22"/>
          <w:u w:val="single"/>
        </w:rPr>
      </w:pPr>
      <w:r>
        <w:rPr>
          <w:sz w:val="22"/>
          <w:szCs w:val="22"/>
        </w:rPr>
        <w:t>Más antikoagulánsokhoz hasonlóan a Razarxo-t szedő betegeket szoros megfigyelés alatt kell tartani a vérzés jeleinek észlelése érdekében. Emelkedett vérzési kockázattal járó állapotok esetén ajánlott elővigyázatosan alkalmazni. A Razarxo alkalmazását abba kell hagyni, ha súlyos vérzés lép fel (lásd 4.9 pont).</w:t>
      </w:r>
    </w:p>
    <w:p w:rsidR="00F50CC3" w:rsidRDefault="00F50CC3">
      <w:pPr>
        <w:pStyle w:val="Default"/>
        <w:rPr>
          <w:sz w:val="22"/>
          <w:szCs w:val="22"/>
          <w:u w:val="single"/>
        </w:rPr>
      </w:pPr>
    </w:p>
    <w:p w:rsidR="00F50CC3" w:rsidRDefault="00730655">
      <w:pPr>
        <w:pStyle w:val="Default"/>
        <w:rPr>
          <w:sz w:val="22"/>
          <w:szCs w:val="22"/>
          <w:u w:val="single"/>
        </w:rPr>
      </w:pPr>
      <w:r>
        <w:rPr>
          <w:sz w:val="22"/>
          <w:szCs w:val="22"/>
        </w:rPr>
        <w:t>A klinikai vizsgálatok során gyakrabban észleltek nyálkahártyavérzést (azaz epistaxist, fogíny, gastrointestinalis, urogenitalis, beleértve a kóros hüvelyi vérzést vagy fokozott menstruációs vérzést is) és anaemiát a hosszú távú rivaroxabán-kezelés során, mint a KVA-kezelés esetén. Így a megfelelő klinikai megfigyelésen felül a haemoglobin/haematokrit-érték laboratóriumi vizsgálata értékes lehet az okkult vérzés detektálásában, és a nyilvánvaló vérzés klinikai jelentőségének számszerű maghatározásában, amennyiben szükségesnek ítélik.</w:t>
      </w:r>
    </w:p>
    <w:p w:rsidR="00F50CC3" w:rsidRDefault="00F50CC3">
      <w:pPr>
        <w:pStyle w:val="Default"/>
        <w:rPr>
          <w:sz w:val="22"/>
          <w:szCs w:val="22"/>
        </w:rPr>
      </w:pPr>
    </w:p>
    <w:p w:rsidR="00F50CC3" w:rsidRDefault="00730655">
      <w:pPr>
        <w:pStyle w:val="Default"/>
        <w:rPr>
          <w:sz w:val="22"/>
          <w:szCs w:val="22"/>
        </w:rPr>
      </w:pPr>
      <w:r>
        <w:rPr>
          <w:sz w:val="22"/>
          <w:szCs w:val="22"/>
        </w:rPr>
        <w:t>Az alábbiakban részletezett betegcsoportok esetén fokozott a vérzés kockázata. Ezen betegek esetében a vérzéses szövődmények és az anaemia jeleinek és tüneteinek gondos monitorozása szükséges a kezelés megkezdésekor (lásd 4.8 pont). Azoknál a betegeknél, akik Razarxo-t elektív csípő- vagy térdprotézis műtét után, VTE megelőzésre kapják, ez a betegek rendszeres fizikai vizsgálatával, a műtéti seb</w:t>
      </w:r>
      <w:bookmarkStart w:id="1" w:name="_Hlk35934591"/>
      <w:r>
        <w:rPr>
          <w:sz w:val="22"/>
          <w:szCs w:val="22"/>
        </w:rPr>
        <w:t xml:space="preserve"> drenázs </w:t>
      </w:r>
      <w:bookmarkEnd w:id="1"/>
      <w:r>
        <w:rPr>
          <w:sz w:val="22"/>
          <w:szCs w:val="22"/>
        </w:rPr>
        <w:t>alapos ellenőrzésével és rendszeres hemoglobin-méréssel biztosítható. A hemoglobinszint vagy a vérnyomás bármely nem megmagyarázható esése esetén meg kell keresni a vérzés forrását.</w:t>
      </w:r>
    </w:p>
    <w:p w:rsidR="00F50CC3" w:rsidRDefault="00F50CC3">
      <w:pPr>
        <w:pStyle w:val="Default"/>
        <w:rPr>
          <w:sz w:val="22"/>
          <w:szCs w:val="22"/>
        </w:rPr>
      </w:pPr>
    </w:p>
    <w:p w:rsidR="00F50CC3" w:rsidRDefault="00730655">
      <w:pPr>
        <w:pStyle w:val="Default"/>
        <w:rPr>
          <w:sz w:val="22"/>
          <w:szCs w:val="22"/>
        </w:rPr>
      </w:pPr>
      <w:r>
        <w:rPr>
          <w:sz w:val="22"/>
          <w:szCs w:val="22"/>
        </w:rPr>
        <w:t>Bár a rivaroxabán-kezelés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w:t>
      </w:r>
    </w:p>
    <w:p w:rsidR="00F50CC3" w:rsidRDefault="00F50CC3">
      <w:pPr>
        <w:pStyle w:val="Default"/>
        <w:rPr>
          <w:sz w:val="22"/>
          <w:szCs w:val="22"/>
        </w:rPr>
      </w:pPr>
    </w:p>
    <w:p w:rsidR="00F50CC3" w:rsidRDefault="00730655">
      <w:pPr>
        <w:pStyle w:val="Default"/>
        <w:rPr>
          <w:sz w:val="22"/>
          <w:szCs w:val="22"/>
        </w:rPr>
      </w:pPr>
      <w:r>
        <w:rPr>
          <w:sz w:val="22"/>
          <w:szCs w:val="22"/>
          <w:u w:val="single"/>
        </w:rPr>
        <w:t>Vesekárosodás</w:t>
      </w:r>
    </w:p>
    <w:p w:rsidR="00F50CC3" w:rsidRDefault="00730655">
      <w:pPr>
        <w:pStyle w:val="Default"/>
        <w:rPr>
          <w:sz w:val="22"/>
          <w:szCs w:val="22"/>
        </w:rPr>
      </w:pPr>
      <w:r>
        <w:rPr>
          <w:sz w:val="22"/>
          <w:szCs w:val="22"/>
        </w:rPr>
        <w:t>Súlyos vesekárosodásban (kreatinin-clearance &lt; 30 ml/perc) szenvedő betegeknél a rivaroxabán plazmaszintje jelentősen emelkedett (átlagosan 1,6-szeres ) lehet, ami a vérzés fokozott kockázatához vezethet. A Razarxo-t elővigyázatosan kell alkalmazni olyan betegeknél, akik kreatinin-clearance-értéke 15</w:t>
      </w:r>
      <w:r>
        <w:rPr>
          <w:sz w:val="22"/>
          <w:szCs w:val="22"/>
        </w:rPr>
        <w:noBreakHyphen/>
        <w:t>29 ml/perc között van. Alkalmazása nem javasolt olyan betegeknél, akik kreatinin-clearance-értéke &lt; 15 ml/perc (lásd 4.2 és 5.2 pont). Olyan mérsékelt fokú vesekárosodásban szenvedő betegeknél (kreatinin-clearance-érték 30</w:t>
      </w:r>
      <w:r>
        <w:rPr>
          <w:sz w:val="22"/>
          <w:szCs w:val="22"/>
        </w:rPr>
        <w:noBreakHyphen/>
        <w:t>49 ml/perc között), akik egyidejűleg a rivaroxabán plazmakoncentrációját növelő gyógyszereket kapnak a Razarxo elővigyázatosan alkalmazható (lásd 4.5 pont).</w:t>
      </w:r>
    </w:p>
    <w:p w:rsidR="00F50CC3" w:rsidRDefault="00F50CC3">
      <w:pPr>
        <w:spacing w:line="240" w:lineRule="auto"/>
        <w:rPr>
          <w:lang w:val="hu-HU"/>
        </w:rPr>
      </w:pPr>
    </w:p>
    <w:p w:rsidR="00F50CC3" w:rsidRDefault="00730655">
      <w:pPr>
        <w:pStyle w:val="Default"/>
        <w:rPr>
          <w:sz w:val="22"/>
          <w:szCs w:val="22"/>
        </w:rPr>
      </w:pPr>
      <w:r>
        <w:rPr>
          <w:sz w:val="22"/>
          <w:szCs w:val="22"/>
          <w:u w:val="single"/>
        </w:rPr>
        <w:t>Kölcsönhatások egyéb gyógyszerekkel</w:t>
      </w:r>
    </w:p>
    <w:p w:rsidR="00F50CC3" w:rsidRDefault="00730655">
      <w:pPr>
        <w:spacing w:line="240" w:lineRule="auto"/>
        <w:rPr>
          <w:lang w:val="hu-HU"/>
        </w:rPr>
      </w:pPr>
      <w:r>
        <w:rPr>
          <w:lang w:val="hu-HU"/>
        </w:rPr>
        <w:t>A Razarxo alkalmazása nem javasolt, ha a beteg egyidejűleg szisztémás azol típusú antimikotikum (pl. ketokonazol, itrakonazol, vorikonazol és pozakonazol) vagy HIV proteáz inhibitor (pl. ritonavir) kezelésben részesül. Ezek a hatóanyagok erősen gátolják a CYP3A4-et és a P-glikoproteineket (P-gp), ezáltal klinikailag jelentős mértékben növelhetik (átlagosan 2,6-szeresére) a rivaroxabán plazmakoncentrációját, ami fokozott vérzési kockázathoz vezethet (lásd 4.5 pont).</w:t>
      </w:r>
    </w:p>
    <w:p w:rsidR="00F50CC3" w:rsidRDefault="00F50CC3">
      <w:pPr>
        <w:spacing w:line="240" w:lineRule="auto"/>
        <w:rPr>
          <w:lang w:val="hu-HU"/>
        </w:rPr>
      </w:pPr>
    </w:p>
    <w:p w:rsidR="00F50CC3" w:rsidRDefault="00730655">
      <w:pPr>
        <w:pStyle w:val="Default"/>
        <w:rPr>
          <w:sz w:val="22"/>
          <w:szCs w:val="22"/>
        </w:rPr>
      </w:pPr>
      <w:r>
        <w:rPr>
          <w:sz w:val="22"/>
          <w:szCs w:val="22"/>
        </w:rPr>
        <w:t>Elővigyázatosan kell eljárni, ha a beteg egyidejűleg a véralvadást befolyásoló egyéb gyógyszereket szed, ilyenek a nemszteroid gyulladásgátló gyógyszerek (NSAID), acetilszalicilsav (ASA) és a trombocita-aggregáció gátlók vagy szelektív szerotonin-visszavétel-gátlók (SSRI) és a szerotonin-noradrenalin-visszavétel-gátlók (SNRI). Olyan betegek esetében, akiknél fennáll gyomor-, bélrendszeri fekély kockázata, megfontolható a megfelelő profilaktikus kezelés (lásd 4.5 pont).</w:t>
      </w:r>
    </w:p>
    <w:p w:rsidR="00F50CC3" w:rsidRDefault="00F50CC3">
      <w:pPr>
        <w:pStyle w:val="Default"/>
        <w:rPr>
          <w:sz w:val="22"/>
          <w:szCs w:val="22"/>
        </w:rPr>
      </w:pPr>
    </w:p>
    <w:p w:rsidR="00F50CC3" w:rsidRDefault="00730655">
      <w:pPr>
        <w:pStyle w:val="Default"/>
        <w:rPr>
          <w:sz w:val="22"/>
          <w:szCs w:val="22"/>
        </w:rPr>
      </w:pPr>
      <w:r>
        <w:rPr>
          <w:sz w:val="22"/>
          <w:szCs w:val="22"/>
          <w:u w:val="single"/>
        </w:rPr>
        <w:t>Egyéb vérzéses kockázati faktorok</w:t>
      </w:r>
    </w:p>
    <w:p w:rsidR="00F50CC3" w:rsidRDefault="00730655">
      <w:pPr>
        <w:pStyle w:val="Default"/>
        <w:rPr>
          <w:sz w:val="22"/>
          <w:szCs w:val="22"/>
        </w:rPr>
      </w:pPr>
      <w:r>
        <w:rPr>
          <w:sz w:val="22"/>
          <w:szCs w:val="22"/>
        </w:rPr>
        <w:t>A rivaroxabán alkalmazása – az egyéb antithrombotikus gyógyszerekhez hasonlóan – nem javasolt a vérzés szempontjából fokozott kockázatú betegek esetében, mint például:</w:t>
      </w:r>
    </w:p>
    <w:p w:rsidR="00F50CC3" w:rsidRDefault="00730655">
      <w:pPr>
        <w:pStyle w:val="Default"/>
        <w:numPr>
          <w:ilvl w:val="0"/>
          <w:numId w:val="7"/>
        </w:numPr>
        <w:ind w:left="567" w:hanging="567"/>
        <w:rPr>
          <w:sz w:val="22"/>
          <w:szCs w:val="22"/>
        </w:rPr>
      </w:pPr>
      <w:r>
        <w:rPr>
          <w:sz w:val="22"/>
          <w:szCs w:val="22"/>
        </w:rPr>
        <w:t>veleszületett vagy szerzett vérzéses megbetegedések</w:t>
      </w:r>
    </w:p>
    <w:p w:rsidR="00F50CC3" w:rsidRDefault="00730655">
      <w:pPr>
        <w:pStyle w:val="Default"/>
        <w:numPr>
          <w:ilvl w:val="0"/>
          <w:numId w:val="7"/>
        </w:numPr>
        <w:ind w:left="567" w:hanging="567"/>
        <w:rPr>
          <w:sz w:val="22"/>
          <w:szCs w:val="22"/>
        </w:rPr>
      </w:pPr>
      <w:r>
        <w:rPr>
          <w:sz w:val="22"/>
          <w:szCs w:val="22"/>
        </w:rPr>
        <w:t>nem kontrollált súlyos artériás hypertonia</w:t>
      </w:r>
    </w:p>
    <w:p w:rsidR="00F50CC3" w:rsidRDefault="00730655">
      <w:pPr>
        <w:pStyle w:val="Default"/>
        <w:numPr>
          <w:ilvl w:val="0"/>
          <w:numId w:val="7"/>
        </w:numPr>
        <w:ind w:left="567" w:hanging="567"/>
        <w:rPr>
          <w:sz w:val="22"/>
          <w:szCs w:val="22"/>
        </w:rPr>
      </w:pPr>
      <w:r>
        <w:rPr>
          <w:sz w:val="22"/>
          <w:szCs w:val="22"/>
        </w:rPr>
        <w:t>egyéb, olyan aktív ulceratio mentes gastrointestinalis betegség, amely vérzési komplikációk kialakulásához vezethet (pl.: gyulladásos bélbetegség, oesophagitis, gastritis, gastrooesophagealis reflux betegség)</w:t>
      </w:r>
    </w:p>
    <w:p w:rsidR="00F50CC3" w:rsidRDefault="00730655">
      <w:pPr>
        <w:pStyle w:val="Default"/>
        <w:numPr>
          <w:ilvl w:val="0"/>
          <w:numId w:val="7"/>
        </w:numPr>
        <w:ind w:left="567" w:hanging="567"/>
        <w:rPr>
          <w:sz w:val="22"/>
          <w:szCs w:val="22"/>
        </w:rPr>
      </w:pPr>
      <w:r>
        <w:rPr>
          <w:sz w:val="22"/>
          <w:szCs w:val="22"/>
        </w:rPr>
        <w:t>vascularis retinopathia</w:t>
      </w:r>
    </w:p>
    <w:p w:rsidR="00F50CC3" w:rsidRDefault="00730655">
      <w:pPr>
        <w:pStyle w:val="Default"/>
        <w:numPr>
          <w:ilvl w:val="0"/>
          <w:numId w:val="7"/>
        </w:numPr>
        <w:ind w:left="567" w:hanging="567"/>
        <w:rPr>
          <w:sz w:val="22"/>
          <w:szCs w:val="22"/>
        </w:rPr>
      </w:pPr>
      <w:r>
        <w:rPr>
          <w:sz w:val="22"/>
          <w:szCs w:val="22"/>
        </w:rPr>
        <w:t>bronchiectasia vagy a kórelőzményben szereplő tüdővérzés.</w:t>
      </w:r>
    </w:p>
    <w:p w:rsidR="00F50CC3" w:rsidRDefault="00F50CC3">
      <w:pPr>
        <w:pStyle w:val="Default"/>
        <w:ind w:left="567" w:hanging="568"/>
        <w:rPr>
          <w:sz w:val="22"/>
          <w:szCs w:val="22"/>
        </w:rPr>
      </w:pPr>
    </w:p>
    <w:p w:rsidR="00F50CC3" w:rsidRDefault="00730655">
      <w:pPr>
        <w:pStyle w:val="Default"/>
        <w:rPr>
          <w:sz w:val="22"/>
          <w:szCs w:val="22"/>
          <w:u w:val="single"/>
        </w:rPr>
      </w:pPr>
      <w:r>
        <w:rPr>
          <w:sz w:val="22"/>
          <w:szCs w:val="22"/>
          <w:u w:val="single"/>
        </w:rPr>
        <w:t>Daganatos betegek</w:t>
      </w:r>
    </w:p>
    <w:p w:rsidR="00F50CC3" w:rsidRDefault="00730655">
      <w:pPr>
        <w:pStyle w:val="Default"/>
        <w:rPr>
          <w:sz w:val="22"/>
          <w:szCs w:val="22"/>
        </w:rPr>
      </w:pPr>
      <w:r>
        <w:rPr>
          <w:sz w:val="22"/>
          <w:szCs w:val="22"/>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w:t>
      </w:r>
    </w:p>
    <w:p w:rsidR="00F50CC3" w:rsidRDefault="00730655">
      <w:pPr>
        <w:pStyle w:val="Default"/>
        <w:rPr>
          <w:sz w:val="22"/>
          <w:szCs w:val="22"/>
        </w:rPr>
      </w:pPr>
      <w:r>
        <w:rPr>
          <w:sz w:val="22"/>
          <w:szCs w:val="22"/>
        </w:rPr>
        <w:lastRenderedPageBreak/>
        <w:t>Nagy vérzési kockázattal járó, rosszindulatú neoplazmás betegeknél a rivaroxabán alkalmazása ellenjavalt (lásd 4.3 pont).</w:t>
      </w:r>
    </w:p>
    <w:p w:rsidR="00F50CC3" w:rsidRDefault="00F50CC3">
      <w:pPr>
        <w:pStyle w:val="Default"/>
        <w:rPr>
          <w:sz w:val="22"/>
          <w:szCs w:val="22"/>
        </w:rPr>
      </w:pPr>
    </w:p>
    <w:p w:rsidR="00F50CC3" w:rsidRDefault="00730655">
      <w:pPr>
        <w:pStyle w:val="Default"/>
        <w:rPr>
          <w:sz w:val="22"/>
          <w:szCs w:val="22"/>
          <w:u w:val="single"/>
        </w:rPr>
      </w:pPr>
      <w:r>
        <w:rPr>
          <w:sz w:val="22"/>
          <w:szCs w:val="22"/>
          <w:u w:val="single"/>
        </w:rPr>
        <w:t>Műbillentyűvel élő betegek</w:t>
      </w:r>
    </w:p>
    <w:p w:rsidR="00F50CC3" w:rsidRDefault="00730655">
      <w:pPr>
        <w:pStyle w:val="Default"/>
        <w:rPr>
          <w:sz w:val="22"/>
          <w:szCs w:val="22"/>
        </w:rPr>
      </w:pPr>
      <w:r>
        <w:rPr>
          <w:sz w:val="22"/>
          <w:szCs w:val="22"/>
        </w:rPr>
        <w:t>A rivaroxabán nem alkalmazható thromboprophylaxis céljára olyan betegeknél, akik nemrég transzkatéteres aortabillentyű-pótláson (TAVR) estek át. A rivaroxabán biztonságosságát és hatásosságát nem vizsgálták műbillentyűvel élő betegeknél, ezért nincs adat annak alátámasztására, hogy a rivaroxabán megfelelő véralvadásgátlást biztosít ebben a betegcsoportban. A Razarxo-kezelés ezeknél a betegeknél nem javasolt.</w:t>
      </w:r>
    </w:p>
    <w:p w:rsidR="00F50CC3" w:rsidRDefault="00F50CC3">
      <w:pPr>
        <w:pStyle w:val="Default"/>
        <w:rPr>
          <w:sz w:val="22"/>
          <w:szCs w:val="22"/>
        </w:rPr>
      </w:pPr>
    </w:p>
    <w:p w:rsidR="00F50CC3" w:rsidRDefault="00730655">
      <w:pPr>
        <w:pStyle w:val="Default"/>
        <w:rPr>
          <w:sz w:val="22"/>
          <w:szCs w:val="22"/>
          <w:u w:val="single"/>
        </w:rPr>
      </w:pPr>
      <w:r>
        <w:rPr>
          <w:sz w:val="22"/>
          <w:szCs w:val="22"/>
          <w:u w:val="single"/>
        </w:rPr>
        <w:t>Antifoszfolipid szindrómában szenvedő betegek</w:t>
      </w:r>
    </w:p>
    <w:p w:rsidR="00F50CC3" w:rsidRDefault="00730655">
      <w:pPr>
        <w:pStyle w:val="Default"/>
        <w:rPr>
          <w:sz w:val="22"/>
          <w:szCs w:val="22"/>
        </w:rPr>
      </w:pPr>
      <w:r>
        <w:rPr>
          <w:sz w:val="22"/>
          <w:szCs w:val="22"/>
        </w:rPr>
        <w:t>A direkt hatású orális antikoagulánsok (DOAC), köztük a rivaroxabán nem javasoltak olyan, korábban thrombosison átesett betegeknél, akik antifoszfolipid szindrómában szenvednek. Különösen tripla pozitív betegeknél (lupusz antikoaguláns, anti-kardiolipin antitestek és anti-béta-2-glikoprotein-I-antitestek) a DOAK-kezelés visszatérő thromboticus események nagyobb gyakoriságával társulhat a K-vitamin-antagonistákhoz képest.</w:t>
      </w:r>
    </w:p>
    <w:p w:rsidR="00F50CC3" w:rsidRDefault="00F50CC3">
      <w:pPr>
        <w:pStyle w:val="Default"/>
        <w:rPr>
          <w:sz w:val="22"/>
          <w:szCs w:val="22"/>
        </w:rPr>
      </w:pPr>
    </w:p>
    <w:p w:rsidR="00F50CC3" w:rsidRDefault="00730655">
      <w:pPr>
        <w:pStyle w:val="Default"/>
        <w:rPr>
          <w:sz w:val="22"/>
          <w:szCs w:val="22"/>
        </w:rPr>
      </w:pPr>
      <w:r>
        <w:rPr>
          <w:sz w:val="22"/>
          <w:szCs w:val="22"/>
          <w:u w:val="single"/>
        </w:rPr>
        <w:t>Csípőtáji törés műtét</w:t>
      </w:r>
    </w:p>
    <w:p w:rsidR="00F50CC3" w:rsidRDefault="00730655">
      <w:pPr>
        <w:spacing w:line="240" w:lineRule="auto"/>
        <w:rPr>
          <w:lang w:val="hu-HU"/>
        </w:rPr>
      </w:pPr>
      <w:r>
        <w:rPr>
          <w:lang w:val="hu-HU"/>
        </w:rPr>
        <w:t>A rivaroxabán hatását nem vizsgálták beavatkozással járó klinikai vizsgálat keretében csípőtáji törés miatt műtéten átesett betegeknél, a hatásosság és biztonságosság értékelése érdekében.</w:t>
      </w:r>
    </w:p>
    <w:p w:rsidR="00F50CC3" w:rsidRDefault="00F50CC3">
      <w:pPr>
        <w:spacing w:line="240" w:lineRule="auto"/>
        <w:rPr>
          <w:lang w:val="hu-HU"/>
        </w:rPr>
      </w:pPr>
    </w:p>
    <w:p w:rsidR="00F50CC3" w:rsidRDefault="00730655">
      <w:pPr>
        <w:pStyle w:val="Default"/>
        <w:rPr>
          <w:sz w:val="22"/>
          <w:szCs w:val="22"/>
        </w:rPr>
      </w:pPr>
      <w:r>
        <w:rPr>
          <w:sz w:val="22"/>
          <w:szCs w:val="22"/>
          <w:u w:val="single"/>
        </w:rPr>
        <w:t>Hemodinamikailag instabil PE betegek, vagy olyan betegek, akiknél thrombolysis vagy pulmonalis embolectomia szükséges</w:t>
      </w:r>
    </w:p>
    <w:p w:rsidR="00F50CC3" w:rsidRDefault="00730655">
      <w:pPr>
        <w:spacing w:line="240" w:lineRule="auto"/>
        <w:rPr>
          <w:lang w:val="hu-HU"/>
        </w:rPr>
      </w:pPr>
      <w:r>
        <w:rPr>
          <w:lang w:val="hu-HU"/>
        </w:rPr>
        <w:t>A Razarxo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szituációkban nem állapították meg.</w:t>
      </w:r>
    </w:p>
    <w:p w:rsidR="00F50CC3" w:rsidRDefault="00F50CC3">
      <w:pPr>
        <w:spacing w:line="240" w:lineRule="auto"/>
        <w:rPr>
          <w:lang w:val="hu-HU"/>
        </w:rPr>
      </w:pPr>
    </w:p>
    <w:p w:rsidR="00F50CC3" w:rsidRDefault="00730655">
      <w:pPr>
        <w:pStyle w:val="Default"/>
        <w:rPr>
          <w:sz w:val="22"/>
          <w:szCs w:val="22"/>
        </w:rPr>
      </w:pPr>
      <w:r>
        <w:rPr>
          <w:sz w:val="22"/>
          <w:szCs w:val="22"/>
          <w:u w:val="single"/>
        </w:rPr>
        <w:t>Spinális/epidurális érzéstelenítés vagy punkció</w:t>
      </w:r>
    </w:p>
    <w:p w:rsidR="00F50CC3" w:rsidRDefault="00730655">
      <w:pPr>
        <w:pStyle w:val="Default"/>
        <w:rPr>
          <w:sz w:val="22"/>
          <w:szCs w:val="22"/>
        </w:rPr>
      </w:pPr>
      <w:r>
        <w:rPr>
          <w:sz w:val="22"/>
          <w:szCs w:val="22"/>
        </w:rPr>
        <w:t>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károsodás észlelése esetén sürgős diagnózis és kezelés szükséges. A gerincközeli beavatkozás előtt az orvosnak mérlegelnie kell a potenciális előny és kockázat arányát a thromboprofilaxis miatt antikoagulált illetve a későbbiekben antikoaguláns kezelésben részesülő betegek esetében.</w:t>
      </w:r>
    </w:p>
    <w:p w:rsidR="00F50CC3" w:rsidRDefault="00730655">
      <w:pPr>
        <w:pStyle w:val="Default"/>
        <w:rPr>
          <w:sz w:val="22"/>
          <w:szCs w:val="22"/>
        </w:rPr>
      </w:pPr>
      <w:r>
        <w:rPr>
          <w:sz w:val="22"/>
          <w:szCs w:val="22"/>
        </w:rPr>
        <w:t>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(lásd 5.2 pont).</w:t>
      </w:r>
    </w:p>
    <w:p w:rsidR="00F50CC3" w:rsidRDefault="00730655">
      <w:pPr>
        <w:pStyle w:val="Default"/>
        <w:rPr>
          <w:sz w:val="22"/>
          <w:szCs w:val="22"/>
        </w:rPr>
      </w:pPr>
      <w:r>
        <w:rPr>
          <w:sz w:val="22"/>
          <w:szCs w:val="22"/>
        </w:rPr>
        <w:t>Az epidurális katéter eltávolítása előtt legalább 18 órának kell eltelnie a rivaroxabán utolsó alkalmazása után. A katéter eltávolítását követően legalább 6 órának kell eltelnie a rivaroxabán következő adagjának alkalmazása előtt.</w:t>
      </w:r>
    </w:p>
    <w:p w:rsidR="00F50CC3" w:rsidRDefault="00730655">
      <w:pPr>
        <w:spacing w:line="240" w:lineRule="auto"/>
        <w:rPr>
          <w:lang w:val="hu-HU"/>
        </w:rPr>
      </w:pPr>
      <w:r>
        <w:rPr>
          <w:lang w:val="hu-HU"/>
        </w:rPr>
        <w:t>Traumatizáló punkció esetén a rivaroxabán alkalmazását 24 órával el kell halasztani.</w:t>
      </w:r>
    </w:p>
    <w:p w:rsidR="00F50CC3" w:rsidRDefault="00F50CC3">
      <w:pPr>
        <w:spacing w:line="240" w:lineRule="auto"/>
        <w:rPr>
          <w:lang w:val="hu-HU"/>
        </w:rPr>
      </w:pPr>
    </w:p>
    <w:p w:rsidR="00F50CC3" w:rsidRDefault="00730655">
      <w:pPr>
        <w:pStyle w:val="Default"/>
        <w:rPr>
          <w:sz w:val="22"/>
          <w:szCs w:val="22"/>
        </w:rPr>
      </w:pPr>
      <w:r>
        <w:rPr>
          <w:sz w:val="22"/>
          <w:szCs w:val="22"/>
          <w:u w:val="single"/>
        </w:rPr>
        <w:t>Adagolási ajánlások invazív és műtéti beavatkozások előtt és után, az elektív csípő- vagy térdprotézis műtéteket kivéve</w:t>
      </w:r>
    </w:p>
    <w:p w:rsidR="00F50CC3" w:rsidRDefault="00730655" w:rsidP="00A9412C">
      <w:pPr>
        <w:pStyle w:val="Default"/>
        <w:widowControl w:val="0"/>
        <w:rPr>
          <w:sz w:val="22"/>
          <w:szCs w:val="22"/>
        </w:rPr>
      </w:pPr>
      <w:r>
        <w:rPr>
          <w:sz w:val="22"/>
          <w:szCs w:val="22"/>
        </w:rPr>
        <w:t xml:space="preserve">Amennyiben invazív vagy műtéti beavatkozás szükséges, a Razarxo 10 mg filmtablettát legalább 24 órával a beavatkozás előtt le kell állítani, ha ez lehetséges, és egybeesik az orvos klinikai </w:t>
      </w:r>
      <w:r>
        <w:rPr>
          <w:sz w:val="22"/>
          <w:szCs w:val="22"/>
        </w:rPr>
        <w:lastRenderedPageBreak/>
        <w:t>megítélésével.</w:t>
      </w:r>
    </w:p>
    <w:p w:rsidR="00F50CC3" w:rsidRDefault="00730655">
      <w:pPr>
        <w:pStyle w:val="Default"/>
        <w:rPr>
          <w:sz w:val="22"/>
          <w:szCs w:val="22"/>
        </w:rPr>
      </w:pPr>
      <w:r>
        <w:rPr>
          <w:sz w:val="22"/>
          <w:szCs w:val="22"/>
        </w:rPr>
        <w:t>Ha a beavatkozást nem lehet elhalasztani, akkor mérlegelni kell a vérzés fokozott kockázatát a beavatkozás sürgősségével szemben.</w:t>
      </w:r>
    </w:p>
    <w:p w:rsidR="00F50CC3" w:rsidRDefault="00730655">
      <w:pPr>
        <w:pStyle w:val="Default"/>
        <w:rPr>
          <w:sz w:val="22"/>
          <w:szCs w:val="22"/>
        </w:rPr>
      </w:pPr>
      <w:r>
        <w:rPr>
          <w:sz w:val="22"/>
          <w:szCs w:val="22"/>
        </w:rPr>
        <w:t>A Razarxo szedését a lehető leghamarabb el kell kezdeni az invazív vagy műtéti beavatkozás után, amennyiben ezt az adott klinikai helyzet lehetővé teszi, illetve a kezelőorvos megítélése szerint megfelelő vérzéscsillapítást alkalmaztak (lásd 5.2 pont).</w:t>
      </w:r>
    </w:p>
    <w:p w:rsidR="00F50CC3" w:rsidRDefault="00F50CC3">
      <w:pPr>
        <w:pStyle w:val="Default"/>
        <w:rPr>
          <w:sz w:val="22"/>
          <w:szCs w:val="22"/>
        </w:rPr>
      </w:pPr>
    </w:p>
    <w:p w:rsidR="00F50CC3" w:rsidRDefault="00730655">
      <w:pPr>
        <w:pStyle w:val="Default"/>
        <w:rPr>
          <w:sz w:val="22"/>
          <w:szCs w:val="22"/>
        </w:rPr>
      </w:pPr>
      <w:r>
        <w:rPr>
          <w:sz w:val="22"/>
          <w:szCs w:val="22"/>
          <w:u w:val="single"/>
        </w:rPr>
        <w:t>Idősek</w:t>
      </w:r>
    </w:p>
    <w:p w:rsidR="00F50CC3" w:rsidRDefault="00730655">
      <w:pPr>
        <w:pStyle w:val="Default"/>
        <w:rPr>
          <w:sz w:val="22"/>
          <w:szCs w:val="22"/>
        </w:rPr>
      </w:pPr>
      <w:r>
        <w:rPr>
          <w:sz w:val="22"/>
          <w:szCs w:val="22"/>
        </w:rPr>
        <w:t>Az életkor előrehaladtával fokozódhat a vérzés kockázata (lásd 5.2 pont).</w:t>
      </w:r>
    </w:p>
    <w:p w:rsidR="00F50CC3" w:rsidRDefault="00F50CC3">
      <w:pPr>
        <w:pStyle w:val="Default"/>
        <w:rPr>
          <w:sz w:val="22"/>
          <w:szCs w:val="22"/>
        </w:rPr>
      </w:pPr>
    </w:p>
    <w:p w:rsidR="00F50CC3" w:rsidRDefault="00730655">
      <w:pPr>
        <w:pStyle w:val="Default"/>
        <w:rPr>
          <w:sz w:val="22"/>
          <w:szCs w:val="22"/>
        </w:rPr>
      </w:pPr>
      <w:r>
        <w:rPr>
          <w:sz w:val="22"/>
          <w:szCs w:val="22"/>
          <w:u w:val="single"/>
        </w:rPr>
        <w:t>Bőrreakciók</w:t>
      </w:r>
    </w:p>
    <w:p w:rsidR="00F50CC3" w:rsidRDefault="00730655">
      <w:pPr>
        <w:spacing w:line="240" w:lineRule="auto"/>
        <w:rPr>
          <w:lang w:val="hu-HU"/>
        </w:rPr>
      </w:pPr>
      <w:r>
        <w:rPr>
          <w:lang w:val="hu-HU"/>
        </w:rPr>
        <w:t>A forgalomba hozatalt követően a rivaroxabán használatával összefüggésben súlyos bőrreakciókról számoltak be, beleértve a Stevens–Johnson-szindrómát és a toxicus epidermalis necrolysist és a DRESS szindrómát is (lásd 4.8 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rsidR="00F50CC3" w:rsidRDefault="00F50CC3">
      <w:pPr>
        <w:pStyle w:val="Default"/>
        <w:rPr>
          <w:sz w:val="22"/>
          <w:szCs w:val="22"/>
        </w:rPr>
      </w:pPr>
    </w:p>
    <w:p w:rsidR="00F50CC3" w:rsidRDefault="00730655">
      <w:pPr>
        <w:pStyle w:val="Default"/>
        <w:rPr>
          <w:sz w:val="22"/>
          <w:szCs w:val="22"/>
        </w:rPr>
      </w:pPr>
      <w:r>
        <w:rPr>
          <w:sz w:val="22"/>
          <w:szCs w:val="22"/>
          <w:u w:val="single"/>
        </w:rPr>
        <w:t>A segédanyagokkal kapcsolatos információk</w:t>
      </w:r>
    </w:p>
    <w:p w:rsidR="00F50CC3" w:rsidRDefault="00730655">
      <w:pPr>
        <w:spacing w:line="240" w:lineRule="auto"/>
        <w:rPr>
          <w:lang w:val="hu-HU"/>
        </w:rPr>
      </w:pPr>
      <w:r>
        <w:rPr>
          <w:lang w:val="hu-HU"/>
        </w:rPr>
        <w:t>A készítmény kevesebb mint 1 mmol (23 mg) nátriumot tartalmaz filmtablettánként, azaz gyakorlatilag „nátriummentes”.</w:t>
      </w:r>
    </w:p>
    <w:p w:rsidR="00F50CC3" w:rsidRDefault="00F50CC3">
      <w:pPr>
        <w:spacing w:line="240" w:lineRule="auto"/>
        <w:rPr>
          <w:lang w:val="hu-HU"/>
        </w:rPr>
      </w:pPr>
    </w:p>
    <w:p w:rsidR="00F50CC3" w:rsidRDefault="00730655">
      <w:pPr>
        <w:keepNext/>
        <w:spacing w:line="240" w:lineRule="auto"/>
        <w:ind w:left="567" w:hanging="567"/>
        <w:outlineLvl w:val="0"/>
        <w:rPr>
          <w:b/>
          <w:noProof/>
          <w:lang w:val="hu-HU"/>
        </w:rPr>
      </w:pPr>
      <w:r>
        <w:rPr>
          <w:b/>
          <w:noProof/>
          <w:lang w:val="hu-HU"/>
        </w:rPr>
        <w:t>4.5</w:t>
      </w:r>
      <w:r>
        <w:rPr>
          <w:b/>
          <w:noProof/>
          <w:lang w:val="hu-HU"/>
        </w:rPr>
        <w:tab/>
        <w:t>Gyógyszerkölcsönhatások és egyéb interakciók</w:t>
      </w:r>
    </w:p>
    <w:p w:rsidR="00F50CC3" w:rsidRDefault="00F50CC3">
      <w:pPr>
        <w:spacing w:line="240" w:lineRule="auto"/>
        <w:rPr>
          <w:noProof/>
          <w:lang w:val="hu-HU"/>
        </w:rPr>
      </w:pPr>
    </w:p>
    <w:p w:rsidR="00F50CC3" w:rsidRDefault="00730655">
      <w:pPr>
        <w:pStyle w:val="Default"/>
        <w:rPr>
          <w:sz w:val="22"/>
          <w:szCs w:val="22"/>
        </w:rPr>
      </w:pPr>
      <w:r>
        <w:rPr>
          <w:sz w:val="22"/>
          <w:szCs w:val="22"/>
          <w:u w:val="single"/>
        </w:rPr>
        <w:t>CYP3A4 és P-gp inhibitorok</w:t>
      </w:r>
      <w:r>
        <w:rPr>
          <w:sz w:val="22"/>
          <w:szCs w:val="22"/>
        </w:rPr>
        <w:t>:</w:t>
      </w:r>
    </w:p>
    <w:p w:rsidR="00F50CC3" w:rsidRDefault="00730655">
      <w:pPr>
        <w:pStyle w:val="Default"/>
        <w:rPr>
          <w:sz w:val="22"/>
          <w:szCs w:val="22"/>
        </w:rPr>
      </w:pPr>
      <w:r>
        <w:rPr>
          <w:sz w:val="22"/>
          <w:szCs w:val="22"/>
        </w:rPr>
        <w:t>A rivaroxabán ketokonazollal (400 mg naponta egyszer) vagy ritonavirrel (600 mg naponta kétszer) történő egyidejű alkalmazása a rivaroxabán átlagos AUC-értékének 2,6-szeres /2,5-szeres növekedéséhez, és a rivaroxabán átlagos C</w:t>
      </w:r>
      <w:r>
        <w:rPr>
          <w:sz w:val="22"/>
          <w:szCs w:val="22"/>
          <w:vertAlign w:val="subscript"/>
        </w:rPr>
        <w:t>max</w:t>
      </w:r>
      <w:r>
        <w:rPr>
          <w:position w:val="-8"/>
          <w:sz w:val="22"/>
          <w:szCs w:val="22"/>
          <w:vertAlign w:val="subscript"/>
        </w:rPr>
        <w:t xml:space="preserve"> </w:t>
      </w:r>
      <w:r>
        <w:rPr>
          <w:sz w:val="22"/>
          <w:szCs w:val="22"/>
        </w:rPr>
        <w:t>értékének 1,7-szeres /1,6-szeres növekedéséhez vezetett, ami a gyógyszer farmakodinámiás hatásainak jelentős növekedésével társult és fokozott vérzési kockázathoz vezethet. Ezért a Razarxo alkalmazása nem javasolt egyidejű szisztémás azol típusú antimikotikumok, például ketokonazol, itrakonazol, vorikonazol és pozakonazol vagy HIV proteáz inhibitor kezelésben részesülő betegek esetén. Ezek a hatóanyagok a CYP3A4 és a P-gp erős gátlói (lásd 4.4 pont).</w:t>
      </w:r>
    </w:p>
    <w:p w:rsidR="00F50CC3" w:rsidRDefault="00F50CC3">
      <w:pPr>
        <w:pStyle w:val="Default"/>
        <w:rPr>
          <w:sz w:val="22"/>
          <w:szCs w:val="22"/>
        </w:rPr>
      </w:pPr>
    </w:p>
    <w:p w:rsidR="00F50CC3" w:rsidRDefault="00730655">
      <w:pPr>
        <w:spacing w:line="240" w:lineRule="auto"/>
        <w:rPr>
          <w:noProof/>
          <w:lang w:val="hu-HU"/>
        </w:rPr>
      </w:pPr>
      <w:r>
        <w:rPr>
          <w:lang w:val="hu-HU"/>
        </w:rPr>
        <w:t>Azok a hatóanyagok, amelyek a rivaroxabánnak csak az egyik eliminációs útvonalát (akár a CYP3A4</w:t>
      </w:r>
      <w:r>
        <w:rPr>
          <w:lang w:val="hu-HU"/>
        </w:rPr>
        <w:noBreakHyphen/>
        <w:t>et vagy a P-gp-t) gátolják erősen, feltételezhetően kisebb mértékben fokozzák a rivaroxabán plazmakoncentrációját. A klaritromicin (napi kétszer 500 mg dózisban) például, ami erős CYP3A4 inhibitornak és közepes P-gp inhibitornak tekinthető, az átlagos rivaroxabán AUC 1,5-szeres és a C</w:t>
      </w:r>
      <w:r>
        <w:rPr>
          <w:vertAlign w:val="subscript"/>
          <w:lang w:val="hu-HU"/>
        </w:rPr>
        <w:t>max</w:t>
      </w:r>
      <w:r>
        <w:rPr>
          <w:lang w:val="hu-HU"/>
        </w:rPr>
        <w:t xml:space="preserve"> 1,4-szeres emelkedését okozta. A klaritromicinnel való interakció a legtöbb betegnél valószínűleg klinikailag nem jelentős, de potenciálisan jelentős lehet a magas kockázatú betegeknél. (Vesekárosodásban szenvedő betegek esetében: lásd 4.4 pont).</w:t>
      </w:r>
    </w:p>
    <w:p w:rsidR="00F50CC3" w:rsidRDefault="00F50CC3">
      <w:pPr>
        <w:spacing w:line="240" w:lineRule="auto"/>
        <w:rPr>
          <w:noProof/>
          <w:lang w:val="hu-HU"/>
        </w:rPr>
      </w:pPr>
    </w:p>
    <w:p w:rsidR="00F50CC3" w:rsidRDefault="00730655">
      <w:pPr>
        <w:pStyle w:val="Default"/>
        <w:rPr>
          <w:sz w:val="22"/>
          <w:szCs w:val="22"/>
        </w:rPr>
      </w:pPr>
      <w:r>
        <w:rPr>
          <w:sz w:val="22"/>
          <w:szCs w:val="22"/>
        </w:rPr>
        <w:t>A CYP3A4-et és a P-gp-t közepes mértékben gátló eritromicin (500 mg naponta háromszor) alkalmazása a rivaroxabán átlagos AUC- és C</w:t>
      </w:r>
      <w:r>
        <w:rPr>
          <w:sz w:val="22"/>
          <w:szCs w:val="22"/>
          <w:vertAlign w:val="subscript"/>
        </w:rPr>
        <w:t>max</w:t>
      </w:r>
      <w:r>
        <w:rPr>
          <w:sz w:val="22"/>
          <w:szCs w:val="22"/>
        </w:rPr>
        <w:t>-értékének 1,3-szeres növekedéséhez vezetett. Az eritromicinnel való interakció a legtöbb betegnél valószínűleg klinikailag nem jelentős, de potenciálisan jelentős lehet a magas kockázatú betegeknél.</w:t>
      </w:r>
    </w:p>
    <w:p w:rsidR="00F50CC3" w:rsidRDefault="00730655">
      <w:pPr>
        <w:pStyle w:val="Default"/>
        <w:rPr>
          <w:sz w:val="22"/>
          <w:szCs w:val="22"/>
        </w:rPr>
      </w:pPr>
      <w:r>
        <w:rPr>
          <w:sz w:val="22"/>
          <w:szCs w:val="22"/>
        </w:rPr>
        <w:t>Enyhe fokú vesekárosodásban szenvedő betegeknél az eritromicin (naponta háromszor 500 mg) az egészséges veseműködésű vizsgálati alanyokhoz képest 1,8-szeres emelkedést idézett elő a rivaroxabán átlagos AUC-értékében, és 1,6-szeres emelkedést a C</w:t>
      </w:r>
      <w:r>
        <w:rPr>
          <w:sz w:val="22"/>
          <w:szCs w:val="22"/>
          <w:vertAlign w:val="subscript"/>
        </w:rPr>
        <w:t>max</w:t>
      </w:r>
      <w:r>
        <w:rPr>
          <w:sz w:val="22"/>
          <w:szCs w:val="22"/>
        </w:rPr>
        <w:t>-értékében. Közepes fokú vesekárosodásban szenvedő betegeknél az eritromicin az egészséges veseműködésű vizsgálati alanyokhoz képest 2,0-szeres emelkedést idézett elő a rivaroxabán átlagos AUC-értékében, és 1,6-szeres emelkedést a C</w:t>
      </w:r>
      <w:r>
        <w:rPr>
          <w:sz w:val="22"/>
          <w:szCs w:val="22"/>
          <w:vertAlign w:val="subscript"/>
        </w:rPr>
        <w:t>max</w:t>
      </w:r>
      <w:r>
        <w:rPr>
          <w:sz w:val="22"/>
          <w:szCs w:val="22"/>
        </w:rPr>
        <w:t>-értékében. Az eritromicin és a vesekárosodás hatása additív (lásd 4.4 pont).</w:t>
      </w:r>
    </w:p>
    <w:p w:rsidR="00F50CC3" w:rsidRDefault="00F50CC3">
      <w:pPr>
        <w:pStyle w:val="Default"/>
        <w:rPr>
          <w:sz w:val="22"/>
          <w:szCs w:val="22"/>
        </w:rPr>
      </w:pPr>
    </w:p>
    <w:p w:rsidR="00F50CC3" w:rsidRDefault="00730655">
      <w:pPr>
        <w:pStyle w:val="Default"/>
        <w:rPr>
          <w:sz w:val="22"/>
          <w:szCs w:val="22"/>
        </w:rPr>
      </w:pPr>
      <w:r>
        <w:rPr>
          <w:sz w:val="22"/>
          <w:szCs w:val="22"/>
        </w:rPr>
        <w:lastRenderedPageBreak/>
        <w:t>A flukonazol (naponta egyszer 400 mg), amely közepes erősségű CYP3A4-gátlónak tekinthető, a rivaroxabán átlagos AUC-érték 1,4-szeres emelkedéséhez és az átlagos C</w:t>
      </w:r>
      <w:r>
        <w:rPr>
          <w:sz w:val="22"/>
          <w:szCs w:val="22"/>
          <w:vertAlign w:val="subscript"/>
        </w:rPr>
        <w:t>max</w:t>
      </w:r>
      <w:r>
        <w:rPr>
          <w:sz w:val="22"/>
          <w:szCs w:val="22"/>
        </w:rPr>
        <w:t>-érték 1,3-szeres növekedéséhez vezetett. A flukonazollal való interakció a legtöbb betegnél valószínűleg klinikailag nem jelentős, de potenciálisan jelentős lehet a magas kockázatú betegeknél. (Vesekárosodás esetén lásd a 4.4 pontot.)</w:t>
      </w:r>
    </w:p>
    <w:p w:rsidR="00F50CC3" w:rsidRDefault="00F50CC3">
      <w:pPr>
        <w:pStyle w:val="Default"/>
        <w:rPr>
          <w:sz w:val="22"/>
          <w:szCs w:val="22"/>
        </w:rPr>
      </w:pPr>
    </w:p>
    <w:p w:rsidR="00F50CC3" w:rsidRDefault="00730655">
      <w:pPr>
        <w:spacing w:line="240" w:lineRule="auto"/>
        <w:rPr>
          <w:noProof/>
          <w:lang w:val="hu-HU"/>
        </w:rPr>
      </w:pPr>
      <w:r>
        <w:rPr>
          <w:lang w:val="hu-HU"/>
        </w:rPr>
        <w:t>Mivel korlátozott klinikai adatok állnak rendelkezésre a dronedaronnal kapcsolatban, a rivaroxabánnal történő együttes adása kerülendő.</w:t>
      </w:r>
    </w:p>
    <w:p w:rsidR="00F50CC3" w:rsidRDefault="00F50CC3">
      <w:pPr>
        <w:spacing w:line="240" w:lineRule="auto"/>
        <w:rPr>
          <w:noProof/>
          <w:lang w:val="hu-HU"/>
        </w:rPr>
      </w:pPr>
    </w:p>
    <w:p w:rsidR="00F50CC3" w:rsidRDefault="00730655">
      <w:pPr>
        <w:pStyle w:val="Default"/>
        <w:rPr>
          <w:sz w:val="22"/>
          <w:szCs w:val="22"/>
        </w:rPr>
      </w:pPr>
      <w:r>
        <w:rPr>
          <w:sz w:val="22"/>
          <w:szCs w:val="22"/>
          <w:u w:val="single"/>
        </w:rPr>
        <w:t>Antikoagulánsok</w:t>
      </w:r>
    </w:p>
    <w:p w:rsidR="00F50CC3" w:rsidRDefault="00730655">
      <w:pPr>
        <w:pStyle w:val="Default"/>
        <w:rPr>
          <w:sz w:val="22"/>
          <w:szCs w:val="22"/>
        </w:rPr>
      </w:pPr>
      <w:r>
        <w:rPr>
          <w:sz w:val="22"/>
          <w:szCs w:val="22"/>
        </w:rPr>
        <w:t>Enoxaparin (40 mg egyszeri dózis) és rivaroxabán (10 mg egyszeri dózis) együttes alkalmazása során additív hatás volt megfigyelhető a Xa faktor gátlása terén, ez azonban nem befolyásolta a véralvadási teszteket (PI, aPTI). Az enoxaparin nem befolyásolta a rivaroxabán farmakokinetikai jellemzőit.</w:t>
      </w:r>
    </w:p>
    <w:p w:rsidR="00F50CC3" w:rsidRDefault="00730655">
      <w:pPr>
        <w:pStyle w:val="Default"/>
        <w:rPr>
          <w:sz w:val="22"/>
          <w:szCs w:val="22"/>
        </w:rPr>
      </w:pPr>
      <w:r>
        <w:rPr>
          <w:sz w:val="22"/>
          <w:szCs w:val="22"/>
        </w:rPr>
        <w:t>A fokozott vérzési kockázat miatt elővigyázatosan kell eljárni, ha a betegek egyidejűleg egyéb antikoaguláns kezelésben is részesülnek (lásd 4.3 és 4.4 pont).</w:t>
      </w:r>
    </w:p>
    <w:p w:rsidR="00F50CC3" w:rsidRDefault="00F50CC3">
      <w:pPr>
        <w:pStyle w:val="Default"/>
        <w:rPr>
          <w:sz w:val="22"/>
          <w:szCs w:val="22"/>
        </w:rPr>
      </w:pPr>
    </w:p>
    <w:p w:rsidR="00F50CC3" w:rsidRDefault="00730655">
      <w:pPr>
        <w:pStyle w:val="Default"/>
        <w:rPr>
          <w:sz w:val="22"/>
          <w:szCs w:val="22"/>
        </w:rPr>
      </w:pPr>
      <w:r>
        <w:rPr>
          <w:sz w:val="22"/>
          <w:szCs w:val="22"/>
          <w:u w:val="single"/>
        </w:rPr>
        <w:t>NSAID-k / thrombocita-aggregáció-gátlók</w:t>
      </w:r>
    </w:p>
    <w:p w:rsidR="00F50CC3" w:rsidRDefault="00730655">
      <w:pPr>
        <w:spacing w:line="240" w:lineRule="auto"/>
        <w:rPr>
          <w:noProof/>
          <w:lang w:val="hu-HU"/>
        </w:rPr>
      </w:pPr>
      <w:r>
        <w:rPr>
          <w:lang w:val="hu-HU"/>
        </w:rPr>
        <w:t>A vérzési idő nem nyúlt meg klinikailag jelentős mértékben rivaroxabán (15 mg) és 500 mg naproxén együttes alkalmazását követően. Azonban lehetnek olyan egyének, akiknél kifejezettebb a farmakodinámiás válasz.</w:t>
      </w:r>
    </w:p>
    <w:p w:rsidR="00F50CC3" w:rsidRDefault="00730655">
      <w:pPr>
        <w:pStyle w:val="Default"/>
        <w:rPr>
          <w:sz w:val="22"/>
          <w:szCs w:val="22"/>
        </w:rPr>
      </w:pPr>
      <w:r>
        <w:rPr>
          <w:sz w:val="22"/>
          <w:szCs w:val="22"/>
        </w:rPr>
        <w:t>A rivaroxabánt 500 mg acetilszalicilsavval együtt adva nem volt megfigyelhető klinikailag szignifikáns farmakokinetikai vagy farmakodinámiás kölcsönhatás.</w:t>
      </w:r>
    </w:p>
    <w:p w:rsidR="00F50CC3" w:rsidRDefault="00730655">
      <w:pPr>
        <w:pStyle w:val="Default"/>
        <w:rPr>
          <w:sz w:val="22"/>
          <w:szCs w:val="22"/>
        </w:rPr>
      </w:pPr>
      <w:r>
        <w:rPr>
          <w:sz w:val="22"/>
          <w:szCs w:val="22"/>
        </w:rPr>
        <w:t>A klopidogrel (300 mg telítő dózis, majd 75 mg fenntartó dózis) nem mutatott farmakokinetikai kölcsönhatást a rivaroxabánnal (15 mg), de a betegek egy csoportjában a vérzési idő jelentős megnyúlását figyelték meg, ami nem volt összefüggésbe hozható a thrombocita-aggregációval, a P-szelektin vagy a GPIIb/IIIa-receptor szintekkel.</w:t>
      </w:r>
    </w:p>
    <w:p w:rsidR="00F50CC3" w:rsidRDefault="00730655">
      <w:pPr>
        <w:pStyle w:val="Default"/>
        <w:rPr>
          <w:sz w:val="22"/>
          <w:szCs w:val="22"/>
        </w:rPr>
      </w:pPr>
      <w:r>
        <w:rPr>
          <w:sz w:val="22"/>
          <w:szCs w:val="22"/>
        </w:rPr>
        <w:t>Megfelelő körültekintéssel kell eljárni, ha a beteg egyidejűleg NSAID-kat (beleértve az acetilszalicilsavat) és thrombocita-aggregáció-gátlókat szed, mert ezek a készítmények jellemzően fokozzák a vérzési kockázatot (lásd 4.4 pont).</w:t>
      </w:r>
    </w:p>
    <w:p w:rsidR="00F50CC3" w:rsidRDefault="00F50CC3">
      <w:pPr>
        <w:pStyle w:val="Default"/>
        <w:rPr>
          <w:sz w:val="22"/>
          <w:szCs w:val="22"/>
        </w:rPr>
      </w:pPr>
    </w:p>
    <w:p w:rsidR="00F50CC3" w:rsidRDefault="00730655">
      <w:pPr>
        <w:pStyle w:val="Default"/>
        <w:ind w:left="567" w:hanging="568"/>
        <w:rPr>
          <w:sz w:val="22"/>
          <w:szCs w:val="22"/>
        </w:rPr>
      </w:pPr>
      <w:r>
        <w:rPr>
          <w:sz w:val="22"/>
          <w:szCs w:val="22"/>
          <w:u w:val="single"/>
        </w:rPr>
        <w:t>SSRI-k/SNRI-k</w:t>
      </w:r>
    </w:p>
    <w:p w:rsidR="00F50CC3" w:rsidRDefault="00730655">
      <w:pPr>
        <w:pStyle w:val="Default"/>
        <w:rPr>
          <w:sz w:val="22"/>
          <w:szCs w:val="22"/>
        </w:rPr>
      </w:pPr>
      <w:r>
        <w:rPr>
          <w:sz w:val="22"/>
          <w:szCs w:val="22"/>
        </w:rPr>
        <w:t>Mint más antikoagulánsok esetén, SSRI-k vagy SNRI-k egyidejű alkalmazásakor fokozott vérzési kockázat állhat fenn a betegeknél, ezeknek a gyógyszereknek a thrombocytákra gyakorolt, jelentett hatása miatt. A rivaroxabán klinikai programjában történt egyidejű alkalmazásukkor a súlyos, illetve nem súlyos, klinikailag jelentős vérzések számszerűen magasabb előfordulási gyakoriságát figyelték meg az összes kezelési csoportban.</w:t>
      </w:r>
    </w:p>
    <w:p w:rsidR="00F50CC3" w:rsidRDefault="00F50CC3">
      <w:pPr>
        <w:pStyle w:val="Default"/>
        <w:rPr>
          <w:sz w:val="22"/>
          <w:szCs w:val="22"/>
        </w:rPr>
      </w:pPr>
    </w:p>
    <w:p w:rsidR="00F50CC3" w:rsidRDefault="00730655">
      <w:pPr>
        <w:pStyle w:val="Default"/>
        <w:rPr>
          <w:sz w:val="22"/>
          <w:szCs w:val="22"/>
        </w:rPr>
      </w:pPr>
      <w:r>
        <w:rPr>
          <w:sz w:val="22"/>
          <w:szCs w:val="22"/>
          <w:u w:val="single"/>
        </w:rPr>
        <w:t>Warfarin</w:t>
      </w:r>
    </w:p>
    <w:p w:rsidR="00F50CC3" w:rsidRDefault="00730655">
      <w:pPr>
        <w:pStyle w:val="Default"/>
        <w:rPr>
          <w:sz w:val="22"/>
          <w:szCs w:val="22"/>
        </w:rPr>
      </w:pPr>
      <w:r>
        <w:rPr>
          <w:sz w:val="22"/>
          <w:szCs w:val="22"/>
        </w:rPr>
        <w:t>A betegek átállítása a K-vitamin-antagonista wafarinról (INR: 2,0</w:t>
      </w:r>
      <w:r>
        <w:rPr>
          <w:sz w:val="22"/>
          <w:szCs w:val="22"/>
        </w:rPr>
        <w:noBreakHyphen/>
        <w:t>3,0) rivaroxabánra (20 mg) vagy rivaroxabánról (20 mg) warfarinra (INR: 2,0</w:t>
      </w:r>
      <w:r>
        <w:rPr>
          <w:sz w:val="22"/>
          <w:szCs w:val="22"/>
        </w:rPr>
        <w:noBreakHyphen/>
        <w:t>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w:t>
      </w:r>
    </w:p>
    <w:p w:rsidR="00F50CC3" w:rsidRDefault="00730655">
      <w:pPr>
        <w:pStyle w:val="Default"/>
        <w:rPr>
          <w:sz w:val="22"/>
          <w:szCs w:val="22"/>
        </w:rPr>
      </w:pPr>
      <w:r>
        <w:rPr>
          <w:sz w:val="22"/>
          <w:szCs w:val="22"/>
        </w:rPr>
        <w:t>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w:t>
      </w:r>
    </w:p>
    <w:p w:rsidR="00F50CC3" w:rsidRDefault="00730655">
      <w:pPr>
        <w:pStyle w:val="Default"/>
        <w:rPr>
          <w:sz w:val="22"/>
          <w:szCs w:val="22"/>
        </w:rPr>
      </w:pPr>
      <w:r>
        <w:rPr>
          <w:sz w:val="22"/>
          <w:szCs w:val="22"/>
        </w:rPr>
        <w:t>Amennyiben az átállási szakaszban a warfarin farmakodinámiás hatásának vizsgálata kívánatos, akkor az INR-mérés a rivaroxabán C</w:t>
      </w:r>
      <w:r>
        <w:rPr>
          <w:sz w:val="22"/>
          <w:szCs w:val="22"/>
          <w:vertAlign w:val="subscript"/>
        </w:rPr>
        <w:t>trough</w:t>
      </w:r>
      <w:r>
        <w:rPr>
          <w:sz w:val="22"/>
          <w:szCs w:val="22"/>
        </w:rPr>
        <w:t>-értékénél használható (a rivaroxabán előző bevétele után 24 órával), mivel ezt a rivaroxabán ebben az időpontban minimálisan befolyásolja.</w:t>
      </w:r>
    </w:p>
    <w:p w:rsidR="00F50CC3" w:rsidRDefault="00730655">
      <w:pPr>
        <w:pStyle w:val="Default"/>
        <w:rPr>
          <w:sz w:val="22"/>
          <w:szCs w:val="22"/>
        </w:rPr>
      </w:pPr>
      <w:r>
        <w:rPr>
          <w:sz w:val="22"/>
          <w:szCs w:val="22"/>
        </w:rPr>
        <w:t>A warfarin és a rivaroxabán között nem figyeltek meg farmakokinetikai interakciót.</w:t>
      </w:r>
    </w:p>
    <w:p w:rsidR="00F50CC3" w:rsidRDefault="00F50CC3">
      <w:pPr>
        <w:spacing w:line="240" w:lineRule="auto"/>
        <w:rPr>
          <w:noProof/>
          <w:lang w:val="hu-HU"/>
        </w:rPr>
      </w:pPr>
    </w:p>
    <w:p w:rsidR="00F50CC3" w:rsidRDefault="00730655">
      <w:pPr>
        <w:pStyle w:val="Default"/>
        <w:rPr>
          <w:sz w:val="22"/>
          <w:szCs w:val="22"/>
        </w:rPr>
      </w:pPr>
      <w:r>
        <w:rPr>
          <w:sz w:val="22"/>
          <w:szCs w:val="22"/>
          <w:u w:val="single"/>
        </w:rPr>
        <w:t>CYP3A4 induktorok</w:t>
      </w:r>
    </w:p>
    <w:p w:rsidR="00F50CC3" w:rsidRDefault="00730655">
      <w:pPr>
        <w:pStyle w:val="Default"/>
        <w:rPr>
          <w:sz w:val="22"/>
          <w:szCs w:val="22"/>
        </w:rPr>
      </w:pPr>
      <w:r>
        <w:rPr>
          <w:sz w:val="22"/>
          <w:szCs w:val="22"/>
        </w:rPr>
        <w:t xml:space="preserve">A rivaroxabán és az erős CYP3A4 induktor rifampicin együttes alkalmazása a rivaroxabán átlagos AUC-értékének körülbelül 50%-os csökkenéséhez vezetett, a farmakodinámiás hatások párhuzamos </w:t>
      </w:r>
      <w:r>
        <w:rPr>
          <w:sz w:val="22"/>
          <w:szCs w:val="22"/>
        </w:rPr>
        <w:lastRenderedPageBreak/>
        <w:t xml:space="preserve">csökkenése mellett. A rivaroxabán együttes alkalmazása egyéb CYP3A4 induktorokkal (pl. fenitoin, karbamazepin, fenobarbitál vagy közönséges orbáncfű </w:t>
      </w:r>
      <w:r>
        <w:rPr>
          <w:i/>
          <w:iCs/>
          <w:sz w:val="22"/>
          <w:szCs w:val="22"/>
        </w:rPr>
        <w:t>(Hypericum perforatum)</w:t>
      </w:r>
      <w:r>
        <w:rPr>
          <w:sz w:val="22"/>
          <w:szCs w:val="22"/>
        </w:rPr>
        <w:t>) ugyancsak a rivaroxabán plazmakoncentrációjának csökkenéséhez vezethet. Ezért a CYP3A4 erős induktoraival történő együttes alkalmazást kerülni kell, kivéve akkor, ha a betegnél szorosan monitorozzák a thrombosis okozta panaszokat és tüneteket.</w:t>
      </w:r>
    </w:p>
    <w:p w:rsidR="00F50CC3" w:rsidRDefault="00F50CC3">
      <w:pPr>
        <w:pStyle w:val="Default"/>
        <w:rPr>
          <w:sz w:val="22"/>
          <w:szCs w:val="22"/>
        </w:rPr>
      </w:pPr>
    </w:p>
    <w:p w:rsidR="00F50CC3" w:rsidRDefault="00730655">
      <w:pPr>
        <w:pStyle w:val="Default"/>
        <w:rPr>
          <w:sz w:val="22"/>
          <w:szCs w:val="22"/>
        </w:rPr>
      </w:pPr>
      <w:r>
        <w:rPr>
          <w:sz w:val="22"/>
          <w:szCs w:val="22"/>
          <w:u w:val="single"/>
        </w:rPr>
        <w:t>Egyéb egyidejűleg alkalmazott kezelések</w:t>
      </w:r>
    </w:p>
    <w:p w:rsidR="00F50CC3" w:rsidRDefault="00730655">
      <w:pPr>
        <w:pStyle w:val="Default"/>
        <w:rPr>
          <w:sz w:val="22"/>
          <w:szCs w:val="22"/>
        </w:rPr>
      </w:pPr>
      <w:r>
        <w:rPr>
          <w:sz w:val="22"/>
          <w:szCs w:val="22"/>
        </w:rPr>
        <w:t>Nem volt megfigyelhető klinikailag szignifikáns farmakokinetikai vagy farmakodinámiás kölcsönhatás a rivaroxabán midazolammal (CYP3A4 szubsztrát), digoxinnal (P-gp szubsztrát) vagy atorvasztatinnal (CYP3A4 és P-gp szubsztrát) vagy omeprazol (protonpumpagátló) történő együttes alkalmazásakor. A rivaroxabán nem inhibitora és nem induktora egyetlen fő CYP izoformának sem, mint például a CYP3A4.</w:t>
      </w:r>
    </w:p>
    <w:p w:rsidR="00F50CC3" w:rsidRDefault="00730655">
      <w:pPr>
        <w:pStyle w:val="Default"/>
        <w:rPr>
          <w:sz w:val="22"/>
          <w:szCs w:val="22"/>
        </w:rPr>
      </w:pPr>
      <w:r>
        <w:rPr>
          <w:sz w:val="22"/>
          <w:szCs w:val="22"/>
        </w:rPr>
        <w:t>Ételekkel nem volt megfigyelhető klinikailag jelentős kölcsönhatás (lásd 4.2 pont).</w:t>
      </w:r>
    </w:p>
    <w:p w:rsidR="00F50CC3" w:rsidRDefault="00F50CC3">
      <w:pPr>
        <w:pStyle w:val="Default"/>
        <w:rPr>
          <w:sz w:val="22"/>
          <w:szCs w:val="22"/>
        </w:rPr>
      </w:pPr>
    </w:p>
    <w:p w:rsidR="00F50CC3" w:rsidRDefault="00730655">
      <w:pPr>
        <w:pStyle w:val="Default"/>
        <w:rPr>
          <w:sz w:val="22"/>
          <w:szCs w:val="22"/>
        </w:rPr>
      </w:pPr>
      <w:r>
        <w:rPr>
          <w:sz w:val="22"/>
          <w:szCs w:val="22"/>
          <w:u w:val="single"/>
        </w:rPr>
        <w:t xml:space="preserve">Laboratóriumi paraméterek </w:t>
      </w:r>
    </w:p>
    <w:p w:rsidR="00F50CC3" w:rsidRDefault="00730655">
      <w:pPr>
        <w:spacing w:line="240" w:lineRule="auto"/>
        <w:rPr>
          <w:noProof/>
          <w:lang w:val="hu-HU"/>
        </w:rPr>
      </w:pPr>
      <w:r>
        <w:rPr>
          <w:lang w:val="hu-HU"/>
        </w:rPr>
        <w:t>Az alvadási paramétereket (pl. PI, aPTI, Heparin-teszt) a rivaroxabán a hatásmechanizmusa alapján várható módon befolyásolja (lásd 5.1 pont).</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4.6</w:t>
      </w:r>
      <w:r>
        <w:rPr>
          <w:b/>
          <w:noProof/>
          <w:lang w:val="hu-HU"/>
        </w:rPr>
        <w:tab/>
        <w:t>Termékenység, terhesség és szoptatás</w:t>
      </w:r>
    </w:p>
    <w:p w:rsidR="00F50CC3" w:rsidRDefault="00F50CC3">
      <w:pPr>
        <w:spacing w:line="240" w:lineRule="auto"/>
        <w:rPr>
          <w:i/>
          <w:lang w:val="hu-HU"/>
        </w:rPr>
      </w:pPr>
    </w:p>
    <w:p w:rsidR="00F50CC3" w:rsidRDefault="00730655">
      <w:pPr>
        <w:pStyle w:val="Default"/>
        <w:rPr>
          <w:sz w:val="22"/>
          <w:szCs w:val="22"/>
        </w:rPr>
      </w:pPr>
      <w:r>
        <w:rPr>
          <w:sz w:val="22"/>
          <w:szCs w:val="22"/>
          <w:u w:val="single"/>
        </w:rPr>
        <w:t>Terhesség</w:t>
      </w:r>
    </w:p>
    <w:p w:rsidR="00F50CC3" w:rsidRDefault="00730655">
      <w:pPr>
        <w:pStyle w:val="Default"/>
        <w:rPr>
          <w:sz w:val="22"/>
          <w:szCs w:val="22"/>
        </w:rPr>
      </w:pPr>
      <w:r>
        <w:rPr>
          <w:sz w:val="22"/>
          <w:szCs w:val="22"/>
        </w:rPr>
        <w:t>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Razarxo alkalmazása a terhesség alatt ellenjavallt (lásd 4.3 pont).</w:t>
      </w:r>
    </w:p>
    <w:p w:rsidR="00F50CC3" w:rsidRDefault="00730655">
      <w:pPr>
        <w:spacing w:line="240" w:lineRule="auto"/>
        <w:rPr>
          <w:lang w:val="hu-HU"/>
        </w:rPr>
      </w:pPr>
      <w:r>
        <w:rPr>
          <w:lang w:val="hu-HU"/>
        </w:rPr>
        <w:t>Fogamzóképes korban lévő nőknek a rivaroxabán-kezelés során hatékony fogamzásgátlást kell alkalmazni a teherbe esés elkerülése érdekében.</w:t>
      </w:r>
    </w:p>
    <w:p w:rsidR="00F50CC3" w:rsidRDefault="00F50CC3">
      <w:pPr>
        <w:spacing w:line="240" w:lineRule="auto"/>
        <w:rPr>
          <w:lang w:val="hu-HU"/>
        </w:rPr>
      </w:pPr>
    </w:p>
    <w:p w:rsidR="00F50CC3" w:rsidRDefault="00730655">
      <w:pPr>
        <w:pStyle w:val="Default"/>
        <w:rPr>
          <w:sz w:val="22"/>
          <w:szCs w:val="22"/>
        </w:rPr>
      </w:pPr>
      <w:r>
        <w:rPr>
          <w:sz w:val="22"/>
          <w:szCs w:val="22"/>
          <w:u w:val="single"/>
        </w:rPr>
        <w:t>Szoptatás</w:t>
      </w:r>
    </w:p>
    <w:p w:rsidR="00F50CC3" w:rsidRDefault="00730655">
      <w:pPr>
        <w:pStyle w:val="Default"/>
        <w:rPr>
          <w:sz w:val="22"/>
          <w:szCs w:val="22"/>
        </w:rPr>
      </w:pPr>
      <w:r>
        <w:rPr>
          <w:sz w:val="22"/>
          <w:szCs w:val="22"/>
        </w:rPr>
        <w:t>A rivaroxabán biztonságosságát és hatásosságát szoptató nőknél nem igazolták. Állatkísérletekből származó adatok azt jelzik, hogy a rivaroxabán kiválasztódik az anyatejbe. Ezért a Razarxo alkalmazása ellenjavallt szoptatás alatt (lásd 4.3 pont). El kell dönteni, hogy a szoptatást függesztik fel, vagy megszakítják a kezelést / tartózkodnak a kezeléstől.</w:t>
      </w:r>
    </w:p>
    <w:p w:rsidR="00F50CC3" w:rsidRDefault="00F50CC3">
      <w:pPr>
        <w:pStyle w:val="Default"/>
        <w:rPr>
          <w:sz w:val="22"/>
          <w:szCs w:val="22"/>
        </w:rPr>
      </w:pPr>
    </w:p>
    <w:p w:rsidR="00F50CC3" w:rsidRDefault="00730655">
      <w:pPr>
        <w:pStyle w:val="Default"/>
        <w:rPr>
          <w:sz w:val="22"/>
          <w:szCs w:val="22"/>
        </w:rPr>
      </w:pPr>
      <w:r>
        <w:rPr>
          <w:sz w:val="22"/>
          <w:szCs w:val="22"/>
          <w:u w:val="single"/>
        </w:rPr>
        <w:t>Termékenység</w:t>
      </w:r>
    </w:p>
    <w:p w:rsidR="00F50CC3" w:rsidRDefault="00730655">
      <w:pPr>
        <w:spacing w:line="240" w:lineRule="auto"/>
        <w:rPr>
          <w:lang w:val="hu-HU"/>
        </w:rPr>
      </w:pPr>
      <w:r>
        <w:rPr>
          <w:lang w:val="hu-HU"/>
        </w:rPr>
        <w:t>Nem végeztek specifikus, a humán termékenységre kifejtett hatásokat értékelő vizsgálatokat rivaroxabánnal. Egy patkányokkal végzett vizsgálatban nem észleltek a hím és nőstény fertilitásra gyakorolt hatásokat (lásd 5.3 pont).</w:t>
      </w:r>
    </w:p>
    <w:p w:rsidR="00F50CC3" w:rsidRDefault="00F50CC3">
      <w:pPr>
        <w:spacing w:line="240" w:lineRule="auto"/>
        <w:rPr>
          <w:lang w:val="hu-HU"/>
        </w:rPr>
      </w:pPr>
    </w:p>
    <w:p w:rsidR="00F50CC3" w:rsidRDefault="00730655">
      <w:pPr>
        <w:spacing w:line="240" w:lineRule="auto"/>
        <w:ind w:left="567" w:hanging="567"/>
        <w:outlineLvl w:val="0"/>
        <w:rPr>
          <w:b/>
          <w:noProof/>
          <w:lang w:val="hu-HU"/>
        </w:rPr>
      </w:pPr>
      <w:r>
        <w:rPr>
          <w:b/>
          <w:noProof/>
          <w:lang w:val="hu-HU"/>
        </w:rPr>
        <w:t>4.7</w:t>
      </w:r>
      <w:r>
        <w:rPr>
          <w:b/>
          <w:noProof/>
          <w:lang w:val="hu-HU"/>
        </w:rPr>
        <w:tab/>
        <w:t>A készítmény hatásai a gépjárművezetéshez és a gépek kezeléséhez szükséges képességekre</w:t>
      </w:r>
    </w:p>
    <w:p w:rsidR="00F50CC3" w:rsidRDefault="00F50CC3">
      <w:pPr>
        <w:spacing w:line="240" w:lineRule="auto"/>
        <w:ind w:left="567" w:hanging="567"/>
        <w:outlineLvl w:val="0"/>
        <w:rPr>
          <w:b/>
          <w:lang w:val="hu-HU"/>
        </w:rPr>
      </w:pPr>
    </w:p>
    <w:p w:rsidR="00F50CC3" w:rsidRDefault="00730655">
      <w:pPr>
        <w:pStyle w:val="Default"/>
        <w:rPr>
          <w:noProof/>
          <w:sz w:val="22"/>
          <w:szCs w:val="22"/>
        </w:rPr>
      </w:pPr>
      <w:r>
        <w:t xml:space="preserve">A rivaroxabán kismértékben befolyásolja a gépjárművezetéshez és a gépek kezeléséhez szükséges képességeket. </w:t>
      </w:r>
      <w:r>
        <w:rPr>
          <w:sz w:val="22"/>
          <w:szCs w:val="22"/>
        </w:rPr>
        <w:t>Jelentettek mellékhatásként ájulást (gyakoriság: nem gyakori) és szédülést (gyakoriság: gyakori) (lásd 4.8 pont). Azok a betegek, akik ilyen mellékhatásokat tapasztalnak, nem vezethetnek gépjárművet, és nem kezelhetnek gépeket.</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4.8</w:t>
      </w:r>
      <w:r>
        <w:rPr>
          <w:b/>
          <w:noProof/>
          <w:lang w:val="hu-HU"/>
        </w:rPr>
        <w:tab/>
        <w:t>Nemkívánatos hatások, mellékhatások</w:t>
      </w:r>
    </w:p>
    <w:p w:rsidR="00F50CC3" w:rsidRDefault="00F50CC3">
      <w:pPr>
        <w:spacing w:line="240" w:lineRule="auto"/>
        <w:rPr>
          <w:i/>
          <w:lang w:val="hu-HU"/>
        </w:rPr>
      </w:pPr>
    </w:p>
    <w:p w:rsidR="00F50CC3" w:rsidRDefault="00730655">
      <w:pPr>
        <w:pStyle w:val="Default"/>
        <w:rPr>
          <w:sz w:val="22"/>
          <w:szCs w:val="22"/>
        </w:rPr>
      </w:pPr>
      <w:r>
        <w:rPr>
          <w:sz w:val="22"/>
          <w:szCs w:val="22"/>
          <w:u w:val="single"/>
        </w:rPr>
        <w:t>A biztonságossági profil összefoglalása</w:t>
      </w:r>
    </w:p>
    <w:p w:rsidR="00F50CC3" w:rsidRDefault="00730655">
      <w:pPr>
        <w:spacing w:line="240" w:lineRule="auto"/>
        <w:rPr>
          <w:u w:val="single"/>
          <w:lang w:val="hu-HU"/>
        </w:rPr>
      </w:pPr>
      <w:r>
        <w:rPr>
          <w:lang w:val="hu-HU"/>
        </w:rPr>
        <w:t>A rivaroxabán biztonságosságát tizenhárom, pivotális III. fázisú vizsgálatban értékelték (lásd 1. táblázat).</w:t>
      </w:r>
    </w:p>
    <w:p w:rsidR="00F50CC3" w:rsidRDefault="00F50CC3">
      <w:pPr>
        <w:spacing w:line="240" w:lineRule="auto"/>
        <w:rPr>
          <w:u w:val="single"/>
          <w:lang w:val="hu-HU"/>
        </w:rPr>
      </w:pPr>
    </w:p>
    <w:p w:rsidR="00F50CC3" w:rsidRDefault="00730655">
      <w:pPr>
        <w:widowControl w:val="0"/>
        <w:suppressAutoHyphens/>
        <w:spacing w:line="240" w:lineRule="auto"/>
        <w:ind w:left="6" w:right="1102"/>
        <w:rPr>
          <w:lang w:val="hu-HU"/>
        </w:rPr>
      </w:pPr>
      <w:r>
        <w:rPr>
          <w:lang w:val="hu-HU"/>
        </w:rPr>
        <w:t>Összességében tizenkilenc III. fázisú vizsgálatban 69 608 felnőtt, illetve kettő II. fázisú és kettő III. fázisú vizsgálatban 488 gyermek- és serdülő korú beteg kapott rivaroxabánt.</w:t>
      </w:r>
    </w:p>
    <w:p w:rsidR="00F50CC3" w:rsidRDefault="00F50CC3">
      <w:pPr>
        <w:spacing w:line="240" w:lineRule="auto"/>
        <w:rPr>
          <w:u w:val="single"/>
          <w:lang w:val="hu-HU"/>
        </w:rPr>
      </w:pPr>
    </w:p>
    <w:p w:rsidR="00F50CC3" w:rsidRDefault="00730655" w:rsidP="00C06B46">
      <w:pPr>
        <w:tabs>
          <w:tab w:val="clear" w:pos="567"/>
          <w:tab w:val="left" w:pos="1276"/>
        </w:tabs>
        <w:spacing w:line="240" w:lineRule="auto"/>
        <w:ind w:left="1276" w:hanging="1276"/>
        <w:rPr>
          <w:b/>
          <w:bCs/>
          <w:lang w:val="hu-HU"/>
        </w:rPr>
      </w:pPr>
      <w:r>
        <w:rPr>
          <w:b/>
          <w:bCs/>
          <w:lang w:val="hu-HU"/>
        </w:rPr>
        <w:lastRenderedPageBreak/>
        <w:t>1. táblázat:</w:t>
      </w:r>
      <w:r w:rsidR="00C06B46">
        <w:rPr>
          <w:b/>
          <w:bCs/>
          <w:lang w:val="hu-HU"/>
        </w:rPr>
        <w:tab/>
      </w:r>
      <w:r>
        <w:rPr>
          <w:b/>
          <w:bCs/>
          <w:lang w:val="hu-HU"/>
        </w:rPr>
        <w:t>A vizsgált betegek száma, a napi összdózis és a kezelés maximális időtartama a felnőtt, valamint gyermek és serdülőkorú betegekkel végzett III. fázisú vizsgálatokban</w:t>
      </w:r>
    </w:p>
    <w:p w:rsidR="00C06B46" w:rsidRDefault="00C06B46" w:rsidP="00C06B46">
      <w:pPr>
        <w:tabs>
          <w:tab w:val="clear" w:pos="567"/>
          <w:tab w:val="left" w:pos="1276"/>
        </w:tabs>
        <w:spacing w:line="240" w:lineRule="auto"/>
        <w:ind w:left="1276" w:hanging="1276"/>
        <w:rPr>
          <w:u w:val="single"/>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1806"/>
        <w:gridCol w:w="2097"/>
        <w:gridCol w:w="1983"/>
      </w:tblGrid>
      <w:tr w:rsidR="00F50CC3">
        <w:tc>
          <w:tcPr>
            <w:tcW w:w="31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962"/>
            </w:tblGrid>
            <w:tr w:rsidR="00F50CC3">
              <w:trPr>
                <w:trHeight w:val="147"/>
              </w:trPr>
              <w:tc>
                <w:tcPr>
                  <w:tcW w:w="0" w:type="auto"/>
                </w:tcPr>
                <w:p w:rsidR="00F50CC3" w:rsidRDefault="00730655">
                  <w:pPr>
                    <w:pStyle w:val="Default"/>
                    <w:rPr>
                      <w:sz w:val="22"/>
                      <w:szCs w:val="22"/>
                    </w:rPr>
                  </w:pPr>
                  <w:r>
                    <w:rPr>
                      <w:b/>
                      <w:bCs/>
                      <w:sz w:val="22"/>
                      <w:szCs w:val="22"/>
                    </w:rPr>
                    <w:t xml:space="preserve">Javallat </w:t>
                  </w:r>
                </w:p>
              </w:tc>
            </w:tr>
          </w:tbl>
          <w:p w:rsidR="00F50CC3" w:rsidRDefault="00F50CC3">
            <w:pPr>
              <w:spacing w:line="240" w:lineRule="auto"/>
              <w:rPr>
                <w:u w:val="single"/>
                <w:lang w:val="hu-HU"/>
              </w:rPr>
            </w:pPr>
          </w:p>
        </w:tc>
        <w:tc>
          <w:tcPr>
            <w:tcW w:w="1806" w:type="dxa"/>
            <w:shd w:val="clear" w:color="auto" w:fill="auto"/>
          </w:tcPr>
          <w:p w:rsidR="00F50CC3" w:rsidRDefault="00730655">
            <w:pPr>
              <w:pStyle w:val="Default"/>
              <w:rPr>
                <w:sz w:val="22"/>
                <w:szCs w:val="22"/>
                <w:u w:val="single"/>
              </w:rPr>
            </w:pPr>
            <w:r>
              <w:rPr>
                <w:b/>
                <w:bCs/>
                <w:sz w:val="22"/>
                <w:szCs w:val="22"/>
              </w:rPr>
              <w:t>Betegek száma*</w:t>
            </w:r>
          </w:p>
        </w:tc>
        <w:tc>
          <w:tcPr>
            <w:tcW w:w="2097" w:type="dxa"/>
            <w:shd w:val="clear" w:color="auto" w:fill="auto"/>
          </w:tcPr>
          <w:p w:rsidR="00F50CC3" w:rsidRDefault="00730655">
            <w:pPr>
              <w:pStyle w:val="Default"/>
              <w:rPr>
                <w:sz w:val="22"/>
                <w:szCs w:val="22"/>
                <w:u w:val="single"/>
              </w:rPr>
            </w:pPr>
            <w:r>
              <w:rPr>
                <w:b/>
                <w:bCs/>
                <w:sz w:val="22"/>
                <w:szCs w:val="22"/>
              </w:rPr>
              <w:t>Napi összdózis</w:t>
            </w:r>
          </w:p>
        </w:tc>
        <w:tc>
          <w:tcPr>
            <w:tcW w:w="1983" w:type="dxa"/>
            <w:shd w:val="clear" w:color="auto" w:fill="auto"/>
          </w:tcPr>
          <w:p w:rsidR="00F50CC3" w:rsidRDefault="00730655">
            <w:pPr>
              <w:pStyle w:val="Default"/>
              <w:rPr>
                <w:sz w:val="22"/>
                <w:szCs w:val="22"/>
                <w:u w:val="single"/>
              </w:rPr>
            </w:pPr>
            <w:r>
              <w:rPr>
                <w:b/>
                <w:bCs/>
                <w:sz w:val="22"/>
                <w:szCs w:val="22"/>
              </w:rPr>
              <w:t>A kezelés maximális időtartama</w:t>
            </w:r>
          </w:p>
        </w:tc>
      </w:tr>
      <w:tr w:rsidR="00F50CC3">
        <w:tc>
          <w:tcPr>
            <w:tcW w:w="3175" w:type="dxa"/>
            <w:shd w:val="clear" w:color="auto" w:fill="auto"/>
          </w:tcPr>
          <w:p w:rsidR="00F50CC3" w:rsidRDefault="00730655">
            <w:pPr>
              <w:pStyle w:val="Default"/>
              <w:rPr>
                <w:sz w:val="22"/>
                <w:szCs w:val="22"/>
              </w:rPr>
            </w:pPr>
            <w:r>
              <w:rPr>
                <w:sz w:val="22"/>
                <w:szCs w:val="22"/>
              </w:rPr>
              <w:t xml:space="preserve">Vénás thromboembolia (VTE) megelőzése elektív csípő- vagy térdprotézis műtéten áteső felnőtt betegeknél </w:t>
            </w:r>
          </w:p>
          <w:p w:rsidR="00F50CC3" w:rsidRDefault="00F50CC3">
            <w:pPr>
              <w:spacing w:line="240" w:lineRule="auto"/>
              <w:rPr>
                <w:u w:val="single"/>
                <w:lang w:val="hu-HU"/>
              </w:rPr>
            </w:pPr>
          </w:p>
        </w:tc>
        <w:tc>
          <w:tcPr>
            <w:tcW w:w="1806" w:type="dxa"/>
            <w:shd w:val="clear" w:color="auto" w:fill="auto"/>
          </w:tcPr>
          <w:p w:rsidR="00F50CC3" w:rsidRDefault="00730655">
            <w:pPr>
              <w:spacing w:line="240" w:lineRule="auto"/>
              <w:rPr>
                <w:lang w:val="hu-HU"/>
              </w:rPr>
            </w:pPr>
            <w:r>
              <w:rPr>
                <w:lang w:val="hu-HU"/>
              </w:rPr>
              <w:t>6097</w:t>
            </w:r>
          </w:p>
        </w:tc>
        <w:tc>
          <w:tcPr>
            <w:tcW w:w="2097" w:type="dxa"/>
            <w:shd w:val="clear" w:color="auto" w:fill="auto"/>
          </w:tcPr>
          <w:p w:rsidR="00F50CC3" w:rsidRDefault="00730655">
            <w:pPr>
              <w:spacing w:line="240" w:lineRule="auto"/>
              <w:rPr>
                <w:lang w:val="hu-HU"/>
              </w:rPr>
            </w:pPr>
            <w:r>
              <w:rPr>
                <w:lang w:val="hu-HU"/>
              </w:rPr>
              <w:t>10 mg</w:t>
            </w:r>
          </w:p>
        </w:tc>
        <w:tc>
          <w:tcPr>
            <w:tcW w:w="1983" w:type="dxa"/>
            <w:shd w:val="clear" w:color="auto" w:fill="auto"/>
          </w:tcPr>
          <w:p w:rsidR="00F50CC3" w:rsidRDefault="00730655">
            <w:pPr>
              <w:pStyle w:val="Default"/>
              <w:rPr>
                <w:sz w:val="22"/>
                <w:szCs w:val="22"/>
                <w:u w:val="single"/>
              </w:rPr>
            </w:pPr>
            <w:r>
              <w:rPr>
                <w:sz w:val="22"/>
                <w:szCs w:val="22"/>
              </w:rPr>
              <w:t>39 nap</w:t>
            </w:r>
          </w:p>
        </w:tc>
      </w:tr>
      <w:tr w:rsidR="00F50CC3">
        <w:tc>
          <w:tcPr>
            <w:tcW w:w="3175" w:type="dxa"/>
            <w:shd w:val="clear" w:color="auto" w:fill="auto"/>
          </w:tcPr>
          <w:p w:rsidR="00F50CC3" w:rsidRDefault="00730655">
            <w:pPr>
              <w:pStyle w:val="Default"/>
              <w:rPr>
                <w:sz w:val="22"/>
                <w:szCs w:val="22"/>
              </w:rPr>
            </w:pPr>
            <w:r>
              <w:rPr>
                <w:sz w:val="22"/>
                <w:szCs w:val="22"/>
              </w:rPr>
              <w:t xml:space="preserve">VTE megelőzése akut belgyógyászati betegségben szenvedő betegeknél </w:t>
            </w:r>
          </w:p>
          <w:p w:rsidR="00F50CC3" w:rsidRDefault="00F50CC3">
            <w:pPr>
              <w:spacing w:line="240" w:lineRule="auto"/>
              <w:rPr>
                <w:u w:val="single"/>
                <w:lang w:val="hu-HU"/>
              </w:rPr>
            </w:pPr>
          </w:p>
        </w:tc>
        <w:tc>
          <w:tcPr>
            <w:tcW w:w="1806" w:type="dxa"/>
            <w:shd w:val="clear" w:color="auto" w:fill="auto"/>
          </w:tcPr>
          <w:p w:rsidR="00F50CC3" w:rsidRDefault="00730655">
            <w:pPr>
              <w:spacing w:line="240" w:lineRule="auto"/>
              <w:rPr>
                <w:lang w:val="hu-HU"/>
              </w:rPr>
            </w:pPr>
            <w:r>
              <w:rPr>
                <w:lang w:val="hu-HU"/>
              </w:rPr>
              <w:t>3997</w:t>
            </w:r>
          </w:p>
        </w:tc>
        <w:tc>
          <w:tcPr>
            <w:tcW w:w="2097" w:type="dxa"/>
            <w:shd w:val="clear" w:color="auto" w:fill="auto"/>
          </w:tcPr>
          <w:p w:rsidR="00F50CC3" w:rsidRDefault="00730655">
            <w:pPr>
              <w:spacing w:line="240" w:lineRule="auto"/>
              <w:rPr>
                <w:lang w:val="hu-HU"/>
              </w:rPr>
            </w:pPr>
            <w:r>
              <w:rPr>
                <w:lang w:val="hu-HU"/>
              </w:rPr>
              <w:t>10 mg</w:t>
            </w:r>
          </w:p>
        </w:tc>
        <w:tc>
          <w:tcPr>
            <w:tcW w:w="1983" w:type="dxa"/>
            <w:shd w:val="clear" w:color="auto" w:fill="auto"/>
          </w:tcPr>
          <w:p w:rsidR="00F50CC3" w:rsidRDefault="00730655">
            <w:pPr>
              <w:pStyle w:val="Default"/>
              <w:rPr>
                <w:sz w:val="22"/>
                <w:szCs w:val="22"/>
                <w:u w:val="single"/>
              </w:rPr>
            </w:pPr>
            <w:r>
              <w:rPr>
                <w:sz w:val="22"/>
                <w:szCs w:val="22"/>
              </w:rPr>
              <w:t>39 nap</w:t>
            </w:r>
          </w:p>
        </w:tc>
      </w:tr>
      <w:tr w:rsidR="00F50CC3">
        <w:tc>
          <w:tcPr>
            <w:tcW w:w="3175" w:type="dxa"/>
            <w:shd w:val="clear" w:color="auto" w:fill="auto"/>
          </w:tcPr>
          <w:p w:rsidR="00F50CC3" w:rsidRDefault="00730655">
            <w:pPr>
              <w:pStyle w:val="Default"/>
              <w:rPr>
                <w:sz w:val="22"/>
                <w:szCs w:val="22"/>
              </w:rPr>
            </w:pPr>
            <w:r>
              <w:rPr>
                <w:sz w:val="22"/>
                <w:szCs w:val="22"/>
              </w:rPr>
              <w:t xml:space="preserve">Mélyvénás trombózis (MVT), pulmonáris embólia (PE) kezelése, és a recidíva megelőzése </w:t>
            </w:r>
          </w:p>
          <w:p w:rsidR="00F50CC3" w:rsidRDefault="00F50CC3">
            <w:pPr>
              <w:pStyle w:val="Default"/>
              <w:rPr>
                <w:sz w:val="22"/>
                <w:szCs w:val="22"/>
                <w:u w:val="single"/>
              </w:rPr>
            </w:pPr>
          </w:p>
        </w:tc>
        <w:tc>
          <w:tcPr>
            <w:tcW w:w="1806" w:type="dxa"/>
            <w:shd w:val="clear" w:color="auto" w:fill="auto"/>
          </w:tcPr>
          <w:p w:rsidR="00F50CC3" w:rsidRDefault="00730655">
            <w:pPr>
              <w:spacing w:line="240" w:lineRule="auto"/>
              <w:rPr>
                <w:lang w:val="hu-HU"/>
              </w:rPr>
            </w:pPr>
            <w:r>
              <w:rPr>
                <w:lang w:val="hu-HU"/>
              </w:rPr>
              <w:t>6790</w:t>
            </w:r>
          </w:p>
        </w:tc>
        <w:tc>
          <w:tcPr>
            <w:tcW w:w="2097" w:type="dxa"/>
            <w:shd w:val="clear" w:color="auto" w:fill="auto"/>
          </w:tcPr>
          <w:p w:rsidR="00F50CC3" w:rsidRDefault="00730655">
            <w:pPr>
              <w:pStyle w:val="Default"/>
              <w:rPr>
                <w:sz w:val="22"/>
                <w:szCs w:val="22"/>
              </w:rPr>
            </w:pPr>
            <w:r>
              <w:rPr>
                <w:sz w:val="22"/>
                <w:szCs w:val="22"/>
              </w:rPr>
              <w:t>1-21. nap: 30</w:t>
            </w:r>
            <w:r>
              <w:rPr>
                <w:noProof/>
                <w:sz w:val="22"/>
                <w:szCs w:val="22"/>
              </w:rPr>
              <w:t> </w:t>
            </w:r>
            <w:r>
              <w:rPr>
                <w:sz w:val="22"/>
                <w:szCs w:val="22"/>
              </w:rPr>
              <w:t>mg</w:t>
            </w:r>
          </w:p>
          <w:p w:rsidR="00F50CC3" w:rsidRDefault="00730655">
            <w:pPr>
              <w:spacing w:line="240" w:lineRule="auto"/>
              <w:rPr>
                <w:lang w:val="hu-HU"/>
              </w:rPr>
            </w:pPr>
            <w:r>
              <w:rPr>
                <w:lang w:val="hu-HU"/>
              </w:rPr>
              <w:t>A 22. naptól: 20</w:t>
            </w:r>
            <w:r>
              <w:rPr>
                <w:noProof/>
                <w:lang w:val="hu-HU"/>
              </w:rPr>
              <w:t> </w:t>
            </w:r>
            <w:r>
              <w:rPr>
                <w:lang w:val="hu-HU"/>
              </w:rPr>
              <w:t>mg</w:t>
            </w:r>
          </w:p>
          <w:p w:rsidR="00F50CC3" w:rsidRDefault="00730655">
            <w:pPr>
              <w:spacing w:line="240" w:lineRule="auto"/>
              <w:rPr>
                <w:u w:val="single"/>
                <w:lang w:val="hu-HU"/>
              </w:rPr>
            </w:pPr>
            <w:r>
              <w:rPr>
                <w:lang w:val="hu-HU"/>
              </w:rPr>
              <w:t>Legalább 6 hónap elteltével: 10</w:t>
            </w:r>
            <w:r>
              <w:rPr>
                <w:noProof/>
                <w:lang w:val="hu-HU"/>
              </w:rPr>
              <w:t> </w:t>
            </w:r>
            <w:r>
              <w:rPr>
                <w:lang w:val="hu-HU"/>
              </w:rPr>
              <w:t>mg vagy 20</w:t>
            </w:r>
            <w:r>
              <w:rPr>
                <w:noProof/>
                <w:lang w:val="hu-HU"/>
              </w:rPr>
              <w:t> </w:t>
            </w:r>
            <w:r>
              <w:rPr>
                <w:lang w:val="hu-HU"/>
              </w:rPr>
              <w:t>mg</w:t>
            </w:r>
          </w:p>
        </w:tc>
        <w:tc>
          <w:tcPr>
            <w:tcW w:w="1983" w:type="dxa"/>
            <w:shd w:val="clear" w:color="auto" w:fill="auto"/>
          </w:tcPr>
          <w:p w:rsidR="00F50CC3" w:rsidRDefault="00730655">
            <w:pPr>
              <w:spacing w:line="240" w:lineRule="auto"/>
              <w:rPr>
                <w:lang w:val="hu-HU"/>
              </w:rPr>
            </w:pPr>
            <w:r>
              <w:rPr>
                <w:lang w:val="hu-HU"/>
              </w:rPr>
              <w:t>21 hónap</w:t>
            </w:r>
          </w:p>
        </w:tc>
      </w:tr>
      <w:tr w:rsidR="00F50CC3">
        <w:tc>
          <w:tcPr>
            <w:tcW w:w="3175" w:type="dxa"/>
            <w:shd w:val="clear" w:color="auto" w:fill="auto"/>
          </w:tcPr>
          <w:p w:rsidR="00F50CC3" w:rsidRDefault="00730655">
            <w:pPr>
              <w:pStyle w:val="Default"/>
              <w:rPr>
                <w:sz w:val="22"/>
                <w:szCs w:val="22"/>
              </w:rPr>
            </w:pPr>
            <w:r>
              <w:rPr>
                <w:sz w:val="22"/>
                <w:szCs w:val="22"/>
              </w:rPr>
              <w:t>A VTE kezelése és a VTE kiújulásának megelőzése újszülötteknél és 18 évesnél fiatalabb gyermekeknél a hagyományos véralvadásgátló kezelés megkezdését követően</w:t>
            </w:r>
          </w:p>
        </w:tc>
        <w:tc>
          <w:tcPr>
            <w:tcW w:w="1806" w:type="dxa"/>
            <w:shd w:val="clear" w:color="auto" w:fill="auto"/>
          </w:tcPr>
          <w:p w:rsidR="00F50CC3" w:rsidRDefault="00730655">
            <w:pPr>
              <w:spacing w:line="240" w:lineRule="auto"/>
              <w:rPr>
                <w:lang w:val="hu-HU"/>
              </w:rPr>
            </w:pPr>
            <w:r>
              <w:rPr>
                <w:lang w:val="hu-HU"/>
              </w:rPr>
              <w:t>329</w:t>
            </w:r>
          </w:p>
        </w:tc>
        <w:tc>
          <w:tcPr>
            <w:tcW w:w="2097" w:type="dxa"/>
            <w:shd w:val="clear" w:color="auto" w:fill="auto"/>
          </w:tcPr>
          <w:p w:rsidR="00F50CC3" w:rsidRDefault="00730655">
            <w:pPr>
              <w:pStyle w:val="Default"/>
              <w:rPr>
                <w:sz w:val="22"/>
                <w:szCs w:val="22"/>
              </w:rPr>
            </w:pPr>
            <w:r>
              <w:rPr>
                <w:sz w:val="22"/>
                <w:szCs w:val="22"/>
              </w:rPr>
              <w:t>A testtömeghez igazított dózis, amelynek célja olyan expozíciót elérni, mely hasonló az MVT miatt napi egyszer 20 mg rivaroxabánnal kezelt felnőtteknél megfigyelthez</w:t>
            </w:r>
          </w:p>
        </w:tc>
        <w:tc>
          <w:tcPr>
            <w:tcW w:w="1983" w:type="dxa"/>
            <w:shd w:val="clear" w:color="auto" w:fill="auto"/>
          </w:tcPr>
          <w:p w:rsidR="00F50CC3" w:rsidRDefault="00730655">
            <w:pPr>
              <w:spacing w:line="240" w:lineRule="auto"/>
              <w:rPr>
                <w:lang w:val="hu-HU"/>
              </w:rPr>
            </w:pPr>
            <w:r>
              <w:rPr>
                <w:lang w:val="hu-HU"/>
              </w:rPr>
              <w:t>12 hónap</w:t>
            </w:r>
          </w:p>
        </w:tc>
      </w:tr>
      <w:tr w:rsidR="00F50CC3">
        <w:tc>
          <w:tcPr>
            <w:tcW w:w="3175" w:type="dxa"/>
            <w:shd w:val="clear" w:color="auto" w:fill="auto"/>
          </w:tcPr>
          <w:p w:rsidR="00F50CC3" w:rsidRDefault="00730655">
            <w:pPr>
              <w:pStyle w:val="Default"/>
              <w:rPr>
                <w:sz w:val="22"/>
                <w:szCs w:val="22"/>
              </w:rPr>
            </w:pPr>
            <w:r>
              <w:rPr>
                <w:sz w:val="22"/>
                <w:szCs w:val="22"/>
              </w:rPr>
              <w:t xml:space="preserve">Stroke és systemás embolisatio megelőzése nem valvularis eredetű pitvarfibrillációban szenvedő betegeknél </w:t>
            </w:r>
          </w:p>
        </w:tc>
        <w:tc>
          <w:tcPr>
            <w:tcW w:w="1806" w:type="dxa"/>
            <w:shd w:val="clear" w:color="auto" w:fill="auto"/>
          </w:tcPr>
          <w:p w:rsidR="00F50CC3" w:rsidRDefault="00730655">
            <w:pPr>
              <w:spacing w:line="240" w:lineRule="auto"/>
              <w:rPr>
                <w:lang w:val="hu-HU"/>
              </w:rPr>
            </w:pPr>
            <w:r>
              <w:rPr>
                <w:lang w:val="hu-HU"/>
              </w:rPr>
              <w:t>7750</w:t>
            </w:r>
          </w:p>
        </w:tc>
        <w:tc>
          <w:tcPr>
            <w:tcW w:w="2097" w:type="dxa"/>
            <w:shd w:val="clear" w:color="auto" w:fill="auto"/>
          </w:tcPr>
          <w:p w:rsidR="00F50CC3" w:rsidRDefault="00730655">
            <w:pPr>
              <w:pStyle w:val="Default"/>
              <w:rPr>
                <w:sz w:val="22"/>
                <w:szCs w:val="22"/>
              </w:rPr>
            </w:pPr>
            <w:r>
              <w:rPr>
                <w:sz w:val="22"/>
                <w:szCs w:val="22"/>
              </w:rPr>
              <w:t>20</w:t>
            </w:r>
            <w:r>
              <w:rPr>
                <w:noProof/>
                <w:sz w:val="22"/>
                <w:szCs w:val="22"/>
              </w:rPr>
              <w:t> </w:t>
            </w:r>
            <w:r>
              <w:rPr>
                <w:sz w:val="22"/>
                <w:szCs w:val="22"/>
              </w:rPr>
              <w:t>mg</w:t>
            </w:r>
          </w:p>
        </w:tc>
        <w:tc>
          <w:tcPr>
            <w:tcW w:w="1983" w:type="dxa"/>
            <w:shd w:val="clear" w:color="auto" w:fill="auto"/>
          </w:tcPr>
          <w:p w:rsidR="00F50CC3" w:rsidRDefault="00730655">
            <w:pPr>
              <w:spacing w:line="240" w:lineRule="auto"/>
              <w:rPr>
                <w:lang w:val="hu-HU"/>
              </w:rPr>
            </w:pPr>
            <w:r>
              <w:rPr>
                <w:lang w:val="hu-HU"/>
              </w:rPr>
              <w:t>41 hónap</w:t>
            </w:r>
          </w:p>
        </w:tc>
      </w:tr>
      <w:tr w:rsidR="00F50CC3">
        <w:tc>
          <w:tcPr>
            <w:tcW w:w="3175" w:type="dxa"/>
            <w:shd w:val="clear" w:color="auto" w:fill="auto"/>
          </w:tcPr>
          <w:p w:rsidR="00F50CC3" w:rsidRDefault="00730655">
            <w:pPr>
              <w:pStyle w:val="Default"/>
              <w:rPr>
                <w:sz w:val="22"/>
                <w:szCs w:val="22"/>
              </w:rPr>
            </w:pPr>
            <w:r>
              <w:rPr>
                <w:sz w:val="22"/>
                <w:szCs w:val="22"/>
              </w:rPr>
              <w:t xml:space="preserve">Atherothromboticus események megelőzése akut coronaria szindrómát (ACS) követően </w:t>
            </w:r>
          </w:p>
          <w:p w:rsidR="00F50CC3" w:rsidRDefault="00F50CC3">
            <w:pPr>
              <w:spacing w:line="240" w:lineRule="auto"/>
              <w:rPr>
                <w:u w:val="single"/>
                <w:lang w:val="hu-HU"/>
              </w:rPr>
            </w:pPr>
          </w:p>
        </w:tc>
        <w:tc>
          <w:tcPr>
            <w:tcW w:w="1806" w:type="dxa"/>
            <w:shd w:val="clear" w:color="auto" w:fill="auto"/>
          </w:tcPr>
          <w:p w:rsidR="00F50CC3" w:rsidRDefault="00730655">
            <w:pPr>
              <w:spacing w:line="240" w:lineRule="auto"/>
              <w:rPr>
                <w:lang w:val="hu-HU"/>
              </w:rPr>
            </w:pPr>
            <w:r>
              <w:rPr>
                <w:lang w:val="hu-HU"/>
              </w:rPr>
              <w:t>10 225</w:t>
            </w:r>
          </w:p>
        </w:tc>
        <w:tc>
          <w:tcPr>
            <w:tcW w:w="2097" w:type="dxa"/>
            <w:shd w:val="clear" w:color="auto" w:fill="auto"/>
          </w:tcPr>
          <w:p w:rsidR="00F50CC3" w:rsidRDefault="00730655">
            <w:pPr>
              <w:pStyle w:val="Default"/>
              <w:rPr>
                <w:sz w:val="22"/>
                <w:szCs w:val="22"/>
                <w:u w:val="single"/>
              </w:rPr>
            </w:pPr>
            <w:r>
              <w:rPr>
                <w:sz w:val="22"/>
                <w:szCs w:val="22"/>
              </w:rPr>
              <w:t>5</w:t>
            </w:r>
            <w:r>
              <w:rPr>
                <w:noProof/>
                <w:sz w:val="22"/>
                <w:szCs w:val="22"/>
              </w:rPr>
              <w:t> </w:t>
            </w:r>
            <w:r>
              <w:rPr>
                <w:sz w:val="22"/>
                <w:szCs w:val="22"/>
              </w:rPr>
              <w:t xml:space="preserve">mg, illetve 10 mg ASA-val vagy ASA-val és klopidogrellel vagy tiklopidinnel együtt alkalmazva </w:t>
            </w:r>
          </w:p>
        </w:tc>
        <w:tc>
          <w:tcPr>
            <w:tcW w:w="1983" w:type="dxa"/>
            <w:shd w:val="clear" w:color="auto" w:fill="auto"/>
          </w:tcPr>
          <w:p w:rsidR="00F50CC3" w:rsidRDefault="00730655">
            <w:pPr>
              <w:spacing w:line="240" w:lineRule="auto"/>
              <w:rPr>
                <w:lang w:val="hu-HU"/>
              </w:rPr>
            </w:pPr>
            <w:r>
              <w:rPr>
                <w:lang w:val="hu-HU"/>
              </w:rPr>
              <w:t>31 hónap</w:t>
            </w:r>
          </w:p>
        </w:tc>
      </w:tr>
      <w:tr w:rsidR="00F50CC3">
        <w:tc>
          <w:tcPr>
            <w:tcW w:w="3175" w:type="dxa"/>
            <w:vMerge w:val="restart"/>
            <w:shd w:val="clear" w:color="auto" w:fill="auto"/>
          </w:tcPr>
          <w:p w:rsidR="00F50CC3" w:rsidRDefault="00730655">
            <w:pPr>
              <w:pStyle w:val="Default"/>
              <w:rPr>
                <w:sz w:val="22"/>
                <w:szCs w:val="22"/>
              </w:rPr>
            </w:pPr>
            <w:r>
              <w:rPr>
                <w:sz w:val="22"/>
                <w:szCs w:val="22"/>
              </w:rPr>
              <w:t>Atherothromboticus események megelőzése CAD/PAD-ben szenvedő betegeknél</w:t>
            </w:r>
          </w:p>
        </w:tc>
        <w:tc>
          <w:tcPr>
            <w:tcW w:w="1806" w:type="dxa"/>
            <w:shd w:val="clear" w:color="auto" w:fill="auto"/>
          </w:tcPr>
          <w:p w:rsidR="00F50CC3" w:rsidRDefault="00730655">
            <w:pPr>
              <w:spacing w:line="240" w:lineRule="auto"/>
              <w:rPr>
                <w:lang w:val="hu-HU"/>
              </w:rPr>
            </w:pPr>
            <w:r>
              <w:rPr>
                <w:lang w:val="hu-HU"/>
              </w:rPr>
              <w:t>18</w:t>
            </w:r>
            <w:r>
              <w:rPr>
                <w:color w:val="000000"/>
                <w:lang w:val="hu-HU"/>
              </w:rPr>
              <w:t> </w:t>
            </w:r>
            <w:r>
              <w:rPr>
                <w:lang w:val="hu-HU"/>
              </w:rPr>
              <w:t>244</w:t>
            </w:r>
          </w:p>
        </w:tc>
        <w:tc>
          <w:tcPr>
            <w:tcW w:w="2097" w:type="dxa"/>
            <w:shd w:val="clear" w:color="auto" w:fill="auto"/>
          </w:tcPr>
          <w:p w:rsidR="00F50CC3" w:rsidRDefault="00730655">
            <w:pPr>
              <w:pStyle w:val="Default"/>
              <w:rPr>
                <w:sz w:val="22"/>
                <w:szCs w:val="22"/>
              </w:rPr>
            </w:pPr>
            <w:r>
              <w:rPr>
                <w:sz w:val="22"/>
                <w:szCs w:val="22"/>
              </w:rPr>
              <w:t>5</w:t>
            </w:r>
            <w:r>
              <w:rPr>
                <w:noProof/>
                <w:sz w:val="22"/>
                <w:szCs w:val="22"/>
              </w:rPr>
              <w:t> </w:t>
            </w:r>
            <w:r>
              <w:rPr>
                <w:sz w:val="22"/>
                <w:szCs w:val="22"/>
              </w:rPr>
              <w:t>mg ASA-val együtt vagy 10 mg önmagában alkalmazva</w:t>
            </w:r>
          </w:p>
        </w:tc>
        <w:tc>
          <w:tcPr>
            <w:tcW w:w="1983" w:type="dxa"/>
            <w:shd w:val="clear" w:color="auto" w:fill="auto"/>
          </w:tcPr>
          <w:p w:rsidR="00F50CC3" w:rsidRDefault="00730655">
            <w:pPr>
              <w:spacing w:line="240" w:lineRule="auto"/>
              <w:rPr>
                <w:lang w:val="hu-HU"/>
              </w:rPr>
            </w:pPr>
            <w:r>
              <w:rPr>
                <w:lang w:val="hu-HU"/>
              </w:rPr>
              <w:t>47 hónap</w:t>
            </w:r>
          </w:p>
        </w:tc>
      </w:tr>
      <w:tr w:rsidR="00F50CC3">
        <w:tc>
          <w:tcPr>
            <w:tcW w:w="3175" w:type="dxa"/>
            <w:vMerge/>
            <w:shd w:val="clear" w:color="auto" w:fill="auto"/>
          </w:tcPr>
          <w:p w:rsidR="00F50CC3" w:rsidRDefault="00F50CC3">
            <w:pPr>
              <w:pStyle w:val="Default"/>
              <w:rPr>
                <w:sz w:val="22"/>
                <w:szCs w:val="22"/>
              </w:rPr>
            </w:pPr>
          </w:p>
        </w:tc>
        <w:tc>
          <w:tcPr>
            <w:tcW w:w="1806" w:type="dxa"/>
            <w:shd w:val="clear" w:color="auto" w:fill="auto"/>
          </w:tcPr>
          <w:p w:rsidR="00F50CC3" w:rsidRDefault="00730655">
            <w:pPr>
              <w:spacing w:line="240" w:lineRule="auto"/>
              <w:rPr>
                <w:lang w:val="hu-HU"/>
              </w:rPr>
            </w:pPr>
            <w:r>
              <w:rPr>
                <w:lang w:val="hu-HU"/>
              </w:rPr>
              <w:t>3256**</w:t>
            </w:r>
          </w:p>
        </w:tc>
        <w:tc>
          <w:tcPr>
            <w:tcW w:w="2097" w:type="dxa"/>
            <w:shd w:val="clear" w:color="auto" w:fill="auto"/>
          </w:tcPr>
          <w:p w:rsidR="00F50CC3" w:rsidRDefault="00730655">
            <w:pPr>
              <w:spacing w:line="240" w:lineRule="auto"/>
              <w:rPr>
                <w:lang w:val="hu-HU"/>
              </w:rPr>
            </w:pPr>
            <w:r>
              <w:rPr>
                <w:lang w:val="hu-HU"/>
              </w:rPr>
              <w:t>5</w:t>
            </w:r>
            <w:r>
              <w:rPr>
                <w:noProof/>
                <w:lang w:val="hu-HU"/>
              </w:rPr>
              <w:t> </w:t>
            </w:r>
            <w:r>
              <w:rPr>
                <w:lang w:val="hu-HU"/>
              </w:rPr>
              <w:t>mg ASA-val együtt alkalmazva</w:t>
            </w:r>
          </w:p>
        </w:tc>
        <w:tc>
          <w:tcPr>
            <w:tcW w:w="1983" w:type="dxa"/>
            <w:shd w:val="clear" w:color="auto" w:fill="auto"/>
          </w:tcPr>
          <w:p w:rsidR="00F50CC3" w:rsidRDefault="00730655">
            <w:pPr>
              <w:spacing w:line="240" w:lineRule="auto"/>
              <w:rPr>
                <w:lang w:val="hu-HU"/>
              </w:rPr>
            </w:pPr>
            <w:r>
              <w:rPr>
                <w:lang w:val="hu-HU"/>
              </w:rPr>
              <w:t>42 hónap</w:t>
            </w:r>
          </w:p>
        </w:tc>
      </w:tr>
    </w:tbl>
    <w:p w:rsidR="00F50CC3" w:rsidRDefault="00730655" w:rsidP="00C06B46">
      <w:pPr>
        <w:tabs>
          <w:tab w:val="clear" w:pos="567"/>
          <w:tab w:val="left" w:pos="426"/>
        </w:tabs>
        <w:spacing w:line="240" w:lineRule="auto"/>
        <w:rPr>
          <w:lang w:val="hu-HU"/>
        </w:rPr>
      </w:pPr>
      <w:r>
        <w:rPr>
          <w:lang w:val="hu-HU"/>
        </w:rPr>
        <w:t>*</w:t>
      </w:r>
      <w:r w:rsidR="00C06B46">
        <w:rPr>
          <w:lang w:val="hu-HU"/>
        </w:rPr>
        <w:tab/>
      </w:r>
      <w:r>
        <w:rPr>
          <w:lang w:val="hu-HU"/>
        </w:rPr>
        <w:t>Legalább egy dózis rivaroxabánt kapott betegek</w:t>
      </w:r>
    </w:p>
    <w:p w:rsidR="00F50CC3" w:rsidRDefault="00730655" w:rsidP="00C06B46">
      <w:pPr>
        <w:tabs>
          <w:tab w:val="clear" w:pos="567"/>
          <w:tab w:val="left" w:pos="426"/>
        </w:tabs>
        <w:spacing w:line="240" w:lineRule="auto"/>
        <w:rPr>
          <w:lang w:val="hu-HU"/>
        </w:rPr>
      </w:pPr>
      <w:r>
        <w:rPr>
          <w:lang w:val="hu-HU"/>
        </w:rPr>
        <w:t>**</w:t>
      </w:r>
      <w:r w:rsidR="00C06B46">
        <w:rPr>
          <w:lang w:val="hu-HU"/>
        </w:rPr>
        <w:tab/>
      </w:r>
      <w:r>
        <w:rPr>
          <w:lang w:val="hu-HU"/>
        </w:rPr>
        <w:t>A VOYAGER PAD vizsgálatból származó adat</w:t>
      </w:r>
    </w:p>
    <w:p w:rsidR="00F50CC3" w:rsidRDefault="00F50CC3">
      <w:pPr>
        <w:spacing w:line="240" w:lineRule="auto"/>
        <w:rPr>
          <w:u w:val="single"/>
          <w:lang w:val="hu-HU"/>
        </w:rPr>
      </w:pPr>
    </w:p>
    <w:p w:rsidR="00F50CC3" w:rsidRDefault="00730655">
      <w:pPr>
        <w:spacing w:line="240" w:lineRule="auto"/>
        <w:rPr>
          <w:lang w:val="hu-HU"/>
        </w:rPr>
      </w:pPr>
      <w:r>
        <w:rPr>
          <w:lang w:val="hu-HU"/>
        </w:rPr>
        <w:t>Rivaroxabánnal kezelt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rsidR="00F50CC3" w:rsidRDefault="00F50CC3">
      <w:pPr>
        <w:spacing w:line="240" w:lineRule="auto"/>
        <w:rPr>
          <w:u w:val="single"/>
          <w:lang w:val="hu-HU"/>
        </w:rPr>
      </w:pPr>
    </w:p>
    <w:p w:rsidR="00F50CC3" w:rsidRDefault="00730655" w:rsidP="00C06B46">
      <w:pPr>
        <w:tabs>
          <w:tab w:val="clear" w:pos="567"/>
          <w:tab w:val="left" w:pos="1276"/>
        </w:tabs>
        <w:spacing w:line="240" w:lineRule="auto"/>
        <w:ind w:left="1276" w:hanging="1276"/>
        <w:rPr>
          <w:b/>
          <w:bCs/>
          <w:lang w:val="hu-HU"/>
        </w:rPr>
      </w:pPr>
      <w:r>
        <w:rPr>
          <w:b/>
          <w:bCs/>
          <w:lang w:val="hu-HU"/>
        </w:rPr>
        <w:lastRenderedPageBreak/>
        <w:t>2. táblázat:</w:t>
      </w:r>
      <w:r w:rsidR="00C06B46">
        <w:rPr>
          <w:b/>
          <w:bCs/>
          <w:lang w:val="hu-HU"/>
        </w:rPr>
        <w:tab/>
      </w:r>
      <w:r>
        <w:rPr>
          <w:b/>
          <w:bCs/>
          <w:lang w:val="hu-HU"/>
        </w:rPr>
        <w:t>A vérzés* és az anaemia eseteinek aránya a felnőtt, valamint a gyermek és serdülőkorú betegekkel végzett, befejezett III. fázisú vizsgálatokban</w:t>
      </w:r>
    </w:p>
    <w:p w:rsidR="00C06B46" w:rsidRDefault="00C06B46">
      <w:pPr>
        <w:spacing w:line="240" w:lineRule="auto"/>
        <w:rPr>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2"/>
        <w:gridCol w:w="3012"/>
      </w:tblGrid>
      <w:tr w:rsidR="00F50CC3">
        <w:tc>
          <w:tcPr>
            <w:tcW w:w="3037" w:type="dxa"/>
            <w:shd w:val="clear" w:color="auto" w:fill="auto"/>
          </w:tcPr>
          <w:p w:rsidR="00F50CC3" w:rsidRDefault="00730655">
            <w:pPr>
              <w:spacing w:line="240" w:lineRule="auto"/>
              <w:rPr>
                <w:b/>
                <w:lang w:val="hu-HU"/>
              </w:rPr>
            </w:pPr>
            <w:r>
              <w:rPr>
                <w:b/>
                <w:lang w:val="hu-HU"/>
              </w:rPr>
              <w:t>Javallat</w:t>
            </w:r>
          </w:p>
        </w:tc>
        <w:tc>
          <w:tcPr>
            <w:tcW w:w="3012" w:type="dxa"/>
            <w:shd w:val="clear" w:color="auto" w:fill="auto"/>
          </w:tcPr>
          <w:p w:rsidR="00F50CC3" w:rsidRDefault="00730655">
            <w:pPr>
              <w:pStyle w:val="Default"/>
              <w:rPr>
                <w:sz w:val="22"/>
                <w:szCs w:val="22"/>
              </w:rPr>
            </w:pPr>
            <w:r>
              <w:rPr>
                <w:b/>
                <w:bCs/>
                <w:sz w:val="22"/>
                <w:szCs w:val="22"/>
              </w:rPr>
              <w:t>Bármilyen vérzés</w:t>
            </w:r>
          </w:p>
        </w:tc>
        <w:tc>
          <w:tcPr>
            <w:tcW w:w="3012" w:type="dxa"/>
            <w:shd w:val="clear" w:color="auto" w:fill="auto"/>
          </w:tcPr>
          <w:p w:rsidR="00F50CC3" w:rsidRDefault="00730655">
            <w:pPr>
              <w:pStyle w:val="Default"/>
              <w:rPr>
                <w:sz w:val="22"/>
                <w:szCs w:val="22"/>
              </w:rPr>
            </w:pPr>
            <w:r>
              <w:rPr>
                <w:b/>
                <w:bCs/>
                <w:sz w:val="22"/>
                <w:szCs w:val="22"/>
              </w:rPr>
              <w:t>Anaemia</w:t>
            </w:r>
          </w:p>
        </w:tc>
      </w:tr>
      <w:tr w:rsidR="00F50CC3">
        <w:trPr>
          <w:trHeight w:val="774"/>
        </w:trPr>
        <w:tc>
          <w:tcPr>
            <w:tcW w:w="3037" w:type="dxa"/>
            <w:shd w:val="clear" w:color="auto" w:fill="auto"/>
          </w:tcPr>
          <w:p w:rsidR="00F50CC3" w:rsidRDefault="00730655">
            <w:pPr>
              <w:pStyle w:val="Default"/>
              <w:spacing w:before="120" w:after="120"/>
              <w:rPr>
                <w:sz w:val="22"/>
                <w:szCs w:val="22"/>
              </w:rPr>
            </w:pPr>
            <w:r>
              <w:rPr>
                <w:sz w:val="22"/>
                <w:szCs w:val="22"/>
              </w:rPr>
              <w:t xml:space="preserve">VTE megelőzése elektív csípő- vagy térdprotézis műtéten áteső felnőtt betegeknél </w:t>
            </w:r>
          </w:p>
        </w:tc>
        <w:tc>
          <w:tcPr>
            <w:tcW w:w="3012" w:type="dxa"/>
            <w:shd w:val="clear" w:color="auto" w:fill="auto"/>
          </w:tcPr>
          <w:p w:rsidR="00F50CC3" w:rsidRDefault="00730655">
            <w:pPr>
              <w:pStyle w:val="Default"/>
              <w:spacing w:before="120" w:after="120"/>
              <w:rPr>
                <w:sz w:val="22"/>
                <w:szCs w:val="22"/>
              </w:rPr>
            </w:pPr>
            <w:r>
              <w:rPr>
                <w:sz w:val="22"/>
                <w:szCs w:val="22"/>
              </w:rPr>
              <w:t>A betegek 6,8%-a</w:t>
            </w:r>
          </w:p>
        </w:tc>
        <w:tc>
          <w:tcPr>
            <w:tcW w:w="3012" w:type="dxa"/>
            <w:shd w:val="clear" w:color="auto" w:fill="auto"/>
          </w:tcPr>
          <w:p w:rsidR="00F50CC3" w:rsidRDefault="00730655">
            <w:pPr>
              <w:pStyle w:val="Default"/>
              <w:spacing w:before="120" w:after="120"/>
              <w:rPr>
                <w:sz w:val="22"/>
                <w:szCs w:val="22"/>
              </w:rPr>
            </w:pPr>
            <w:r>
              <w:rPr>
                <w:sz w:val="22"/>
                <w:szCs w:val="22"/>
              </w:rPr>
              <w:t>A betegek 5,9%-a</w:t>
            </w:r>
          </w:p>
        </w:tc>
      </w:tr>
      <w:tr w:rsidR="00F50CC3">
        <w:tc>
          <w:tcPr>
            <w:tcW w:w="3037" w:type="dxa"/>
            <w:shd w:val="clear" w:color="auto" w:fill="auto"/>
          </w:tcPr>
          <w:p w:rsidR="00F50CC3" w:rsidRDefault="00730655">
            <w:pPr>
              <w:pStyle w:val="Default"/>
              <w:spacing w:before="120" w:after="120"/>
              <w:rPr>
                <w:sz w:val="22"/>
                <w:szCs w:val="22"/>
              </w:rPr>
            </w:pPr>
            <w:r>
              <w:rPr>
                <w:sz w:val="22"/>
                <w:szCs w:val="22"/>
              </w:rPr>
              <w:t xml:space="preserve">VTE megelőzése akut belgyógyászati betegségben szenvedő betegeknél </w:t>
            </w:r>
          </w:p>
        </w:tc>
        <w:tc>
          <w:tcPr>
            <w:tcW w:w="3012" w:type="dxa"/>
            <w:shd w:val="clear" w:color="auto" w:fill="auto"/>
          </w:tcPr>
          <w:p w:rsidR="00F50CC3" w:rsidRDefault="00730655">
            <w:pPr>
              <w:pStyle w:val="Default"/>
              <w:spacing w:before="120" w:after="120"/>
              <w:rPr>
                <w:sz w:val="22"/>
                <w:szCs w:val="22"/>
              </w:rPr>
            </w:pPr>
            <w:r>
              <w:rPr>
                <w:sz w:val="22"/>
                <w:szCs w:val="22"/>
              </w:rPr>
              <w:t>A betegek 12,6%-a</w:t>
            </w:r>
          </w:p>
        </w:tc>
        <w:tc>
          <w:tcPr>
            <w:tcW w:w="3012" w:type="dxa"/>
            <w:shd w:val="clear" w:color="auto" w:fill="auto"/>
          </w:tcPr>
          <w:p w:rsidR="00F50CC3" w:rsidRDefault="00730655">
            <w:pPr>
              <w:pStyle w:val="Default"/>
              <w:spacing w:before="120" w:after="120"/>
              <w:rPr>
                <w:sz w:val="22"/>
                <w:szCs w:val="22"/>
              </w:rPr>
            </w:pPr>
            <w:r>
              <w:rPr>
                <w:sz w:val="22"/>
                <w:szCs w:val="22"/>
              </w:rPr>
              <w:t>A betegek 2,1%-a</w:t>
            </w:r>
          </w:p>
        </w:tc>
      </w:tr>
      <w:tr w:rsidR="00F50CC3">
        <w:tc>
          <w:tcPr>
            <w:tcW w:w="3037" w:type="dxa"/>
            <w:shd w:val="clear" w:color="auto" w:fill="auto"/>
          </w:tcPr>
          <w:p w:rsidR="00F50CC3" w:rsidRDefault="00730655">
            <w:pPr>
              <w:pStyle w:val="Default"/>
              <w:spacing w:before="120" w:after="120"/>
              <w:rPr>
                <w:sz w:val="22"/>
                <w:szCs w:val="22"/>
              </w:rPr>
            </w:pPr>
            <w:r>
              <w:rPr>
                <w:sz w:val="22"/>
                <w:szCs w:val="22"/>
              </w:rPr>
              <w:t xml:space="preserve">MVT, PE kezelése, és a recidíva megelőzése </w:t>
            </w:r>
          </w:p>
        </w:tc>
        <w:tc>
          <w:tcPr>
            <w:tcW w:w="3012" w:type="dxa"/>
            <w:shd w:val="clear" w:color="auto" w:fill="auto"/>
          </w:tcPr>
          <w:p w:rsidR="00F50CC3" w:rsidRDefault="00730655">
            <w:pPr>
              <w:pStyle w:val="Default"/>
              <w:spacing w:before="120" w:after="120"/>
              <w:rPr>
                <w:sz w:val="22"/>
                <w:szCs w:val="22"/>
              </w:rPr>
            </w:pPr>
            <w:r>
              <w:rPr>
                <w:sz w:val="22"/>
                <w:szCs w:val="22"/>
              </w:rPr>
              <w:t>A betegek 23%-a</w:t>
            </w:r>
          </w:p>
        </w:tc>
        <w:tc>
          <w:tcPr>
            <w:tcW w:w="3012" w:type="dxa"/>
            <w:shd w:val="clear" w:color="auto" w:fill="auto"/>
          </w:tcPr>
          <w:p w:rsidR="00F50CC3" w:rsidRDefault="00730655">
            <w:pPr>
              <w:pStyle w:val="Default"/>
              <w:spacing w:before="120" w:after="120"/>
              <w:rPr>
                <w:sz w:val="22"/>
                <w:szCs w:val="22"/>
              </w:rPr>
            </w:pPr>
            <w:r>
              <w:rPr>
                <w:sz w:val="22"/>
                <w:szCs w:val="22"/>
              </w:rPr>
              <w:t>A betegek 1,6%-a</w:t>
            </w:r>
          </w:p>
        </w:tc>
      </w:tr>
      <w:tr w:rsidR="00F50CC3">
        <w:tc>
          <w:tcPr>
            <w:tcW w:w="3037" w:type="dxa"/>
            <w:shd w:val="clear" w:color="auto" w:fill="auto"/>
          </w:tcPr>
          <w:p w:rsidR="00F50CC3" w:rsidRDefault="00730655">
            <w:pPr>
              <w:pStyle w:val="Default"/>
              <w:spacing w:before="120" w:after="120"/>
              <w:rPr>
                <w:sz w:val="22"/>
                <w:szCs w:val="22"/>
              </w:rPr>
            </w:pPr>
            <w:r>
              <w:rPr>
                <w:sz w:val="22"/>
                <w:szCs w:val="22"/>
              </w:rPr>
              <w:t>A VTE kezelése és a VTE kiújulásának megelőzése érett újszülötteknél és 18 évesnél fiatalabb gyermekeknél a hagyományos véralvadásgátló kezelés megkezdését követően</w:t>
            </w:r>
          </w:p>
        </w:tc>
        <w:tc>
          <w:tcPr>
            <w:tcW w:w="3012" w:type="dxa"/>
            <w:shd w:val="clear" w:color="auto" w:fill="auto"/>
          </w:tcPr>
          <w:p w:rsidR="00F50CC3" w:rsidRDefault="00730655">
            <w:pPr>
              <w:pStyle w:val="Default"/>
              <w:spacing w:before="120" w:after="120"/>
              <w:rPr>
                <w:sz w:val="22"/>
                <w:szCs w:val="22"/>
              </w:rPr>
            </w:pPr>
            <w:r>
              <w:rPr>
                <w:sz w:val="22"/>
                <w:szCs w:val="22"/>
              </w:rPr>
              <w:t xml:space="preserve">A betegek 39,5%-a </w:t>
            </w:r>
          </w:p>
        </w:tc>
        <w:tc>
          <w:tcPr>
            <w:tcW w:w="3012" w:type="dxa"/>
            <w:shd w:val="clear" w:color="auto" w:fill="auto"/>
          </w:tcPr>
          <w:p w:rsidR="00F50CC3" w:rsidRDefault="00730655">
            <w:pPr>
              <w:pStyle w:val="Default"/>
              <w:spacing w:before="120" w:after="120"/>
              <w:rPr>
                <w:sz w:val="22"/>
                <w:szCs w:val="22"/>
              </w:rPr>
            </w:pPr>
            <w:r>
              <w:rPr>
                <w:sz w:val="22"/>
                <w:szCs w:val="22"/>
              </w:rPr>
              <w:t>A betegek 4,6%-a</w:t>
            </w:r>
          </w:p>
        </w:tc>
      </w:tr>
      <w:tr w:rsidR="00F50CC3">
        <w:tc>
          <w:tcPr>
            <w:tcW w:w="3037" w:type="dxa"/>
            <w:shd w:val="clear" w:color="auto" w:fill="auto"/>
          </w:tcPr>
          <w:p w:rsidR="00F50CC3" w:rsidRDefault="00730655">
            <w:pPr>
              <w:pStyle w:val="Default"/>
              <w:spacing w:before="120" w:after="120"/>
              <w:rPr>
                <w:sz w:val="22"/>
                <w:szCs w:val="22"/>
              </w:rPr>
            </w:pPr>
            <w:r>
              <w:rPr>
                <w:sz w:val="22"/>
                <w:szCs w:val="22"/>
              </w:rPr>
              <w:t xml:space="preserve">Stroke és systemás embolisatio megelőzése nem valvularis eredetű pitvarfibrillációban szenvedő betegeknél </w:t>
            </w:r>
          </w:p>
        </w:tc>
        <w:tc>
          <w:tcPr>
            <w:tcW w:w="3012" w:type="dxa"/>
            <w:shd w:val="clear" w:color="auto" w:fill="auto"/>
          </w:tcPr>
          <w:p w:rsidR="00F50CC3" w:rsidRDefault="00730655">
            <w:pPr>
              <w:pStyle w:val="Default"/>
              <w:spacing w:before="120" w:after="120"/>
              <w:rPr>
                <w:sz w:val="22"/>
                <w:szCs w:val="22"/>
              </w:rPr>
            </w:pPr>
            <w:r>
              <w:rPr>
                <w:sz w:val="22"/>
                <w:szCs w:val="22"/>
              </w:rPr>
              <w:t>100 betegévenként 28</w:t>
            </w:r>
          </w:p>
        </w:tc>
        <w:tc>
          <w:tcPr>
            <w:tcW w:w="3012" w:type="dxa"/>
            <w:shd w:val="clear" w:color="auto" w:fill="auto"/>
          </w:tcPr>
          <w:p w:rsidR="00F50CC3" w:rsidRDefault="00730655">
            <w:pPr>
              <w:pStyle w:val="Default"/>
              <w:spacing w:before="120" w:after="120"/>
              <w:rPr>
                <w:sz w:val="22"/>
                <w:szCs w:val="22"/>
              </w:rPr>
            </w:pPr>
            <w:r>
              <w:rPr>
                <w:sz w:val="22"/>
                <w:szCs w:val="22"/>
              </w:rPr>
              <w:t>100 betegévenként 2,5</w:t>
            </w:r>
          </w:p>
        </w:tc>
      </w:tr>
      <w:tr w:rsidR="00F50CC3">
        <w:tc>
          <w:tcPr>
            <w:tcW w:w="3037" w:type="dxa"/>
            <w:shd w:val="clear" w:color="auto" w:fill="auto"/>
          </w:tcPr>
          <w:p w:rsidR="00F50CC3" w:rsidRDefault="00730655">
            <w:pPr>
              <w:pStyle w:val="Default"/>
              <w:spacing w:before="120" w:after="120"/>
              <w:rPr>
                <w:sz w:val="22"/>
                <w:szCs w:val="22"/>
              </w:rPr>
            </w:pPr>
            <w:r>
              <w:rPr>
                <w:sz w:val="22"/>
                <w:szCs w:val="22"/>
              </w:rPr>
              <w:t xml:space="preserve">Atherothromboticus események megelőzése ACS-t követően </w:t>
            </w:r>
          </w:p>
        </w:tc>
        <w:tc>
          <w:tcPr>
            <w:tcW w:w="3012" w:type="dxa"/>
            <w:shd w:val="clear" w:color="auto" w:fill="auto"/>
          </w:tcPr>
          <w:p w:rsidR="00F50CC3" w:rsidRDefault="00730655">
            <w:pPr>
              <w:pStyle w:val="Default"/>
              <w:spacing w:before="120" w:after="120"/>
              <w:rPr>
                <w:sz w:val="22"/>
                <w:szCs w:val="22"/>
              </w:rPr>
            </w:pPr>
            <w:r>
              <w:rPr>
                <w:sz w:val="22"/>
                <w:szCs w:val="22"/>
              </w:rPr>
              <w:t>100 betegévenként 22</w:t>
            </w:r>
          </w:p>
        </w:tc>
        <w:tc>
          <w:tcPr>
            <w:tcW w:w="3012" w:type="dxa"/>
            <w:shd w:val="clear" w:color="auto" w:fill="auto"/>
          </w:tcPr>
          <w:p w:rsidR="00F50CC3" w:rsidRDefault="00730655">
            <w:pPr>
              <w:pStyle w:val="Default"/>
              <w:spacing w:before="120" w:after="120"/>
              <w:rPr>
                <w:sz w:val="22"/>
                <w:szCs w:val="22"/>
              </w:rPr>
            </w:pPr>
            <w:r>
              <w:rPr>
                <w:sz w:val="22"/>
                <w:szCs w:val="22"/>
              </w:rPr>
              <w:t>100 betegévenként 1,4</w:t>
            </w:r>
          </w:p>
        </w:tc>
      </w:tr>
      <w:tr w:rsidR="00F50CC3">
        <w:tc>
          <w:tcPr>
            <w:tcW w:w="3037" w:type="dxa"/>
            <w:vMerge w:val="restart"/>
            <w:shd w:val="clear" w:color="auto" w:fill="auto"/>
          </w:tcPr>
          <w:p w:rsidR="00F50CC3" w:rsidRDefault="00730655">
            <w:pPr>
              <w:pStyle w:val="Default"/>
              <w:spacing w:before="120" w:after="120"/>
              <w:rPr>
                <w:sz w:val="22"/>
                <w:szCs w:val="22"/>
              </w:rPr>
            </w:pPr>
            <w:r>
              <w:rPr>
                <w:sz w:val="22"/>
                <w:szCs w:val="22"/>
              </w:rPr>
              <w:t>Atherothromboticus események megelőzése CAD/PAD-ben szenvedő betegeknél</w:t>
            </w:r>
          </w:p>
        </w:tc>
        <w:tc>
          <w:tcPr>
            <w:tcW w:w="3012" w:type="dxa"/>
            <w:shd w:val="clear" w:color="auto" w:fill="auto"/>
          </w:tcPr>
          <w:p w:rsidR="00F50CC3" w:rsidRDefault="00730655">
            <w:pPr>
              <w:pStyle w:val="Default"/>
              <w:spacing w:before="120" w:after="120"/>
              <w:rPr>
                <w:sz w:val="22"/>
                <w:szCs w:val="22"/>
              </w:rPr>
            </w:pPr>
            <w:r>
              <w:rPr>
                <w:sz w:val="22"/>
                <w:szCs w:val="22"/>
              </w:rPr>
              <w:t xml:space="preserve">100 betegévenként 6,7 </w:t>
            </w:r>
          </w:p>
        </w:tc>
        <w:tc>
          <w:tcPr>
            <w:tcW w:w="3012" w:type="dxa"/>
            <w:shd w:val="clear" w:color="auto" w:fill="auto"/>
          </w:tcPr>
          <w:p w:rsidR="00F50CC3" w:rsidRDefault="00730655">
            <w:pPr>
              <w:pStyle w:val="Default"/>
              <w:spacing w:before="120" w:after="120"/>
              <w:rPr>
                <w:sz w:val="22"/>
                <w:szCs w:val="22"/>
              </w:rPr>
            </w:pPr>
            <w:r>
              <w:rPr>
                <w:sz w:val="22"/>
                <w:szCs w:val="22"/>
              </w:rPr>
              <w:t>100 betegévenként 0,15**</w:t>
            </w:r>
          </w:p>
        </w:tc>
      </w:tr>
      <w:tr w:rsidR="00F50CC3">
        <w:tc>
          <w:tcPr>
            <w:tcW w:w="3037" w:type="dxa"/>
            <w:vMerge/>
            <w:shd w:val="clear" w:color="auto" w:fill="auto"/>
          </w:tcPr>
          <w:p w:rsidR="00F50CC3" w:rsidRDefault="00F50CC3">
            <w:pPr>
              <w:pStyle w:val="Default"/>
              <w:spacing w:before="120" w:after="120"/>
              <w:rPr>
                <w:sz w:val="22"/>
                <w:szCs w:val="22"/>
              </w:rPr>
            </w:pPr>
          </w:p>
        </w:tc>
        <w:tc>
          <w:tcPr>
            <w:tcW w:w="3012" w:type="dxa"/>
            <w:shd w:val="clear" w:color="auto" w:fill="auto"/>
          </w:tcPr>
          <w:p w:rsidR="00F50CC3" w:rsidRDefault="00730655">
            <w:pPr>
              <w:pStyle w:val="Default"/>
              <w:spacing w:before="120" w:after="120"/>
              <w:rPr>
                <w:sz w:val="22"/>
                <w:szCs w:val="22"/>
              </w:rPr>
            </w:pPr>
            <w:r>
              <w:rPr>
                <w:sz w:val="22"/>
                <w:szCs w:val="22"/>
              </w:rPr>
              <w:t>100 betegévenként 8,38#</w:t>
            </w:r>
          </w:p>
        </w:tc>
        <w:tc>
          <w:tcPr>
            <w:tcW w:w="3012" w:type="dxa"/>
            <w:shd w:val="clear" w:color="auto" w:fill="auto"/>
          </w:tcPr>
          <w:p w:rsidR="00F50CC3" w:rsidRDefault="00730655">
            <w:pPr>
              <w:pStyle w:val="Default"/>
              <w:spacing w:before="120" w:after="120"/>
              <w:rPr>
                <w:sz w:val="22"/>
                <w:szCs w:val="22"/>
              </w:rPr>
            </w:pPr>
            <w:r>
              <w:rPr>
                <w:sz w:val="22"/>
                <w:szCs w:val="22"/>
              </w:rPr>
              <w:t>100 betegévenként 0,74***#</w:t>
            </w:r>
          </w:p>
        </w:tc>
      </w:tr>
    </w:tbl>
    <w:p w:rsidR="00F50CC3" w:rsidRDefault="00730655" w:rsidP="00C06B46">
      <w:pPr>
        <w:tabs>
          <w:tab w:val="clear" w:pos="567"/>
          <w:tab w:val="left" w:pos="426"/>
        </w:tabs>
        <w:spacing w:line="240" w:lineRule="auto"/>
        <w:ind w:left="426" w:hanging="426"/>
        <w:rPr>
          <w:lang w:val="hu-HU"/>
        </w:rPr>
      </w:pPr>
      <w:r>
        <w:rPr>
          <w:lang w:val="hu-HU"/>
        </w:rPr>
        <w:t>*</w:t>
      </w:r>
      <w:r>
        <w:rPr>
          <w:lang w:val="hu-HU"/>
        </w:rPr>
        <w:tab/>
        <w:t>A rivaroxabánnal végzett valamennyi vizsgálatban az összes vérzéses eseményt regisztrálják, jelentik és elbírálják.</w:t>
      </w:r>
    </w:p>
    <w:p w:rsidR="00F50CC3" w:rsidRDefault="00730655" w:rsidP="00C06B46">
      <w:pPr>
        <w:tabs>
          <w:tab w:val="clear" w:pos="567"/>
          <w:tab w:val="left" w:pos="426"/>
        </w:tabs>
        <w:spacing w:line="240" w:lineRule="auto"/>
        <w:ind w:left="426" w:hanging="426"/>
        <w:rPr>
          <w:lang w:val="hu-HU"/>
        </w:rPr>
      </w:pPr>
      <w:r>
        <w:rPr>
          <w:lang w:val="hu-HU"/>
        </w:rPr>
        <w:t>**</w:t>
      </w:r>
      <w:r>
        <w:rPr>
          <w:lang w:val="hu-HU"/>
        </w:rPr>
        <w:tab/>
        <w:t>A COMPASS vizsgálatban alacsony az anaemia incidencia, mivel a nemkívánatos események regisztrálása tekintetében szelektív megközelítést alkalmaztak.</w:t>
      </w:r>
    </w:p>
    <w:p w:rsidR="00F50CC3" w:rsidRDefault="00730655" w:rsidP="00C06B46">
      <w:pPr>
        <w:tabs>
          <w:tab w:val="clear" w:pos="567"/>
          <w:tab w:val="left" w:pos="426"/>
        </w:tabs>
        <w:spacing w:line="240" w:lineRule="auto"/>
        <w:ind w:left="426" w:hanging="426"/>
        <w:rPr>
          <w:lang w:val="hu-HU"/>
        </w:rPr>
      </w:pPr>
      <w:r>
        <w:rPr>
          <w:lang w:val="hu-HU"/>
        </w:rPr>
        <w:t>***</w:t>
      </w:r>
      <w:r>
        <w:rPr>
          <w:lang w:val="hu-HU"/>
        </w:rPr>
        <w:tab/>
        <w:t>A nemkívánatos események regisztrálása tekintetében szelektív megközelítést alkalmaztak.</w:t>
      </w:r>
    </w:p>
    <w:p w:rsidR="00F50CC3" w:rsidRDefault="00730655" w:rsidP="00C06B46">
      <w:pPr>
        <w:tabs>
          <w:tab w:val="clear" w:pos="567"/>
          <w:tab w:val="left" w:pos="426"/>
        </w:tabs>
        <w:spacing w:line="240" w:lineRule="auto"/>
        <w:ind w:left="426" w:hanging="426"/>
        <w:rPr>
          <w:lang w:val="hu-HU"/>
        </w:rPr>
      </w:pPr>
      <w:r>
        <w:rPr>
          <w:lang w:val="hu-HU"/>
        </w:rPr>
        <w:t>#</w:t>
      </w:r>
      <w:r>
        <w:rPr>
          <w:lang w:val="hu-HU"/>
        </w:rPr>
        <w:tab/>
        <w:t>A VOYAGER PAD vizsgálatból származó adat.</w:t>
      </w:r>
    </w:p>
    <w:p w:rsidR="00F50CC3" w:rsidRDefault="00F50CC3">
      <w:pPr>
        <w:spacing w:line="240" w:lineRule="auto"/>
        <w:rPr>
          <w:lang w:val="hu-HU"/>
        </w:rPr>
      </w:pPr>
    </w:p>
    <w:p w:rsidR="00F50CC3" w:rsidRDefault="00730655">
      <w:pPr>
        <w:pStyle w:val="Default"/>
        <w:rPr>
          <w:sz w:val="22"/>
          <w:szCs w:val="22"/>
        </w:rPr>
      </w:pPr>
      <w:r>
        <w:rPr>
          <w:sz w:val="22"/>
          <w:szCs w:val="22"/>
          <w:u w:val="single"/>
        </w:rPr>
        <w:t>A mellékhatások táblázatos felsorolása</w:t>
      </w:r>
    </w:p>
    <w:p w:rsidR="00F50CC3" w:rsidRDefault="00730655">
      <w:pPr>
        <w:pStyle w:val="Default"/>
        <w:rPr>
          <w:sz w:val="22"/>
          <w:szCs w:val="22"/>
        </w:rPr>
      </w:pPr>
      <w:r>
        <w:rPr>
          <w:sz w:val="22"/>
          <w:szCs w:val="22"/>
        </w:rPr>
        <w:t>A felnőtt és gyermekgyógyászati betegeknél rivaroxabánnal kapcsolatosan jelentett mellékhatások gyakorisága az alábbi, 3. táblázatban került összefoglalásra, szervrendszeri kategóriák (MedDRA alapján) és gyakoriság szerint.</w:t>
      </w:r>
    </w:p>
    <w:p w:rsidR="00F50CC3" w:rsidRDefault="00F50CC3">
      <w:pPr>
        <w:pStyle w:val="Default"/>
        <w:rPr>
          <w:sz w:val="22"/>
          <w:szCs w:val="22"/>
        </w:rPr>
      </w:pPr>
    </w:p>
    <w:p w:rsidR="00F50CC3" w:rsidRDefault="00730655">
      <w:pPr>
        <w:pStyle w:val="Default"/>
        <w:rPr>
          <w:sz w:val="22"/>
          <w:szCs w:val="22"/>
        </w:rPr>
      </w:pPr>
      <w:r>
        <w:rPr>
          <w:sz w:val="22"/>
          <w:szCs w:val="22"/>
        </w:rPr>
        <w:t>A gyakoriságok meghatározása:</w:t>
      </w:r>
    </w:p>
    <w:p w:rsidR="00F50CC3" w:rsidRDefault="00730655">
      <w:pPr>
        <w:pStyle w:val="Default"/>
        <w:rPr>
          <w:sz w:val="22"/>
          <w:szCs w:val="22"/>
        </w:rPr>
      </w:pPr>
      <w:r>
        <w:rPr>
          <w:sz w:val="22"/>
          <w:szCs w:val="22"/>
        </w:rPr>
        <w:t xml:space="preserve">nagyon gyakori </w:t>
      </w:r>
      <w:r>
        <w:rPr>
          <w:rFonts w:hint="eastAsia"/>
          <w:sz w:val="22"/>
          <w:szCs w:val="22"/>
        </w:rPr>
        <w:t>(</w:t>
      </w:r>
      <w:r>
        <w:rPr>
          <w:rFonts w:hint="eastAsia"/>
          <w:sz w:val="22"/>
          <w:szCs w:val="22"/>
        </w:rPr>
        <w:t>≥</w:t>
      </w:r>
      <w:r>
        <w:rPr>
          <w:rFonts w:hint="eastAsia"/>
          <w:sz w:val="22"/>
          <w:szCs w:val="22"/>
        </w:rPr>
        <w:t> 1/10)</w:t>
      </w:r>
    </w:p>
    <w:p w:rsidR="00F50CC3" w:rsidRDefault="00730655">
      <w:pPr>
        <w:pStyle w:val="Default"/>
        <w:rPr>
          <w:sz w:val="22"/>
          <w:szCs w:val="22"/>
        </w:rPr>
      </w:pPr>
      <w:r>
        <w:rPr>
          <w:sz w:val="22"/>
          <w:szCs w:val="22"/>
        </w:rPr>
        <w:t xml:space="preserve">gyakori </w:t>
      </w:r>
      <w:r>
        <w:rPr>
          <w:rFonts w:hint="eastAsia"/>
          <w:sz w:val="22"/>
          <w:szCs w:val="22"/>
        </w:rPr>
        <w:t>(</w:t>
      </w:r>
      <w:r>
        <w:rPr>
          <w:rFonts w:hint="eastAsia"/>
          <w:sz w:val="22"/>
          <w:szCs w:val="22"/>
        </w:rPr>
        <w:t>≥</w:t>
      </w:r>
      <w:r>
        <w:rPr>
          <w:rFonts w:hint="eastAsia"/>
          <w:sz w:val="22"/>
          <w:szCs w:val="22"/>
        </w:rPr>
        <w:t> 1/100</w:t>
      </w:r>
      <w:r>
        <w:rPr>
          <w:sz w:val="22"/>
          <w:szCs w:val="22"/>
        </w:rPr>
        <w:t> </w:t>
      </w:r>
      <w:r>
        <w:rPr>
          <w:b/>
          <w:bCs/>
          <w:sz w:val="22"/>
          <w:szCs w:val="22"/>
        </w:rPr>
        <w:t>– </w:t>
      </w:r>
      <w:r>
        <w:rPr>
          <w:sz w:val="22"/>
          <w:szCs w:val="22"/>
        </w:rPr>
        <w:t>&lt; 1/10)</w:t>
      </w:r>
    </w:p>
    <w:p w:rsidR="00F50CC3" w:rsidRDefault="00730655">
      <w:pPr>
        <w:pStyle w:val="Default"/>
        <w:rPr>
          <w:sz w:val="22"/>
          <w:szCs w:val="22"/>
        </w:rPr>
      </w:pPr>
      <w:r>
        <w:rPr>
          <w:sz w:val="22"/>
          <w:szCs w:val="22"/>
        </w:rPr>
        <w:t xml:space="preserve">nem gyakori </w:t>
      </w:r>
      <w:r>
        <w:rPr>
          <w:rFonts w:hint="eastAsia"/>
          <w:sz w:val="22"/>
          <w:szCs w:val="22"/>
        </w:rPr>
        <w:t>(</w:t>
      </w:r>
      <w:r>
        <w:rPr>
          <w:rFonts w:hint="eastAsia"/>
          <w:sz w:val="22"/>
          <w:szCs w:val="22"/>
        </w:rPr>
        <w:t>≥</w:t>
      </w:r>
      <w:r>
        <w:rPr>
          <w:rFonts w:hint="eastAsia"/>
          <w:sz w:val="22"/>
          <w:szCs w:val="22"/>
        </w:rPr>
        <w:t> 1/1000</w:t>
      </w:r>
      <w:r>
        <w:rPr>
          <w:sz w:val="22"/>
          <w:szCs w:val="22"/>
        </w:rPr>
        <w:t> </w:t>
      </w:r>
      <w:r>
        <w:rPr>
          <w:b/>
          <w:bCs/>
          <w:sz w:val="22"/>
          <w:szCs w:val="22"/>
        </w:rPr>
        <w:t>– </w:t>
      </w:r>
      <w:r>
        <w:rPr>
          <w:sz w:val="22"/>
          <w:szCs w:val="22"/>
        </w:rPr>
        <w:t>&lt; 1/100)</w:t>
      </w:r>
    </w:p>
    <w:p w:rsidR="00F50CC3" w:rsidRDefault="00730655">
      <w:pPr>
        <w:pStyle w:val="Default"/>
        <w:rPr>
          <w:sz w:val="22"/>
          <w:szCs w:val="22"/>
        </w:rPr>
      </w:pPr>
      <w:r>
        <w:rPr>
          <w:sz w:val="22"/>
          <w:szCs w:val="22"/>
        </w:rPr>
        <w:t xml:space="preserve">ritka </w:t>
      </w:r>
      <w:r>
        <w:rPr>
          <w:rFonts w:hint="eastAsia"/>
          <w:sz w:val="22"/>
          <w:szCs w:val="22"/>
        </w:rPr>
        <w:t>(</w:t>
      </w:r>
      <w:r>
        <w:rPr>
          <w:rFonts w:hint="eastAsia"/>
          <w:sz w:val="22"/>
          <w:szCs w:val="22"/>
        </w:rPr>
        <w:t>≥</w:t>
      </w:r>
      <w:r>
        <w:rPr>
          <w:rFonts w:hint="eastAsia"/>
          <w:sz w:val="22"/>
          <w:szCs w:val="22"/>
        </w:rPr>
        <w:t> 1/10 000</w:t>
      </w:r>
      <w:r>
        <w:rPr>
          <w:sz w:val="22"/>
          <w:szCs w:val="22"/>
        </w:rPr>
        <w:t> </w:t>
      </w:r>
      <w:r>
        <w:rPr>
          <w:b/>
          <w:bCs/>
          <w:sz w:val="22"/>
          <w:szCs w:val="22"/>
        </w:rPr>
        <w:t>– </w:t>
      </w:r>
      <w:r>
        <w:rPr>
          <w:sz w:val="22"/>
          <w:szCs w:val="22"/>
        </w:rPr>
        <w:t>&lt; 1/1000)</w:t>
      </w:r>
    </w:p>
    <w:p w:rsidR="00F50CC3" w:rsidRDefault="00730655">
      <w:pPr>
        <w:pStyle w:val="Default"/>
        <w:rPr>
          <w:sz w:val="22"/>
          <w:szCs w:val="22"/>
        </w:rPr>
      </w:pPr>
      <w:r>
        <w:rPr>
          <w:sz w:val="22"/>
          <w:szCs w:val="22"/>
        </w:rPr>
        <w:t>nagyon ritka (&lt; 1/10 000)</w:t>
      </w:r>
    </w:p>
    <w:p w:rsidR="00F50CC3" w:rsidRDefault="00730655">
      <w:pPr>
        <w:pStyle w:val="Default"/>
        <w:rPr>
          <w:sz w:val="22"/>
          <w:szCs w:val="22"/>
        </w:rPr>
      </w:pPr>
      <w:r>
        <w:rPr>
          <w:sz w:val="22"/>
          <w:szCs w:val="22"/>
        </w:rPr>
        <w:t>nem ismert: (a gyakoriság a rendelkezésre álló adatokból nem állapítható meg).</w:t>
      </w:r>
    </w:p>
    <w:p w:rsidR="00F50CC3" w:rsidRDefault="00F50CC3">
      <w:pPr>
        <w:pStyle w:val="Default"/>
        <w:rPr>
          <w:sz w:val="22"/>
          <w:szCs w:val="22"/>
        </w:rPr>
      </w:pPr>
    </w:p>
    <w:p w:rsidR="00F50CC3" w:rsidRDefault="00F50CC3">
      <w:pPr>
        <w:pStyle w:val="Default"/>
        <w:rPr>
          <w:sz w:val="22"/>
          <w:szCs w:val="22"/>
        </w:rPr>
      </w:pPr>
    </w:p>
    <w:p w:rsidR="00F50CC3" w:rsidRDefault="00730655" w:rsidP="00C06B46">
      <w:pPr>
        <w:keepNext/>
        <w:tabs>
          <w:tab w:val="clear" w:pos="567"/>
          <w:tab w:val="left" w:pos="1276"/>
        </w:tabs>
        <w:spacing w:line="240" w:lineRule="auto"/>
        <w:ind w:left="1276" w:hanging="1276"/>
        <w:rPr>
          <w:b/>
          <w:noProof/>
          <w:lang w:val="hu-HU"/>
        </w:rPr>
      </w:pPr>
      <w:r>
        <w:rPr>
          <w:b/>
          <w:bCs/>
          <w:lang w:val="hu-HU"/>
        </w:rPr>
        <w:t>3. táblázat:</w:t>
      </w:r>
      <w:r w:rsidR="00C06B46">
        <w:rPr>
          <w:b/>
          <w:bCs/>
          <w:lang w:val="hu-HU"/>
        </w:rPr>
        <w:tab/>
      </w:r>
      <w:r>
        <w:rPr>
          <w:b/>
          <w:noProof/>
          <w:lang w:val="hu-HU"/>
        </w:rPr>
        <w:t>A felnőtt betegeknél a III. fázisú vizsgálatokból, illetve a forgalomba hozatalt követő alkalmazás* során</w:t>
      </w:r>
      <w:bookmarkStart w:id="2" w:name="_Hlk152059708"/>
      <w:r>
        <w:rPr>
          <w:b/>
          <w:noProof/>
          <w:lang w:val="hu-HU"/>
        </w:rPr>
        <w:t xml:space="preserve"> jelentett; </w:t>
      </w:r>
      <w:r>
        <w:rPr>
          <w:b/>
          <w:bCs/>
          <w:color w:val="000000"/>
          <w:lang w:val="hu-HU"/>
        </w:rPr>
        <w:t>valamint két II. fázisú és két III. fázisú, gyermekgyógyászati betegekkel végzett vizsgálat során</w:t>
      </w:r>
      <w:r>
        <w:rPr>
          <w:b/>
          <w:noProof/>
          <w:lang w:val="hu-HU"/>
        </w:rPr>
        <w:t xml:space="preserve"> </w:t>
      </w:r>
      <w:bookmarkEnd w:id="2"/>
      <w:r>
        <w:rPr>
          <w:b/>
          <w:noProof/>
          <w:lang w:val="hu-HU"/>
        </w:rPr>
        <w:t>jelentett összes mellékhatás</w:t>
      </w:r>
    </w:p>
    <w:p w:rsidR="00C06B46" w:rsidRDefault="00C06B46" w:rsidP="00C06B46">
      <w:pPr>
        <w:keepNext/>
        <w:tabs>
          <w:tab w:val="clear" w:pos="567"/>
          <w:tab w:val="left" w:pos="1276"/>
        </w:tabs>
        <w:spacing w:line="240" w:lineRule="auto"/>
        <w:ind w:left="1276" w:hanging="1276"/>
        <w:rPr>
          <w:b/>
          <w:bCs/>
          <w:lang w:val="hu-HU"/>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48"/>
        <w:gridCol w:w="1560"/>
        <w:gridCol w:w="1706"/>
      </w:tblGrid>
      <w:tr w:rsidR="00F50CC3">
        <w:trPr>
          <w:tblHeader/>
        </w:trPr>
        <w:tc>
          <w:tcPr>
            <w:tcW w:w="1951" w:type="dxa"/>
            <w:shd w:val="clear" w:color="auto" w:fill="BFBFBF"/>
          </w:tcPr>
          <w:p w:rsidR="00F50CC3" w:rsidRDefault="00730655">
            <w:pPr>
              <w:spacing w:line="240" w:lineRule="auto"/>
              <w:rPr>
                <w:b/>
                <w:bCs/>
                <w:lang w:val="hu-HU"/>
              </w:rPr>
            </w:pPr>
            <w:r>
              <w:rPr>
                <w:b/>
                <w:bCs/>
                <w:lang w:val="hu-HU"/>
              </w:rPr>
              <w:t>Gyakori</w:t>
            </w:r>
          </w:p>
        </w:tc>
        <w:tc>
          <w:tcPr>
            <w:tcW w:w="2552" w:type="dxa"/>
            <w:shd w:val="clear" w:color="auto" w:fill="BFBFBF"/>
          </w:tcPr>
          <w:p w:rsidR="00F50CC3" w:rsidRDefault="00730655">
            <w:pPr>
              <w:spacing w:line="240" w:lineRule="auto"/>
              <w:rPr>
                <w:b/>
                <w:bCs/>
                <w:lang w:val="hu-HU"/>
              </w:rPr>
            </w:pPr>
            <w:r>
              <w:rPr>
                <w:b/>
                <w:bCs/>
                <w:lang w:val="hu-HU"/>
              </w:rPr>
              <w:t>Nem gyakori</w:t>
            </w:r>
          </w:p>
        </w:tc>
        <w:tc>
          <w:tcPr>
            <w:tcW w:w="1748" w:type="dxa"/>
            <w:shd w:val="clear" w:color="auto" w:fill="BFBFBF"/>
          </w:tcPr>
          <w:p w:rsidR="00F50CC3" w:rsidRDefault="00730655">
            <w:pPr>
              <w:spacing w:line="240" w:lineRule="auto"/>
              <w:rPr>
                <w:b/>
                <w:bCs/>
                <w:lang w:val="hu-HU"/>
              </w:rPr>
            </w:pPr>
            <w:r>
              <w:rPr>
                <w:b/>
                <w:bCs/>
                <w:lang w:val="hu-HU"/>
              </w:rPr>
              <w:t>Ritka</w:t>
            </w:r>
          </w:p>
        </w:tc>
        <w:tc>
          <w:tcPr>
            <w:tcW w:w="1560" w:type="dxa"/>
            <w:shd w:val="clear" w:color="auto" w:fill="BFBFBF"/>
          </w:tcPr>
          <w:p w:rsidR="00F50CC3" w:rsidRDefault="00730655">
            <w:pPr>
              <w:spacing w:line="240" w:lineRule="auto"/>
              <w:rPr>
                <w:b/>
                <w:bCs/>
                <w:lang w:val="hu-HU"/>
              </w:rPr>
            </w:pPr>
            <w:r>
              <w:rPr>
                <w:b/>
                <w:bCs/>
                <w:lang w:val="hu-HU"/>
              </w:rPr>
              <w:t>Nagyon ritka</w:t>
            </w:r>
          </w:p>
        </w:tc>
        <w:tc>
          <w:tcPr>
            <w:tcW w:w="1706" w:type="dxa"/>
            <w:shd w:val="clear" w:color="auto" w:fill="BFBFBF"/>
          </w:tcPr>
          <w:p w:rsidR="00F50CC3" w:rsidRDefault="00730655">
            <w:pPr>
              <w:spacing w:line="240" w:lineRule="auto"/>
              <w:rPr>
                <w:b/>
                <w:bCs/>
                <w:lang w:val="hu-HU"/>
              </w:rPr>
            </w:pPr>
            <w:r>
              <w:rPr>
                <w:b/>
                <w:bCs/>
                <w:lang w:val="hu-HU"/>
              </w:rPr>
              <w:t>Nem ismert</w:t>
            </w:r>
          </w:p>
        </w:tc>
      </w:tr>
      <w:tr w:rsidR="00F50CC3">
        <w:tc>
          <w:tcPr>
            <w:tcW w:w="9517" w:type="dxa"/>
            <w:gridSpan w:val="5"/>
          </w:tcPr>
          <w:p w:rsidR="00F50CC3" w:rsidRDefault="00730655">
            <w:pPr>
              <w:pStyle w:val="Default"/>
              <w:rPr>
                <w:b/>
                <w:bCs/>
                <w:sz w:val="22"/>
                <w:szCs w:val="22"/>
              </w:rPr>
            </w:pPr>
            <w:r>
              <w:rPr>
                <w:b/>
                <w:bCs/>
                <w:sz w:val="22"/>
                <w:szCs w:val="22"/>
              </w:rPr>
              <w:t xml:space="preserve">Vérképzőszervi és nyirokrendszeri betegségek és tünetek </w:t>
            </w:r>
          </w:p>
        </w:tc>
      </w:tr>
      <w:tr w:rsidR="00F50CC3">
        <w:tc>
          <w:tcPr>
            <w:tcW w:w="1951" w:type="dxa"/>
            <w:shd w:val="clear" w:color="auto" w:fill="auto"/>
          </w:tcPr>
          <w:p w:rsidR="00F50CC3" w:rsidRDefault="00730655">
            <w:pPr>
              <w:pStyle w:val="Default"/>
              <w:rPr>
                <w:b/>
                <w:bCs/>
                <w:sz w:val="22"/>
                <w:szCs w:val="22"/>
              </w:rPr>
            </w:pPr>
            <w:r>
              <w:rPr>
                <w:sz w:val="22"/>
                <w:szCs w:val="22"/>
              </w:rPr>
              <w:t>Anaemia (a megfelelő laboratóriumi paraméterekkel)</w:t>
            </w:r>
          </w:p>
        </w:tc>
        <w:tc>
          <w:tcPr>
            <w:tcW w:w="2552" w:type="dxa"/>
            <w:shd w:val="clear" w:color="auto" w:fill="auto"/>
          </w:tcPr>
          <w:p w:rsidR="00F50CC3" w:rsidRDefault="00730655">
            <w:pPr>
              <w:pStyle w:val="Default"/>
              <w:rPr>
                <w:b/>
                <w:bCs/>
                <w:sz w:val="22"/>
                <w:szCs w:val="22"/>
              </w:rPr>
            </w:pPr>
            <w:r>
              <w:rPr>
                <w:sz w:val="22"/>
                <w:szCs w:val="22"/>
              </w:rPr>
              <w:t>Thrombocytosis(beleértve a vérlemezkeszám emelkedését)</w:t>
            </w:r>
            <w:r>
              <w:rPr>
                <w:sz w:val="22"/>
                <w:szCs w:val="22"/>
                <w:vertAlign w:val="superscript"/>
              </w:rPr>
              <w:t>A</w:t>
            </w:r>
            <w:r>
              <w:rPr>
                <w:sz w:val="22"/>
                <w:szCs w:val="22"/>
              </w:rPr>
              <w:t>,</w:t>
            </w:r>
            <w:r>
              <w:rPr>
                <w:position w:val="8"/>
                <w:sz w:val="22"/>
                <w:szCs w:val="22"/>
              </w:rPr>
              <w:t xml:space="preserve"> thrombocytopenia</w:t>
            </w: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Immunrendszeri betegségek és tünetek </w:t>
            </w:r>
          </w:p>
        </w:tc>
      </w:tr>
      <w:tr w:rsidR="00F50CC3">
        <w:tc>
          <w:tcPr>
            <w:tcW w:w="1951" w:type="dxa"/>
            <w:tcBorders>
              <w:bottom w:val="single" w:sz="4" w:space="0" w:color="auto"/>
            </w:tcBorders>
            <w:shd w:val="clear" w:color="auto" w:fill="auto"/>
          </w:tcPr>
          <w:p w:rsidR="00F50CC3" w:rsidRDefault="00F50CC3">
            <w:pPr>
              <w:spacing w:line="240" w:lineRule="auto"/>
              <w:rPr>
                <w:b/>
                <w:bCs/>
                <w:lang w:val="hu-HU"/>
              </w:rPr>
            </w:pPr>
          </w:p>
        </w:tc>
        <w:tc>
          <w:tcPr>
            <w:tcW w:w="2552" w:type="dxa"/>
            <w:tcBorders>
              <w:bottom w:val="single" w:sz="4" w:space="0" w:color="auto"/>
            </w:tcBorders>
            <w:shd w:val="clear" w:color="auto" w:fill="auto"/>
          </w:tcPr>
          <w:p w:rsidR="00F50CC3" w:rsidRDefault="00730655">
            <w:pPr>
              <w:pStyle w:val="Default"/>
              <w:rPr>
                <w:b/>
                <w:bCs/>
                <w:sz w:val="22"/>
                <w:szCs w:val="22"/>
              </w:rPr>
            </w:pPr>
            <w:r>
              <w:rPr>
                <w:sz w:val="22"/>
                <w:szCs w:val="22"/>
              </w:rPr>
              <w:t>Allergiás reakció, allergiás dermatitis, angiooedema és allergiás oedema</w:t>
            </w:r>
          </w:p>
        </w:tc>
        <w:tc>
          <w:tcPr>
            <w:tcW w:w="1748" w:type="dxa"/>
            <w:tcBorders>
              <w:bottom w:val="single" w:sz="4" w:space="0" w:color="auto"/>
            </w:tcBorders>
            <w:shd w:val="clear" w:color="auto" w:fill="auto"/>
          </w:tcPr>
          <w:p w:rsidR="00F50CC3" w:rsidRDefault="00F50CC3">
            <w:pPr>
              <w:spacing w:line="240" w:lineRule="auto"/>
              <w:rPr>
                <w:b/>
                <w:bCs/>
                <w:lang w:val="hu-HU"/>
              </w:rPr>
            </w:pPr>
          </w:p>
        </w:tc>
        <w:tc>
          <w:tcPr>
            <w:tcW w:w="1560" w:type="dxa"/>
            <w:tcBorders>
              <w:bottom w:val="single" w:sz="4" w:space="0" w:color="auto"/>
            </w:tcBorders>
          </w:tcPr>
          <w:p w:rsidR="00F50CC3" w:rsidRDefault="00730655">
            <w:pPr>
              <w:pStyle w:val="Default"/>
              <w:rPr>
                <w:b/>
                <w:bCs/>
                <w:sz w:val="22"/>
                <w:szCs w:val="22"/>
              </w:rPr>
            </w:pPr>
            <w:r>
              <w:rPr>
                <w:sz w:val="22"/>
                <w:szCs w:val="22"/>
              </w:rPr>
              <w:t>Anaphylaxiás reakció, beleértve az anaphylaxiás sokkot is</w:t>
            </w:r>
          </w:p>
        </w:tc>
        <w:tc>
          <w:tcPr>
            <w:tcW w:w="1706" w:type="dxa"/>
            <w:tcBorders>
              <w:bottom w:val="single" w:sz="4" w:space="0" w:color="auto"/>
            </w:tcBorders>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Idegrendszeri betegségek és tünetek </w:t>
            </w:r>
          </w:p>
        </w:tc>
      </w:tr>
      <w:tr w:rsidR="00F50CC3">
        <w:tc>
          <w:tcPr>
            <w:tcW w:w="1951" w:type="dxa"/>
            <w:shd w:val="clear" w:color="auto" w:fill="auto"/>
          </w:tcPr>
          <w:p w:rsidR="00F50CC3" w:rsidRDefault="00730655">
            <w:pPr>
              <w:pStyle w:val="Default"/>
              <w:rPr>
                <w:b/>
                <w:bCs/>
                <w:sz w:val="22"/>
                <w:szCs w:val="22"/>
              </w:rPr>
            </w:pPr>
            <w:r>
              <w:rPr>
                <w:sz w:val="22"/>
                <w:szCs w:val="22"/>
              </w:rPr>
              <w:t xml:space="preserve">Szédülés, fejfájás </w:t>
            </w:r>
          </w:p>
        </w:tc>
        <w:tc>
          <w:tcPr>
            <w:tcW w:w="2552" w:type="dxa"/>
            <w:shd w:val="clear" w:color="auto" w:fill="auto"/>
          </w:tcPr>
          <w:p w:rsidR="00F50CC3" w:rsidRDefault="00730655">
            <w:pPr>
              <w:pStyle w:val="Default"/>
              <w:rPr>
                <w:b/>
                <w:bCs/>
                <w:sz w:val="22"/>
                <w:szCs w:val="22"/>
              </w:rPr>
            </w:pPr>
            <w:r>
              <w:rPr>
                <w:sz w:val="22"/>
                <w:szCs w:val="22"/>
              </w:rPr>
              <w:t xml:space="preserve">Cerebralis és intracranialis vérzés, ájulás </w:t>
            </w: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Szembetegségek és szemészeti tünetek </w:t>
            </w:r>
          </w:p>
        </w:tc>
      </w:tr>
      <w:tr w:rsidR="00F50CC3">
        <w:tc>
          <w:tcPr>
            <w:tcW w:w="1951" w:type="dxa"/>
            <w:shd w:val="clear" w:color="auto" w:fill="auto"/>
          </w:tcPr>
          <w:p w:rsidR="00F50CC3" w:rsidRDefault="00730655">
            <w:pPr>
              <w:pStyle w:val="Default"/>
              <w:rPr>
                <w:b/>
                <w:bCs/>
                <w:sz w:val="22"/>
                <w:szCs w:val="22"/>
              </w:rPr>
            </w:pPr>
            <w:r>
              <w:rPr>
                <w:sz w:val="22"/>
                <w:szCs w:val="22"/>
              </w:rPr>
              <w:t>Szemvérzés (beleértve a kötőhártyavérzést is)</w:t>
            </w:r>
          </w:p>
        </w:tc>
        <w:tc>
          <w:tcPr>
            <w:tcW w:w="2552" w:type="dxa"/>
            <w:shd w:val="clear" w:color="auto" w:fill="auto"/>
          </w:tcPr>
          <w:p w:rsidR="00F50CC3" w:rsidRDefault="00F50CC3">
            <w:pPr>
              <w:spacing w:line="240" w:lineRule="auto"/>
              <w:rPr>
                <w:b/>
                <w:bCs/>
                <w:lang w:val="hu-HU"/>
              </w:rPr>
            </w:pP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Szívbetegségek és a szívvel kapcsolatos tünetek </w:t>
            </w:r>
          </w:p>
        </w:tc>
      </w:tr>
      <w:tr w:rsidR="00F50CC3">
        <w:tc>
          <w:tcPr>
            <w:tcW w:w="1951" w:type="dxa"/>
            <w:shd w:val="clear" w:color="auto" w:fill="auto"/>
          </w:tcPr>
          <w:p w:rsidR="00F50CC3" w:rsidRDefault="00F50CC3">
            <w:pPr>
              <w:spacing w:line="240" w:lineRule="auto"/>
              <w:rPr>
                <w:b/>
                <w:bCs/>
                <w:lang w:val="hu-HU"/>
              </w:rPr>
            </w:pPr>
          </w:p>
        </w:tc>
        <w:tc>
          <w:tcPr>
            <w:tcW w:w="2552" w:type="dxa"/>
            <w:shd w:val="clear" w:color="auto" w:fill="auto"/>
          </w:tcPr>
          <w:p w:rsidR="00F50CC3" w:rsidRDefault="00730655">
            <w:pPr>
              <w:spacing w:line="240" w:lineRule="auto"/>
              <w:rPr>
                <w:bCs/>
                <w:lang w:val="hu-HU"/>
              </w:rPr>
            </w:pPr>
            <w:r>
              <w:rPr>
                <w:bCs/>
                <w:lang w:val="hu-HU"/>
              </w:rPr>
              <w:t>Tachycardia</w:t>
            </w: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Érbetegségek és tünetek </w:t>
            </w:r>
          </w:p>
        </w:tc>
      </w:tr>
      <w:tr w:rsidR="00F50CC3">
        <w:tc>
          <w:tcPr>
            <w:tcW w:w="1951" w:type="dxa"/>
            <w:shd w:val="clear" w:color="auto" w:fill="auto"/>
          </w:tcPr>
          <w:p w:rsidR="00F50CC3" w:rsidRDefault="00730655">
            <w:pPr>
              <w:pStyle w:val="Default"/>
              <w:rPr>
                <w:b/>
                <w:bCs/>
                <w:sz w:val="22"/>
                <w:szCs w:val="22"/>
              </w:rPr>
            </w:pPr>
            <w:r>
              <w:rPr>
                <w:sz w:val="22"/>
                <w:szCs w:val="22"/>
              </w:rPr>
              <w:t xml:space="preserve">Hypotonia, haematoma </w:t>
            </w:r>
          </w:p>
        </w:tc>
        <w:tc>
          <w:tcPr>
            <w:tcW w:w="2552" w:type="dxa"/>
            <w:shd w:val="clear" w:color="auto" w:fill="auto"/>
          </w:tcPr>
          <w:p w:rsidR="00F50CC3" w:rsidRDefault="00F50CC3">
            <w:pPr>
              <w:spacing w:line="240" w:lineRule="auto"/>
              <w:rPr>
                <w:b/>
                <w:bCs/>
                <w:lang w:val="hu-HU"/>
              </w:rPr>
            </w:pP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Légzőrendszeri, mellkasi és mediastinalis betegségek és tünetek </w:t>
            </w:r>
          </w:p>
        </w:tc>
      </w:tr>
      <w:tr w:rsidR="00F50CC3">
        <w:tc>
          <w:tcPr>
            <w:tcW w:w="1951" w:type="dxa"/>
            <w:shd w:val="clear" w:color="auto" w:fill="auto"/>
          </w:tcPr>
          <w:p w:rsidR="00F50CC3" w:rsidRDefault="00730655">
            <w:pPr>
              <w:pStyle w:val="Default"/>
              <w:rPr>
                <w:sz w:val="22"/>
                <w:szCs w:val="22"/>
              </w:rPr>
            </w:pPr>
            <w:r>
              <w:rPr>
                <w:sz w:val="22"/>
                <w:szCs w:val="22"/>
              </w:rPr>
              <w:t xml:space="preserve">Orrvérzés, </w:t>
            </w:r>
          </w:p>
          <w:p w:rsidR="00F50CC3" w:rsidRDefault="00730655">
            <w:pPr>
              <w:pStyle w:val="Default"/>
              <w:rPr>
                <w:b/>
                <w:bCs/>
                <w:sz w:val="22"/>
                <w:szCs w:val="22"/>
              </w:rPr>
            </w:pPr>
            <w:r>
              <w:rPr>
                <w:sz w:val="22"/>
                <w:szCs w:val="22"/>
              </w:rPr>
              <w:t xml:space="preserve">haemoptoe </w:t>
            </w:r>
          </w:p>
        </w:tc>
        <w:tc>
          <w:tcPr>
            <w:tcW w:w="2552" w:type="dxa"/>
            <w:shd w:val="clear" w:color="auto" w:fill="auto"/>
          </w:tcPr>
          <w:p w:rsidR="00F50CC3" w:rsidRDefault="00F50CC3">
            <w:pPr>
              <w:spacing w:line="240" w:lineRule="auto"/>
              <w:rPr>
                <w:b/>
                <w:bCs/>
                <w:lang w:val="hu-HU"/>
              </w:rPr>
            </w:pPr>
          </w:p>
        </w:tc>
        <w:tc>
          <w:tcPr>
            <w:tcW w:w="1748" w:type="dxa"/>
            <w:shd w:val="clear" w:color="auto" w:fill="auto"/>
          </w:tcPr>
          <w:p w:rsidR="00F50CC3" w:rsidRDefault="00F50CC3">
            <w:pPr>
              <w:spacing w:line="240" w:lineRule="auto"/>
              <w:rPr>
                <w:b/>
                <w:bCs/>
                <w:lang w:val="hu-HU"/>
              </w:rPr>
            </w:pPr>
          </w:p>
        </w:tc>
        <w:tc>
          <w:tcPr>
            <w:tcW w:w="1560" w:type="dxa"/>
          </w:tcPr>
          <w:p w:rsidR="00F50CC3" w:rsidRDefault="00730655">
            <w:pPr>
              <w:spacing w:line="240" w:lineRule="auto"/>
              <w:rPr>
                <w:lang w:val="hu-HU"/>
              </w:rPr>
            </w:pPr>
            <w:r>
              <w:rPr>
                <w:lang w:val="hu-HU"/>
              </w:rPr>
              <w:t>Eozinofil pneumonia</w:t>
            </w: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Emésztőrendszeri betegségek és tünetek </w:t>
            </w:r>
          </w:p>
        </w:tc>
      </w:tr>
      <w:tr w:rsidR="00F50CC3">
        <w:tc>
          <w:tcPr>
            <w:tcW w:w="1951" w:type="dxa"/>
            <w:shd w:val="clear" w:color="auto" w:fill="auto"/>
          </w:tcPr>
          <w:p w:rsidR="00F50CC3" w:rsidRDefault="00730655">
            <w:pPr>
              <w:pStyle w:val="Default"/>
              <w:rPr>
                <w:b/>
                <w:bCs/>
                <w:sz w:val="22"/>
                <w:szCs w:val="22"/>
              </w:rPr>
            </w:pPr>
            <w:r>
              <w:rPr>
                <w:sz w:val="22"/>
                <w:szCs w:val="22"/>
              </w:rPr>
              <w:t>Fogínyvérzés, gastrointestinalis vérzés (beleértve a rectalis vérzést) gastrointestinalis és hasi fájdalom, dyspepsia, hányinger, székrekedés</w:t>
            </w:r>
            <w:r>
              <w:rPr>
                <w:sz w:val="22"/>
                <w:szCs w:val="22"/>
                <w:vertAlign w:val="superscript"/>
              </w:rPr>
              <w:t>A</w:t>
            </w:r>
            <w:r>
              <w:rPr>
                <w:sz w:val="22"/>
                <w:szCs w:val="22"/>
              </w:rPr>
              <w:t>, hasmenés, hányás</w:t>
            </w:r>
            <w:r>
              <w:rPr>
                <w:sz w:val="22"/>
                <w:szCs w:val="22"/>
                <w:vertAlign w:val="superscript"/>
              </w:rPr>
              <w:t>A</w:t>
            </w:r>
            <w:r>
              <w:rPr>
                <w:position w:val="8"/>
                <w:sz w:val="22"/>
                <w:szCs w:val="22"/>
                <w:vertAlign w:val="superscript"/>
              </w:rPr>
              <w:t xml:space="preserve"> </w:t>
            </w:r>
          </w:p>
        </w:tc>
        <w:tc>
          <w:tcPr>
            <w:tcW w:w="2552" w:type="dxa"/>
            <w:shd w:val="clear" w:color="auto" w:fill="auto"/>
          </w:tcPr>
          <w:p w:rsidR="00F50CC3" w:rsidRDefault="00730655">
            <w:pPr>
              <w:spacing w:line="240" w:lineRule="auto"/>
              <w:rPr>
                <w:bCs/>
                <w:lang w:val="hu-HU"/>
              </w:rPr>
            </w:pPr>
            <w:r>
              <w:rPr>
                <w:bCs/>
                <w:lang w:val="hu-HU"/>
              </w:rPr>
              <w:t>Szájszárazság</w:t>
            </w: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rsidP="00A9412C">
            <w:pPr>
              <w:pStyle w:val="Default"/>
              <w:keepNext/>
              <w:rPr>
                <w:b/>
                <w:bCs/>
                <w:sz w:val="22"/>
                <w:szCs w:val="22"/>
              </w:rPr>
            </w:pPr>
            <w:r>
              <w:rPr>
                <w:b/>
                <w:bCs/>
                <w:sz w:val="22"/>
                <w:szCs w:val="22"/>
              </w:rPr>
              <w:lastRenderedPageBreak/>
              <w:t xml:space="preserve">Máj- és epebetegségek, illetve tünetek </w:t>
            </w:r>
          </w:p>
        </w:tc>
      </w:tr>
      <w:tr w:rsidR="00F50CC3">
        <w:tc>
          <w:tcPr>
            <w:tcW w:w="1951" w:type="dxa"/>
            <w:shd w:val="clear" w:color="auto" w:fill="auto"/>
          </w:tcPr>
          <w:p w:rsidR="00F50CC3" w:rsidRDefault="00730655" w:rsidP="00A9412C">
            <w:pPr>
              <w:pStyle w:val="Default"/>
              <w:keepNext/>
              <w:rPr>
                <w:b/>
                <w:bCs/>
                <w:sz w:val="22"/>
                <w:szCs w:val="22"/>
              </w:rPr>
            </w:pPr>
            <w:r>
              <w:rPr>
                <w:sz w:val="22"/>
                <w:szCs w:val="22"/>
              </w:rPr>
              <w:t>Emelkedett transzaminázszint</w:t>
            </w:r>
          </w:p>
        </w:tc>
        <w:tc>
          <w:tcPr>
            <w:tcW w:w="2552" w:type="dxa"/>
            <w:shd w:val="clear" w:color="auto" w:fill="auto"/>
          </w:tcPr>
          <w:p w:rsidR="00F50CC3" w:rsidRDefault="00730655" w:rsidP="00A9412C">
            <w:pPr>
              <w:keepNext/>
              <w:spacing w:line="240" w:lineRule="auto"/>
              <w:rPr>
                <w:bCs/>
                <w:lang w:val="hu-HU"/>
              </w:rPr>
            </w:pPr>
            <w:r>
              <w:rPr>
                <w:bCs/>
                <w:lang w:val="hu-HU"/>
              </w:rPr>
              <w:t xml:space="preserve">Májkárosodás, </w:t>
            </w:r>
            <w:r>
              <w:t>emelkedett bilirubinszint, emelkedett alkalikus foszfatáz-szint</w:t>
            </w:r>
            <w:r>
              <w:rPr>
                <w:vertAlign w:val="superscript"/>
              </w:rPr>
              <w:t>A</w:t>
            </w:r>
            <w:r>
              <w:t xml:space="preserve">, </w:t>
            </w:r>
            <w:r>
              <w:rPr>
                <w:lang w:val="hu-HU"/>
              </w:rPr>
              <w:t>emelkedett GGT-szint</w:t>
            </w:r>
            <w:r>
              <w:rPr>
                <w:vertAlign w:val="superscript"/>
                <w:lang w:val="hu-HU"/>
              </w:rPr>
              <w:t>A</w:t>
            </w:r>
            <w:r>
              <w:rPr>
                <w:lang w:val="hu-HU"/>
              </w:rPr>
              <w:t xml:space="preserve"> </w:t>
            </w:r>
          </w:p>
        </w:tc>
        <w:tc>
          <w:tcPr>
            <w:tcW w:w="1748" w:type="dxa"/>
            <w:shd w:val="clear" w:color="auto" w:fill="auto"/>
          </w:tcPr>
          <w:p w:rsidR="00F50CC3" w:rsidRDefault="00730655" w:rsidP="00A9412C">
            <w:pPr>
              <w:keepNext/>
              <w:spacing w:line="240" w:lineRule="auto"/>
              <w:rPr>
                <w:bCs/>
                <w:lang w:val="hu-HU"/>
              </w:rPr>
            </w:pPr>
            <w:r>
              <w:rPr>
                <w:bCs/>
                <w:lang w:val="hu-HU"/>
              </w:rPr>
              <w:t xml:space="preserve">Sárgaság, </w:t>
            </w:r>
            <w:r>
              <w:rPr>
                <w:lang w:val="hu-HU"/>
              </w:rPr>
              <w:t xml:space="preserve">konjugált bilirubinszint emelkedés (a GPT egyidejű emelkedésével vagy anélkül), cholestasis, hepatitis (beleértve a hepatocellularis károsodást is) </w:t>
            </w:r>
          </w:p>
        </w:tc>
        <w:tc>
          <w:tcPr>
            <w:tcW w:w="1560" w:type="dxa"/>
          </w:tcPr>
          <w:p w:rsidR="00F50CC3" w:rsidRDefault="00F50CC3" w:rsidP="00A9412C">
            <w:pPr>
              <w:keepNext/>
              <w:spacing w:line="240" w:lineRule="auto"/>
              <w:rPr>
                <w:b/>
                <w:bCs/>
                <w:lang w:val="hu-HU"/>
              </w:rPr>
            </w:pPr>
          </w:p>
        </w:tc>
        <w:tc>
          <w:tcPr>
            <w:tcW w:w="1706" w:type="dxa"/>
            <w:shd w:val="clear" w:color="auto" w:fill="auto"/>
          </w:tcPr>
          <w:p w:rsidR="00F50CC3" w:rsidRDefault="00F50CC3" w:rsidP="00A9412C">
            <w:pPr>
              <w:keepNext/>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A bőr és a bőr alatti szövet betegségei és tünetei </w:t>
            </w:r>
          </w:p>
        </w:tc>
      </w:tr>
      <w:tr w:rsidR="00F50CC3">
        <w:tc>
          <w:tcPr>
            <w:tcW w:w="1951" w:type="dxa"/>
            <w:shd w:val="clear" w:color="auto" w:fill="auto"/>
          </w:tcPr>
          <w:p w:rsidR="00F50CC3" w:rsidRDefault="00730655">
            <w:pPr>
              <w:pStyle w:val="Default"/>
              <w:rPr>
                <w:b/>
                <w:bCs/>
                <w:sz w:val="22"/>
                <w:szCs w:val="22"/>
              </w:rPr>
            </w:pPr>
            <w:r>
              <w:rPr>
                <w:sz w:val="22"/>
                <w:szCs w:val="22"/>
              </w:rPr>
              <w:t xml:space="preserve">Pruritus (beleértve a generalizált pruritus nem gyakori eseteit), kiütések, ecchymosis, bőrvérzés és subcutan vérzés </w:t>
            </w:r>
          </w:p>
        </w:tc>
        <w:tc>
          <w:tcPr>
            <w:tcW w:w="2552" w:type="dxa"/>
            <w:shd w:val="clear" w:color="auto" w:fill="auto"/>
          </w:tcPr>
          <w:p w:rsidR="00F50CC3" w:rsidRDefault="00730655">
            <w:pPr>
              <w:spacing w:line="240" w:lineRule="auto"/>
              <w:rPr>
                <w:bCs/>
                <w:lang w:val="hu-HU"/>
              </w:rPr>
            </w:pPr>
            <w:r>
              <w:rPr>
                <w:bCs/>
                <w:lang w:val="hu-HU"/>
              </w:rPr>
              <w:t>Urticaria</w:t>
            </w:r>
          </w:p>
        </w:tc>
        <w:tc>
          <w:tcPr>
            <w:tcW w:w="1748" w:type="dxa"/>
            <w:shd w:val="clear" w:color="auto" w:fill="auto"/>
          </w:tcPr>
          <w:p w:rsidR="00F50CC3" w:rsidRDefault="00F50CC3">
            <w:pPr>
              <w:spacing w:line="240" w:lineRule="auto"/>
              <w:rPr>
                <w:b/>
                <w:bCs/>
                <w:lang w:val="hu-HU"/>
              </w:rPr>
            </w:pPr>
          </w:p>
        </w:tc>
        <w:tc>
          <w:tcPr>
            <w:tcW w:w="1560" w:type="dxa"/>
          </w:tcPr>
          <w:p w:rsidR="00F50CC3" w:rsidRDefault="00730655">
            <w:pPr>
              <w:pStyle w:val="Default"/>
              <w:rPr>
                <w:b/>
                <w:bCs/>
                <w:sz w:val="22"/>
                <w:szCs w:val="22"/>
              </w:rPr>
            </w:pPr>
            <w:r>
              <w:rPr>
                <w:sz w:val="22"/>
                <w:szCs w:val="22"/>
              </w:rPr>
              <w:t xml:space="preserve">Stevens–Johnson-szindróma /toxicus epidermalis necrolysis, DRESS szindróma </w:t>
            </w: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A csont- és izomrendszer, valamint a kötőszövet betegségei és tünetei </w:t>
            </w:r>
          </w:p>
        </w:tc>
      </w:tr>
      <w:tr w:rsidR="00F50CC3">
        <w:tc>
          <w:tcPr>
            <w:tcW w:w="1951" w:type="dxa"/>
            <w:shd w:val="clear" w:color="auto" w:fill="auto"/>
          </w:tcPr>
          <w:p w:rsidR="00F50CC3" w:rsidRDefault="00730655">
            <w:pPr>
              <w:pStyle w:val="Default"/>
              <w:rPr>
                <w:b/>
                <w:bCs/>
                <w:sz w:val="22"/>
                <w:szCs w:val="22"/>
              </w:rPr>
            </w:pPr>
            <w:r>
              <w:rPr>
                <w:sz w:val="22"/>
                <w:szCs w:val="22"/>
              </w:rPr>
              <w:t>Végtagfájdalom</w:t>
            </w:r>
            <w:r>
              <w:rPr>
                <w:position w:val="8"/>
                <w:sz w:val="22"/>
                <w:szCs w:val="22"/>
                <w:vertAlign w:val="superscript"/>
              </w:rPr>
              <w:t xml:space="preserve">A </w:t>
            </w:r>
          </w:p>
        </w:tc>
        <w:tc>
          <w:tcPr>
            <w:tcW w:w="2552" w:type="dxa"/>
            <w:shd w:val="clear" w:color="auto" w:fill="auto"/>
          </w:tcPr>
          <w:p w:rsidR="00F50CC3" w:rsidRDefault="00730655">
            <w:pPr>
              <w:pStyle w:val="Default"/>
              <w:rPr>
                <w:b/>
                <w:bCs/>
                <w:sz w:val="22"/>
                <w:szCs w:val="22"/>
              </w:rPr>
            </w:pPr>
            <w:r>
              <w:rPr>
                <w:sz w:val="22"/>
                <w:szCs w:val="22"/>
              </w:rPr>
              <w:t xml:space="preserve">Hemarthrosis </w:t>
            </w:r>
          </w:p>
        </w:tc>
        <w:tc>
          <w:tcPr>
            <w:tcW w:w="1748" w:type="dxa"/>
            <w:shd w:val="clear" w:color="auto" w:fill="auto"/>
          </w:tcPr>
          <w:p w:rsidR="00F50CC3" w:rsidRDefault="00730655">
            <w:pPr>
              <w:pStyle w:val="Default"/>
              <w:rPr>
                <w:b/>
                <w:bCs/>
                <w:sz w:val="22"/>
                <w:szCs w:val="22"/>
              </w:rPr>
            </w:pPr>
            <w:r>
              <w:rPr>
                <w:sz w:val="22"/>
                <w:szCs w:val="22"/>
              </w:rPr>
              <w:t xml:space="preserve">Izomvérzés </w:t>
            </w:r>
          </w:p>
        </w:tc>
        <w:tc>
          <w:tcPr>
            <w:tcW w:w="1560" w:type="dxa"/>
          </w:tcPr>
          <w:p w:rsidR="00F50CC3" w:rsidRDefault="00F50CC3">
            <w:pPr>
              <w:pStyle w:val="Default"/>
              <w:rPr>
                <w:sz w:val="22"/>
                <w:szCs w:val="22"/>
              </w:rPr>
            </w:pPr>
          </w:p>
        </w:tc>
        <w:tc>
          <w:tcPr>
            <w:tcW w:w="1706" w:type="dxa"/>
            <w:shd w:val="clear" w:color="auto" w:fill="auto"/>
          </w:tcPr>
          <w:p w:rsidR="00F50CC3" w:rsidRDefault="00730655">
            <w:pPr>
              <w:pStyle w:val="Default"/>
              <w:rPr>
                <w:b/>
                <w:bCs/>
                <w:sz w:val="22"/>
                <w:szCs w:val="22"/>
              </w:rPr>
            </w:pPr>
            <w:r>
              <w:rPr>
                <w:sz w:val="22"/>
                <w:szCs w:val="22"/>
              </w:rPr>
              <w:t xml:space="preserve">A vérzés következtében kialakuló kompartment szindróma </w:t>
            </w:r>
          </w:p>
        </w:tc>
      </w:tr>
      <w:tr w:rsidR="00F50CC3">
        <w:tc>
          <w:tcPr>
            <w:tcW w:w="9517" w:type="dxa"/>
            <w:gridSpan w:val="5"/>
          </w:tcPr>
          <w:p w:rsidR="00F50CC3" w:rsidRDefault="00730655">
            <w:pPr>
              <w:pStyle w:val="Default"/>
              <w:rPr>
                <w:b/>
                <w:bCs/>
                <w:sz w:val="22"/>
                <w:szCs w:val="22"/>
              </w:rPr>
            </w:pPr>
            <w:r>
              <w:rPr>
                <w:b/>
                <w:bCs/>
                <w:sz w:val="22"/>
                <w:szCs w:val="22"/>
              </w:rPr>
              <w:t xml:space="preserve">Vese- és húgyúti betegségek és tünetek </w:t>
            </w:r>
          </w:p>
        </w:tc>
      </w:tr>
      <w:tr w:rsidR="00F50CC3">
        <w:tc>
          <w:tcPr>
            <w:tcW w:w="1951" w:type="dxa"/>
            <w:shd w:val="clear" w:color="auto" w:fill="auto"/>
          </w:tcPr>
          <w:p w:rsidR="00F50CC3" w:rsidRDefault="00730655">
            <w:pPr>
              <w:pStyle w:val="Default"/>
              <w:rPr>
                <w:b/>
                <w:bCs/>
                <w:sz w:val="22"/>
                <w:szCs w:val="22"/>
              </w:rPr>
            </w:pPr>
            <w:r>
              <w:rPr>
                <w:sz w:val="22"/>
                <w:szCs w:val="22"/>
              </w:rPr>
              <w:t xml:space="preserve">Húgyúti vérzés (beleértve a haematuriát és a menorrhagiát is </w:t>
            </w:r>
            <w:r>
              <w:rPr>
                <w:sz w:val="22"/>
                <w:szCs w:val="22"/>
                <w:vertAlign w:val="superscript"/>
              </w:rPr>
              <w:t>B</w:t>
            </w:r>
            <w:r>
              <w:rPr>
                <w:sz w:val="22"/>
                <w:szCs w:val="22"/>
              </w:rPr>
              <w:t>), vesekárosodás (beleértve a vér kreatinin- és karbamidszintjének emelkedését)</w:t>
            </w:r>
          </w:p>
        </w:tc>
        <w:tc>
          <w:tcPr>
            <w:tcW w:w="2552" w:type="dxa"/>
            <w:shd w:val="clear" w:color="auto" w:fill="auto"/>
          </w:tcPr>
          <w:p w:rsidR="00F50CC3" w:rsidRDefault="00F50CC3">
            <w:pPr>
              <w:spacing w:line="240" w:lineRule="auto"/>
              <w:rPr>
                <w:b/>
                <w:bCs/>
                <w:lang w:val="hu-HU"/>
              </w:rPr>
            </w:pPr>
          </w:p>
        </w:tc>
        <w:tc>
          <w:tcPr>
            <w:tcW w:w="1748" w:type="dxa"/>
            <w:shd w:val="clear" w:color="auto" w:fill="auto"/>
          </w:tcPr>
          <w:p w:rsidR="00F50CC3" w:rsidRDefault="00F50CC3">
            <w:pPr>
              <w:spacing w:line="240" w:lineRule="auto"/>
              <w:rPr>
                <w:b/>
                <w:bCs/>
                <w:lang w:val="hu-HU"/>
              </w:rPr>
            </w:pPr>
          </w:p>
        </w:tc>
        <w:tc>
          <w:tcPr>
            <w:tcW w:w="1560" w:type="dxa"/>
          </w:tcPr>
          <w:p w:rsidR="00F50CC3" w:rsidRDefault="00F50CC3">
            <w:pPr>
              <w:pStyle w:val="Default"/>
              <w:rPr>
                <w:sz w:val="22"/>
                <w:szCs w:val="22"/>
              </w:rPr>
            </w:pPr>
          </w:p>
        </w:tc>
        <w:tc>
          <w:tcPr>
            <w:tcW w:w="1706" w:type="dxa"/>
            <w:shd w:val="clear" w:color="auto" w:fill="auto"/>
          </w:tcPr>
          <w:p w:rsidR="00F50CC3" w:rsidRDefault="00730655">
            <w:pPr>
              <w:pStyle w:val="Default"/>
              <w:rPr>
                <w:b/>
                <w:bCs/>
                <w:sz w:val="22"/>
                <w:szCs w:val="22"/>
              </w:rPr>
            </w:pPr>
            <w:r>
              <w:rPr>
                <w:sz w:val="22"/>
                <w:szCs w:val="22"/>
              </w:rPr>
              <w:t>Veseelégtelen-ség/ akut veseelégtelenség, amely hypoperfusiót okozó vérzés miatt alakult ki, antikoagulánsokkal összefüggő nephropathia</w:t>
            </w:r>
          </w:p>
        </w:tc>
      </w:tr>
      <w:tr w:rsidR="00F50CC3">
        <w:tc>
          <w:tcPr>
            <w:tcW w:w="9517" w:type="dxa"/>
            <w:gridSpan w:val="5"/>
          </w:tcPr>
          <w:p w:rsidR="00F50CC3" w:rsidRDefault="00730655">
            <w:pPr>
              <w:pStyle w:val="Default"/>
              <w:rPr>
                <w:b/>
                <w:bCs/>
                <w:sz w:val="22"/>
                <w:szCs w:val="22"/>
              </w:rPr>
            </w:pPr>
            <w:r>
              <w:rPr>
                <w:b/>
                <w:bCs/>
                <w:sz w:val="22"/>
                <w:szCs w:val="22"/>
              </w:rPr>
              <w:t xml:space="preserve">Általános tünetek, az alkalmazás helyén fellépő reakciók </w:t>
            </w:r>
          </w:p>
        </w:tc>
      </w:tr>
      <w:tr w:rsidR="00F50CC3">
        <w:trPr>
          <w:trHeight w:val="272"/>
        </w:trPr>
        <w:tc>
          <w:tcPr>
            <w:tcW w:w="1951" w:type="dxa"/>
            <w:tcBorders>
              <w:bottom w:val="single" w:sz="4" w:space="0" w:color="auto"/>
            </w:tcBorders>
            <w:shd w:val="clear" w:color="auto" w:fill="auto"/>
          </w:tcPr>
          <w:p w:rsidR="00F50CC3" w:rsidRDefault="00730655">
            <w:pPr>
              <w:pStyle w:val="Default"/>
              <w:rPr>
                <w:b/>
                <w:bCs/>
                <w:sz w:val="22"/>
                <w:szCs w:val="22"/>
              </w:rPr>
            </w:pPr>
            <w:r>
              <w:rPr>
                <w:sz w:val="22"/>
                <w:szCs w:val="22"/>
              </w:rPr>
              <w:t>Láz</w:t>
            </w:r>
            <w:r>
              <w:rPr>
                <w:position w:val="8"/>
                <w:sz w:val="22"/>
                <w:szCs w:val="22"/>
                <w:vertAlign w:val="superscript"/>
              </w:rPr>
              <w:t>A</w:t>
            </w:r>
            <w:r>
              <w:rPr>
                <w:sz w:val="22"/>
                <w:szCs w:val="22"/>
              </w:rPr>
              <w:t xml:space="preserve">, perifériás oedema, csökkent általános erőnlét és energia (beleértve a fáradtságot, astheniát is) </w:t>
            </w:r>
          </w:p>
        </w:tc>
        <w:tc>
          <w:tcPr>
            <w:tcW w:w="2552" w:type="dxa"/>
            <w:tcBorders>
              <w:bottom w:val="single" w:sz="4" w:space="0" w:color="auto"/>
            </w:tcBorders>
            <w:shd w:val="clear" w:color="auto" w:fill="auto"/>
          </w:tcPr>
          <w:p w:rsidR="00F50CC3" w:rsidRDefault="00730655">
            <w:pPr>
              <w:pStyle w:val="Default"/>
              <w:rPr>
                <w:b/>
                <w:bCs/>
                <w:sz w:val="22"/>
                <w:szCs w:val="22"/>
              </w:rPr>
            </w:pPr>
            <w:r>
              <w:rPr>
                <w:sz w:val="22"/>
                <w:szCs w:val="22"/>
              </w:rPr>
              <w:t xml:space="preserve">Rossz közérzet (beleértve a gyengeséget is) </w:t>
            </w:r>
          </w:p>
        </w:tc>
        <w:tc>
          <w:tcPr>
            <w:tcW w:w="1748" w:type="dxa"/>
            <w:tcBorders>
              <w:bottom w:val="single" w:sz="4" w:space="0" w:color="auto"/>
            </w:tcBorders>
            <w:shd w:val="clear" w:color="auto" w:fill="auto"/>
          </w:tcPr>
          <w:p w:rsidR="00F50CC3" w:rsidRDefault="00730655">
            <w:pPr>
              <w:pStyle w:val="Default"/>
              <w:rPr>
                <w:b/>
                <w:bCs/>
                <w:sz w:val="22"/>
                <w:szCs w:val="22"/>
              </w:rPr>
            </w:pPr>
            <w:r>
              <w:rPr>
                <w:sz w:val="22"/>
                <w:szCs w:val="22"/>
              </w:rPr>
              <w:t xml:space="preserve">Lokalizált oedema </w:t>
            </w:r>
            <w:r>
              <w:rPr>
                <w:sz w:val="22"/>
                <w:szCs w:val="22"/>
                <w:vertAlign w:val="superscript"/>
              </w:rPr>
              <w:t>A</w:t>
            </w:r>
          </w:p>
        </w:tc>
        <w:tc>
          <w:tcPr>
            <w:tcW w:w="1560" w:type="dxa"/>
            <w:tcBorders>
              <w:bottom w:val="single" w:sz="4" w:space="0" w:color="auto"/>
            </w:tcBorders>
          </w:tcPr>
          <w:p w:rsidR="00F50CC3" w:rsidRDefault="00F50CC3">
            <w:pPr>
              <w:spacing w:line="240" w:lineRule="auto"/>
              <w:rPr>
                <w:b/>
                <w:bCs/>
                <w:lang w:val="hu-HU"/>
              </w:rPr>
            </w:pPr>
          </w:p>
        </w:tc>
        <w:tc>
          <w:tcPr>
            <w:tcW w:w="1706" w:type="dxa"/>
            <w:tcBorders>
              <w:bottom w:val="single" w:sz="4" w:space="0" w:color="auto"/>
            </w:tcBorders>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pPr>
              <w:pStyle w:val="Default"/>
              <w:rPr>
                <w:b/>
                <w:bCs/>
                <w:sz w:val="22"/>
                <w:szCs w:val="22"/>
              </w:rPr>
            </w:pPr>
            <w:r>
              <w:rPr>
                <w:b/>
                <w:bCs/>
                <w:sz w:val="22"/>
                <w:szCs w:val="22"/>
              </w:rPr>
              <w:t xml:space="preserve">Laboratóriumi és egyéb vizsgálatok eredményei </w:t>
            </w:r>
          </w:p>
        </w:tc>
      </w:tr>
      <w:tr w:rsidR="00F50CC3">
        <w:tc>
          <w:tcPr>
            <w:tcW w:w="1951" w:type="dxa"/>
            <w:shd w:val="clear" w:color="auto" w:fill="auto"/>
          </w:tcPr>
          <w:p w:rsidR="00F50CC3" w:rsidRDefault="00F50CC3">
            <w:pPr>
              <w:pStyle w:val="Default"/>
              <w:rPr>
                <w:b/>
                <w:bCs/>
                <w:sz w:val="22"/>
                <w:szCs w:val="22"/>
              </w:rPr>
            </w:pPr>
          </w:p>
        </w:tc>
        <w:tc>
          <w:tcPr>
            <w:tcW w:w="2552" w:type="dxa"/>
            <w:shd w:val="clear" w:color="auto" w:fill="auto"/>
          </w:tcPr>
          <w:p w:rsidR="00F50CC3" w:rsidRDefault="00730655">
            <w:pPr>
              <w:spacing w:line="240" w:lineRule="auto"/>
              <w:rPr>
                <w:b/>
                <w:bCs/>
                <w:lang w:val="hu-HU"/>
              </w:rPr>
            </w:pPr>
            <w:r>
              <w:rPr>
                <w:lang w:val="hu-HU"/>
              </w:rPr>
              <w:t>Emelkedett LDH-szint</w:t>
            </w:r>
            <w:r>
              <w:rPr>
                <w:position w:val="8"/>
                <w:vertAlign w:val="superscript"/>
                <w:lang w:val="hu-HU"/>
              </w:rPr>
              <w:t>A</w:t>
            </w:r>
            <w:r>
              <w:rPr>
                <w:lang w:val="hu-HU"/>
              </w:rPr>
              <w:t>, emelkedett lipázszint</w:t>
            </w:r>
            <w:r>
              <w:rPr>
                <w:position w:val="8"/>
                <w:vertAlign w:val="superscript"/>
                <w:lang w:val="hu-HU"/>
              </w:rPr>
              <w:t>A</w:t>
            </w:r>
            <w:r>
              <w:rPr>
                <w:lang w:val="hu-HU"/>
              </w:rPr>
              <w:t>, emelkedett amilázszint</w:t>
            </w:r>
            <w:r>
              <w:rPr>
                <w:position w:val="8"/>
                <w:vertAlign w:val="superscript"/>
                <w:lang w:val="hu-HU"/>
              </w:rPr>
              <w:t>A</w:t>
            </w:r>
            <w:r>
              <w:rPr>
                <w:lang w:val="hu-HU"/>
              </w:rPr>
              <w:t xml:space="preserve">, </w:t>
            </w:r>
          </w:p>
        </w:tc>
        <w:tc>
          <w:tcPr>
            <w:tcW w:w="1748" w:type="dxa"/>
            <w:shd w:val="clear" w:color="auto" w:fill="auto"/>
          </w:tcPr>
          <w:p w:rsidR="00F50CC3" w:rsidRDefault="00F50CC3">
            <w:pPr>
              <w:pStyle w:val="Default"/>
              <w:rPr>
                <w:b/>
                <w:bCs/>
                <w:sz w:val="22"/>
                <w:szCs w:val="22"/>
              </w:rPr>
            </w:pP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r w:rsidR="00F50CC3">
        <w:tc>
          <w:tcPr>
            <w:tcW w:w="9517" w:type="dxa"/>
            <w:gridSpan w:val="5"/>
          </w:tcPr>
          <w:p w:rsidR="00F50CC3" w:rsidRDefault="00730655" w:rsidP="00A9412C">
            <w:pPr>
              <w:pStyle w:val="Default"/>
              <w:keepNext/>
              <w:rPr>
                <w:b/>
                <w:bCs/>
                <w:sz w:val="22"/>
                <w:szCs w:val="22"/>
              </w:rPr>
            </w:pPr>
            <w:r>
              <w:rPr>
                <w:b/>
                <w:bCs/>
                <w:sz w:val="22"/>
                <w:szCs w:val="22"/>
              </w:rPr>
              <w:lastRenderedPageBreak/>
              <w:t xml:space="preserve">Sérülés, mérgezés és a beavatkozással kapcsolatos szövődmények </w:t>
            </w:r>
          </w:p>
        </w:tc>
      </w:tr>
      <w:tr w:rsidR="00F50CC3">
        <w:tc>
          <w:tcPr>
            <w:tcW w:w="1951" w:type="dxa"/>
            <w:shd w:val="clear" w:color="auto" w:fill="auto"/>
          </w:tcPr>
          <w:p w:rsidR="00F50CC3" w:rsidRDefault="00730655">
            <w:pPr>
              <w:pStyle w:val="Default"/>
              <w:rPr>
                <w:b/>
                <w:bCs/>
                <w:sz w:val="22"/>
                <w:szCs w:val="22"/>
              </w:rPr>
            </w:pPr>
            <w:r>
              <w:rPr>
                <w:sz w:val="22"/>
                <w:szCs w:val="22"/>
              </w:rPr>
              <w:t>Orvosi beavatkozást követő vérzés (beleértve a posztoperatív anaemiát és a sebvérzést is), contusio, sebváladékozás</w:t>
            </w:r>
            <w:r>
              <w:rPr>
                <w:position w:val="8"/>
                <w:sz w:val="22"/>
                <w:szCs w:val="22"/>
                <w:vertAlign w:val="superscript"/>
              </w:rPr>
              <w:t xml:space="preserve">A </w:t>
            </w:r>
          </w:p>
        </w:tc>
        <w:tc>
          <w:tcPr>
            <w:tcW w:w="2552" w:type="dxa"/>
            <w:shd w:val="clear" w:color="auto" w:fill="auto"/>
          </w:tcPr>
          <w:p w:rsidR="00F50CC3" w:rsidRDefault="00F50CC3">
            <w:pPr>
              <w:spacing w:line="240" w:lineRule="auto"/>
              <w:rPr>
                <w:b/>
                <w:bCs/>
                <w:lang w:val="hu-HU"/>
              </w:rPr>
            </w:pPr>
          </w:p>
        </w:tc>
        <w:tc>
          <w:tcPr>
            <w:tcW w:w="1748" w:type="dxa"/>
            <w:shd w:val="clear" w:color="auto" w:fill="auto"/>
          </w:tcPr>
          <w:p w:rsidR="00F50CC3" w:rsidRDefault="00730655">
            <w:pPr>
              <w:pStyle w:val="Default"/>
              <w:rPr>
                <w:b/>
                <w:bCs/>
                <w:sz w:val="22"/>
                <w:szCs w:val="22"/>
              </w:rPr>
            </w:pPr>
            <w:r>
              <w:rPr>
                <w:sz w:val="22"/>
                <w:szCs w:val="22"/>
              </w:rPr>
              <w:t xml:space="preserve">Vascularis pseudoaneu-rysma </w:t>
            </w:r>
            <w:r>
              <w:rPr>
                <w:sz w:val="22"/>
                <w:szCs w:val="22"/>
                <w:vertAlign w:val="superscript"/>
              </w:rPr>
              <w:t>C</w:t>
            </w:r>
          </w:p>
        </w:tc>
        <w:tc>
          <w:tcPr>
            <w:tcW w:w="1560" w:type="dxa"/>
          </w:tcPr>
          <w:p w:rsidR="00F50CC3" w:rsidRDefault="00F50CC3">
            <w:pPr>
              <w:spacing w:line="240" w:lineRule="auto"/>
              <w:rPr>
                <w:b/>
                <w:bCs/>
                <w:lang w:val="hu-HU"/>
              </w:rPr>
            </w:pPr>
          </w:p>
        </w:tc>
        <w:tc>
          <w:tcPr>
            <w:tcW w:w="1706" w:type="dxa"/>
            <w:shd w:val="clear" w:color="auto" w:fill="auto"/>
          </w:tcPr>
          <w:p w:rsidR="00F50CC3" w:rsidRDefault="00F50CC3">
            <w:pPr>
              <w:spacing w:line="240" w:lineRule="auto"/>
              <w:rPr>
                <w:b/>
                <w:bCs/>
                <w:lang w:val="hu-HU"/>
              </w:rPr>
            </w:pPr>
          </w:p>
        </w:tc>
      </w:tr>
    </w:tbl>
    <w:p w:rsidR="00F50CC3" w:rsidRDefault="00F50CC3">
      <w:pPr>
        <w:spacing w:line="240" w:lineRule="auto"/>
        <w:rPr>
          <w:b/>
          <w:bCs/>
          <w:lang w:val="hu-HU"/>
        </w:rPr>
      </w:pPr>
    </w:p>
    <w:p w:rsidR="00F50CC3" w:rsidRDefault="00730655" w:rsidP="00C06B46">
      <w:pPr>
        <w:pStyle w:val="Default"/>
        <w:tabs>
          <w:tab w:val="left" w:pos="426"/>
        </w:tabs>
        <w:ind w:left="426" w:hanging="426"/>
        <w:rPr>
          <w:sz w:val="22"/>
          <w:szCs w:val="22"/>
        </w:rPr>
      </w:pPr>
      <w:r>
        <w:rPr>
          <w:sz w:val="22"/>
          <w:szCs w:val="22"/>
        </w:rPr>
        <w:t>A</w:t>
      </w:r>
      <w:r>
        <w:rPr>
          <w:sz w:val="22"/>
          <w:szCs w:val="22"/>
        </w:rPr>
        <w:tab/>
        <w:t>vénás thromboembolia (VTE) megelőzése esetén figyelték meg elektív csípő- vagy térdprotézis műtéten átesett felnőtt betegeknél</w:t>
      </w:r>
    </w:p>
    <w:p w:rsidR="00F50CC3" w:rsidRDefault="00730655" w:rsidP="00C06B46">
      <w:pPr>
        <w:pStyle w:val="Default"/>
        <w:tabs>
          <w:tab w:val="left" w:pos="426"/>
        </w:tabs>
        <w:ind w:left="426" w:hanging="426"/>
        <w:rPr>
          <w:sz w:val="22"/>
          <w:szCs w:val="22"/>
        </w:rPr>
      </w:pPr>
      <w:r>
        <w:rPr>
          <w:sz w:val="22"/>
          <w:szCs w:val="22"/>
        </w:rPr>
        <w:t>B</w:t>
      </w:r>
      <w:r>
        <w:rPr>
          <w:sz w:val="22"/>
          <w:szCs w:val="22"/>
        </w:rPr>
        <w:tab/>
        <w:t>az MVT, a PE kezelése és az rekurrencia megelőzése esetén figyelték meg nagyon gyakori mellékhatásként &lt; 55 éves nőknél</w:t>
      </w:r>
    </w:p>
    <w:p w:rsidR="00F50CC3" w:rsidRDefault="00730655" w:rsidP="00C06B46">
      <w:pPr>
        <w:tabs>
          <w:tab w:val="left" w:pos="426"/>
        </w:tabs>
        <w:spacing w:line="240" w:lineRule="auto"/>
        <w:ind w:left="426" w:hanging="426"/>
        <w:rPr>
          <w:lang w:val="hu-HU"/>
        </w:rPr>
      </w:pPr>
      <w:r>
        <w:rPr>
          <w:lang w:val="hu-HU"/>
        </w:rPr>
        <w:t>C</w:t>
      </w:r>
      <w:r>
        <w:rPr>
          <w:lang w:val="hu-HU"/>
        </w:rPr>
        <w:tab/>
        <w:t>nem gyakori mellékhatásként figyelték meg ACS-t követő atherothrombotikus események megelőzése során (percutan coronaria beavatkozást követően)</w:t>
      </w:r>
    </w:p>
    <w:p w:rsidR="00F50CC3" w:rsidRDefault="00730655" w:rsidP="00C06B46">
      <w:pPr>
        <w:tabs>
          <w:tab w:val="left" w:pos="426"/>
        </w:tabs>
        <w:spacing w:line="240" w:lineRule="auto"/>
        <w:ind w:left="426" w:hanging="426"/>
        <w:rPr>
          <w:lang w:val="hu-HU"/>
        </w:rPr>
      </w:pPr>
      <w:r>
        <w:rPr>
          <w:lang w:val="hu-HU"/>
        </w:rPr>
        <w:t>*</w:t>
      </w:r>
      <w:r>
        <w:rPr>
          <w:lang w:val="hu-HU"/>
        </w:rPr>
        <w:tab/>
        <w:t>A kiválasztott III. fázisú vizsgálatok esetén nemkívánatos események regisztrálása tekintetében előre meghatározott szelektív megközelítést alkalmaztak. A vizsgálatok elemzése alapján a mellékhatások incidenciája nem növekedett, és új mellékhatást nem azonosítottak.</w:t>
      </w:r>
    </w:p>
    <w:p w:rsidR="00F50CC3" w:rsidRDefault="00F50CC3" w:rsidP="00C06B46">
      <w:pPr>
        <w:tabs>
          <w:tab w:val="left" w:pos="426"/>
        </w:tabs>
        <w:spacing w:line="240" w:lineRule="auto"/>
        <w:ind w:left="426" w:hanging="426"/>
        <w:rPr>
          <w:lang w:val="hu-HU"/>
        </w:rPr>
      </w:pPr>
    </w:p>
    <w:p w:rsidR="00F50CC3" w:rsidRDefault="00730655">
      <w:pPr>
        <w:pStyle w:val="Default"/>
        <w:rPr>
          <w:sz w:val="22"/>
          <w:szCs w:val="22"/>
        </w:rPr>
      </w:pPr>
      <w:r>
        <w:rPr>
          <w:sz w:val="22"/>
          <w:szCs w:val="22"/>
          <w:u w:val="single"/>
        </w:rPr>
        <w:t>Kiválasztott mellékhatások leírása</w:t>
      </w:r>
    </w:p>
    <w:p w:rsidR="00F50CC3" w:rsidRDefault="00730655">
      <w:pPr>
        <w:pStyle w:val="Default"/>
        <w:rPr>
          <w:sz w:val="22"/>
          <w:szCs w:val="22"/>
        </w:rPr>
      </w:pPr>
      <w:r>
        <w:rPr>
          <w:sz w:val="22"/>
          <w:szCs w:val="22"/>
        </w:rPr>
        <w:t>Farmakológiai hatásmechanizmusa miatt a rivaroxabán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 beleértve a kóros hüvelyi vérzést vagy fokozott menstruációs vérzést is)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egyidejűleg hemosztázist befolyásoló gyógyszerekkel kezelt betegek (lásd „Vérzés kockázata”, 4.4 pont).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w:t>
      </w:r>
    </w:p>
    <w:p w:rsidR="00F50CC3" w:rsidRDefault="00730655">
      <w:pPr>
        <w:spacing w:line="240" w:lineRule="auto"/>
        <w:rPr>
          <w:b/>
          <w:bCs/>
          <w:lang w:val="hu-HU"/>
        </w:rPr>
      </w:pPr>
      <w:r>
        <w:rPr>
          <w:lang w:val="hu-HU"/>
        </w:rPr>
        <w:t xml:space="preserve">A súlyos vérzés ismert másodlagos szövődményeit, mint kompartment szindrómát vagy a hipoperfúzió következtében fellépő veseelégtelenséget </w:t>
      </w:r>
      <w:bookmarkStart w:id="3" w:name="_Hlk152059781"/>
      <w:r>
        <w:rPr>
          <w:lang w:val="hu-HU"/>
        </w:rPr>
        <w:t xml:space="preserve">vagy az antikoagulánsokkal összefüggő nephropathiát </w:t>
      </w:r>
      <w:bookmarkEnd w:id="3"/>
      <w:r>
        <w:rPr>
          <w:lang w:val="hu-HU"/>
        </w:rPr>
        <w:t>jelentettek a rivaroxabánnal kapcsolatban. Ezért a vérzés lehetőségét minden antikoagulált beteg állapotának értékelésekor figyelembe kell venni.</w:t>
      </w:r>
    </w:p>
    <w:p w:rsidR="00F50CC3" w:rsidRDefault="00F50CC3">
      <w:pPr>
        <w:spacing w:line="240" w:lineRule="auto"/>
        <w:rPr>
          <w:b/>
          <w:bCs/>
          <w:lang w:val="hu-HU"/>
        </w:rPr>
      </w:pPr>
    </w:p>
    <w:p w:rsidR="00F50CC3" w:rsidRDefault="00730655">
      <w:pPr>
        <w:spacing w:line="240" w:lineRule="auto"/>
        <w:rPr>
          <w:u w:val="single"/>
          <w:lang w:val="hu-HU"/>
        </w:rPr>
      </w:pPr>
      <w:r>
        <w:rPr>
          <w:u w:val="single"/>
          <w:lang w:val="hu-HU"/>
        </w:rPr>
        <w:t>Feltételezett mellékhatások bejelentése</w:t>
      </w:r>
    </w:p>
    <w:p w:rsidR="00F50CC3" w:rsidRDefault="00730655">
      <w:pPr>
        <w:spacing w:line="240" w:lineRule="auto"/>
        <w:rPr>
          <w:lang w:val="hu-HU"/>
        </w:rPr>
      </w:pPr>
      <w:r>
        <w:rPr>
          <w:lang w:val="hu-HU"/>
        </w:rPr>
        <w:t>A gyógyszer engedélyezését követően lényeges a feltételezett mellékhatások bejelentése, mert ez fontos eszköze annak, hogy a gyógyszer előny/kockázat profilját folyamatosan figyelemmel lehessen kísérni.</w:t>
      </w:r>
    </w:p>
    <w:p w:rsidR="00F50CC3" w:rsidRDefault="00730655">
      <w:pPr>
        <w:spacing w:line="240" w:lineRule="auto"/>
        <w:rPr>
          <w:lang w:val="hu-HU"/>
        </w:rPr>
      </w:pPr>
      <w:r>
        <w:rPr>
          <w:lang w:val="hu-HU"/>
        </w:rPr>
        <w:t xml:space="preserve">Az egészségügyi szakembereket kérjük, hogy jelentsék be a feltételezett mellékhatásokat a hatóság részére az </w:t>
      </w:r>
      <w:hyperlink r:id="rId7" w:history="1">
        <w:r>
          <w:rPr>
            <w:rStyle w:val="Hiperhivatkozs"/>
            <w:highlight w:val="lightGray"/>
            <w:lang w:val="hu-HU"/>
          </w:rPr>
          <w:t>V. függelékben</w:t>
        </w:r>
      </w:hyperlink>
      <w:r>
        <w:rPr>
          <w:highlight w:val="lightGray"/>
          <w:lang w:val="hu-HU"/>
        </w:rPr>
        <w:t xml:space="preserve"> található elérhetőségek valamelyikén keresztül</w:t>
      </w:r>
      <w:r>
        <w:rPr>
          <w:color w:val="008000"/>
          <w:lang w:val="hu-HU"/>
        </w:rPr>
        <w:t>.</w:t>
      </w:r>
    </w:p>
    <w:p w:rsidR="00F50CC3" w:rsidRDefault="00F50CC3">
      <w:pPr>
        <w:spacing w:line="240" w:lineRule="auto"/>
        <w:rPr>
          <w:lang w:val="hu-HU"/>
        </w:rPr>
      </w:pPr>
    </w:p>
    <w:p w:rsidR="00F50CC3" w:rsidRDefault="00730655" w:rsidP="00A9412C">
      <w:pPr>
        <w:keepNext/>
        <w:spacing w:line="240" w:lineRule="auto"/>
        <w:ind w:left="567" w:hanging="567"/>
        <w:outlineLvl w:val="0"/>
        <w:rPr>
          <w:b/>
          <w:noProof/>
          <w:lang w:val="hu-HU"/>
        </w:rPr>
      </w:pPr>
      <w:r>
        <w:rPr>
          <w:b/>
          <w:noProof/>
          <w:lang w:val="hu-HU"/>
        </w:rPr>
        <w:lastRenderedPageBreak/>
        <w:t>4.9</w:t>
      </w:r>
      <w:r>
        <w:rPr>
          <w:b/>
          <w:noProof/>
          <w:lang w:val="hu-HU"/>
        </w:rPr>
        <w:tab/>
        <w:t>Túladagolás</w:t>
      </w:r>
    </w:p>
    <w:p w:rsidR="00F50CC3" w:rsidRDefault="00F50CC3" w:rsidP="00A9412C">
      <w:pPr>
        <w:keepNext/>
        <w:spacing w:line="240" w:lineRule="auto"/>
        <w:ind w:left="567" w:hanging="567"/>
        <w:outlineLvl w:val="0"/>
        <w:rPr>
          <w:b/>
          <w:lang w:val="hu-HU"/>
        </w:rPr>
      </w:pPr>
    </w:p>
    <w:p w:rsidR="00F50CC3" w:rsidRDefault="00730655">
      <w:pPr>
        <w:pStyle w:val="Default"/>
        <w:rPr>
          <w:sz w:val="22"/>
          <w:szCs w:val="22"/>
        </w:rPr>
      </w:pPr>
      <w:r>
        <w:rPr>
          <w:sz w:val="22"/>
          <w:szCs w:val="22"/>
        </w:rPr>
        <w:t>Ritka esetekben, legfeljebb 1960 mg-mal történő túladagolásról számoltak be. Túladagolás esetén a beteget gondos megfigyelés alatt kell tartani vérzéses szövődmény vagy más mellékhatás szempontjából (lásd „Vérzés kezelése” szakaszt). A korlátozott felszívódás és a „plafonhatás” következtében 50 mg-os vagy afeletti szupraterápiás dózisban alkalmazott rivaroxabán esetében nem számítanak az átlagos plazmakoncentráció további növekedésére.</w:t>
      </w:r>
    </w:p>
    <w:p w:rsidR="00F50CC3" w:rsidRDefault="00730655">
      <w:pPr>
        <w:tabs>
          <w:tab w:val="clear" w:pos="567"/>
          <w:tab w:val="left" w:pos="0"/>
        </w:tabs>
        <w:spacing w:line="240" w:lineRule="auto"/>
        <w:outlineLvl w:val="0"/>
        <w:rPr>
          <w:color w:val="000000"/>
          <w:lang w:val="hu-HU" w:eastAsia="hu-HU"/>
        </w:rPr>
      </w:pPr>
      <w:r>
        <w:rPr>
          <w:color w:val="000000"/>
          <w:lang w:val="hu-HU" w:eastAsia="hu-HU"/>
        </w:rPr>
        <w:t>Rendelkezésre áll egy specifikus, hatás-visszafordító szer (andexanet alfa), amely a rivaroxabán farmakodinámiás hatását antagonizálja (lásd andexanet alfa gyógyszeralkalmazási előírás).</w:t>
      </w:r>
    </w:p>
    <w:p w:rsidR="00F50CC3" w:rsidRDefault="00730655">
      <w:pPr>
        <w:tabs>
          <w:tab w:val="clear" w:pos="567"/>
          <w:tab w:val="left" w:pos="0"/>
        </w:tabs>
        <w:spacing w:line="240" w:lineRule="auto"/>
        <w:outlineLvl w:val="0"/>
        <w:rPr>
          <w:u w:val="single"/>
          <w:lang w:val="hu-HU"/>
        </w:rPr>
      </w:pPr>
      <w:r>
        <w:rPr>
          <w:lang w:val="hu-HU"/>
        </w:rPr>
        <w:t>A rivaroxabán túladagolása esetén aktív orvosi szén alkalmazása mérlegelhető a gyógyszer felszívódásának csökkentésére.</w:t>
      </w:r>
    </w:p>
    <w:p w:rsidR="00F50CC3" w:rsidRDefault="00F50CC3">
      <w:pPr>
        <w:spacing w:line="240" w:lineRule="auto"/>
        <w:ind w:left="567" w:hanging="567"/>
        <w:outlineLvl w:val="0"/>
        <w:rPr>
          <w:u w:val="single"/>
          <w:lang w:val="hu-HU"/>
        </w:rPr>
      </w:pPr>
    </w:p>
    <w:p w:rsidR="00F50CC3" w:rsidRDefault="00730655">
      <w:pPr>
        <w:pStyle w:val="Default"/>
        <w:rPr>
          <w:sz w:val="22"/>
          <w:szCs w:val="22"/>
        </w:rPr>
      </w:pPr>
      <w:r>
        <w:rPr>
          <w:sz w:val="22"/>
          <w:szCs w:val="22"/>
          <w:u w:val="single"/>
        </w:rPr>
        <w:t>Vérzés kezelése</w:t>
      </w:r>
    </w:p>
    <w:p w:rsidR="00F50CC3" w:rsidRDefault="00730655">
      <w:pPr>
        <w:pStyle w:val="Default"/>
        <w:rPr>
          <w:sz w:val="22"/>
          <w:szCs w:val="22"/>
        </w:rPr>
      </w:pPr>
      <w:r>
        <w:rPr>
          <w:sz w:val="22"/>
          <w:szCs w:val="22"/>
        </w:rPr>
        <w:t>Amennyiben vérzéses szövődmény lép fel egy rivaroxabánnal kezelt betegnél, akkor a rivaroxabán következő alkalmazását szükség szerint el kell halasztani vagy a kezelést fel kell függeszteni. A rivaroxabán felezési ideje körülbelül 5 és 13 óra között van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hemodinamikai támogatás, vérkészítmények (a kialakult anaemia vagy coagulopathia függvényében vörösvértest-koncentrátum vagy friss fagyasztott plazma) vagy thrombocyta-transzfúzió.</w:t>
      </w:r>
    </w:p>
    <w:p w:rsidR="00F50CC3" w:rsidRDefault="00730655">
      <w:pPr>
        <w:pStyle w:val="Default"/>
        <w:rPr>
          <w:sz w:val="22"/>
          <w:szCs w:val="22"/>
        </w:rPr>
      </w:pPr>
      <w:r>
        <w:rPr>
          <w:sz w:val="22"/>
          <w:szCs w:val="22"/>
        </w:rPr>
        <w:t xml:space="preserve">Ha a vérzés </w:t>
      </w:r>
      <w:bookmarkStart w:id="4" w:name="_Hlk152059823"/>
      <w:r>
        <w:rPr>
          <w:sz w:val="22"/>
          <w:szCs w:val="22"/>
        </w:rPr>
        <w:t xml:space="preserve">a fent említett intézkedésekkel </w:t>
      </w:r>
      <w:bookmarkEnd w:id="4"/>
      <w:r>
        <w:rPr>
          <w:sz w:val="22"/>
          <w:szCs w:val="22"/>
        </w:rPr>
        <w:t>sem állítható meg, akkor megfontolandó vagy a specifikus, a Xa-faktor inhibitorok hatását visszafordító szer (andexanet alfa) alkalmazása, amely antagonizálja a rivaroxabán farmakodinámiás hatását, vagy egy a specifikus prokoaguláns szer, úgymint protrombinkomplex-koncentrátum (PCC), aktivált protrombinkomplex-koncentrátum (APCC), vagy rekombináns VIIa faktor (r-FVIIa) alkalmazása. Azonban jelenleg nagyon korlátozott tapasztalat áll rendelkezésre ezen készítmények rivaroxabánnal kezelt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w:t>
      </w:r>
    </w:p>
    <w:p w:rsidR="00F50CC3" w:rsidRDefault="00F50CC3">
      <w:pPr>
        <w:pStyle w:val="Default"/>
        <w:rPr>
          <w:sz w:val="22"/>
          <w:szCs w:val="22"/>
        </w:rPr>
      </w:pPr>
    </w:p>
    <w:p w:rsidR="00F50CC3" w:rsidRDefault="00730655">
      <w:pPr>
        <w:pStyle w:val="Default"/>
        <w:rPr>
          <w:sz w:val="22"/>
          <w:szCs w:val="22"/>
          <w:u w:val="single"/>
        </w:rPr>
      </w:pPr>
      <w:r>
        <w:rPr>
          <w:sz w:val="22"/>
          <w:szCs w:val="22"/>
        </w:rPr>
        <w:t>A protamin-szulfát és a K-vitamin várhatóan nem befolyásolják a rivaroxabán antikoaguláns hatását. A rivaroxabánnal kezelt egyéneknél korlátozott tapasztalatok állnak rendelkezésre a tranexámsavval és nincsenek tapasztalatok az aminokapronsavval és az aprotininnel kapcsolatban.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rsidR="00F50CC3" w:rsidRDefault="00F50CC3">
      <w:pPr>
        <w:spacing w:line="240" w:lineRule="auto"/>
        <w:ind w:left="567" w:hanging="567"/>
        <w:outlineLvl w:val="0"/>
        <w:rPr>
          <w:u w:val="single"/>
          <w:lang w:val="hu-HU"/>
        </w:rPr>
      </w:pP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b/>
          <w:noProof/>
          <w:lang w:val="hu-HU"/>
        </w:rPr>
      </w:pPr>
      <w:r>
        <w:rPr>
          <w:b/>
          <w:noProof/>
          <w:lang w:val="hu-HU"/>
        </w:rPr>
        <w:t>5.</w:t>
      </w:r>
      <w:r>
        <w:rPr>
          <w:b/>
          <w:noProof/>
          <w:lang w:val="hu-HU"/>
        </w:rPr>
        <w:tab/>
        <w:t>FARMAKOLÓGIAI TULAJDONSÁGOK</w:t>
      </w:r>
    </w:p>
    <w:p w:rsidR="00F50CC3" w:rsidRDefault="00F50CC3">
      <w:pPr>
        <w:spacing w:line="240" w:lineRule="auto"/>
        <w:ind w:left="567" w:hanging="567"/>
        <w:outlineLvl w:val="0"/>
        <w:rPr>
          <w:b/>
          <w:noProof/>
          <w:lang w:val="hu-HU"/>
        </w:rPr>
      </w:pPr>
    </w:p>
    <w:p w:rsidR="00F50CC3" w:rsidRDefault="00730655">
      <w:pPr>
        <w:spacing w:line="240" w:lineRule="auto"/>
        <w:ind w:left="567" w:hanging="567"/>
        <w:outlineLvl w:val="0"/>
        <w:rPr>
          <w:b/>
          <w:noProof/>
          <w:lang w:val="hu-HU"/>
        </w:rPr>
      </w:pPr>
      <w:r>
        <w:rPr>
          <w:b/>
          <w:noProof/>
          <w:lang w:val="hu-HU"/>
        </w:rPr>
        <w:t>5.1</w:t>
      </w:r>
      <w:r>
        <w:rPr>
          <w:b/>
          <w:noProof/>
          <w:lang w:val="hu-HU"/>
        </w:rPr>
        <w:tab/>
        <w:t>Farmakodinámiás tulajdonságok</w:t>
      </w:r>
    </w:p>
    <w:p w:rsidR="00F50CC3" w:rsidRDefault="00F50CC3">
      <w:pPr>
        <w:spacing w:line="240" w:lineRule="auto"/>
        <w:rPr>
          <w:noProof/>
          <w:lang w:val="hu-HU"/>
        </w:rPr>
      </w:pPr>
    </w:p>
    <w:p w:rsidR="00F50CC3" w:rsidRDefault="00730655">
      <w:pPr>
        <w:pStyle w:val="Default"/>
        <w:rPr>
          <w:sz w:val="22"/>
          <w:szCs w:val="22"/>
        </w:rPr>
      </w:pPr>
      <w:r>
        <w:rPr>
          <w:sz w:val="22"/>
          <w:szCs w:val="22"/>
        </w:rPr>
        <w:t>Farmakoterápiás csoport: Antithrombotikus gyógyszerek, Xa faktor direkt inhibitorai, ATC kód: B01AF01</w:t>
      </w:r>
    </w:p>
    <w:p w:rsidR="00F50CC3" w:rsidRDefault="00F50CC3">
      <w:pPr>
        <w:pStyle w:val="Default"/>
        <w:rPr>
          <w:sz w:val="22"/>
          <w:szCs w:val="22"/>
        </w:rPr>
      </w:pPr>
    </w:p>
    <w:p w:rsidR="00F50CC3" w:rsidRDefault="00730655">
      <w:pPr>
        <w:pStyle w:val="Default"/>
        <w:rPr>
          <w:sz w:val="22"/>
          <w:szCs w:val="22"/>
        </w:rPr>
      </w:pPr>
      <w:r>
        <w:rPr>
          <w:sz w:val="22"/>
          <w:szCs w:val="22"/>
          <w:u w:val="single"/>
        </w:rPr>
        <w:t>Hatásmechanizmus</w:t>
      </w:r>
    </w:p>
    <w:p w:rsidR="00F50CC3" w:rsidRDefault="00730655">
      <w:pPr>
        <w:pStyle w:val="Default"/>
        <w:rPr>
          <w:sz w:val="22"/>
          <w:szCs w:val="22"/>
        </w:rPr>
      </w:pPr>
      <w:r>
        <w:rPr>
          <w:sz w:val="22"/>
          <w:szCs w:val="22"/>
        </w:rPr>
        <w:t>A rivaroxabán a Xa faktor nagy szelektivitású közvetlen inhibitora, ami orális biohasznosulást mutat.</w:t>
      </w:r>
    </w:p>
    <w:p w:rsidR="00F50CC3" w:rsidRDefault="00730655">
      <w:pPr>
        <w:pStyle w:val="Default"/>
        <w:rPr>
          <w:sz w:val="22"/>
          <w:szCs w:val="22"/>
        </w:rPr>
      </w:pPr>
      <w:r>
        <w:rPr>
          <w:sz w:val="22"/>
          <w:szCs w:val="22"/>
        </w:rPr>
        <w:t>A Xa faktor gátlása megszakítja az intrinsic és extrinsic véralvadási kaszkád útvonalakat, gátolva mind a trombinképződést, mind a vérrögök kialakulását. A rivaroxabán nem gátolja a trombint (aktivált II. faktor) és nem mutattak ki hatást a vérlemezkékre.</w:t>
      </w:r>
    </w:p>
    <w:p w:rsidR="00F50CC3" w:rsidRDefault="00F50CC3">
      <w:pPr>
        <w:pStyle w:val="Default"/>
        <w:rPr>
          <w:sz w:val="22"/>
          <w:szCs w:val="22"/>
        </w:rPr>
      </w:pPr>
    </w:p>
    <w:p w:rsidR="00F50CC3" w:rsidRDefault="00730655" w:rsidP="00A9412C">
      <w:pPr>
        <w:pStyle w:val="Default"/>
        <w:keepNext/>
        <w:rPr>
          <w:sz w:val="22"/>
          <w:szCs w:val="22"/>
        </w:rPr>
      </w:pPr>
      <w:r>
        <w:rPr>
          <w:sz w:val="22"/>
          <w:szCs w:val="22"/>
          <w:u w:val="single"/>
        </w:rPr>
        <w:lastRenderedPageBreak/>
        <w:t>Farmakodinámiás hatások</w:t>
      </w:r>
    </w:p>
    <w:p w:rsidR="00F50CC3" w:rsidRDefault="00730655" w:rsidP="00A9412C">
      <w:pPr>
        <w:keepNext/>
        <w:spacing w:line="240" w:lineRule="auto"/>
        <w:rPr>
          <w:noProof/>
          <w:lang w:val="hu-HU"/>
        </w:rPr>
      </w:pPr>
      <w:r>
        <w:rPr>
          <w:lang w:val="hu-HU"/>
        </w:rPr>
        <w:t>Embernél a Xa faktor dózisfüggő gátlását figyelték meg. A rivaroxabán –szoros összefüggésben a plazmakoncentrációkkal (az r érték 0,98-dal egyenlő) – dózisfüggő módon befolyásolja a protrombinidőt (PI), ha Neoplastint használnak a vizsgálathoz. Más reagensek ettől eltérő eredményt adhatnak. A PI eredményét másodpercekben kell megadni, mivel a nemzetközi normalizált arány (International Normalised Ratio – INR) csak a kumarin származékokra van kalibrálva és validálva, és nem alkalmazható egyéb antikoagulánsokra. A nagy ortopéd sebészeti beavatkozáson átesett betegek esetében a PI (Neoplastin) 5/95 percentilis értéke 2 – 4 órával a tabletta bevétele után (azaz a maximális hatás időpontjában) 13 és 25 másodperc között változott (a műtét előtti kiindulási értékek 12 és 15 másodperc között vannak).</w:t>
      </w:r>
    </w:p>
    <w:p w:rsidR="00F50CC3" w:rsidRDefault="00730655">
      <w:pPr>
        <w:pStyle w:val="Default"/>
        <w:rPr>
          <w:sz w:val="22"/>
          <w:szCs w:val="22"/>
        </w:rPr>
      </w:pPr>
      <w:r>
        <w:rPr>
          <w:sz w:val="22"/>
          <w:szCs w:val="22"/>
        </w:rPr>
        <w:t xml:space="preserve">Egy egészséges felnőttekkel (n=22) végzett klinikai farmakológiai vizsgálat során, </w:t>
      </w:r>
      <w:bookmarkStart w:id="5" w:name="_Hlk161818048"/>
      <w:r>
        <w:rPr>
          <w:sz w:val="22"/>
          <w:szCs w:val="22"/>
        </w:rPr>
        <w:t>melyben a rivaroxabán farmakodinámiás hatásának reverzibilitását vizsgálták, két különböző típusú protrombinkomplex-koncentrátum (PCC), egy 3 faktoros PCC (II, IX és X faktorok) és egy 4 faktoros PCC (II, VII, IX és X faktorok) egyszeri adagjainak (50 NE/ttkg) hatását értékelték.</w:t>
      </w:r>
      <w:bookmarkEnd w:id="5"/>
      <w:r>
        <w:rPr>
          <w:sz w:val="22"/>
          <w:szCs w:val="22"/>
        </w:rPr>
        <w:t>. . A 3 faktoros PCC a Neoplastin reagenssel meghatározott átlag PI-t 30 percen belül körülbelül 1,0 másodperccel csökkentette, míg a 4 faktoros PCC körülbelül 3,5 másodperccel. A 3 faktoros PCC ugyanakkor nagyobb és gyorsabb általános hatást fejtett ki az endogén trombinképződésben kialakult változások visszafordítására, mint a 4 faktoros PCC (lásd 4.9 pont).</w:t>
      </w:r>
    </w:p>
    <w:p w:rsidR="00F50CC3" w:rsidRDefault="00730655">
      <w:pPr>
        <w:spacing w:line="240" w:lineRule="auto"/>
        <w:rPr>
          <w:lang w:val="hu-HU"/>
        </w:rPr>
      </w:pPr>
      <w:r>
        <w:rPr>
          <w:lang w:val="hu-HU"/>
        </w:rPr>
        <w:t>Az aktivált parciális thromboplasztinidő (aPTI) és a HepTest megnyúlása szintén dózisfüggő; ezek azonban nem javasoltak a rivaroxabán farmakodinámiás hatásának értékelésére. A rivaroxabán kezelés során nem szükséges a véralvadási paraméterek monitorozása a klinikai gyakorlatban.</w:t>
      </w:r>
    </w:p>
    <w:p w:rsidR="00F50CC3" w:rsidRDefault="00730655">
      <w:pPr>
        <w:spacing w:line="240" w:lineRule="auto"/>
        <w:rPr>
          <w:lang w:val="hu-HU"/>
        </w:rPr>
      </w:pPr>
      <w:r>
        <w:rPr>
          <w:lang w:val="hu-HU"/>
        </w:rPr>
        <w:t>Ugyanakkor, amennyiben klinikailag szükséges, a rivaroxabán-szinteket kalibrált kvantitatív anti-Xa faktor tesztekkel lehet mérni (lásd 5.2 pont).</w:t>
      </w:r>
    </w:p>
    <w:p w:rsidR="00F50CC3" w:rsidRDefault="00F50CC3">
      <w:pPr>
        <w:spacing w:line="240" w:lineRule="auto"/>
        <w:rPr>
          <w:lang w:val="hu-HU"/>
        </w:rPr>
      </w:pPr>
    </w:p>
    <w:p w:rsidR="00F50CC3" w:rsidRDefault="00730655">
      <w:pPr>
        <w:pStyle w:val="Default"/>
        <w:rPr>
          <w:sz w:val="22"/>
          <w:szCs w:val="22"/>
          <w:u w:val="single"/>
        </w:rPr>
      </w:pPr>
      <w:r>
        <w:rPr>
          <w:sz w:val="22"/>
          <w:szCs w:val="22"/>
          <w:u w:val="single"/>
        </w:rPr>
        <w:t>Klinikai hatásosság és biztonságosság</w:t>
      </w:r>
    </w:p>
    <w:p w:rsidR="00F50CC3" w:rsidRDefault="00730655">
      <w:pPr>
        <w:pStyle w:val="Default"/>
        <w:rPr>
          <w:sz w:val="22"/>
          <w:szCs w:val="22"/>
        </w:rPr>
      </w:pPr>
      <w:r>
        <w:rPr>
          <w:i/>
          <w:iCs/>
          <w:sz w:val="22"/>
          <w:szCs w:val="22"/>
        </w:rPr>
        <w:t>VTE megelőzése elektív csípő- vagy térdprotézis műtéten áteső felnőtt betegeknél</w:t>
      </w:r>
    </w:p>
    <w:p w:rsidR="00F50CC3" w:rsidRDefault="00730655">
      <w:pPr>
        <w:pStyle w:val="Default"/>
        <w:rPr>
          <w:sz w:val="22"/>
          <w:szCs w:val="22"/>
        </w:rPr>
      </w:pPr>
      <w:r>
        <w:rPr>
          <w:sz w:val="22"/>
          <w:szCs w:val="22"/>
        </w:rPr>
        <w:t>A rivaroxabán klinikai programot arra tervezték, hogy kimutassa a rivaroxabán hatékonyságát a VTE, azaz proximalis és distalis mélyvénás trombózis (DVT) és tüdőembolia (PE) megelőzésében olyan betegeknél, akik nagy alsó végtagi ortopédsebészeti műtéten estek át. A kontrollált, randomizált, kettős vak RECORD III. fázisú klinikai vizsgálati program keretében több mint 9500 beteget (7050 teljes csípőprotézis műtét és 2531 teljes térdprotézis műtét) vizsgáltak.</w:t>
      </w:r>
    </w:p>
    <w:p w:rsidR="00F50CC3" w:rsidRDefault="00730655">
      <w:pPr>
        <w:pStyle w:val="Default"/>
        <w:rPr>
          <w:sz w:val="22"/>
          <w:szCs w:val="22"/>
        </w:rPr>
      </w:pPr>
      <w:r>
        <w:rPr>
          <w:sz w:val="22"/>
          <w:szCs w:val="22"/>
        </w:rPr>
        <w:t>Napi egyszeri 10 mg rivaroxabán legalább 6 órával a műtét után történő alkalmazását hasonlították össze napi egyszeri 40 mg enoxaparin 12 órával a műtét előtt elkezdett alkalmazásával.</w:t>
      </w:r>
    </w:p>
    <w:p w:rsidR="00F50CC3" w:rsidRDefault="00730655">
      <w:pPr>
        <w:pStyle w:val="Default"/>
        <w:rPr>
          <w:sz w:val="22"/>
          <w:szCs w:val="22"/>
        </w:rPr>
      </w:pPr>
      <w:r>
        <w:rPr>
          <w:sz w:val="22"/>
          <w:szCs w:val="22"/>
        </w:rPr>
        <w:t>A rivaroxabán mindhárom III. fázisú vizsgálatban (lásd 4. táblázat) jelentősen csökkentette az összes VTE (bármilyen venográfiásan kimutatott vagy szimptomatikus MVT, nem halálos PE és halál) és a súlyos VTE (proximális MVT, nem halálos PE és VTE okozta halál) előfordulási arányát, melyek az előre meghatározott elsődleges és fő másodlagos hatékonysági végpontok voltak. Továbbá a tüneteket okozó VTE (tüneteket okozó MVT, nem halálos PE, VTE okozta halál) előfordulási aránya mindhárom vizsgálatban alacsonyabb volt a rivaroxabánnal kezelt betegeknél, mint az enoxaparinnal kezelteknél.</w:t>
      </w:r>
    </w:p>
    <w:p w:rsidR="00F50CC3" w:rsidRDefault="00730655">
      <w:pPr>
        <w:spacing w:line="240" w:lineRule="auto"/>
        <w:rPr>
          <w:noProof/>
          <w:lang w:val="hu-HU"/>
        </w:rPr>
      </w:pPr>
      <w:r>
        <w:rPr>
          <w:lang w:val="hu-HU"/>
        </w:rPr>
        <w:t>A fő biztonságossági végpont (nagyfokú vérzés) esetében a 10 mg rivaroxabán kezelésben részesülő betegek arányai hasonlóak voltak a 40 mg enoxaparint használókéval.</w:t>
      </w:r>
    </w:p>
    <w:p w:rsidR="00F50CC3" w:rsidRDefault="00F50CC3">
      <w:pPr>
        <w:spacing w:line="240" w:lineRule="auto"/>
        <w:rPr>
          <w:noProof/>
          <w:lang w:val="hu-HU"/>
        </w:rPr>
      </w:pPr>
    </w:p>
    <w:p w:rsidR="00F50CC3" w:rsidRDefault="00730655" w:rsidP="00C06B46">
      <w:pPr>
        <w:spacing w:line="240" w:lineRule="auto"/>
        <w:ind w:left="1276" w:hanging="1276"/>
        <w:rPr>
          <w:b/>
          <w:bCs/>
          <w:lang w:val="hu-HU"/>
        </w:rPr>
      </w:pPr>
      <w:r>
        <w:rPr>
          <w:b/>
          <w:bCs/>
          <w:lang w:val="hu-HU"/>
        </w:rPr>
        <w:t>4. táblázat:</w:t>
      </w:r>
      <w:r w:rsidR="00C06B46">
        <w:rPr>
          <w:b/>
          <w:bCs/>
          <w:lang w:val="hu-HU"/>
        </w:rPr>
        <w:tab/>
      </w:r>
      <w:r>
        <w:rPr>
          <w:b/>
          <w:bCs/>
          <w:lang w:val="hu-HU"/>
        </w:rPr>
        <w:t>III. fázisú klinikai vizsgálatokból származó hatékonysági és biztonságossági eredmények</w:t>
      </w:r>
    </w:p>
    <w:p w:rsidR="00C06B46" w:rsidRDefault="00C06B46" w:rsidP="00C06B46">
      <w:pPr>
        <w:spacing w:line="240" w:lineRule="auto"/>
        <w:ind w:left="1276" w:hanging="1276"/>
        <w:rPr>
          <w:b/>
          <w:bCs/>
          <w:lang w:val="hu-H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1013"/>
        <w:gridCol w:w="1015"/>
        <w:gridCol w:w="1015"/>
        <w:gridCol w:w="987"/>
        <w:gridCol w:w="981"/>
        <w:gridCol w:w="982"/>
        <w:gridCol w:w="894"/>
        <w:gridCol w:w="9"/>
        <w:gridCol w:w="931"/>
        <w:gridCol w:w="16"/>
        <w:gridCol w:w="889"/>
      </w:tblGrid>
      <w:tr w:rsidR="00F50CC3">
        <w:tc>
          <w:tcPr>
            <w:tcW w:w="1157" w:type="dxa"/>
            <w:shd w:val="clear" w:color="auto" w:fill="auto"/>
          </w:tcPr>
          <w:p w:rsidR="00F50CC3" w:rsidRDefault="00F50CC3">
            <w:pPr>
              <w:spacing w:line="240" w:lineRule="auto"/>
              <w:rPr>
                <w:b/>
                <w:noProof/>
                <w:lang w:val="hu-HU"/>
              </w:rPr>
            </w:pPr>
          </w:p>
        </w:tc>
        <w:tc>
          <w:tcPr>
            <w:tcW w:w="3055" w:type="dxa"/>
            <w:gridSpan w:val="3"/>
            <w:shd w:val="clear" w:color="auto" w:fill="auto"/>
          </w:tcPr>
          <w:p w:rsidR="00F50CC3" w:rsidRDefault="00730655">
            <w:pPr>
              <w:pStyle w:val="Default"/>
              <w:rPr>
                <w:b/>
                <w:noProof/>
                <w:sz w:val="22"/>
                <w:szCs w:val="22"/>
              </w:rPr>
            </w:pPr>
            <w:r>
              <w:rPr>
                <w:b/>
                <w:sz w:val="22"/>
                <w:szCs w:val="22"/>
              </w:rPr>
              <w:t>RECORD 1.</w:t>
            </w:r>
          </w:p>
        </w:tc>
        <w:tc>
          <w:tcPr>
            <w:tcW w:w="2960" w:type="dxa"/>
            <w:gridSpan w:val="3"/>
            <w:shd w:val="clear" w:color="auto" w:fill="auto"/>
          </w:tcPr>
          <w:p w:rsidR="00F50CC3" w:rsidRDefault="00730655">
            <w:pPr>
              <w:pStyle w:val="Default"/>
              <w:rPr>
                <w:b/>
                <w:noProof/>
                <w:sz w:val="22"/>
                <w:szCs w:val="22"/>
              </w:rPr>
            </w:pPr>
            <w:r>
              <w:rPr>
                <w:b/>
                <w:sz w:val="22"/>
                <w:szCs w:val="22"/>
              </w:rPr>
              <w:t>RECORD 2.</w:t>
            </w:r>
          </w:p>
        </w:tc>
        <w:tc>
          <w:tcPr>
            <w:tcW w:w="2717" w:type="dxa"/>
            <w:gridSpan w:val="5"/>
            <w:shd w:val="clear" w:color="auto" w:fill="auto"/>
          </w:tcPr>
          <w:p w:rsidR="00F50CC3" w:rsidRDefault="00730655">
            <w:pPr>
              <w:pStyle w:val="Default"/>
              <w:rPr>
                <w:b/>
                <w:noProof/>
                <w:sz w:val="22"/>
                <w:szCs w:val="22"/>
              </w:rPr>
            </w:pPr>
            <w:r>
              <w:rPr>
                <w:b/>
                <w:sz w:val="22"/>
                <w:szCs w:val="22"/>
              </w:rPr>
              <w:t>RECORD 3.</w:t>
            </w:r>
          </w:p>
        </w:tc>
      </w:tr>
      <w:tr w:rsidR="00F50CC3">
        <w:tc>
          <w:tcPr>
            <w:tcW w:w="1157" w:type="dxa"/>
            <w:shd w:val="clear" w:color="auto" w:fill="auto"/>
          </w:tcPr>
          <w:p w:rsidR="00F50CC3" w:rsidRDefault="00730655">
            <w:pPr>
              <w:pStyle w:val="Default"/>
              <w:rPr>
                <w:b/>
                <w:noProof/>
                <w:sz w:val="22"/>
                <w:szCs w:val="22"/>
              </w:rPr>
            </w:pPr>
            <w:r>
              <w:rPr>
                <w:b/>
                <w:sz w:val="22"/>
                <w:szCs w:val="22"/>
              </w:rPr>
              <w:t>Vizsgált populáció</w:t>
            </w:r>
          </w:p>
        </w:tc>
        <w:tc>
          <w:tcPr>
            <w:tcW w:w="3055" w:type="dxa"/>
            <w:gridSpan w:val="3"/>
            <w:shd w:val="clear" w:color="auto" w:fill="auto"/>
          </w:tcPr>
          <w:p w:rsidR="00F50CC3" w:rsidRDefault="00730655">
            <w:pPr>
              <w:pStyle w:val="Default"/>
              <w:rPr>
                <w:b/>
                <w:noProof/>
                <w:sz w:val="22"/>
                <w:szCs w:val="22"/>
              </w:rPr>
            </w:pPr>
            <w:r>
              <w:rPr>
                <w:b/>
                <w:sz w:val="22"/>
                <w:szCs w:val="22"/>
              </w:rPr>
              <w:t>4541 teljes csípőízületi protézis beültetésen átesett beteg</w:t>
            </w:r>
          </w:p>
        </w:tc>
        <w:tc>
          <w:tcPr>
            <w:tcW w:w="2960" w:type="dxa"/>
            <w:gridSpan w:val="3"/>
            <w:shd w:val="clear" w:color="auto" w:fill="auto"/>
          </w:tcPr>
          <w:p w:rsidR="00F50CC3" w:rsidRDefault="00730655">
            <w:pPr>
              <w:pStyle w:val="Default"/>
              <w:rPr>
                <w:b/>
                <w:noProof/>
                <w:sz w:val="22"/>
                <w:szCs w:val="22"/>
              </w:rPr>
            </w:pPr>
            <w:r>
              <w:rPr>
                <w:b/>
                <w:sz w:val="22"/>
                <w:szCs w:val="22"/>
              </w:rPr>
              <w:t>2509 teljes csípőízületi protézis beültetésen átesett beteg</w:t>
            </w:r>
          </w:p>
        </w:tc>
        <w:tc>
          <w:tcPr>
            <w:tcW w:w="2717" w:type="dxa"/>
            <w:gridSpan w:val="5"/>
            <w:shd w:val="clear" w:color="auto" w:fill="auto"/>
          </w:tcPr>
          <w:p w:rsidR="00F50CC3" w:rsidRDefault="00730655">
            <w:pPr>
              <w:pStyle w:val="Default"/>
              <w:rPr>
                <w:b/>
                <w:noProof/>
                <w:sz w:val="22"/>
                <w:szCs w:val="22"/>
              </w:rPr>
            </w:pPr>
            <w:r>
              <w:rPr>
                <w:b/>
                <w:sz w:val="22"/>
                <w:szCs w:val="22"/>
              </w:rPr>
              <w:t>2531 teljes térdízületi protézis beültetésen átesett beteg</w:t>
            </w:r>
          </w:p>
        </w:tc>
      </w:tr>
      <w:tr w:rsidR="00F50CC3">
        <w:tc>
          <w:tcPr>
            <w:tcW w:w="1157" w:type="dxa"/>
            <w:shd w:val="clear" w:color="auto" w:fill="auto"/>
          </w:tcPr>
          <w:p w:rsidR="00F50CC3" w:rsidRDefault="00730655">
            <w:pPr>
              <w:pStyle w:val="Default"/>
              <w:rPr>
                <w:sz w:val="22"/>
                <w:szCs w:val="22"/>
              </w:rPr>
            </w:pPr>
            <w:r>
              <w:rPr>
                <w:sz w:val="22"/>
                <w:szCs w:val="22"/>
              </w:rPr>
              <w:t xml:space="preserve">A kezelés dózisa és időtartama </w:t>
            </w:r>
          </w:p>
          <w:p w:rsidR="00F50CC3" w:rsidRDefault="00730655">
            <w:pPr>
              <w:spacing w:line="240" w:lineRule="auto"/>
              <w:rPr>
                <w:noProof/>
                <w:lang w:val="hu-HU"/>
              </w:rPr>
            </w:pPr>
            <w:r>
              <w:rPr>
                <w:lang w:val="hu-HU"/>
              </w:rPr>
              <w:t xml:space="preserve">a műtét után </w:t>
            </w:r>
          </w:p>
        </w:tc>
        <w:tc>
          <w:tcPr>
            <w:tcW w:w="3055" w:type="dxa"/>
            <w:gridSpan w:val="3"/>
            <w:tcBorders>
              <w:bottom w:val="single" w:sz="4" w:space="0" w:color="auto"/>
            </w:tcBorders>
            <w:shd w:val="clear" w:color="auto" w:fill="auto"/>
          </w:tcPr>
          <w:p w:rsidR="00F50CC3" w:rsidRDefault="00730655">
            <w:pPr>
              <w:tabs>
                <w:tab w:val="clear" w:pos="567"/>
                <w:tab w:val="left" w:pos="-23"/>
              </w:tabs>
              <w:spacing w:line="240" w:lineRule="auto"/>
              <w:rPr>
                <w:noProof/>
                <w:lang w:val="hu-HU"/>
              </w:rPr>
            </w:pPr>
            <w:r>
              <w:rPr>
                <w:noProof/>
                <w:lang w:val="hu-HU"/>
              </w:rPr>
              <w:t>Rivaroxabán Enoxaparin   p</w:t>
            </w:r>
          </w:p>
          <w:p w:rsidR="00F50CC3" w:rsidRDefault="00730655">
            <w:pPr>
              <w:tabs>
                <w:tab w:val="clear" w:pos="567"/>
                <w:tab w:val="left" w:pos="-23"/>
              </w:tabs>
              <w:spacing w:line="240" w:lineRule="auto"/>
              <w:rPr>
                <w:noProof/>
                <w:lang w:val="hu-HU"/>
              </w:rPr>
            </w:pPr>
            <w:r>
              <w:rPr>
                <w:noProof/>
                <w:lang w:val="hu-HU"/>
              </w:rPr>
              <w:t>10 mg            40 mg</w:t>
            </w:r>
          </w:p>
          <w:p w:rsidR="00F50CC3" w:rsidRDefault="00730655">
            <w:pPr>
              <w:tabs>
                <w:tab w:val="clear" w:pos="567"/>
                <w:tab w:val="left" w:pos="-23"/>
              </w:tabs>
              <w:spacing w:line="240" w:lineRule="auto"/>
              <w:rPr>
                <w:noProof/>
                <w:lang w:val="hu-HU"/>
              </w:rPr>
            </w:pPr>
            <w:r>
              <w:rPr>
                <w:noProof/>
                <w:lang w:val="hu-HU"/>
              </w:rPr>
              <w:t>naponta         naponta</w:t>
            </w:r>
          </w:p>
          <w:p w:rsidR="00F50CC3" w:rsidRDefault="00730655">
            <w:pPr>
              <w:tabs>
                <w:tab w:val="clear" w:pos="567"/>
                <w:tab w:val="left" w:pos="-23"/>
              </w:tabs>
              <w:spacing w:line="240" w:lineRule="auto"/>
              <w:rPr>
                <w:noProof/>
                <w:lang w:val="hu-HU"/>
              </w:rPr>
            </w:pPr>
            <w:r>
              <w:rPr>
                <w:noProof/>
                <w:lang w:val="hu-HU"/>
              </w:rPr>
              <w:t>egyszer         egyszer</w:t>
            </w:r>
          </w:p>
          <w:p w:rsidR="00F50CC3" w:rsidRDefault="00730655">
            <w:pPr>
              <w:tabs>
                <w:tab w:val="clear" w:pos="567"/>
                <w:tab w:val="left" w:pos="-23"/>
              </w:tabs>
              <w:spacing w:line="240" w:lineRule="auto"/>
              <w:rPr>
                <w:noProof/>
                <w:lang w:val="hu-HU"/>
              </w:rPr>
            </w:pPr>
            <w:r>
              <w:rPr>
                <w:noProof/>
                <w:lang w:val="hu-HU"/>
              </w:rPr>
              <w:t>35±4 nap      35±4 nap</w:t>
            </w:r>
          </w:p>
        </w:tc>
        <w:tc>
          <w:tcPr>
            <w:tcW w:w="2960" w:type="dxa"/>
            <w:gridSpan w:val="3"/>
            <w:tcBorders>
              <w:bottom w:val="single" w:sz="4" w:space="0" w:color="auto"/>
            </w:tcBorders>
            <w:shd w:val="clear" w:color="auto" w:fill="auto"/>
          </w:tcPr>
          <w:p w:rsidR="00F50CC3" w:rsidRDefault="00730655">
            <w:pPr>
              <w:tabs>
                <w:tab w:val="clear" w:pos="567"/>
                <w:tab w:val="left" w:pos="-23"/>
              </w:tabs>
              <w:spacing w:line="240" w:lineRule="auto"/>
              <w:rPr>
                <w:noProof/>
                <w:lang w:val="hu-HU"/>
              </w:rPr>
            </w:pPr>
            <w:r>
              <w:rPr>
                <w:noProof/>
                <w:lang w:val="hu-HU"/>
              </w:rPr>
              <w:t>Rivaroxabán Enoxaparin   p</w:t>
            </w:r>
          </w:p>
          <w:p w:rsidR="00F50CC3" w:rsidRDefault="00730655">
            <w:pPr>
              <w:tabs>
                <w:tab w:val="clear" w:pos="567"/>
                <w:tab w:val="left" w:pos="-23"/>
              </w:tabs>
              <w:spacing w:line="240" w:lineRule="auto"/>
              <w:rPr>
                <w:noProof/>
                <w:lang w:val="hu-HU"/>
              </w:rPr>
            </w:pPr>
            <w:r>
              <w:rPr>
                <w:noProof/>
                <w:lang w:val="hu-HU"/>
              </w:rPr>
              <w:t>10 mg            40 mg</w:t>
            </w:r>
          </w:p>
          <w:p w:rsidR="00F50CC3" w:rsidRDefault="00730655">
            <w:pPr>
              <w:tabs>
                <w:tab w:val="clear" w:pos="567"/>
                <w:tab w:val="left" w:pos="-23"/>
              </w:tabs>
              <w:spacing w:line="240" w:lineRule="auto"/>
              <w:rPr>
                <w:noProof/>
                <w:lang w:val="hu-HU"/>
              </w:rPr>
            </w:pPr>
            <w:r>
              <w:rPr>
                <w:noProof/>
                <w:lang w:val="hu-HU"/>
              </w:rPr>
              <w:t>naponta         naponta</w:t>
            </w:r>
          </w:p>
          <w:p w:rsidR="00F50CC3" w:rsidRDefault="00730655">
            <w:pPr>
              <w:tabs>
                <w:tab w:val="clear" w:pos="567"/>
                <w:tab w:val="left" w:pos="-23"/>
              </w:tabs>
              <w:spacing w:line="240" w:lineRule="auto"/>
              <w:rPr>
                <w:noProof/>
                <w:lang w:val="hu-HU"/>
              </w:rPr>
            </w:pPr>
            <w:r>
              <w:rPr>
                <w:noProof/>
                <w:lang w:val="hu-HU"/>
              </w:rPr>
              <w:t>egyszer         egyszer</w:t>
            </w:r>
          </w:p>
          <w:p w:rsidR="00F50CC3" w:rsidRDefault="00730655">
            <w:pPr>
              <w:spacing w:line="240" w:lineRule="auto"/>
              <w:rPr>
                <w:noProof/>
                <w:lang w:val="hu-HU"/>
              </w:rPr>
            </w:pPr>
            <w:r>
              <w:rPr>
                <w:noProof/>
                <w:lang w:val="hu-HU"/>
              </w:rPr>
              <w:t>35±4 nap      12±2 nap</w:t>
            </w:r>
          </w:p>
        </w:tc>
        <w:tc>
          <w:tcPr>
            <w:tcW w:w="2717" w:type="dxa"/>
            <w:gridSpan w:val="5"/>
            <w:tcBorders>
              <w:bottom w:val="single" w:sz="4" w:space="0" w:color="auto"/>
            </w:tcBorders>
            <w:shd w:val="clear" w:color="auto" w:fill="auto"/>
          </w:tcPr>
          <w:p w:rsidR="00F50CC3" w:rsidRDefault="00730655">
            <w:pPr>
              <w:tabs>
                <w:tab w:val="clear" w:pos="567"/>
                <w:tab w:val="left" w:pos="-23"/>
              </w:tabs>
              <w:spacing w:line="240" w:lineRule="auto"/>
              <w:rPr>
                <w:noProof/>
                <w:lang w:val="hu-HU"/>
              </w:rPr>
            </w:pPr>
            <w:r>
              <w:rPr>
                <w:noProof/>
                <w:lang w:val="hu-HU"/>
              </w:rPr>
              <w:t>Rivaroxabán Enoxaparin   p</w:t>
            </w:r>
          </w:p>
          <w:p w:rsidR="00F50CC3" w:rsidRDefault="00730655">
            <w:pPr>
              <w:tabs>
                <w:tab w:val="clear" w:pos="567"/>
                <w:tab w:val="left" w:pos="-23"/>
              </w:tabs>
              <w:spacing w:line="240" w:lineRule="auto"/>
              <w:rPr>
                <w:noProof/>
                <w:lang w:val="hu-HU"/>
              </w:rPr>
            </w:pPr>
            <w:r>
              <w:rPr>
                <w:noProof/>
                <w:lang w:val="hu-HU"/>
              </w:rPr>
              <w:t>10 mg            40 mg</w:t>
            </w:r>
          </w:p>
          <w:p w:rsidR="00F50CC3" w:rsidRDefault="00730655">
            <w:pPr>
              <w:tabs>
                <w:tab w:val="clear" w:pos="567"/>
                <w:tab w:val="left" w:pos="-23"/>
              </w:tabs>
              <w:spacing w:line="240" w:lineRule="auto"/>
              <w:rPr>
                <w:noProof/>
                <w:lang w:val="hu-HU"/>
              </w:rPr>
            </w:pPr>
            <w:r>
              <w:rPr>
                <w:noProof/>
                <w:lang w:val="hu-HU"/>
              </w:rPr>
              <w:t>naponta         naponta</w:t>
            </w:r>
          </w:p>
          <w:p w:rsidR="00F50CC3" w:rsidRDefault="00730655">
            <w:pPr>
              <w:tabs>
                <w:tab w:val="clear" w:pos="567"/>
                <w:tab w:val="left" w:pos="-23"/>
              </w:tabs>
              <w:spacing w:line="240" w:lineRule="auto"/>
              <w:rPr>
                <w:noProof/>
                <w:lang w:val="hu-HU"/>
              </w:rPr>
            </w:pPr>
            <w:r>
              <w:rPr>
                <w:noProof/>
                <w:lang w:val="hu-HU"/>
              </w:rPr>
              <w:t>egyszer         egyszer</w:t>
            </w:r>
          </w:p>
          <w:p w:rsidR="00F50CC3" w:rsidRDefault="00730655">
            <w:pPr>
              <w:spacing w:line="240" w:lineRule="auto"/>
              <w:rPr>
                <w:noProof/>
                <w:lang w:val="hu-HU"/>
              </w:rPr>
            </w:pPr>
            <w:r>
              <w:rPr>
                <w:noProof/>
                <w:lang w:val="hu-HU"/>
              </w:rPr>
              <w:t>12±2 nap      12±2 nap</w:t>
            </w:r>
          </w:p>
        </w:tc>
      </w:tr>
      <w:tr w:rsidR="00F50CC3">
        <w:tc>
          <w:tcPr>
            <w:tcW w:w="1157" w:type="dxa"/>
            <w:shd w:val="clear" w:color="auto" w:fill="auto"/>
          </w:tcPr>
          <w:p w:rsidR="00F50CC3" w:rsidRDefault="00730655">
            <w:pPr>
              <w:pStyle w:val="Default"/>
              <w:rPr>
                <w:noProof/>
                <w:sz w:val="22"/>
                <w:szCs w:val="22"/>
              </w:rPr>
            </w:pPr>
            <w:r>
              <w:rPr>
                <w:sz w:val="22"/>
                <w:szCs w:val="22"/>
              </w:rPr>
              <w:lastRenderedPageBreak/>
              <w:t>Összes VTE</w:t>
            </w:r>
          </w:p>
        </w:tc>
        <w:tc>
          <w:tcPr>
            <w:tcW w:w="1017"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18 (1,1%)</w:t>
            </w:r>
          </w:p>
        </w:tc>
        <w:tc>
          <w:tcPr>
            <w:tcW w:w="1019"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58 (3,7%)</w:t>
            </w:r>
          </w:p>
        </w:tc>
        <w:tc>
          <w:tcPr>
            <w:tcW w:w="1019" w:type="dxa"/>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&lt;0,001</w:t>
            </w:r>
          </w:p>
        </w:tc>
        <w:tc>
          <w:tcPr>
            <w:tcW w:w="991"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17 (2,0%)</w:t>
            </w:r>
          </w:p>
        </w:tc>
        <w:tc>
          <w:tcPr>
            <w:tcW w:w="984"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81 (9,3%)</w:t>
            </w:r>
          </w:p>
        </w:tc>
        <w:tc>
          <w:tcPr>
            <w:tcW w:w="985" w:type="dxa"/>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&lt;0,001</w:t>
            </w:r>
          </w:p>
        </w:tc>
        <w:tc>
          <w:tcPr>
            <w:tcW w:w="896"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79 (9,6%)</w:t>
            </w:r>
          </w:p>
        </w:tc>
        <w:tc>
          <w:tcPr>
            <w:tcW w:w="931" w:type="dxa"/>
            <w:gridSpan w:val="3"/>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166 (18,9%)</w:t>
            </w:r>
          </w:p>
        </w:tc>
        <w:tc>
          <w:tcPr>
            <w:tcW w:w="890" w:type="dxa"/>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&lt;0,001</w:t>
            </w:r>
          </w:p>
        </w:tc>
      </w:tr>
      <w:tr w:rsidR="00F50CC3">
        <w:tc>
          <w:tcPr>
            <w:tcW w:w="1157" w:type="dxa"/>
            <w:shd w:val="clear" w:color="auto" w:fill="auto"/>
          </w:tcPr>
          <w:p w:rsidR="00F50CC3" w:rsidRDefault="00730655">
            <w:pPr>
              <w:pStyle w:val="Default"/>
              <w:rPr>
                <w:noProof/>
                <w:sz w:val="22"/>
                <w:szCs w:val="22"/>
              </w:rPr>
            </w:pPr>
            <w:r>
              <w:rPr>
                <w:sz w:val="22"/>
                <w:szCs w:val="22"/>
              </w:rPr>
              <w:t>Súlyos VTE</w:t>
            </w:r>
          </w:p>
        </w:tc>
        <w:tc>
          <w:tcPr>
            <w:tcW w:w="1017"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4 (0,2%)</w:t>
            </w:r>
          </w:p>
        </w:tc>
        <w:tc>
          <w:tcPr>
            <w:tcW w:w="1019"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33 (2,0%)</w:t>
            </w:r>
          </w:p>
        </w:tc>
        <w:tc>
          <w:tcPr>
            <w:tcW w:w="1019" w:type="dxa"/>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&lt;0,001</w:t>
            </w:r>
          </w:p>
        </w:tc>
        <w:tc>
          <w:tcPr>
            <w:tcW w:w="991"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6 (0,6%)</w:t>
            </w:r>
          </w:p>
        </w:tc>
        <w:tc>
          <w:tcPr>
            <w:tcW w:w="984"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49 (5,1%)</w:t>
            </w:r>
          </w:p>
        </w:tc>
        <w:tc>
          <w:tcPr>
            <w:tcW w:w="985" w:type="dxa"/>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&lt;0,001</w:t>
            </w:r>
          </w:p>
        </w:tc>
        <w:tc>
          <w:tcPr>
            <w:tcW w:w="905" w:type="dxa"/>
            <w:gridSpan w:val="2"/>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9 (1,0%)</w:t>
            </w:r>
          </w:p>
        </w:tc>
        <w:tc>
          <w:tcPr>
            <w:tcW w:w="906"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24 (2,6%)</w:t>
            </w:r>
          </w:p>
        </w:tc>
        <w:tc>
          <w:tcPr>
            <w:tcW w:w="906" w:type="dxa"/>
            <w:gridSpan w:val="2"/>
            <w:tcBorders>
              <w:left w:val="nil"/>
              <w:bottom w:val="single" w:sz="4" w:space="0" w:color="auto"/>
            </w:tcBorders>
            <w:shd w:val="clear" w:color="auto" w:fill="auto"/>
          </w:tcPr>
          <w:p w:rsidR="00F50CC3" w:rsidRDefault="00730655">
            <w:pPr>
              <w:spacing w:line="240" w:lineRule="auto"/>
              <w:jc w:val="center"/>
              <w:rPr>
                <w:noProof/>
                <w:lang w:val="hu-HU"/>
              </w:rPr>
            </w:pPr>
            <w:r>
              <w:rPr>
                <w:noProof/>
                <w:lang w:val="hu-HU"/>
              </w:rPr>
              <w:t>0,01</w:t>
            </w:r>
          </w:p>
        </w:tc>
      </w:tr>
      <w:tr w:rsidR="00F50CC3">
        <w:tc>
          <w:tcPr>
            <w:tcW w:w="1157" w:type="dxa"/>
            <w:shd w:val="clear" w:color="auto" w:fill="auto"/>
          </w:tcPr>
          <w:p w:rsidR="00F50CC3" w:rsidRDefault="00730655">
            <w:pPr>
              <w:pStyle w:val="Default"/>
              <w:rPr>
                <w:noProof/>
                <w:sz w:val="22"/>
                <w:szCs w:val="22"/>
              </w:rPr>
            </w:pPr>
            <w:r>
              <w:rPr>
                <w:sz w:val="22"/>
                <w:szCs w:val="22"/>
              </w:rPr>
              <w:t>Tüneteket okozó VTE</w:t>
            </w:r>
          </w:p>
        </w:tc>
        <w:tc>
          <w:tcPr>
            <w:tcW w:w="1017"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6 (0,4%)</w:t>
            </w:r>
          </w:p>
        </w:tc>
        <w:tc>
          <w:tcPr>
            <w:tcW w:w="1019"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11 (0,7%)</w:t>
            </w:r>
          </w:p>
        </w:tc>
        <w:tc>
          <w:tcPr>
            <w:tcW w:w="1019" w:type="dxa"/>
            <w:tcBorders>
              <w:left w:val="nil"/>
              <w:bottom w:val="single" w:sz="4" w:space="0" w:color="auto"/>
            </w:tcBorders>
            <w:shd w:val="clear" w:color="auto" w:fill="auto"/>
          </w:tcPr>
          <w:p w:rsidR="00F50CC3" w:rsidRDefault="00F50CC3">
            <w:pPr>
              <w:spacing w:line="240" w:lineRule="auto"/>
              <w:jc w:val="center"/>
              <w:rPr>
                <w:noProof/>
                <w:lang w:val="hu-HU"/>
              </w:rPr>
            </w:pPr>
          </w:p>
        </w:tc>
        <w:tc>
          <w:tcPr>
            <w:tcW w:w="991" w:type="dxa"/>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3 (0,4%)</w:t>
            </w:r>
          </w:p>
        </w:tc>
        <w:tc>
          <w:tcPr>
            <w:tcW w:w="984"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15 (1,7%)</w:t>
            </w:r>
          </w:p>
        </w:tc>
        <w:tc>
          <w:tcPr>
            <w:tcW w:w="985" w:type="dxa"/>
            <w:tcBorders>
              <w:left w:val="nil"/>
              <w:bottom w:val="single" w:sz="4" w:space="0" w:color="auto"/>
            </w:tcBorders>
            <w:shd w:val="clear" w:color="auto" w:fill="auto"/>
          </w:tcPr>
          <w:p w:rsidR="00F50CC3" w:rsidRDefault="00F50CC3">
            <w:pPr>
              <w:spacing w:line="240" w:lineRule="auto"/>
              <w:jc w:val="center"/>
              <w:rPr>
                <w:noProof/>
                <w:lang w:val="hu-HU"/>
              </w:rPr>
            </w:pPr>
          </w:p>
        </w:tc>
        <w:tc>
          <w:tcPr>
            <w:tcW w:w="905" w:type="dxa"/>
            <w:gridSpan w:val="2"/>
            <w:tcBorders>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8 (1,0%)</w:t>
            </w:r>
          </w:p>
        </w:tc>
        <w:tc>
          <w:tcPr>
            <w:tcW w:w="906" w:type="dxa"/>
            <w:tcBorders>
              <w:left w:val="nil"/>
              <w:bottom w:val="single" w:sz="4" w:space="0" w:color="auto"/>
              <w:right w:val="nil"/>
            </w:tcBorders>
            <w:shd w:val="clear" w:color="auto" w:fill="auto"/>
          </w:tcPr>
          <w:p w:rsidR="00F50CC3" w:rsidRDefault="00730655">
            <w:pPr>
              <w:spacing w:line="240" w:lineRule="auto"/>
              <w:jc w:val="center"/>
              <w:rPr>
                <w:noProof/>
                <w:lang w:val="hu-HU"/>
              </w:rPr>
            </w:pPr>
            <w:r>
              <w:rPr>
                <w:noProof/>
                <w:lang w:val="hu-HU"/>
              </w:rPr>
              <w:t>24 (2,7%)</w:t>
            </w:r>
          </w:p>
        </w:tc>
        <w:tc>
          <w:tcPr>
            <w:tcW w:w="906" w:type="dxa"/>
            <w:gridSpan w:val="2"/>
            <w:tcBorders>
              <w:left w:val="nil"/>
              <w:bottom w:val="single" w:sz="4" w:space="0" w:color="auto"/>
            </w:tcBorders>
            <w:shd w:val="clear" w:color="auto" w:fill="auto"/>
          </w:tcPr>
          <w:p w:rsidR="00F50CC3" w:rsidRDefault="00F50CC3">
            <w:pPr>
              <w:spacing w:line="240" w:lineRule="auto"/>
              <w:jc w:val="center"/>
              <w:rPr>
                <w:noProof/>
                <w:lang w:val="hu-HU"/>
              </w:rPr>
            </w:pPr>
          </w:p>
        </w:tc>
      </w:tr>
      <w:tr w:rsidR="00F50CC3">
        <w:tc>
          <w:tcPr>
            <w:tcW w:w="1157" w:type="dxa"/>
            <w:shd w:val="clear" w:color="auto" w:fill="auto"/>
          </w:tcPr>
          <w:p w:rsidR="00F50CC3" w:rsidRDefault="00730655">
            <w:pPr>
              <w:pStyle w:val="Default"/>
              <w:rPr>
                <w:noProof/>
                <w:sz w:val="22"/>
                <w:szCs w:val="22"/>
              </w:rPr>
            </w:pPr>
            <w:r>
              <w:rPr>
                <w:sz w:val="22"/>
                <w:szCs w:val="22"/>
              </w:rPr>
              <w:t>Nagyfokú vérzések</w:t>
            </w:r>
          </w:p>
        </w:tc>
        <w:tc>
          <w:tcPr>
            <w:tcW w:w="1017" w:type="dxa"/>
            <w:tcBorders>
              <w:right w:val="nil"/>
            </w:tcBorders>
            <w:shd w:val="clear" w:color="auto" w:fill="auto"/>
          </w:tcPr>
          <w:p w:rsidR="00F50CC3" w:rsidRDefault="00730655">
            <w:pPr>
              <w:spacing w:line="240" w:lineRule="auto"/>
              <w:jc w:val="center"/>
              <w:rPr>
                <w:noProof/>
                <w:lang w:val="hu-HU"/>
              </w:rPr>
            </w:pPr>
            <w:r>
              <w:rPr>
                <w:noProof/>
                <w:lang w:val="hu-HU"/>
              </w:rPr>
              <w:t>6 (0,3%)</w:t>
            </w:r>
          </w:p>
        </w:tc>
        <w:tc>
          <w:tcPr>
            <w:tcW w:w="1019" w:type="dxa"/>
            <w:tcBorders>
              <w:left w:val="nil"/>
              <w:right w:val="nil"/>
            </w:tcBorders>
            <w:shd w:val="clear" w:color="auto" w:fill="auto"/>
          </w:tcPr>
          <w:p w:rsidR="00F50CC3" w:rsidRDefault="00730655">
            <w:pPr>
              <w:spacing w:line="240" w:lineRule="auto"/>
              <w:jc w:val="center"/>
              <w:rPr>
                <w:noProof/>
                <w:lang w:val="hu-HU"/>
              </w:rPr>
            </w:pPr>
            <w:r>
              <w:rPr>
                <w:noProof/>
                <w:lang w:val="hu-HU"/>
              </w:rPr>
              <w:t>2 (0,1%)</w:t>
            </w:r>
          </w:p>
        </w:tc>
        <w:tc>
          <w:tcPr>
            <w:tcW w:w="1019" w:type="dxa"/>
            <w:tcBorders>
              <w:left w:val="nil"/>
            </w:tcBorders>
            <w:shd w:val="clear" w:color="auto" w:fill="auto"/>
          </w:tcPr>
          <w:p w:rsidR="00F50CC3" w:rsidRDefault="00F50CC3">
            <w:pPr>
              <w:spacing w:line="240" w:lineRule="auto"/>
              <w:jc w:val="center"/>
              <w:rPr>
                <w:noProof/>
                <w:lang w:val="hu-HU"/>
              </w:rPr>
            </w:pPr>
          </w:p>
        </w:tc>
        <w:tc>
          <w:tcPr>
            <w:tcW w:w="991" w:type="dxa"/>
            <w:tcBorders>
              <w:right w:val="nil"/>
            </w:tcBorders>
            <w:shd w:val="clear" w:color="auto" w:fill="auto"/>
          </w:tcPr>
          <w:p w:rsidR="00F50CC3" w:rsidRDefault="00730655">
            <w:pPr>
              <w:spacing w:line="240" w:lineRule="auto"/>
              <w:jc w:val="center"/>
              <w:rPr>
                <w:noProof/>
                <w:lang w:val="hu-HU"/>
              </w:rPr>
            </w:pPr>
            <w:r>
              <w:rPr>
                <w:noProof/>
                <w:lang w:val="hu-HU"/>
              </w:rPr>
              <w:t>1 (0,1%)</w:t>
            </w:r>
          </w:p>
        </w:tc>
        <w:tc>
          <w:tcPr>
            <w:tcW w:w="984" w:type="dxa"/>
            <w:tcBorders>
              <w:left w:val="nil"/>
              <w:right w:val="nil"/>
            </w:tcBorders>
            <w:shd w:val="clear" w:color="auto" w:fill="auto"/>
          </w:tcPr>
          <w:p w:rsidR="00F50CC3" w:rsidRDefault="00730655">
            <w:pPr>
              <w:spacing w:line="240" w:lineRule="auto"/>
              <w:jc w:val="center"/>
              <w:rPr>
                <w:noProof/>
                <w:lang w:val="hu-HU"/>
              </w:rPr>
            </w:pPr>
            <w:r>
              <w:rPr>
                <w:noProof/>
                <w:lang w:val="hu-HU"/>
              </w:rPr>
              <w:t>1 (0,1%)</w:t>
            </w:r>
          </w:p>
        </w:tc>
        <w:tc>
          <w:tcPr>
            <w:tcW w:w="985" w:type="dxa"/>
            <w:tcBorders>
              <w:left w:val="nil"/>
            </w:tcBorders>
            <w:shd w:val="clear" w:color="auto" w:fill="auto"/>
          </w:tcPr>
          <w:p w:rsidR="00F50CC3" w:rsidRDefault="00F50CC3">
            <w:pPr>
              <w:spacing w:line="240" w:lineRule="auto"/>
              <w:jc w:val="center"/>
              <w:rPr>
                <w:noProof/>
                <w:lang w:val="hu-HU"/>
              </w:rPr>
            </w:pPr>
          </w:p>
        </w:tc>
        <w:tc>
          <w:tcPr>
            <w:tcW w:w="905" w:type="dxa"/>
            <w:gridSpan w:val="2"/>
            <w:tcBorders>
              <w:right w:val="nil"/>
            </w:tcBorders>
            <w:shd w:val="clear" w:color="auto" w:fill="auto"/>
          </w:tcPr>
          <w:p w:rsidR="00F50CC3" w:rsidRDefault="00730655">
            <w:pPr>
              <w:spacing w:line="240" w:lineRule="auto"/>
              <w:jc w:val="center"/>
              <w:rPr>
                <w:noProof/>
                <w:lang w:val="hu-HU"/>
              </w:rPr>
            </w:pPr>
            <w:r>
              <w:rPr>
                <w:noProof/>
                <w:lang w:val="hu-HU"/>
              </w:rPr>
              <w:t>7 (0,6%)</w:t>
            </w:r>
          </w:p>
        </w:tc>
        <w:tc>
          <w:tcPr>
            <w:tcW w:w="906" w:type="dxa"/>
            <w:tcBorders>
              <w:left w:val="nil"/>
              <w:right w:val="nil"/>
            </w:tcBorders>
            <w:shd w:val="clear" w:color="auto" w:fill="auto"/>
          </w:tcPr>
          <w:p w:rsidR="00F50CC3" w:rsidRDefault="00730655">
            <w:pPr>
              <w:spacing w:line="240" w:lineRule="auto"/>
              <w:jc w:val="center"/>
              <w:rPr>
                <w:noProof/>
                <w:lang w:val="hu-HU"/>
              </w:rPr>
            </w:pPr>
            <w:r>
              <w:rPr>
                <w:noProof/>
                <w:lang w:val="hu-HU"/>
              </w:rPr>
              <w:t>6(0,5%)</w:t>
            </w:r>
          </w:p>
        </w:tc>
        <w:tc>
          <w:tcPr>
            <w:tcW w:w="906" w:type="dxa"/>
            <w:gridSpan w:val="2"/>
            <w:tcBorders>
              <w:left w:val="nil"/>
            </w:tcBorders>
            <w:shd w:val="clear" w:color="auto" w:fill="auto"/>
          </w:tcPr>
          <w:p w:rsidR="00F50CC3" w:rsidRDefault="00F50CC3">
            <w:pPr>
              <w:spacing w:line="240" w:lineRule="auto"/>
              <w:jc w:val="center"/>
              <w:rPr>
                <w:noProof/>
                <w:lang w:val="hu-HU"/>
              </w:rPr>
            </w:pPr>
          </w:p>
        </w:tc>
      </w:tr>
    </w:tbl>
    <w:p w:rsidR="00F50CC3" w:rsidRDefault="00F50CC3">
      <w:pPr>
        <w:spacing w:line="240" w:lineRule="auto"/>
        <w:rPr>
          <w:noProof/>
          <w:lang w:val="hu-HU"/>
        </w:rPr>
      </w:pPr>
    </w:p>
    <w:p w:rsidR="00F50CC3" w:rsidRDefault="00730655">
      <w:pPr>
        <w:pStyle w:val="Default"/>
        <w:rPr>
          <w:sz w:val="22"/>
          <w:szCs w:val="22"/>
        </w:rPr>
      </w:pPr>
      <w:r>
        <w:rPr>
          <w:sz w:val="22"/>
          <w:szCs w:val="22"/>
        </w:rPr>
        <w:t>A III. fázisú vizsgálatok összesített eredményeinek elemzése alátámasztotta a különálló vizsgálatokból származó adatokat az összes VTE, a súlyos VTE és a tüneteket okozó VTE esetében a napi egyszeri 10 mg rivaroxabán és a napi egyszeri 40 mg enoxaparin összehasonlítása során.</w:t>
      </w:r>
    </w:p>
    <w:p w:rsidR="00F50CC3" w:rsidRDefault="00F50CC3">
      <w:pPr>
        <w:pStyle w:val="Default"/>
        <w:rPr>
          <w:sz w:val="22"/>
          <w:szCs w:val="22"/>
        </w:rPr>
      </w:pPr>
    </w:p>
    <w:p w:rsidR="00F50CC3" w:rsidRDefault="00730655">
      <w:pPr>
        <w:spacing w:line="240" w:lineRule="auto"/>
        <w:rPr>
          <w:lang w:val="hu-HU"/>
        </w:rPr>
      </w:pPr>
      <w:r>
        <w:rPr>
          <w:lang w:val="hu-HU"/>
        </w:rPr>
        <w:t>A RECORD III. fázisú vizsgálati programon túlmenően egy, a forgalomba hozatal engedélyezése utáni, beavatkozással nem járó, nyitott elrendezésű, kohort (XAMOS) vizsgálatot végeztek 17 413, csípő- vagy térdtáji nagy ortopédsebészeti műtéten átesett beteggel, annak érdekében, hogy a rivaroxabánt valós élethelyzetben hasonlítsák össze egyéb gyógyszeres thrombosis profilaxissal (standard kezelés). Tüneteket okozó VTE a rivaroxabán csoportban (n = 8778) 57 (0,6%) betegnél és a standard kezelés csoportban 88 (1,0%) betegnél fordult elő (n = 8635; HR 0,63; 95%-os CI 0,43-0,91); biztonságossági populáció. Jelentős vérzés a rivaroxabán csoportban 35 (0,4%) betegnél és a standard kezelés csoportban 29 (0,3%) betegnél fordult elő (HR 1,10; 95%-os CI 0,67-1,80). Tehát a vizsgálat eredményei konzisztensek voltak a pivotális randomizált vizsgálatok eredményeivel.</w:t>
      </w:r>
    </w:p>
    <w:p w:rsidR="00F50CC3" w:rsidRDefault="00F50CC3">
      <w:pPr>
        <w:spacing w:line="240" w:lineRule="auto"/>
        <w:rPr>
          <w:lang w:val="hu-HU"/>
        </w:rPr>
      </w:pPr>
    </w:p>
    <w:p w:rsidR="00F50CC3" w:rsidRDefault="00730655">
      <w:pPr>
        <w:pStyle w:val="Default"/>
        <w:rPr>
          <w:sz w:val="22"/>
          <w:szCs w:val="22"/>
        </w:rPr>
      </w:pPr>
      <w:r>
        <w:rPr>
          <w:i/>
          <w:iCs/>
          <w:sz w:val="22"/>
          <w:szCs w:val="22"/>
        </w:rPr>
        <w:t>MVT, PE kezelése és a recidiváló MVT és PE megelőzése</w:t>
      </w:r>
    </w:p>
    <w:p w:rsidR="00F50CC3" w:rsidRDefault="00730655">
      <w:pPr>
        <w:pStyle w:val="Default"/>
        <w:rPr>
          <w:sz w:val="22"/>
          <w:szCs w:val="22"/>
        </w:rPr>
      </w:pPr>
      <w:r>
        <w:rPr>
          <w:sz w:val="22"/>
          <w:szCs w:val="22"/>
        </w:rPr>
        <w:t>A rivaroxabán klinikai programját úgy tervezték meg, hogy igazolja a rivaroxabánnak az akut MVT és PE kezdeti és folyamatos kezelésében, valamint a visszatérés megelőzésében mutatott hatásosságát.</w:t>
      </w:r>
    </w:p>
    <w:p w:rsidR="00F50CC3" w:rsidRDefault="00730655">
      <w:pPr>
        <w:pStyle w:val="Default"/>
        <w:rPr>
          <w:sz w:val="22"/>
          <w:szCs w:val="22"/>
        </w:rPr>
      </w:pPr>
      <w:r>
        <w:rPr>
          <w:sz w:val="22"/>
          <w:szCs w:val="22"/>
        </w:rPr>
        <w:t>Több mint 12 800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w:t>
      </w:r>
    </w:p>
    <w:p w:rsidR="00F50CC3" w:rsidRDefault="00F50CC3">
      <w:pPr>
        <w:pStyle w:val="Default"/>
        <w:rPr>
          <w:sz w:val="22"/>
          <w:szCs w:val="22"/>
        </w:rPr>
      </w:pPr>
    </w:p>
    <w:p w:rsidR="00F50CC3" w:rsidRDefault="00730655">
      <w:pPr>
        <w:pStyle w:val="Default"/>
        <w:rPr>
          <w:sz w:val="22"/>
          <w:szCs w:val="22"/>
        </w:rPr>
      </w:pPr>
      <w:r>
        <w:rPr>
          <w:sz w:val="22"/>
          <w:szCs w:val="22"/>
        </w:rPr>
        <w:t>Az Einstein DVT-ben 3449, akut MVT-ban szenvedő betegnél vizsgálták a MVT kezelését és a recidiváló MVT és PE megelőzését (a tünetekkel járó PE-ban szenvedő betegeket kizárták ebből a vizsgálatból). A vizsgálatban résztvevő orvos klinikai megítélése alapján a kezelés időtartama 3, 6 vagy 12 hónap volt.</w:t>
      </w:r>
    </w:p>
    <w:p w:rsidR="00F50CC3" w:rsidRDefault="00730655">
      <w:pPr>
        <w:spacing w:line="240" w:lineRule="auto"/>
        <w:rPr>
          <w:lang w:val="hu-HU"/>
        </w:rPr>
      </w:pPr>
      <w:r>
        <w:rPr>
          <w:lang w:val="hu-HU"/>
        </w:rPr>
        <w:t>Az első három hétben az akut MVT kezelésére naponta kétszer 15 mg rivaroxabánt adtak. Ezt 20 mg rivaroxabán követte, naponta egyszer.</w:t>
      </w:r>
    </w:p>
    <w:p w:rsidR="00F50CC3" w:rsidRDefault="00F50CC3">
      <w:pPr>
        <w:spacing w:line="240" w:lineRule="auto"/>
        <w:rPr>
          <w:lang w:val="hu-HU"/>
        </w:rPr>
      </w:pPr>
    </w:p>
    <w:p w:rsidR="00F50CC3" w:rsidRDefault="00730655">
      <w:pPr>
        <w:pStyle w:val="Default"/>
        <w:rPr>
          <w:sz w:val="22"/>
          <w:szCs w:val="22"/>
        </w:rPr>
      </w:pPr>
      <w:r>
        <w:rPr>
          <w:sz w:val="22"/>
          <w:szCs w:val="22"/>
        </w:rPr>
        <w:t>Az Einstein PE-ben 4832, akut PE-ben szenvedő betegnél vizsgálták a PE kezelését és a recidiváló MVT és PE megelőzését. A vizsgálatot végző orvos klinikai megítélése alapján a kezelés időtartama 3, 6 vagy 12 hónap volt.</w:t>
      </w:r>
    </w:p>
    <w:p w:rsidR="00F50CC3" w:rsidRDefault="00730655">
      <w:pPr>
        <w:pStyle w:val="Default"/>
        <w:rPr>
          <w:sz w:val="22"/>
          <w:szCs w:val="22"/>
        </w:rPr>
      </w:pPr>
      <w:r>
        <w:rPr>
          <w:sz w:val="22"/>
          <w:szCs w:val="22"/>
        </w:rPr>
        <w:t>Az első három hétben az akut PE kezelésére naponta kétszer 15 mg rivaroxabánt adtak. Ezt 20 mg rivaroxabán követte, naponta egyszer.</w:t>
      </w:r>
    </w:p>
    <w:p w:rsidR="00F50CC3" w:rsidRDefault="00F50CC3">
      <w:pPr>
        <w:pStyle w:val="Default"/>
        <w:rPr>
          <w:sz w:val="22"/>
          <w:szCs w:val="22"/>
        </w:rPr>
      </w:pPr>
    </w:p>
    <w:p w:rsidR="00F50CC3" w:rsidRDefault="00730655">
      <w:pPr>
        <w:spacing w:line="240" w:lineRule="auto"/>
        <w:rPr>
          <w:lang w:val="hu-HU"/>
        </w:rPr>
      </w:pPr>
      <w:r>
        <w:rPr>
          <w:lang w:val="hu-HU"/>
        </w:rPr>
        <w:t xml:space="preserve">Mind az Einstein DVT, mind az Einstein PE vizsgálatban az összehasonlító kezelés legalább 5 napig alkalmazott enoxaparinból állt, amelyet K-vitamin-antagonistával történő kezeléssel kombináltak addig, amíg a PI/INR a terápiás tartományba nem került </w:t>
      </w:r>
      <w:r>
        <w:rPr>
          <w:rFonts w:hint="eastAsia"/>
          <w:lang w:val="hu-HU"/>
        </w:rPr>
        <w:t>(</w:t>
      </w:r>
      <w:r>
        <w:rPr>
          <w:rFonts w:hint="eastAsia"/>
          <w:lang w:val="hu-HU"/>
        </w:rPr>
        <w:t>≥</w:t>
      </w:r>
      <w:r>
        <w:rPr>
          <w:rFonts w:hint="eastAsia"/>
          <w:lang w:val="hu-HU"/>
        </w:rPr>
        <w:t> 2,0).</w:t>
      </w:r>
      <w:r>
        <w:rPr>
          <w:lang w:val="hu-HU"/>
        </w:rPr>
        <w:t xml:space="preserve"> A kezelést K-vitamin-antagonistával folytatták, amelynek a dózisát úgy állították be, hogy biztosítsa a 2,0 - 3,0-ás terápiás tartományba eső INR-értéket.</w:t>
      </w:r>
    </w:p>
    <w:p w:rsidR="00F50CC3" w:rsidRDefault="00730655">
      <w:pPr>
        <w:pStyle w:val="Default"/>
        <w:rPr>
          <w:sz w:val="22"/>
          <w:szCs w:val="22"/>
        </w:rPr>
      </w:pPr>
      <w:r>
        <w:rPr>
          <w:sz w:val="22"/>
          <w:szCs w:val="22"/>
        </w:rPr>
        <w:t>Az Einstein Extension vizsgálatban 1197 MVT-ban vagy PE-ban szenvedő betegnél értékelték a recidiváló MVT és PE megelőzését. A vizsgálatban résztvevő orvos klinikai megítélése alapján a kezelés időtartama további 6 vagy 12 hónap volt azoknál a betegeknél, akik befejeztek egy vénás thromboembolia miatti, 6 vagy 12 hónapos kezelést. A napi egyszeri 20 mg rivaroxabánt hasonlították össze placebóval.</w:t>
      </w:r>
    </w:p>
    <w:p w:rsidR="00F50CC3" w:rsidRDefault="00F50CC3">
      <w:pPr>
        <w:pStyle w:val="Default"/>
        <w:rPr>
          <w:sz w:val="22"/>
          <w:szCs w:val="22"/>
        </w:rPr>
      </w:pPr>
    </w:p>
    <w:p w:rsidR="00F50CC3" w:rsidRDefault="00730655">
      <w:pPr>
        <w:pStyle w:val="Default"/>
        <w:rPr>
          <w:sz w:val="22"/>
          <w:szCs w:val="22"/>
        </w:rPr>
      </w:pPr>
      <w:r>
        <w:rPr>
          <w:sz w:val="22"/>
          <w:szCs w:val="22"/>
        </w:rPr>
        <w:t>Az Einstein DVT, PE és Extension vizsgálatban ugyanazokat az előre meghatározott elsődleges és másodlagos hatásossági végpontokat alkalmazták. Az elsődleges hatásossági végpont a tünetekkel járó, visszatérő VTE volt, amely meghatározás szerint a recidiváló MVT vagy fatális vagy nem fatális PE által alkotott összetett végpont volt. A meghatározás szerint a másodlagos hatásossági végpont a recidiváló MVT, a nem fatális PE és az összmortalitás által alkotott összetett végpont volt.</w:t>
      </w:r>
    </w:p>
    <w:p w:rsidR="00F50CC3" w:rsidRDefault="00730655">
      <w:pPr>
        <w:spacing w:line="240" w:lineRule="auto"/>
        <w:rPr>
          <w:lang w:val="hu-HU"/>
        </w:rPr>
      </w:pPr>
      <w:r>
        <w:rPr>
          <w:lang w:val="hu-HU"/>
        </w:rPr>
        <w:t>Az Einstein Choice vizsgálatban a fatális PE, illetve nem fatális, tünetekkel járó recidiváló MVT, illetve PE megelőzését vizsgálaták 3396, igazolt, tünetekkel járó MVT-on és/vagy PE-n átesett betegnél, akik befejezték a 6</w:t>
      </w:r>
      <w:r>
        <w:rPr>
          <w:lang w:val="hu-HU"/>
        </w:rPr>
        <w:noBreakHyphen/>
        <w:t>12 hónapos antikoaguláns kezelést. Azokat a betegeket, akiknél folyamatos terápiás dózisú antikoaguláció javallata állt fenn, kizárták a vizsgálatból. A kezelés időtartama az egyén randomizálásnak dátumától függően legfeljebb 12 hónap volt (medián: 351 nap). A naponta egyszer adott 20 mg rivaroxabánt és a naponta egyszer adott 10 mg rivaroxabánt 100 mg acetilszalicilsav napi egyszeri alkalmazásával hasonlították össze.</w:t>
      </w:r>
    </w:p>
    <w:p w:rsidR="00F50CC3" w:rsidRDefault="00730655">
      <w:pPr>
        <w:pStyle w:val="Default"/>
        <w:rPr>
          <w:sz w:val="22"/>
          <w:szCs w:val="22"/>
        </w:rPr>
      </w:pPr>
      <w:r>
        <w:rPr>
          <w:sz w:val="22"/>
          <w:szCs w:val="22"/>
        </w:rPr>
        <w:t>Az elsődleges hatásossági végpont a tünetekkel járó, visszatérő VTE volt, amely meghatározás szerint a recidiváló MVT vagy fatális vagy nem fatális PE által alkotott összetett végpont volt.</w:t>
      </w:r>
    </w:p>
    <w:p w:rsidR="00F50CC3" w:rsidRDefault="00F50CC3">
      <w:pPr>
        <w:pStyle w:val="Default"/>
        <w:rPr>
          <w:sz w:val="22"/>
          <w:szCs w:val="22"/>
        </w:rPr>
      </w:pPr>
    </w:p>
    <w:p w:rsidR="00F50CC3" w:rsidRDefault="00730655">
      <w:pPr>
        <w:pStyle w:val="Default"/>
        <w:rPr>
          <w:sz w:val="22"/>
          <w:szCs w:val="22"/>
        </w:rPr>
      </w:pPr>
      <w:r>
        <w:rPr>
          <w:sz w:val="22"/>
          <w:szCs w:val="22"/>
        </w:rPr>
        <w:t>Az Einstein DVT vizsgálatban (lásd 5. táblázat) a rivaroxabánról igazolták, hogy az elsődleges hatásossági végpont tekintetében non-inferior az enoxaparin/KVA-hoz képest (p &lt; 0,0001 [non-inferioritási próba]; relatív hazárd: 0,680 [0,443 – 1,042], p = 0,076 [szuperioritási próba]). Az előre meghatározott nettó klinikai előny (elsődleges hatásossági végpont plusz a súlyos vérzéses események) tekintetében 0,67-es relatív hazárdról ([95% CI: 0,47 – 0,95], névleges p-érték: p = 0,027) számoltak be a rivaroxabán javára. A kezelési időtartam átlagosan 189 nap volt, amely alatt az INR-értékek az idő átlagosan 60,3% ában – a 3 hónaposra tervezett kezelések alatt az idő 55,4% ában, a 6 hónaposra tervezett kezelések alatt az idő 60,1% ában és a 12 hónaposra tervezett kezelések alatt az idő 62,8% ában – a terápiás tartományba estek.</w:t>
      </w:r>
      <w:bookmarkStart w:id="6" w:name="_Hlk36122670"/>
      <w:r>
        <w:rPr>
          <w:sz w:val="22"/>
          <w:szCs w:val="22"/>
        </w:rPr>
        <w:t xml:space="preserve"> Az enoxaparin/KVA csoportban nem volt egyértelmű összefüggés az átlagos TTR - értékei (Time in Target INR Range, INR céltartomány 2,0 - 3,0) és a visszetérő MVT incidenciája (interakciós P = 0,932) között, azonos méretű tercilisekben mérve. Az átlagok alapján mért legmagasabb tercilisben a rivaroxabán relatív hazárdja a warfarinhoz képest 0,69 volt (95% CI: 0,35 - 1,35). </w:t>
      </w:r>
    </w:p>
    <w:bookmarkEnd w:id="6"/>
    <w:p w:rsidR="00F50CC3" w:rsidRDefault="00F50CC3">
      <w:pPr>
        <w:pStyle w:val="Default"/>
        <w:rPr>
          <w:sz w:val="22"/>
          <w:szCs w:val="22"/>
        </w:rPr>
      </w:pPr>
    </w:p>
    <w:p w:rsidR="00F50CC3" w:rsidRDefault="00730655">
      <w:pPr>
        <w:spacing w:line="240" w:lineRule="auto"/>
        <w:rPr>
          <w:lang w:val="hu-HU"/>
        </w:rPr>
      </w:pPr>
      <w:r>
        <w:rPr>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csoportban.</w:t>
      </w:r>
    </w:p>
    <w:p w:rsidR="00F50CC3" w:rsidRDefault="00F50CC3">
      <w:pPr>
        <w:spacing w:line="240" w:lineRule="auto"/>
        <w:rPr>
          <w:lang w:val="hu-HU"/>
        </w:rPr>
      </w:pPr>
    </w:p>
    <w:p w:rsidR="00C06B46" w:rsidRDefault="00730655" w:rsidP="00C06B46">
      <w:pPr>
        <w:pStyle w:val="Default"/>
        <w:tabs>
          <w:tab w:val="left" w:pos="1276"/>
        </w:tabs>
        <w:rPr>
          <w:b/>
          <w:bCs/>
          <w:sz w:val="22"/>
          <w:szCs w:val="22"/>
        </w:rPr>
      </w:pPr>
      <w:r>
        <w:rPr>
          <w:b/>
          <w:bCs/>
          <w:sz w:val="22"/>
          <w:szCs w:val="22"/>
        </w:rPr>
        <w:t>5. táblázat:</w:t>
      </w:r>
      <w:r w:rsidR="00C06B46">
        <w:rPr>
          <w:b/>
          <w:bCs/>
          <w:sz w:val="22"/>
          <w:szCs w:val="22"/>
        </w:rPr>
        <w:tab/>
      </w:r>
      <w:r>
        <w:rPr>
          <w:b/>
          <w:bCs/>
          <w:sz w:val="22"/>
          <w:szCs w:val="22"/>
        </w:rPr>
        <w:t>A III. fázisú Einstein DVT vizsgálat hatásossági és biztonságossági eredményei</w:t>
      </w:r>
    </w:p>
    <w:p w:rsidR="00F50CC3" w:rsidRDefault="00F50CC3" w:rsidP="00C06B46">
      <w:pPr>
        <w:pStyle w:val="Default"/>
        <w:tabs>
          <w:tab w:val="left" w:pos="1276"/>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0"/>
        <w:gridCol w:w="2759"/>
        <w:gridCol w:w="2353"/>
      </w:tblGrid>
      <w:tr w:rsidR="00F50CC3">
        <w:tc>
          <w:tcPr>
            <w:tcW w:w="4077" w:type="dxa"/>
            <w:shd w:val="clear" w:color="auto" w:fill="auto"/>
          </w:tcPr>
          <w:p w:rsidR="00F50CC3" w:rsidRDefault="00730655">
            <w:pPr>
              <w:spacing w:line="240" w:lineRule="auto"/>
              <w:rPr>
                <w:b/>
                <w:lang w:val="hu-HU"/>
              </w:rPr>
            </w:pPr>
            <w:r>
              <w:rPr>
                <w:b/>
                <w:lang w:val="hu-HU"/>
              </w:rPr>
              <w:t>Vizsgálati populáció</w:t>
            </w:r>
          </w:p>
        </w:tc>
        <w:tc>
          <w:tcPr>
            <w:tcW w:w="5210" w:type="dxa"/>
            <w:gridSpan w:val="2"/>
            <w:shd w:val="clear" w:color="auto" w:fill="auto"/>
          </w:tcPr>
          <w:p w:rsidR="00F50CC3" w:rsidRDefault="00730655">
            <w:pPr>
              <w:pStyle w:val="Default"/>
              <w:rPr>
                <w:b/>
                <w:sz w:val="22"/>
                <w:szCs w:val="22"/>
              </w:rPr>
            </w:pPr>
            <w:r>
              <w:rPr>
                <w:b/>
                <w:sz w:val="22"/>
                <w:szCs w:val="22"/>
              </w:rPr>
              <w:t xml:space="preserve">3449, tünetekkel járó, akut mélyvénás thrombosisban szenvedő beteg </w:t>
            </w:r>
          </w:p>
        </w:tc>
      </w:tr>
      <w:tr w:rsidR="00F50CC3">
        <w:tc>
          <w:tcPr>
            <w:tcW w:w="4077" w:type="dxa"/>
            <w:shd w:val="clear" w:color="auto" w:fill="auto"/>
          </w:tcPr>
          <w:p w:rsidR="00F50CC3" w:rsidRDefault="00730655">
            <w:pPr>
              <w:spacing w:line="240" w:lineRule="auto"/>
              <w:rPr>
                <w:b/>
                <w:lang w:val="hu-HU"/>
              </w:rPr>
            </w:pPr>
            <w:r>
              <w:rPr>
                <w:b/>
                <w:lang w:val="hu-HU"/>
              </w:rPr>
              <w:t>Terápiás dózis és kezelési időtartam</w:t>
            </w:r>
          </w:p>
        </w:tc>
        <w:tc>
          <w:tcPr>
            <w:tcW w:w="2835" w:type="dxa"/>
            <w:shd w:val="clear" w:color="auto" w:fill="auto"/>
          </w:tcPr>
          <w:p w:rsidR="00F50CC3" w:rsidRDefault="00730655">
            <w:pPr>
              <w:pStyle w:val="Default"/>
              <w:rPr>
                <w:b/>
                <w:sz w:val="22"/>
                <w:szCs w:val="22"/>
              </w:rPr>
            </w:pPr>
            <w:r>
              <w:rPr>
                <w:b/>
                <w:sz w:val="22"/>
                <w:szCs w:val="22"/>
              </w:rPr>
              <w:t>Rivaroxabán</w:t>
            </w:r>
            <w:r>
              <w:rPr>
                <w:b/>
                <w:position w:val="8"/>
                <w:sz w:val="22"/>
                <w:szCs w:val="22"/>
                <w:vertAlign w:val="superscript"/>
              </w:rPr>
              <w:t xml:space="preserve">a) </w:t>
            </w:r>
          </w:p>
          <w:p w:rsidR="00F50CC3" w:rsidRDefault="00730655">
            <w:pPr>
              <w:pStyle w:val="Default"/>
              <w:rPr>
                <w:b/>
                <w:sz w:val="22"/>
                <w:szCs w:val="22"/>
              </w:rPr>
            </w:pPr>
            <w:r>
              <w:rPr>
                <w:b/>
                <w:sz w:val="22"/>
                <w:szCs w:val="22"/>
              </w:rPr>
              <w:t xml:space="preserve">3, 6 vagy 12 hónap </w:t>
            </w:r>
          </w:p>
          <w:p w:rsidR="00F50CC3" w:rsidRDefault="00730655">
            <w:pPr>
              <w:spacing w:line="240" w:lineRule="auto"/>
              <w:rPr>
                <w:b/>
                <w:lang w:val="hu-HU"/>
              </w:rPr>
            </w:pPr>
            <w:r>
              <w:rPr>
                <w:b/>
                <w:lang w:val="hu-HU"/>
              </w:rPr>
              <w:t>N = 1731</w:t>
            </w:r>
          </w:p>
        </w:tc>
        <w:tc>
          <w:tcPr>
            <w:tcW w:w="2375" w:type="dxa"/>
            <w:shd w:val="clear" w:color="auto" w:fill="auto"/>
          </w:tcPr>
          <w:p w:rsidR="00F50CC3" w:rsidRDefault="00730655">
            <w:pPr>
              <w:pStyle w:val="Default"/>
              <w:rPr>
                <w:b/>
                <w:sz w:val="22"/>
                <w:szCs w:val="22"/>
              </w:rPr>
            </w:pPr>
            <w:r>
              <w:rPr>
                <w:b/>
                <w:sz w:val="22"/>
                <w:szCs w:val="22"/>
              </w:rPr>
              <w:t>Enoxaparin/KVA</w:t>
            </w:r>
            <w:r>
              <w:rPr>
                <w:b/>
                <w:position w:val="8"/>
                <w:sz w:val="22"/>
                <w:szCs w:val="22"/>
                <w:vertAlign w:val="superscript"/>
              </w:rPr>
              <w:t xml:space="preserve">b) </w:t>
            </w:r>
          </w:p>
          <w:p w:rsidR="00F50CC3" w:rsidRDefault="00730655">
            <w:pPr>
              <w:pStyle w:val="Default"/>
              <w:rPr>
                <w:b/>
                <w:sz w:val="22"/>
                <w:szCs w:val="22"/>
              </w:rPr>
            </w:pPr>
            <w:r>
              <w:rPr>
                <w:b/>
                <w:sz w:val="22"/>
                <w:szCs w:val="22"/>
              </w:rPr>
              <w:t xml:space="preserve">3, 6 vagy 12 hónap </w:t>
            </w:r>
          </w:p>
          <w:p w:rsidR="00F50CC3" w:rsidRDefault="00730655">
            <w:pPr>
              <w:spacing w:line="240" w:lineRule="auto"/>
              <w:rPr>
                <w:b/>
                <w:lang w:val="hu-HU"/>
              </w:rPr>
            </w:pPr>
            <w:r>
              <w:rPr>
                <w:b/>
                <w:lang w:val="hu-HU"/>
              </w:rPr>
              <w:t>N = 1718</w:t>
            </w:r>
          </w:p>
        </w:tc>
      </w:tr>
      <w:tr w:rsidR="00F50CC3">
        <w:tc>
          <w:tcPr>
            <w:tcW w:w="4077" w:type="dxa"/>
            <w:shd w:val="clear" w:color="auto" w:fill="auto"/>
          </w:tcPr>
          <w:p w:rsidR="00F50CC3" w:rsidRDefault="00730655">
            <w:pPr>
              <w:pStyle w:val="Default"/>
              <w:rPr>
                <w:sz w:val="22"/>
                <w:szCs w:val="22"/>
              </w:rPr>
            </w:pPr>
            <w:r>
              <w:rPr>
                <w:sz w:val="22"/>
                <w:szCs w:val="22"/>
              </w:rPr>
              <w:t xml:space="preserve">Tünetekkel járó, visszatérő VTE* </w:t>
            </w:r>
          </w:p>
        </w:tc>
        <w:tc>
          <w:tcPr>
            <w:tcW w:w="2835" w:type="dxa"/>
            <w:shd w:val="clear" w:color="auto" w:fill="auto"/>
          </w:tcPr>
          <w:p w:rsidR="00F50CC3" w:rsidRDefault="00730655">
            <w:pPr>
              <w:pStyle w:val="Default"/>
              <w:rPr>
                <w:sz w:val="22"/>
                <w:szCs w:val="22"/>
              </w:rPr>
            </w:pPr>
            <w:r>
              <w:rPr>
                <w:sz w:val="22"/>
                <w:szCs w:val="22"/>
              </w:rPr>
              <w:t>36</w:t>
            </w:r>
          </w:p>
          <w:p w:rsidR="00F50CC3" w:rsidRDefault="00730655">
            <w:pPr>
              <w:pStyle w:val="Default"/>
              <w:rPr>
                <w:sz w:val="22"/>
                <w:szCs w:val="22"/>
              </w:rPr>
            </w:pPr>
            <w:r>
              <w:rPr>
                <w:sz w:val="22"/>
                <w:szCs w:val="22"/>
              </w:rPr>
              <w:t xml:space="preserve">(2,1%) </w:t>
            </w:r>
          </w:p>
        </w:tc>
        <w:tc>
          <w:tcPr>
            <w:tcW w:w="2375" w:type="dxa"/>
            <w:shd w:val="clear" w:color="auto" w:fill="auto"/>
          </w:tcPr>
          <w:p w:rsidR="00F50CC3" w:rsidRDefault="00730655">
            <w:pPr>
              <w:pStyle w:val="Default"/>
              <w:rPr>
                <w:sz w:val="22"/>
                <w:szCs w:val="22"/>
              </w:rPr>
            </w:pPr>
            <w:r>
              <w:rPr>
                <w:sz w:val="22"/>
                <w:szCs w:val="22"/>
              </w:rPr>
              <w:t>51</w:t>
            </w:r>
          </w:p>
          <w:p w:rsidR="00F50CC3" w:rsidRDefault="00730655">
            <w:pPr>
              <w:pStyle w:val="Default"/>
              <w:rPr>
                <w:sz w:val="22"/>
                <w:szCs w:val="22"/>
              </w:rPr>
            </w:pPr>
            <w:r>
              <w:rPr>
                <w:sz w:val="22"/>
                <w:szCs w:val="22"/>
              </w:rPr>
              <w:t xml:space="preserve">(3,0%) </w:t>
            </w:r>
          </w:p>
        </w:tc>
      </w:tr>
      <w:tr w:rsidR="00F50CC3">
        <w:tc>
          <w:tcPr>
            <w:tcW w:w="4077" w:type="dxa"/>
            <w:shd w:val="clear" w:color="auto" w:fill="auto"/>
          </w:tcPr>
          <w:p w:rsidR="00F50CC3" w:rsidRDefault="00730655">
            <w:pPr>
              <w:pStyle w:val="Default"/>
              <w:ind w:left="567"/>
              <w:rPr>
                <w:sz w:val="22"/>
                <w:szCs w:val="22"/>
              </w:rPr>
            </w:pPr>
            <w:r>
              <w:rPr>
                <w:sz w:val="22"/>
                <w:szCs w:val="22"/>
              </w:rPr>
              <w:t>Tünetekkel járó, visszatérő PE</w:t>
            </w:r>
          </w:p>
        </w:tc>
        <w:tc>
          <w:tcPr>
            <w:tcW w:w="2835" w:type="dxa"/>
            <w:shd w:val="clear" w:color="auto" w:fill="auto"/>
          </w:tcPr>
          <w:p w:rsidR="00F50CC3" w:rsidRDefault="00730655">
            <w:pPr>
              <w:pStyle w:val="Default"/>
              <w:rPr>
                <w:sz w:val="22"/>
                <w:szCs w:val="22"/>
              </w:rPr>
            </w:pPr>
            <w:r>
              <w:rPr>
                <w:sz w:val="22"/>
                <w:szCs w:val="22"/>
              </w:rPr>
              <w:t>20</w:t>
            </w:r>
          </w:p>
          <w:p w:rsidR="00F50CC3" w:rsidRDefault="00730655">
            <w:pPr>
              <w:pStyle w:val="Default"/>
              <w:rPr>
                <w:sz w:val="22"/>
                <w:szCs w:val="22"/>
              </w:rPr>
            </w:pPr>
            <w:r>
              <w:rPr>
                <w:sz w:val="22"/>
                <w:szCs w:val="22"/>
              </w:rPr>
              <w:t xml:space="preserve">(1,2%) </w:t>
            </w:r>
          </w:p>
        </w:tc>
        <w:tc>
          <w:tcPr>
            <w:tcW w:w="2375" w:type="dxa"/>
            <w:shd w:val="clear" w:color="auto" w:fill="auto"/>
          </w:tcPr>
          <w:p w:rsidR="00F50CC3" w:rsidRDefault="00730655">
            <w:pPr>
              <w:pStyle w:val="Default"/>
              <w:rPr>
                <w:sz w:val="22"/>
                <w:szCs w:val="22"/>
              </w:rPr>
            </w:pPr>
            <w:r>
              <w:rPr>
                <w:sz w:val="22"/>
                <w:szCs w:val="22"/>
              </w:rPr>
              <w:t>18</w:t>
            </w:r>
          </w:p>
          <w:p w:rsidR="00F50CC3" w:rsidRDefault="00730655">
            <w:pPr>
              <w:pStyle w:val="Default"/>
              <w:rPr>
                <w:sz w:val="22"/>
                <w:szCs w:val="22"/>
              </w:rPr>
            </w:pPr>
            <w:r>
              <w:rPr>
                <w:sz w:val="22"/>
                <w:szCs w:val="22"/>
              </w:rPr>
              <w:t xml:space="preserve">(1,0%) </w:t>
            </w:r>
          </w:p>
        </w:tc>
      </w:tr>
      <w:tr w:rsidR="00F50CC3">
        <w:tc>
          <w:tcPr>
            <w:tcW w:w="4077" w:type="dxa"/>
            <w:shd w:val="clear" w:color="auto" w:fill="auto"/>
          </w:tcPr>
          <w:p w:rsidR="00F50CC3" w:rsidRDefault="00730655">
            <w:pPr>
              <w:pStyle w:val="Default"/>
              <w:ind w:left="567"/>
              <w:rPr>
                <w:sz w:val="22"/>
                <w:szCs w:val="22"/>
              </w:rPr>
            </w:pPr>
            <w:r>
              <w:rPr>
                <w:sz w:val="22"/>
                <w:szCs w:val="22"/>
              </w:rPr>
              <w:t xml:space="preserve">Tünetekkel járó, recidiváló MVT </w:t>
            </w:r>
          </w:p>
        </w:tc>
        <w:tc>
          <w:tcPr>
            <w:tcW w:w="2835" w:type="dxa"/>
            <w:shd w:val="clear" w:color="auto" w:fill="auto"/>
          </w:tcPr>
          <w:p w:rsidR="00F50CC3" w:rsidRDefault="00730655">
            <w:pPr>
              <w:spacing w:line="240" w:lineRule="auto"/>
              <w:rPr>
                <w:lang w:val="hu-HU"/>
              </w:rPr>
            </w:pPr>
            <w:r>
              <w:rPr>
                <w:lang w:val="hu-HU"/>
              </w:rPr>
              <w:t>14</w:t>
            </w:r>
          </w:p>
          <w:p w:rsidR="00F50CC3" w:rsidRDefault="00730655">
            <w:pPr>
              <w:spacing w:line="240" w:lineRule="auto"/>
              <w:rPr>
                <w:lang w:val="hu-HU"/>
              </w:rPr>
            </w:pPr>
            <w:r>
              <w:rPr>
                <w:lang w:val="hu-HU"/>
              </w:rPr>
              <w:t>(0,8%)</w:t>
            </w:r>
          </w:p>
        </w:tc>
        <w:tc>
          <w:tcPr>
            <w:tcW w:w="2375" w:type="dxa"/>
            <w:shd w:val="clear" w:color="auto" w:fill="auto"/>
          </w:tcPr>
          <w:p w:rsidR="00F50CC3" w:rsidRDefault="00730655">
            <w:pPr>
              <w:spacing w:line="240" w:lineRule="auto"/>
              <w:rPr>
                <w:lang w:val="hu-HU"/>
              </w:rPr>
            </w:pPr>
            <w:r>
              <w:rPr>
                <w:lang w:val="hu-HU"/>
              </w:rPr>
              <w:t>28</w:t>
            </w:r>
          </w:p>
          <w:p w:rsidR="00F50CC3" w:rsidRDefault="00730655">
            <w:pPr>
              <w:spacing w:line="240" w:lineRule="auto"/>
              <w:rPr>
                <w:lang w:val="hu-HU"/>
              </w:rPr>
            </w:pPr>
            <w:r>
              <w:rPr>
                <w:lang w:val="hu-HU"/>
              </w:rPr>
              <w:t>(1,6%)</w:t>
            </w:r>
          </w:p>
        </w:tc>
      </w:tr>
      <w:tr w:rsidR="00F50CC3">
        <w:tc>
          <w:tcPr>
            <w:tcW w:w="4077" w:type="dxa"/>
            <w:shd w:val="clear" w:color="auto" w:fill="auto"/>
          </w:tcPr>
          <w:p w:rsidR="00F50CC3" w:rsidRDefault="00730655">
            <w:pPr>
              <w:pStyle w:val="Default"/>
              <w:ind w:left="567"/>
              <w:rPr>
                <w:sz w:val="22"/>
                <w:szCs w:val="22"/>
              </w:rPr>
            </w:pPr>
            <w:r>
              <w:rPr>
                <w:sz w:val="22"/>
                <w:szCs w:val="22"/>
              </w:rPr>
              <w:t xml:space="preserve">Tünetekkel járó PE és MVT </w:t>
            </w:r>
          </w:p>
        </w:tc>
        <w:tc>
          <w:tcPr>
            <w:tcW w:w="2835" w:type="dxa"/>
            <w:shd w:val="clear" w:color="auto" w:fill="auto"/>
          </w:tcPr>
          <w:p w:rsidR="00F50CC3" w:rsidRDefault="00730655">
            <w:pPr>
              <w:spacing w:line="240" w:lineRule="auto"/>
              <w:rPr>
                <w:lang w:val="hu-HU"/>
              </w:rPr>
            </w:pPr>
            <w:r>
              <w:rPr>
                <w:lang w:val="hu-HU"/>
              </w:rPr>
              <w:t>1</w:t>
            </w:r>
          </w:p>
          <w:p w:rsidR="00F50CC3" w:rsidRDefault="00730655">
            <w:pPr>
              <w:spacing w:line="240" w:lineRule="auto"/>
              <w:rPr>
                <w:lang w:val="hu-HU"/>
              </w:rPr>
            </w:pPr>
            <w:r>
              <w:rPr>
                <w:lang w:val="hu-HU"/>
              </w:rPr>
              <w:t>(0,1%)</w:t>
            </w:r>
          </w:p>
        </w:tc>
        <w:tc>
          <w:tcPr>
            <w:tcW w:w="2375" w:type="dxa"/>
            <w:shd w:val="clear" w:color="auto" w:fill="auto"/>
          </w:tcPr>
          <w:p w:rsidR="00F50CC3" w:rsidRDefault="00730655">
            <w:pPr>
              <w:spacing w:line="240" w:lineRule="auto"/>
              <w:rPr>
                <w:lang w:val="hu-HU"/>
              </w:rPr>
            </w:pPr>
            <w:r>
              <w:rPr>
                <w:lang w:val="hu-HU"/>
              </w:rPr>
              <w:t>0</w:t>
            </w:r>
          </w:p>
        </w:tc>
      </w:tr>
      <w:tr w:rsidR="00F50CC3">
        <w:tc>
          <w:tcPr>
            <w:tcW w:w="4077" w:type="dxa"/>
            <w:shd w:val="clear" w:color="auto" w:fill="auto"/>
          </w:tcPr>
          <w:p w:rsidR="00F50CC3" w:rsidRDefault="00730655">
            <w:pPr>
              <w:pStyle w:val="Default"/>
              <w:ind w:left="567"/>
              <w:rPr>
                <w:sz w:val="22"/>
                <w:szCs w:val="22"/>
              </w:rPr>
            </w:pPr>
            <w:r>
              <w:rPr>
                <w:sz w:val="22"/>
                <w:szCs w:val="22"/>
              </w:rPr>
              <w:t xml:space="preserve">Fatális PE/haláleset, amelynél nem lehet kizárni a PE-t </w:t>
            </w:r>
          </w:p>
        </w:tc>
        <w:tc>
          <w:tcPr>
            <w:tcW w:w="2835" w:type="dxa"/>
            <w:shd w:val="clear" w:color="auto" w:fill="auto"/>
          </w:tcPr>
          <w:p w:rsidR="00F50CC3" w:rsidRDefault="00730655">
            <w:pPr>
              <w:spacing w:line="240" w:lineRule="auto"/>
              <w:rPr>
                <w:lang w:val="hu-HU"/>
              </w:rPr>
            </w:pPr>
            <w:r>
              <w:rPr>
                <w:lang w:val="hu-HU"/>
              </w:rPr>
              <w:t>4</w:t>
            </w:r>
          </w:p>
          <w:p w:rsidR="00F50CC3" w:rsidRDefault="00730655">
            <w:pPr>
              <w:spacing w:line="240" w:lineRule="auto"/>
              <w:rPr>
                <w:lang w:val="hu-HU"/>
              </w:rPr>
            </w:pPr>
            <w:r>
              <w:rPr>
                <w:lang w:val="hu-HU"/>
              </w:rPr>
              <w:t>(0,2%)</w:t>
            </w:r>
          </w:p>
        </w:tc>
        <w:tc>
          <w:tcPr>
            <w:tcW w:w="2375" w:type="dxa"/>
            <w:shd w:val="clear" w:color="auto" w:fill="auto"/>
          </w:tcPr>
          <w:p w:rsidR="00F50CC3" w:rsidRDefault="00730655">
            <w:pPr>
              <w:spacing w:line="240" w:lineRule="auto"/>
              <w:rPr>
                <w:lang w:val="hu-HU"/>
              </w:rPr>
            </w:pPr>
            <w:r>
              <w:rPr>
                <w:lang w:val="hu-HU"/>
              </w:rPr>
              <w:t>6</w:t>
            </w:r>
          </w:p>
          <w:p w:rsidR="00F50CC3" w:rsidRDefault="00730655">
            <w:pPr>
              <w:spacing w:line="240" w:lineRule="auto"/>
              <w:rPr>
                <w:lang w:val="hu-HU"/>
              </w:rPr>
            </w:pPr>
            <w:r>
              <w:rPr>
                <w:lang w:val="hu-HU"/>
              </w:rPr>
              <w:t>(0,3%)</w:t>
            </w:r>
          </w:p>
        </w:tc>
      </w:tr>
      <w:tr w:rsidR="00F50CC3">
        <w:tc>
          <w:tcPr>
            <w:tcW w:w="4077" w:type="dxa"/>
            <w:shd w:val="clear" w:color="auto" w:fill="auto"/>
          </w:tcPr>
          <w:p w:rsidR="00F50CC3" w:rsidRDefault="00730655" w:rsidP="00A9412C">
            <w:pPr>
              <w:pStyle w:val="Default"/>
              <w:keepNext/>
              <w:rPr>
                <w:sz w:val="22"/>
                <w:szCs w:val="22"/>
              </w:rPr>
            </w:pPr>
            <w:r>
              <w:rPr>
                <w:sz w:val="22"/>
                <w:szCs w:val="22"/>
              </w:rPr>
              <w:lastRenderedPageBreak/>
              <w:t xml:space="preserve">Súlyos vagy klinikailag jelentős, nem súlyos vérzés </w:t>
            </w:r>
          </w:p>
        </w:tc>
        <w:tc>
          <w:tcPr>
            <w:tcW w:w="2835" w:type="dxa"/>
            <w:shd w:val="clear" w:color="auto" w:fill="auto"/>
          </w:tcPr>
          <w:p w:rsidR="00F50CC3" w:rsidRDefault="00730655" w:rsidP="00A9412C">
            <w:pPr>
              <w:keepNext/>
              <w:spacing w:line="240" w:lineRule="auto"/>
              <w:rPr>
                <w:lang w:val="hu-HU"/>
              </w:rPr>
            </w:pPr>
            <w:r>
              <w:rPr>
                <w:lang w:val="hu-HU"/>
              </w:rPr>
              <w:t>139</w:t>
            </w:r>
          </w:p>
          <w:p w:rsidR="00F50CC3" w:rsidRDefault="00730655" w:rsidP="00A9412C">
            <w:pPr>
              <w:keepNext/>
              <w:spacing w:line="240" w:lineRule="auto"/>
              <w:rPr>
                <w:lang w:val="hu-HU"/>
              </w:rPr>
            </w:pPr>
            <w:r>
              <w:rPr>
                <w:lang w:val="hu-HU"/>
              </w:rPr>
              <w:t>(8,1%)</w:t>
            </w:r>
          </w:p>
        </w:tc>
        <w:tc>
          <w:tcPr>
            <w:tcW w:w="2375" w:type="dxa"/>
            <w:shd w:val="clear" w:color="auto" w:fill="auto"/>
          </w:tcPr>
          <w:p w:rsidR="00F50CC3" w:rsidRDefault="00730655" w:rsidP="00A9412C">
            <w:pPr>
              <w:keepNext/>
              <w:spacing w:line="240" w:lineRule="auto"/>
              <w:rPr>
                <w:lang w:val="hu-HU"/>
              </w:rPr>
            </w:pPr>
            <w:r>
              <w:rPr>
                <w:lang w:val="hu-HU"/>
              </w:rPr>
              <w:t>138</w:t>
            </w:r>
          </w:p>
          <w:p w:rsidR="00F50CC3" w:rsidRDefault="00730655" w:rsidP="00A9412C">
            <w:pPr>
              <w:keepNext/>
              <w:spacing w:line="240" w:lineRule="auto"/>
              <w:rPr>
                <w:lang w:val="hu-HU"/>
              </w:rPr>
            </w:pPr>
            <w:r>
              <w:rPr>
                <w:lang w:val="hu-HU"/>
              </w:rPr>
              <w:t>(8,1%)</w:t>
            </w:r>
          </w:p>
        </w:tc>
      </w:tr>
      <w:tr w:rsidR="00F50CC3">
        <w:tc>
          <w:tcPr>
            <w:tcW w:w="4077" w:type="dxa"/>
            <w:shd w:val="clear" w:color="auto" w:fill="auto"/>
          </w:tcPr>
          <w:p w:rsidR="00F50CC3" w:rsidRDefault="00730655" w:rsidP="00A9412C">
            <w:pPr>
              <w:pStyle w:val="Default"/>
              <w:keepNext/>
              <w:rPr>
                <w:sz w:val="22"/>
                <w:szCs w:val="22"/>
              </w:rPr>
            </w:pPr>
            <w:r>
              <w:rPr>
                <w:sz w:val="22"/>
                <w:szCs w:val="22"/>
              </w:rPr>
              <w:t xml:space="preserve">Súlyos vérzéses esemény </w:t>
            </w:r>
          </w:p>
        </w:tc>
        <w:tc>
          <w:tcPr>
            <w:tcW w:w="2835" w:type="dxa"/>
            <w:shd w:val="clear" w:color="auto" w:fill="auto"/>
          </w:tcPr>
          <w:p w:rsidR="00F50CC3" w:rsidRDefault="00730655" w:rsidP="00A9412C">
            <w:pPr>
              <w:keepNext/>
              <w:spacing w:line="240" w:lineRule="auto"/>
              <w:rPr>
                <w:lang w:val="hu-HU"/>
              </w:rPr>
            </w:pPr>
            <w:r>
              <w:rPr>
                <w:lang w:val="hu-HU"/>
              </w:rPr>
              <w:t>14</w:t>
            </w:r>
          </w:p>
          <w:p w:rsidR="00F50CC3" w:rsidRDefault="00730655" w:rsidP="00A9412C">
            <w:pPr>
              <w:keepNext/>
              <w:spacing w:line="240" w:lineRule="auto"/>
              <w:rPr>
                <w:lang w:val="hu-HU"/>
              </w:rPr>
            </w:pPr>
            <w:r>
              <w:rPr>
                <w:lang w:val="hu-HU"/>
              </w:rPr>
              <w:t>(0,8%)</w:t>
            </w:r>
          </w:p>
        </w:tc>
        <w:tc>
          <w:tcPr>
            <w:tcW w:w="2375" w:type="dxa"/>
            <w:shd w:val="clear" w:color="auto" w:fill="auto"/>
          </w:tcPr>
          <w:p w:rsidR="00F50CC3" w:rsidRDefault="00730655" w:rsidP="00A9412C">
            <w:pPr>
              <w:keepNext/>
              <w:spacing w:line="240" w:lineRule="auto"/>
              <w:rPr>
                <w:lang w:val="hu-HU"/>
              </w:rPr>
            </w:pPr>
            <w:r>
              <w:rPr>
                <w:lang w:val="hu-HU"/>
              </w:rPr>
              <w:t>20</w:t>
            </w:r>
          </w:p>
          <w:p w:rsidR="00F50CC3" w:rsidRDefault="00730655" w:rsidP="00A9412C">
            <w:pPr>
              <w:keepNext/>
              <w:spacing w:line="240" w:lineRule="auto"/>
              <w:rPr>
                <w:lang w:val="hu-HU"/>
              </w:rPr>
            </w:pPr>
            <w:r>
              <w:rPr>
                <w:lang w:val="hu-HU"/>
              </w:rPr>
              <w:t>(1,2%)</w:t>
            </w:r>
          </w:p>
        </w:tc>
      </w:tr>
    </w:tbl>
    <w:p w:rsidR="00F50CC3" w:rsidRDefault="00730655" w:rsidP="00C06B46">
      <w:pPr>
        <w:pStyle w:val="Default"/>
        <w:tabs>
          <w:tab w:val="left" w:pos="426"/>
        </w:tabs>
        <w:ind w:left="426" w:hanging="426"/>
        <w:rPr>
          <w:sz w:val="22"/>
          <w:szCs w:val="22"/>
        </w:rPr>
      </w:pPr>
      <w:r>
        <w:rPr>
          <w:sz w:val="22"/>
          <w:szCs w:val="22"/>
        </w:rPr>
        <w:t>a)</w:t>
      </w:r>
      <w:r w:rsidR="00C06B46">
        <w:rPr>
          <w:sz w:val="22"/>
          <w:szCs w:val="22"/>
        </w:rPr>
        <w:tab/>
      </w:r>
      <w:r>
        <w:rPr>
          <w:sz w:val="22"/>
          <w:szCs w:val="22"/>
        </w:rPr>
        <w:t>Naponta kétszer 15 mg rivaroxabán 3 hétig, utána naponta egyszer 20 mg</w:t>
      </w:r>
    </w:p>
    <w:p w:rsidR="00F50CC3" w:rsidRDefault="00730655" w:rsidP="00C06B46">
      <w:pPr>
        <w:pStyle w:val="Default"/>
        <w:tabs>
          <w:tab w:val="left" w:pos="426"/>
        </w:tabs>
        <w:ind w:left="426" w:hanging="426"/>
        <w:rPr>
          <w:sz w:val="22"/>
          <w:szCs w:val="22"/>
        </w:rPr>
      </w:pPr>
      <w:r>
        <w:rPr>
          <w:sz w:val="22"/>
          <w:szCs w:val="22"/>
        </w:rPr>
        <w:t>b)</w:t>
      </w:r>
      <w:r w:rsidR="00C06B46">
        <w:rPr>
          <w:sz w:val="22"/>
          <w:szCs w:val="22"/>
        </w:rPr>
        <w:tab/>
      </w:r>
      <w:r>
        <w:rPr>
          <w:sz w:val="22"/>
          <w:szCs w:val="22"/>
        </w:rPr>
        <w:t>Legalább 5 napig enoxaparin, KVA-val átfedésben, utána KVA</w:t>
      </w:r>
    </w:p>
    <w:p w:rsidR="00F50CC3" w:rsidRDefault="00730655" w:rsidP="00C06B46">
      <w:pPr>
        <w:pStyle w:val="Default"/>
        <w:tabs>
          <w:tab w:val="left" w:pos="426"/>
        </w:tabs>
        <w:ind w:left="426" w:hanging="426"/>
        <w:rPr>
          <w:sz w:val="22"/>
          <w:szCs w:val="22"/>
        </w:rPr>
      </w:pPr>
      <w:r>
        <w:rPr>
          <w:sz w:val="22"/>
          <w:szCs w:val="22"/>
        </w:rPr>
        <w:t>*</w:t>
      </w:r>
      <w:r w:rsidR="00C06B46">
        <w:rPr>
          <w:sz w:val="22"/>
          <w:szCs w:val="22"/>
        </w:rPr>
        <w:tab/>
      </w:r>
      <w:r>
        <w:rPr>
          <w:sz w:val="22"/>
          <w:szCs w:val="22"/>
        </w:rPr>
        <w:t>p &lt; 0,0001 (non-inferioritás az előre meghatározott 2,0 relatív hazárdhoz); relatív hazárd: 0,680 (0,443 – 1,042), p = 0,076 (szuperioritás)</w:t>
      </w:r>
    </w:p>
    <w:p w:rsidR="00F50CC3" w:rsidRDefault="00F50CC3">
      <w:pPr>
        <w:spacing w:line="240" w:lineRule="auto"/>
        <w:rPr>
          <w:lang w:val="hu-HU"/>
        </w:rPr>
      </w:pPr>
    </w:p>
    <w:p w:rsidR="00F50CC3" w:rsidRDefault="00730655">
      <w:pPr>
        <w:pStyle w:val="Default"/>
        <w:rPr>
          <w:sz w:val="22"/>
          <w:szCs w:val="22"/>
        </w:rPr>
      </w:pPr>
      <w:r>
        <w:rPr>
          <w:sz w:val="22"/>
          <w:szCs w:val="22"/>
        </w:rPr>
        <w:t>Az Einstein PE vizsgálatban (lásd 6. táblázat) a rivaroxabánról igazolták, hogy az elsődleges hatásossági végpont tekintetében non-inferior az enoxaparin/KVA-hoz képest p = 0,0026 (non</w:t>
      </w:r>
      <w:r w:rsidR="00C06B46">
        <w:rPr>
          <w:sz w:val="22"/>
          <w:szCs w:val="22"/>
        </w:rPr>
        <w:noBreakHyphen/>
      </w:r>
      <w:r>
        <w:rPr>
          <w:sz w:val="22"/>
          <w:szCs w:val="22"/>
        </w:rPr>
        <w:t>inferioritási próba); relatív hazárd: 1,123 (0,749-1,684)). Az előre meghatározott nettó klinikai előny (elsődleges hatásossági végpont plusz a súlyos vérzéses események) tekintetében 0,849-es relatív hazárdról számoltak be ((95%</w:t>
      </w:r>
      <w:r w:rsidR="00C06B46">
        <w:rPr>
          <w:sz w:val="22"/>
          <w:szCs w:val="22"/>
        </w:rPr>
        <w:t>-os</w:t>
      </w:r>
      <w:r>
        <w:rPr>
          <w:sz w:val="22"/>
          <w:szCs w:val="22"/>
        </w:rPr>
        <w:t xml:space="preserve"> CI: 0,633-1,139), névleges p-érték p = 0,275). A kezelési időtartam átlagosan 215 nap volt, amely alatt az INR-értékek átlagosan 63%-ban (a 3 hónaposra tervezett kezelések alatt az idő 57% ában, a 6 hónaposra tervezett kezelések alatt az idő 62% ában, illetve a 12 hónaposra tervezett kezelések alatt az idő 65% ában) a terápiás tartományba estek. Az enoxaparin/KVA csoportban nem volt egyértelmű összefüggés az azonos méretű tercilisekben az átlagos TTR-értékei (Time in Target INR Range, INR céltartomány 2,0</w:t>
      </w:r>
      <w:r>
        <w:rPr>
          <w:sz w:val="22"/>
          <w:szCs w:val="22"/>
        </w:rPr>
        <w:noBreakHyphen/>
        <w:t>3,0) és a vissz</w:t>
      </w:r>
      <w:r w:rsidR="00521197">
        <w:rPr>
          <w:sz w:val="22"/>
          <w:szCs w:val="22"/>
        </w:rPr>
        <w:t>a</w:t>
      </w:r>
      <w:r>
        <w:rPr>
          <w:sz w:val="22"/>
          <w:szCs w:val="22"/>
        </w:rPr>
        <w:t>térő VTE incidenciája (interakciós p = 0,082) között. A legnagyobb átlagú tercilisben a rivaroxabán relatív hazárdja a warfarinhoz képest 0,642 volt (95%</w:t>
      </w:r>
      <w:r w:rsidR="00521197">
        <w:rPr>
          <w:sz w:val="22"/>
          <w:szCs w:val="22"/>
        </w:rPr>
        <w:t>-os</w:t>
      </w:r>
      <w:r>
        <w:rPr>
          <w:sz w:val="22"/>
          <w:szCs w:val="22"/>
        </w:rPr>
        <w:t xml:space="preserve"> CI: 0,277</w:t>
      </w:r>
      <w:r>
        <w:rPr>
          <w:sz w:val="22"/>
          <w:szCs w:val="22"/>
        </w:rPr>
        <w:noBreakHyphen/>
        <w:t xml:space="preserve">1,484). </w:t>
      </w:r>
    </w:p>
    <w:p w:rsidR="00F50CC3" w:rsidRDefault="00F50CC3">
      <w:pPr>
        <w:pStyle w:val="Default"/>
        <w:rPr>
          <w:sz w:val="22"/>
          <w:szCs w:val="22"/>
        </w:rPr>
      </w:pPr>
    </w:p>
    <w:p w:rsidR="00F50CC3" w:rsidRDefault="00730655">
      <w:pPr>
        <w:spacing w:line="240" w:lineRule="auto"/>
        <w:rPr>
          <w:lang w:val="hu-HU"/>
        </w:rPr>
      </w:pPr>
      <w:r>
        <w:rPr>
          <w:lang w:val="hu-HU"/>
        </w:rPr>
        <w:t>Az elsődleges biztonságossági végpontokra vonatkozó előfordulási arányok (súlyos vagy klinikailag jelentős, nem súlyos vérzéses események) valamivel alacsonyabbak voltak a rivaroxabán kezelési 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(95%</w:t>
      </w:r>
      <w:r w:rsidR="00521197">
        <w:rPr>
          <w:lang w:val="hu-HU"/>
        </w:rPr>
        <w:t>-os</w:t>
      </w:r>
      <w:r>
        <w:rPr>
          <w:lang w:val="hu-HU"/>
        </w:rPr>
        <w:t xml:space="preserve"> CI: 0,308 – 0,789).</w:t>
      </w:r>
    </w:p>
    <w:p w:rsidR="00F50CC3" w:rsidRDefault="00F50CC3">
      <w:pPr>
        <w:spacing w:line="240" w:lineRule="auto"/>
        <w:rPr>
          <w:lang w:val="hu-HU"/>
        </w:rPr>
      </w:pPr>
    </w:p>
    <w:p w:rsidR="00F50CC3" w:rsidRDefault="00730655">
      <w:pPr>
        <w:pStyle w:val="Default"/>
        <w:rPr>
          <w:b/>
          <w:bCs/>
          <w:sz w:val="22"/>
          <w:szCs w:val="22"/>
        </w:rPr>
      </w:pPr>
      <w:r>
        <w:rPr>
          <w:b/>
          <w:bCs/>
          <w:sz w:val="22"/>
          <w:szCs w:val="22"/>
        </w:rPr>
        <w:t xml:space="preserve">6. táblázat: A III. fázisú Einstein PE vizsgálat hatásossági és biztonságossági eredményei </w:t>
      </w:r>
    </w:p>
    <w:p w:rsidR="00F50CC3" w:rsidRDefault="00F50CC3">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7"/>
        <w:gridCol w:w="2759"/>
        <w:gridCol w:w="2486"/>
      </w:tblGrid>
      <w:tr w:rsidR="00F50CC3">
        <w:tc>
          <w:tcPr>
            <w:tcW w:w="3936" w:type="dxa"/>
            <w:shd w:val="clear" w:color="auto" w:fill="auto"/>
          </w:tcPr>
          <w:p w:rsidR="00F50CC3" w:rsidRDefault="00730655">
            <w:pPr>
              <w:spacing w:line="240" w:lineRule="auto"/>
              <w:rPr>
                <w:b/>
                <w:lang w:val="hu-HU"/>
              </w:rPr>
            </w:pPr>
            <w:r>
              <w:rPr>
                <w:b/>
                <w:lang w:val="hu-HU"/>
              </w:rPr>
              <w:t>Vizsgálati populáció</w:t>
            </w:r>
          </w:p>
        </w:tc>
        <w:tc>
          <w:tcPr>
            <w:tcW w:w="5351" w:type="dxa"/>
            <w:gridSpan w:val="2"/>
            <w:shd w:val="clear" w:color="auto" w:fill="auto"/>
          </w:tcPr>
          <w:p w:rsidR="00F50CC3" w:rsidRDefault="00730655">
            <w:pPr>
              <w:pStyle w:val="Default"/>
              <w:rPr>
                <w:b/>
                <w:sz w:val="22"/>
                <w:szCs w:val="22"/>
              </w:rPr>
            </w:pPr>
            <w:r>
              <w:rPr>
                <w:b/>
                <w:sz w:val="22"/>
                <w:szCs w:val="22"/>
              </w:rPr>
              <w:t xml:space="preserve">4832 tünetekkel járó, akut pulmonalis emboliában szenvedő beteg </w:t>
            </w:r>
          </w:p>
        </w:tc>
      </w:tr>
      <w:tr w:rsidR="00F50CC3">
        <w:tc>
          <w:tcPr>
            <w:tcW w:w="3936" w:type="dxa"/>
            <w:shd w:val="clear" w:color="auto" w:fill="auto"/>
          </w:tcPr>
          <w:p w:rsidR="00F50CC3" w:rsidRDefault="00730655">
            <w:pPr>
              <w:pStyle w:val="Default"/>
              <w:rPr>
                <w:b/>
                <w:sz w:val="22"/>
                <w:szCs w:val="22"/>
              </w:rPr>
            </w:pPr>
            <w:r>
              <w:rPr>
                <w:b/>
                <w:sz w:val="22"/>
                <w:szCs w:val="22"/>
              </w:rPr>
              <w:t xml:space="preserve">Terápiás dózis és kezelési időtartam </w:t>
            </w:r>
          </w:p>
        </w:tc>
        <w:tc>
          <w:tcPr>
            <w:tcW w:w="2835" w:type="dxa"/>
            <w:shd w:val="clear" w:color="auto" w:fill="auto"/>
          </w:tcPr>
          <w:p w:rsidR="00F50CC3" w:rsidRDefault="00730655">
            <w:pPr>
              <w:pStyle w:val="Default"/>
              <w:rPr>
                <w:b/>
                <w:sz w:val="22"/>
                <w:szCs w:val="22"/>
              </w:rPr>
            </w:pPr>
            <w:r>
              <w:rPr>
                <w:b/>
                <w:sz w:val="22"/>
                <w:szCs w:val="22"/>
              </w:rPr>
              <w:t>Rivaroxabán</w:t>
            </w:r>
            <w:r>
              <w:rPr>
                <w:b/>
                <w:position w:val="8"/>
                <w:sz w:val="22"/>
                <w:szCs w:val="22"/>
                <w:vertAlign w:val="superscript"/>
              </w:rPr>
              <w:t xml:space="preserve">a) </w:t>
            </w:r>
          </w:p>
          <w:p w:rsidR="00F50CC3" w:rsidRDefault="00730655">
            <w:pPr>
              <w:pStyle w:val="Default"/>
              <w:rPr>
                <w:b/>
                <w:sz w:val="22"/>
                <w:szCs w:val="22"/>
              </w:rPr>
            </w:pPr>
            <w:r>
              <w:rPr>
                <w:b/>
                <w:sz w:val="22"/>
                <w:szCs w:val="22"/>
              </w:rPr>
              <w:t>3, 6 vagy 12 hónap</w:t>
            </w:r>
          </w:p>
          <w:p w:rsidR="00F50CC3" w:rsidRDefault="00730655">
            <w:pPr>
              <w:spacing w:line="240" w:lineRule="auto"/>
              <w:rPr>
                <w:b/>
                <w:lang w:val="hu-HU"/>
              </w:rPr>
            </w:pPr>
            <w:r>
              <w:rPr>
                <w:b/>
                <w:lang w:val="hu-HU"/>
              </w:rPr>
              <w:t>N = 2419</w:t>
            </w:r>
          </w:p>
        </w:tc>
        <w:tc>
          <w:tcPr>
            <w:tcW w:w="2516" w:type="dxa"/>
            <w:shd w:val="clear" w:color="auto" w:fill="auto"/>
          </w:tcPr>
          <w:p w:rsidR="00F50CC3" w:rsidRDefault="00730655">
            <w:pPr>
              <w:pStyle w:val="Default"/>
              <w:rPr>
                <w:b/>
                <w:sz w:val="22"/>
                <w:szCs w:val="22"/>
              </w:rPr>
            </w:pPr>
            <w:r>
              <w:rPr>
                <w:b/>
                <w:sz w:val="22"/>
                <w:szCs w:val="22"/>
              </w:rPr>
              <w:t>Enoxaparin/VKA</w:t>
            </w:r>
            <w:r>
              <w:rPr>
                <w:b/>
                <w:position w:val="8"/>
                <w:sz w:val="22"/>
                <w:szCs w:val="22"/>
                <w:vertAlign w:val="superscript"/>
              </w:rPr>
              <w:t xml:space="preserve">b) </w:t>
            </w:r>
          </w:p>
          <w:p w:rsidR="00F50CC3" w:rsidRDefault="00730655">
            <w:pPr>
              <w:pStyle w:val="Default"/>
              <w:rPr>
                <w:b/>
                <w:sz w:val="22"/>
                <w:szCs w:val="22"/>
              </w:rPr>
            </w:pPr>
            <w:r>
              <w:rPr>
                <w:b/>
                <w:sz w:val="22"/>
                <w:szCs w:val="22"/>
              </w:rPr>
              <w:t>3, 6 vagy 12 hónap</w:t>
            </w:r>
          </w:p>
          <w:p w:rsidR="00F50CC3" w:rsidRDefault="00730655">
            <w:pPr>
              <w:spacing w:line="240" w:lineRule="auto"/>
              <w:rPr>
                <w:b/>
                <w:lang w:val="hu-HU"/>
              </w:rPr>
            </w:pPr>
            <w:r>
              <w:rPr>
                <w:b/>
                <w:lang w:val="hu-HU"/>
              </w:rPr>
              <w:t>N = 2413</w:t>
            </w:r>
          </w:p>
        </w:tc>
      </w:tr>
      <w:tr w:rsidR="00F50CC3">
        <w:tc>
          <w:tcPr>
            <w:tcW w:w="3936" w:type="dxa"/>
            <w:shd w:val="clear" w:color="auto" w:fill="auto"/>
          </w:tcPr>
          <w:p w:rsidR="00F50CC3" w:rsidRDefault="00730655">
            <w:pPr>
              <w:pStyle w:val="Default"/>
              <w:rPr>
                <w:sz w:val="22"/>
                <w:szCs w:val="22"/>
              </w:rPr>
            </w:pPr>
            <w:r>
              <w:rPr>
                <w:sz w:val="22"/>
                <w:szCs w:val="22"/>
              </w:rPr>
              <w:t xml:space="preserve">Tünetekkel járó, visszatérő VTE* </w:t>
            </w:r>
          </w:p>
        </w:tc>
        <w:tc>
          <w:tcPr>
            <w:tcW w:w="2835" w:type="dxa"/>
            <w:shd w:val="clear" w:color="auto" w:fill="auto"/>
          </w:tcPr>
          <w:p w:rsidR="00F50CC3" w:rsidRDefault="00730655">
            <w:pPr>
              <w:spacing w:line="240" w:lineRule="auto"/>
              <w:rPr>
                <w:lang w:val="hu-HU"/>
              </w:rPr>
            </w:pPr>
            <w:r>
              <w:rPr>
                <w:lang w:val="hu-HU"/>
              </w:rPr>
              <w:t>50</w:t>
            </w:r>
          </w:p>
          <w:p w:rsidR="00F50CC3" w:rsidRDefault="00730655">
            <w:pPr>
              <w:spacing w:line="240" w:lineRule="auto"/>
              <w:rPr>
                <w:lang w:val="hu-HU"/>
              </w:rPr>
            </w:pPr>
            <w:r>
              <w:rPr>
                <w:lang w:val="hu-HU"/>
              </w:rPr>
              <w:t>(2,1%)</w:t>
            </w:r>
          </w:p>
        </w:tc>
        <w:tc>
          <w:tcPr>
            <w:tcW w:w="2516" w:type="dxa"/>
            <w:shd w:val="clear" w:color="auto" w:fill="auto"/>
          </w:tcPr>
          <w:p w:rsidR="00F50CC3" w:rsidRDefault="00730655">
            <w:pPr>
              <w:spacing w:line="240" w:lineRule="auto"/>
              <w:rPr>
                <w:lang w:val="hu-HU"/>
              </w:rPr>
            </w:pPr>
            <w:r>
              <w:rPr>
                <w:lang w:val="hu-HU"/>
              </w:rPr>
              <w:t>44</w:t>
            </w:r>
          </w:p>
          <w:p w:rsidR="00F50CC3" w:rsidRDefault="00730655">
            <w:pPr>
              <w:spacing w:line="240" w:lineRule="auto"/>
              <w:rPr>
                <w:lang w:val="hu-HU"/>
              </w:rPr>
            </w:pPr>
            <w:r>
              <w:rPr>
                <w:lang w:val="hu-HU"/>
              </w:rPr>
              <w:t>(1,8%)</w:t>
            </w:r>
          </w:p>
        </w:tc>
      </w:tr>
      <w:tr w:rsidR="00F50CC3">
        <w:tc>
          <w:tcPr>
            <w:tcW w:w="3936" w:type="dxa"/>
            <w:shd w:val="clear" w:color="auto" w:fill="auto"/>
          </w:tcPr>
          <w:p w:rsidR="00F50CC3" w:rsidRDefault="00730655">
            <w:pPr>
              <w:pStyle w:val="Default"/>
              <w:ind w:left="567"/>
              <w:rPr>
                <w:sz w:val="22"/>
                <w:szCs w:val="22"/>
              </w:rPr>
            </w:pPr>
            <w:r>
              <w:rPr>
                <w:sz w:val="22"/>
                <w:szCs w:val="22"/>
              </w:rPr>
              <w:t xml:space="preserve">Tünetekkel járó, visszatérő PE </w:t>
            </w:r>
          </w:p>
        </w:tc>
        <w:tc>
          <w:tcPr>
            <w:tcW w:w="2835" w:type="dxa"/>
            <w:shd w:val="clear" w:color="auto" w:fill="auto"/>
          </w:tcPr>
          <w:p w:rsidR="00F50CC3" w:rsidRDefault="00730655">
            <w:pPr>
              <w:spacing w:line="240" w:lineRule="auto"/>
              <w:rPr>
                <w:lang w:val="hu-HU"/>
              </w:rPr>
            </w:pPr>
            <w:r>
              <w:rPr>
                <w:lang w:val="hu-HU"/>
              </w:rPr>
              <w:t>23</w:t>
            </w:r>
          </w:p>
          <w:p w:rsidR="00F50CC3" w:rsidRDefault="00730655">
            <w:pPr>
              <w:spacing w:line="240" w:lineRule="auto"/>
              <w:rPr>
                <w:lang w:val="hu-HU"/>
              </w:rPr>
            </w:pPr>
            <w:r>
              <w:rPr>
                <w:lang w:val="hu-HU"/>
              </w:rPr>
              <w:t>(1,0%)</w:t>
            </w:r>
          </w:p>
        </w:tc>
        <w:tc>
          <w:tcPr>
            <w:tcW w:w="2516" w:type="dxa"/>
            <w:shd w:val="clear" w:color="auto" w:fill="auto"/>
          </w:tcPr>
          <w:p w:rsidR="00F50CC3" w:rsidRDefault="00730655">
            <w:pPr>
              <w:spacing w:line="240" w:lineRule="auto"/>
              <w:rPr>
                <w:lang w:val="hu-HU"/>
              </w:rPr>
            </w:pPr>
            <w:r>
              <w:rPr>
                <w:lang w:val="hu-HU"/>
              </w:rPr>
              <w:t>20</w:t>
            </w:r>
          </w:p>
          <w:p w:rsidR="00F50CC3" w:rsidRDefault="00730655">
            <w:pPr>
              <w:spacing w:line="240" w:lineRule="auto"/>
              <w:rPr>
                <w:lang w:val="hu-HU"/>
              </w:rPr>
            </w:pPr>
            <w:r>
              <w:rPr>
                <w:lang w:val="hu-HU"/>
              </w:rPr>
              <w:t>(0,8%)</w:t>
            </w:r>
          </w:p>
        </w:tc>
      </w:tr>
      <w:tr w:rsidR="00F50CC3">
        <w:tc>
          <w:tcPr>
            <w:tcW w:w="3936" w:type="dxa"/>
            <w:shd w:val="clear" w:color="auto" w:fill="auto"/>
          </w:tcPr>
          <w:p w:rsidR="00F50CC3" w:rsidRDefault="00730655">
            <w:pPr>
              <w:pStyle w:val="Default"/>
              <w:ind w:left="567"/>
              <w:rPr>
                <w:sz w:val="22"/>
                <w:szCs w:val="22"/>
              </w:rPr>
            </w:pPr>
            <w:r>
              <w:rPr>
                <w:sz w:val="22"/>
                <w:szCs w:val="22"/>
              </w:rPr>
              <w:t xml:space="preserve">Tünetekkel járó, recidiváló MVT </w:t>
            </w:r>
          </w:p>
        </w:tc>
        <w:tc>
          <w:tcPr>
            <w:tcW w:w="2835" w:type="dxa"/>
            <w:shd w:val="clear" w:color="auto" w:fill="auto"/>
          </w:tcPr>
          <w:p w:rsidR="00F50CC3" w:rsidRDefault="00730655">
            <w:pPr>
              <w:spacing w:line="240" w:lineRule="auto"/>
              <w:rPr>
                <w:lang w:val="hu-HU"/>
              </w:rPr>
            </w:pPr>
            <w:r>
              <w:rPr>
                <w:lang w:val="hu-HU"/>
              </w:rPr>
              <w:t>18</w:t>
            </w:r>
          </w:p>
          <w:p w:rsidR="00F50CC3" w:rsidRDefault="00730655">
            <w:pPr>
              <w:spacing w:line="240" w:lineRule="auto"/>
              <w:rPr>
                <w:lang w:val="hu-HU"/>
              </w:rPr>
            </w:pPr>
            <w:r>
              <w:rPr>
                <w:lang w:val="hu-HU"/>
              </w:rPr>
              <w:t>(0,7%)</w:t>
            </w:r>
          </w:p>
        </w:tc>
        <w:tc>
          <w:tcPr>
            <w:tcW w:w="2516" w:type="dxa"/>
            <w:shd w:val="clear" w:color="auto" w:fill="auto"/>
          </w:tcPr>
          <w:p w:rsidR="00F50CC3" w:rsidRDefault="00730655">
            <w:pPr>
              <w:spacing w:line="240" w:lineRule="auto"/>
              <w:rPr>
                <w:lang w:val="hu-HU"/>
              </w:rPr>
            </w:pPr>
            <w:r>
              <w:rPr>
                <w:lang w:val="hu-HU"/>
              </w:rPr>
              <w:t>17</w:t>
            </w:r>
          </w:p>
          <w:p w:rsidR="00F50CC3" w:rsidRDefault="00730655">
            <w:pPr>
              <w:spacing w:line="240" w:lineRule="auto"/>
              <w:rPr>
                <w:lang w:val="hu-HU"/>
              </w:rPr>
            </w:pPr>
            <w:r>
              <w:rPr>
                <w:lang w:val="hu-HU"/>
              </w:rPr>
              <w:t>(0,7%)</w:t>
            </w:r>
          </w:p>
        </w:tc>
      </w:tr>
      <w:tr w:rsidR="00F50CC3">
        <w:tc>
          <w:tcPr>
            <w:tcW w:w="3936" w:type="dxa"/>
            <w:shd w:val="clear" w:color="auto" w:fill="auto"/>
          </w:tcPr>
          <w:p w:rsidR="00F50CC3" w:rsidRDefault="00730655">
            <w:pPr>
              <w:pStyle w:val="Default"/>
              <w:ind w:left="567"/>
              <w:rPr>
                <w:sz w:val="22"/>
                <w:szCs w:val="22"/>
              </w:rPr>
            </w:pPr>
            <w:r>
              <w:rPr>
                <w:sz w:val="22"/>
                <w:szCs w:val="22"/>
              </w:rPr>
              <w:t xml:space="preserve">Tünetekkel járó PE és MVT </w:t>
            </w:r>
          </w:p>
        </w:tc>
        <w:tc>
          <w:tcPr>
            <w:tcW w:w="2835" w:type="dxa"/>
            <w:shd w:val="clear" w:color="auto" w:fill="auto"/>
          </w:tcPr>
          <w:p w:rsidR="00F50CC3" w:rsidRDefault="00730655">
            <w:pPr>
              <w:spacing w:line="240" w:lineRule="auto"/>
              <w:rPr>
                <w:lang w:val="hu-HU"/>
              </w:rPr>
            </w:pPr>
            <w:r>
              <w:rPr>
                <w:lang w:val="hu-HU"/>
              </w:rPr>
              <w:t>0</w:t>
            </w:r>
          </w:p>
        </w:tc>
        <w:tc>
          <w:tcPr>
            <w:tcW w:w="2516" w:type="dxa"/>
            <w:shd w:val="clear" w:color="auto" w:fill="auto"/>
          </w:tcPr>
          <w:p w:rsidR="00F50CC3" w:rsidRDefault="00730655">
            <w:pPr>
              <w:spacing w:line="240" w:lineRule="auto"/>
              <w:rPr>
                <w:lang w:val="hu-HU"/>
              </w:rPr>
            </w:pPr>
            <w:r>
              <w:rPr>
                <w:lang w:val="hu-HU"/>
              </w:rPr>
              <w:t>2</w:t>
            </w:r>
          </w:p>
          <w:p w:rsidR="00F50CC3" w:rsidRDefault="00730655">
            <w:pPr>
              <w:pStyle w:val="Default"/>
              <w:rPr>
                <w:sz w:val="22"/>
                <w:szCs w:val="22"/>
              </w:rPr>
            </w:pPr>
            <w:r>
              <w:rPr>
                <w:sz w:val="22"/>
                <w:szCs w:val="22"/>
              </w:rPr>
              <w:t xml:space="preserve">( &lt; 0,1%) </w:t>
            </w:r>
          </w:p>
        </w:tc>
      </w:tr>
      <w:tr w:rsidR="00F50CC3">
        <w:tc>
          <w:tcPr>
            <w:tcW w:w="3936" w:type="dxa"/>
            <w:shd w:val="clear" w:color="auto" w:fill="auto"/>
          </w:tcPr>
          <w:p w:rsidR="00F50CC3" w:rsidRDefault="00730655">
            <w:pPr>
              <w:pStyle w:val="Default"/>
              <w:ind w:left="567"/>
              <w:rPr>
                <w:sz w:val="22"/>
                <w:szCs w:val="22"/>
              </w:rPr>
            </w:pPr>
            <w:r>
              <w:rPr>
                <w:sz w:val="22"/>
                <w:szCs w:val="22"/>
              </w:rPr>
              <w:t xml:space="preserve">Fatális PE/haláleset, amelynél nem lehet kizárni a PE-t </w:t>
            </w:r>
          </w:p>
        </w:tc>
        <w:tc>
          <w:tcPr>
            <w:tcW w:w="2835" w:type="dxa"/>
            <w:shd w:val="clear" w:color="auto" w:fill="auto"/>
          </w:tcPr>
          <w:p w:rsidR="00F50CC3" w:rsidRDefault="00730655">
            <w:pPr>
              <w:spacing w:line="240" w:lineRule="auto"/>
              <w:rPr>
                <w:lang w:val="hu-HU"/>
              </w:rPr>
            </w:pPr>
            <w:r>
              <w:rPr>
                <w:lang w:val="hu-HU"/>
              </w:rPr>
              <w:t>11</w:t>
            </w:r>
          </w:p>
          <w:p w:rsidR="00F50CC3" w:rsidRDefault="00730655">
            <w:pPr>
              <w:spacing w:line="240" w:lineRule="auto"/>
              <w:rPr>
                <w:lang w:val="hu-HU"/>
              </w:rPr>
            </w:pPr>
            <w:r>
              <w:rPr>
                <w:lang w:val="hu-HU"/>
              </w:rPr>
              <w:t>(0,5%)</w:t>
            </w:r>
          </w:p>
        </w:tc>
        <w:tc>
          <w:tcPr>
            <w:tcW w:w="2516" w:type="dxa"/>
            <w:shd w:val="clear" w:color="auto" w:fill="auto"/>
          </w:tcPr>
          <w:p w:rsidR="00F50CC3" w:rsidRDefault="00730655">
            <w:pPr>
              <w:pStyle w:val="Default"/>
              <w:rPr>
                <w:sz w:val="22"/>
                <w:szCs w:val="22"/>
              </w:rPr>
            </w:pPr>
            <w:r>
              <w:rPr>
                <w:sz w:val="22"/>
                <w:szCs w:val="22"/>
              </w:rPr>
              <w:t xml:space="preserve">7 </w:t>
            </w:r>
          </w:p>
          <w:p w:rsidR="00F50CC3" w:rsidRDefault="00730655">
            <w:pPr>
              <w:spacing w:line="240" w:lineRule="auto"/>
              <w:rPr>
                <w:lang w:val="hu-HU"/>
              </w:rPr>
            </w:pPr>
            <w:r>
              <w:rPr>
                <w:lang w:val="hu-HU"/>
              </w:rPr>
              <w:t xml:space="preserve">(0,3%) </w:t>
            </w:r>
          </w:p>
        </w:tc>
      </w:tr>
      <w:tr w:rsidR="00F50CC3">
        <w:tc>
          <w:tcPr>
            <w:tcW w:w="3936" w:type="dxa"/>
            <w:shd w:val="clear" w:color="auto" w:fill="auto"/>
          </w:tcPr>
          <w:p w:rsidR="00F50CC3" w:rsidRDefault="00730655">
            <w:pPr>
              <w:pStyle w:val="Default"/>
              <w:rPr>
                <w:sz w:val="22"/>
                <w:szCs w:val="22"/>
              </w:rPr>
            </w:pPr>
            <w:r>
              <w:rPr>
                <w:sz w:val="22"/>
                <w:szCs w:val="22"/>
              </w:rPr>
              <w:t xml:space="preserve">Súlyos vagy klinikailag jelentős, nem súlyos vérzés </w:t>
            </w:r>
          </w:p>
        </w:tc>
        <w:tc>
          <w:tcPr>
            <w:tcW w:w="2835" w:type="dxa"/>
            <w:shd w:val="clear" w:color="auto" w:fill="auto"/>
          </w:tcPr>
          <w:p w:rsidR="00F50CC3" w:rsidRDefault="00730655">
            <w:pPr>
              <w:spacing w:line="240" w:lineRule="auto"/>
              <w:rPr>
                <w:lang w:val="hu-HU"/>
              </w:rPr>
            </w:pPr>
            <w:r>
              <w:rPr>
                <w:lang w:val="hu-HU"/>
              </w:rPr>
              <w:t>249</w:t>
            </w:r>
          </w:p>
          <w:p w:rsidR="00F50CC3" w:rsidRDefault="00730655">
            <w:pPr>
              <w:spacing w:line="240" w:lineRule="auto"/>
              <w:rPr>
                <w:lang w:val="hu-HU"/>
              </w:rPr>
            </w:pPr>
            <w:r>
              <w:rPr>
                <w:lang w:val="hu-HU"/>
              </w:rPr>
              <w:t>(10,3%)</w:t>
            </w:r>
          </w:p>
        </w:tc>
        <w:tc>
          <w:tcPr>
            <w:tcW w:w="2516" w:type="dxa"/>
            <w:shd w:val="clear" w:color="auto" w:fill="auto"/>
          </w:tcPr>
          <w:p w:rsidR="00F50CC3" w:rsidRDefault="00730655">
            <w:pPr>
              <w:pStyle w:val="Default"/>
              <w:rPr>
                <w:sz w:val="22"/>
                <w:szCs w:val="22"/>
              </w:rPr>
            </w:pPr>
            <w:r>
              <w:rPr>
                <w:sz w:val="22"/>
                <w:szCs w:val="22"/>
              </w:rPr>
              <w:t xml:space="preserve">274 </w:t>
            </w:r>
          </w:p>
          <w:p w:rsidR="00F50CC3" w:rsidRDefault="00730655">
            <w:pPr>
              <w:spacing w:line="240" w:lineRule="auto"/>
              <w:rPr>
                <w:lang w:val="hu-HU"/>
              </w:rPr>
            </w:pPr>
            <w:r>
              <w:rPr>
                <w:lang w:val="hu-HU"/>
              </w:rPr>
              <w:t xml:space="preserve">(11,4%) </w:t>
            </w:r>
          </w:p>
        </w:tc>
      </w:tr>
      <w:tr w:rsidR="00F50CC3">
        <w:tc>
          <w:tcPr>
            <w:tcW w:w="3936" w:type="dxa"/>
            <w:shd w:val="clear" w:color="auto" w:fill="auto"/>
          </w:tcPr>
          <w:p w:rsidR="00F50CC3" w:rsidRDefault="00730655">
            <w:pPr>
              <w:pStyle w:val="Default"/>
              <w:rPr>
                <w:sz w:val="22"/>
                <w:szCs w:val="22"/>
              </w:rPr>
            </w:pPr>
            <w:r>
              <w:rPr>
                <w:sz w:val="22"/>
                <w:szCs w:val="22"/>
              </w:rPr>
              <w:t xml:space="preserve">Súlyos vérzéses esemény </w:t>
            </w:r>
          </w:p>
        </w:tc>
        <w:tc>
          <w:tcPr>
            <w:tcW w:w="2835" w:type="dxa"/>
            <w:shd w:val="clear" w:color="auto" w:fill="auto"/>
          </w:tcPr>
          <w:p w:rsidR="00F50CC3" w:rsidRDefault="00730655">
            <w:pPr>
              <w:spacing w:line="240" w:lineRule="auto"/>
              <w:rPr>
                <w:lang w:val="hu-HU"/>
              </w:rPr>
            </w:pPr>
            <w:r>
              <w:rPr>
                <w:lang w:val="hu-HU"/>
              </w:rPr>
              <w:t>26</w:t>
            </w:r>
          </w:p>
          <w:p w:rsidR="00F50CC3" w:rsidRDefault="00730655">
            <w:pPr>
              <w:spacing w:line="240" w:lineRule="auto"/>
              <w:rPr>
                <w:lang w:val="hu-HU"/>
              </w:rPr>
            </w:pPr>
            <w:r>
              <w:rPr>
                <w:lang w:val="hu-HU"/>
              </w:rPr>
              <w:t>(1,1%)</w:t>
            </w:r>
          </w:p>
        </w:tc>
        <w:tc>
          <w:tcPr>
            <w:tcW w:w="2516" w:type="dxa"/>
            <w:shd w:val="clear" w:color="auto" w:fill="auto"/>
          </w:tcPr>
          <w:p w:rsidR="00F50CC3" w:rsidRDefault="00730655">
            <w:pPr>
              <w:pStyle w:val="Default"/>
              <w:rPr>
                <w:sz w:val="22"/>
                <w:szCs w:val="22"/>
              </w:rPr>
            </w:pPr>
            <w:r>
              <w:rPr>
                <w:sz w:val="22"/>
                <w:szCs w:val="22"/>
              </w:rPr>
              <w:t xml:space="preserve">52 </w:t>
            </w:r>
          </w:p>
          <w:p w:rsidR="00F50CC3" w:rsidRDefault="00730655">
            <w:pPr>
              <w:spacing w:line="240" w:lineRule="auto"/>
              <w:rPr>
                <w:lang w:val="hu-HU"/>
              </w:rPr>
            </w:pPr>
            <w:r>
              <w:rPr>
                <w:lang w:val="hu-HU"/>
              </w:rPr>
              <w:t xml:space="preserve">(2,2%) </w:t>
            </w:r>
          </w:p>
        </w:tc>
      </w:tr>
    </w:tbl>
    <w:p w:rsidR="00F50CC3" w:rsidRDefault="00730655" w:rsidP="00521197">
      <w:pPr>
        <w:pStyle w:val="Default"/>
        <w:tabs>
          <w:tab w:val="left" w:pos="426"/>
        </w:tabs>
        <w:ind w:left="426" w:hanging="426"/>
        <w:rPr>
          <w:sz w:val="22"/>
          <w:szCs w:val="22"/>
        </w:rPr>
      </w:pPr>
      <w:r>
        <w:rPr>
          <w:sz w:val="22"/>
          <w:szCs w:val="22"/>
        </w:rPr>
        <w:t>a)</w:t>
      </w:r>
      <w:r w:rsidR="00521197">
        <w:rPr>
          <w:sz w:val="22"/>
          <w:szCs w:val="22"/>
        </w:rPr>
        <w:tab/>
      </w:r>
      <w:r>
        <w:rPr>
          <w:sz w:val="22"/>
          <w:szCs w:val="22"/>
        </w:rPr>
        <w:t>Naponta kétszer 15 mg rivaroxabán 3 hétig, utána naponta egyszer 20 mg</w:t>
      </w:r>
    </w:p>
    <w:p w:rsidR="00F50CC3" w:rsidRDefault="00730655" w:rsidP="00521197">
      <w:pPr>
        <w:pStyle w:val="Default"/>
        <w:tabs>
          <w:tab w:val="left" w:pos="426"/>
        </w:tabs>
        <w:ind w:left="426" w:hanging="426"/>
        <w:rPr>
          <w:sz w:val="22"/>
          <w:szCs w:val="22"/>
        </w:rPr>
      </w:pPr>
      <w:r>
        <w:rPr>
          <w:sz w:val="22"/>
          <w:szCs w:val="22"/>
        </w:rPr>
        <w:t>b)</w:t>
      </w:r>
      <w:r w:rsidR="00521197">
        <w:rPr>
          <w:sz w:val="22"/>
          <w:szCs w:val="22"/>
        </w:rPr>
        <w:tab/>
      </w:r>
      <w:r>
        <w:rPr>
          <w:sz w:val="22"/>
          <w:szCs w:val="22"/>
        </w:rPr>
        <w:t>Legalább 5 napig enoxaparin, KVA-val átfedésben, utána KVA</w:t>
      </w:r>
    </w:p>
    <w:p w:rsidR="00F50CC3" w:rsidRDefault="00730655" w:rsidP="00521197">
      <w:pPr>
        <w:tabs>
          <w:tab w:val="left" w:pos="426"/>
        </w:tabs>
        <w:spacing w:line="240" w:lineRule="auto"/>
        <w:ind w:left="426" w:hanging="426"/>
        <w:rPr>
          <w:lang w:val="hu-HU"/>
        </w:rPr>
      </w:pPr>
      <w:r>
        <w:rPr>
          <w:lang w:val="hu-HU"/>
        </w:rPr>
        <w:t>*</w:t>
      </w:r>
      <w:r w:rsidR="00521197">
        <w:rPr>
          <w:lang w:val="hu-HU"/>
        </w:rPr>
        <w:tab/>
      </w:r>
      <w:r>
        <w:rPr>
          <w:lang w:val="hu-HU"/>
        </w:rPr>
        <w:t xml:space="preserve">p &lt; 0,0026 (non-inferioritás az előre meghatározott 2,0 relatív hazárdhoz); relatív hazárd: 1,123 (0,749 – 1,684) </w:t>
      </w:r>
    </w:p>
    <w:p w:rsidR="00F50CC3" w:rsidRDefault="00F50CC3">
      <w:pPr>
        <w:spacing w:line="240" w:lineRule="auto"/>
        <w:rPr>
          <w:lang w:val="hu-HU"/>
        </w:rPr>
      </w:pPr>
    </w:p>
    <w:p w:rsidR="00F50CC3" w:rsidRDefault="00730655">
      <w:pPr>
        <w:spacing w:line="240" w:lineRule="auto"/>
        <w:rPr>
          <w:lang w:val="hu-HU"/>
        </w:rPr>
      </w:pPr>
      <w:r>
        <w:rPr>
          <w:lang w:val="hu-HU"/>
        </w:rPr>
        <w:t>Elvégezték az Einstein DVT és Einstein PE vizsgálatok eredményének egy előre meghatározott, összesített elemzését (lásd 7. táblázat).</w:t>
      </w:r>
    </w:p>
    <w:p w:rsidR="00F50CC3" w:rsidRDefault="00F50CC3">
      <w:pPr>
        <w:spacing w:line="240" w:lineRule="auto"/>
        <w:rPr>
          <w:noProof/>
          <w:lang w:val="hu-HU"/>
        </w:rPr>
      </w:pPr>
    </w:p>
    <w:p w:rsidR="00521197" w:rsidRDefault="00730655" w:rsidP="00521197">
      <w:pPr>
        <w:pStyle w:val="Default"/>
        <w:tabs>
          <w:tab w:val="left" w:pos="1276"/>
        </w:tabs>
        <w:ind w:left="1276" w:hanging="1276"/>
        <w:rPr>
          <w:b/>
          <w:bCs/>
          <w:sz w:val="22"/>
          <w:szCs w:val="22"/>
        </w:rPr>
      </w:pPr>
      <w:r>
        <w:rPr>
          <w:b/>
          <w:bCs/>
          <w:sz w:val="22"/>
          <w:szCs w:val="22"/>
        </w:rPr>
        <w:t>7. táblázat:</w:t>
      </w:r>
      <w:r w:rsidR="00521197">
        <w:rPr>
          <w:b/>
          <w:bCs/>
          <w:sz w:val="22"/>
          <w:szCs w:val="22"/>
        </w:rPr>
        <w:tab/>
      </w:r>
      <w:r>
        <w:rPr>
          <w:b/>
          <w:bCs/>
          <w:sz w:val="22"/>
          <w:szCs w:val="22"/>
        </w:rPr>
        <w:t>A III. fázisú Einstein DVT és PE vizsgálatok összesített hatásossági és biztonságossági eredményei</w:t>
      </w:r>
    </w:p>
    <w:p w:rsidR="00F50CC3" w:rsidRDefault="00F50CC3" w:rsidP="00521197">
      <w:pPr>
        <w:pStyle w:val="Default"/>
        <w:tabs>
          <w:tab w:val="left" w:pos="1276"/>
        </w:tabs>
        <w:ind w:left="1276" w:hanging="1276"/>
        <w:rPr>
          <w:rFonts w:eastAsia="Times New Roman"/>
          <w:noProof/>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7"/>
        <w:gridCol w:w="2492"/>
        <w:gridCol w:w="2753"/>
      </w:tblGrid>
      <w:tr w:rsidR="00F50CC3">
        <w:tc>
          <w:tcPr>
            <w:tcW w:w="3936" w:type="dxa"/>
            <w:shd w:val="clear" w:color="auto" w:fill="auto"/>
          </w:tcPr>
          <w:p w:rsidR="00F50CC3" w:rsidRDefault="00730655">
            <w:pPr>
              <w:pStyle w:val="Default"/>
              <w:rPr>
                <w:b/>
                <w:bCs/>
                <w:sz w:val="22"/>
                <w:szCs w:val="22"/>
              </w:rPr>
            </w:pPr>
            <w:r>
              <w:rPr>
                <w:b/>
                <w:bCs/>
                <w:sz w:val="22"/>
                <w:szCs w:val="22"/>
              </w:rPr>
              <w:t>Vizsgálati populáció</w:t>
            </w:r>
          </w:p>
        </w:tc>
        <w:tc>
          <w:tcPr>
            <w:tcW w:w="5351" w:type="dxa"/>
            <w:gridSpan w:val="2"/>
            <w:shd w:val="clear" w:color="auto" w:fill="auto"/>
          </w:tcPr>
          <w:p w:rsidR="00F50CC3" w:rsidRDefault="00730655">
            <w:pPr>
              <w:pStyle w:val="Default"/>
              <w:rPr>
                <w:b/>
                <w:bCs/>
                <w:sz w:val="22"/>
                <w:szCs w:val="22"/>
              </w:rPr>
            </w:pPr>
            <w:r>
              <w:rPr>
                <w:b/>
                <w:sz w:val="22"/>
                <w:szCs w:val="22"/>
              </w:rPr>
              <w:t xml:space="preserve">8281 tünetekkel járó, akut mélyvénás trombózisban vagy pulmonalis emboliában szenvedő beteg </w:t>
            </w:r>
          </w:p>
        </w:tc>
      </w:tr>
      <w:tr w:rsidR="00F50CC3">
        <w:tc>
          <w:tcPr>
            <w:tcW w:w="3936" w:type="dxa"/>
            <w:shd w:val="clear" w:color="auto" w:fill="auto"/>
          </w:tcPr>
          <w:p w:rsidR="00F50CC3" w:rsidRDefault="00730655">
            <w:pPr>
              <w:pStyle w:val="Default"/>
              <w:rPr>
                <w:b/>
                <w:bCs/>
                <w:sz w:val="22"/>
                <w:szCs w:val="22"/>
              </w:rPr>
            </w:pPr>
            <w:r>
              <w:rPr>
                <w:b/>
                <w:sz w:val="22"/>
                <w:szCs w:val="22"/>
              </w:rPr>
              <w:t xml:space="preserve">Terápiás dózis és kezelési időtartam </w:t>
            </w:r>
          </w:p>
        </w:tc>
        <w:tc>
          <w:tcPr>
            <w:tcW w:w="2551" w:type="dxa"/>
            <w:shd w:val="clear" w:color="auto" w:fill="auto"/>
          </w:tcPr>
          <w:p w:rsidR="00F50CC3" w:rsidRDefault="00730655">
            <w:pPr>
              <w:pStyle w:val="Default"/>
              <w:rPr>
                <w:b/>
                <w:sz w:val="22"/>
                <w:szCs w:val="22"/>
              </w:rPr>
            </w:pPr>
            <w:r>
              <w:rPr>
                <w:b/>
                <w:sz w:val="22"/>
                <w:szCs w:val="22"/>
              </w:rPr>
              <w:t>Rivaroxabán</w:t>
            </w:r>
            <w:r>
              <w:rPr>
                <w:b/>
                <w:position w:val="8"/>
                <w:sz w:val="22"/>
                <w:szCs w:val="22"/>
                <w:vertAlign w:val="superscript"/>
              </w:rPr>
              <w:t xml:space="preserve">a) </w:t>
            </w:r>
          </w:p>
          <w:p w:rsidR="00F50CC3" w:rsidRDefault="00730655">
            <w:pPr>
              <w:pStyle w:val="Default"/>
              <w:rPr>
                <w:b/>
                <w:sz w:val="22"/>
                <w:szCs w:val="22"/>
              </w:rPr>
            </w:pPr>
            <w:r>
              <w:rPr>
                <w:b/>
                <w:sz w:val="22"/>
                <w:szCs w:val="22"/>
              </w:rPr>
              <w:t>3, 6 vagy 12 hónap</w:t>
            </w:r>
          </w:p>
          <w:p w:rsidR="00F50CC3" w:rsidRDefault="00730655">
            <w:pPr>
              <w:pStyle w:val="Default"/>
              <w:rPr>
                <w:b/>
                <w:bCs/>
                <w:sz w:val="22"/>
                <w:szCs w:val="22"/>
              </w:rPr>
            </w:pPr>
            <w:r>
              <w:rPr>
                <w:b/>
                <w:sz w:val="22"/>
                <w:szCs w:val="22"/>
              </w:rPr>
              <w:t>N = 4150</w:t>
            </w:r>
          </w:p>
        </w:tc>
        <w:tc>
          <w:tcPr>
            <w:tcW w:w="2800" w:type="dxa"/>
            <w:shd w:val="clear" w:color="auto" w:fill="auto"/>
          </w:tcPr>
          <w:p w:rsidR="00F50CC3" w:rsidRDefault="00730655">
            <w:pPr>
              <w:pStyle w:val="Default"/>
              <w:rPr>
                <w:b/>
                <w:sz w:val="22"/>
                <w:szCs w:val="22"/>
              </w:rPr>
            </w:pPr>
            <w:r>
              <w:rPr>
                <w:b/>
                <w:sz w:val="22"/>
                <w:szCs w:val="22"/>
              </w:rPr>
              <w:t>Enoxaparin/VKA</w:t>
            </w:r>
            <w:r>
              <w:rPr>
                <w:b/>
                <w:position w:val="8"/>
                <w:sz w:val="22"/>
                <w:szCs w:val="22"/>
                <w:vertAlign w:val="superscript"/>
              </w:rPr>
              <w:t xml:space="preserve">b) </w:t>
            </w:r>
          </w:p>
          <w:p w:rsidR="00F50CC3" w:rsidRDefault="00730655">
            <w:pPr>
              <w:pStyle w:val="Default"/>
              <w:rPr>
                <w:b/>
                <w:sz w:val="22"/>
                <w:szCs w:val="22"/>
              </w:rPr>
            </w:pPr>
            <w:r>
              <w:rPr>
                <w:b/>
                <w:sz w:val="22"/>
                <w:szCs w:val="22"/>
              </w:rPr>
              <w:t>3, 6 vagy 12 hónap</w:t>
            </w:r>
          </w:p>
          <w:p w:rsidR="00F50CC3" w:rsidRDefault="00730655">
            <w:pPr>
              <w:pStyle w:val="Default"/>
              <w:rPr>
                <w:b/>
                <w:bCs/>
                <w:sz w:val="22"/>
                <w:szCs w:val="22"/>
              </w:rPr>
            </w:pPr>
            <w:r>
              <w:rPr>
                <w:b/>
                <w:sz w:val="22"/>
                <w:szCs w:val="22"/>
              </w:rPr>
              <w:t>N = 4131</w:t>
            </w:r>
          </w:p>
        </w:tc>
      </w:tr>
      <w:tr w:rsidR="00F50CC3">
        <w:tc>
          <w:tcPr>
            <w:tcW w:w="3936" w:type="dxa"/>
            <w:shd w:val="clear" w:color="auto" w:fill="auto"/>
          </w:tcPr>
          <w:p w:rsidR="00F50CC3" w:rsidRDefault="00730655">
            <w:pPr>
              <w:pStyle w:val="Default"/>
              <w:ind w:hanging="180"/>
              <w:rPr>
                <w:b/>
                <w:bCs/>
                <w:sz w:val="22"/>
                <w:szCs w:val="22"/>
              </w:rPr>
            </w:pPr>
            <w:r>
              <w:rPr>
                <w:sz w:val="22"/>
                <w:szCs w:val="22"/>
              </w:rPr>
              <w:t xml:space="preserve">   Tünetekkel járó, visszatérő VTE* </w:t>
            </w:r>
          </w:p>
        </w:tc>
        <w:tc>
          <w:tcPr>
            <w:tcW w:w="2551" w:type="dxa"/>
            <w:shd w:val="clear" w:color="auto" w:fill="auto"/>
          </w:tcPr>
          <w:p w:rsidR="00F50CC3" w:rsidRDefault="00730655">
            <w:pPr>
              <w:pStyle w:val="Default"/>
              <w:rPr>
                <w:sz w:val="22"/>
                <w:szCs w:val="22"/>
              </w:rPr>
            </w:pPr>
            <w:r>
              <w:rPr>
                <w:sz w:val="22"/>
                <w:szCs w:val="22"/>
              </w:rPr>
              <w:t>86</w:t>
            </w:r>
          </w:p>
          <w:p w:rsidR="00F50CC3" w:rsidRDefault="00730655">
            <w:pPr>
              <w:pStyle w:val="Default"/>
              <w:rPr>
                <w:b/>
                <w:bCs/>
                <w:sz w:val="22"/>
                <w:szCs w:val="22"/>
              </w:rPr>
            </w:pPr>
            <w:r>
              <w:rPr>
                <w:sz w:val="22"/>
                <w:szCs w:val="22"/>
              </w:rPr>
              <w:t>(2,1%)</w:t>
            </w:r>
          </w:p>
        </w:tc>
        <w:tc>
          <w:tcPr>
            <w:tcW w:w="2800" w:type="dxa"/>
            <w:shd w:val="clear" w:color="auto" w:fill="auto"/>
          </w:tcPr>
          <w:p w:rsidR="00F50CC3" w:rsidRDefault="00730655">
            <w:pPr>
              <w:pStyle w:val="Default"/>
              <w:rPr>
                <w:sz w:val="22"/>
                <w:szCs w:val="22"/>
              </w:rPr>
            </w:pPr>
            <w:r>
              <w:rPr>
                <w:sz w:val="22"/>
                <w:szCs w:val="22"/>
              </w:rPr>
              <w:t>95</w:t>
            </w:r>
          </w:p>
          <w:p w:rsidR="00F50CC3" w:rsidRDefault="00730655">
            <w:pPr>
              <w:pStyle w:val="Default"/>
              <w:rPr>
                <w:b/>
                <w:bCs/>
                <w:sz w:val="22"/>
                <w:szCs w:val="22"/>
              </w:rPr>
            </w:pPr>
            <w:r>
              <w:rPr>
                <w:sz w:val="22"/>
                <w:szCs w:val="22"/>
              </w:rPr>
              <w:t>(2,3%)</w:t>
            </w:r>
          </w:p>
        </w:tc>
      </w:tr>
      <w:tr w:rsidR="00F50CC3">
        <w:tc>
          <w:tcPr>
            <w:tcW w:w="3936" w:type="dxa"/>
            <w:shd w:val="clear" w:color="auto" w:fill="auto"/>
          </w:tcPr>
          <w:p w:rsidR="00F50CC3" w:rsidRDefault="00730655">
            <w:pPr>
              <w:pStyle w:val="Default"/>
              <w:ind w:left="567"/>
              <w:rPr>
                <w:b/>
                <w:bCs/>
                <w:sz w:val="22"/>
                <w:szCs w:val="22"/>
              </w:rPr>
            </w:pPr>
            <w:r>
              <w:rPr>
                <w:sz w:val="22"/>
                <w:szCs w:val="22"/>
              </w:rPr>
              <w:t xml:space="preserve">Tünetekkel járó, visszatérő PE </w:t>
            </w:r>
          </w:p>
        </w:tc>
        <w:tc>
          <w:tcPr>
            <w:tcW w:w="2551" w:type="dxa"/>
            <w:shd w:val="clear" w:color="auto" w:fill="auto"/>
          </w:tcPr>
          <w:p w:rsidR="00F50CC3" w:rsidRDefault="00730655">
            <w:pPr>
              <w:pStyle w:val="Default"/>
              <w:rPr>
                <w:sz w:val="22"/>
                <w:szCs w:val="22"/>
              </w:rPr>
            </w:pPr>
            <w:r>
              <w:rPr>
                <w:sz w:val="22"/>
                <w:szCs w:val="22"/>
              </w:rPr>
              <w:t>43</w:t>
            </w:r>
          </w:p>
          <w:p w:rsidR="00F50CC3" w:rsidRDefault="00730655">
            <w:pPr>
              <w:pStyle w:val="Default"/>
              <w:rPr>
                <w:b/>
                <w:bCs/>
                <w:sz w:val="22"/>
                <w:szCs w:val="22"/>
              </w:rPr>
            </w:pPr>
            <w:r>
              <w:rPr>
                <w:sz w:val="22"/>
                <w:szCs w:val="22"/>
              </w:rPr>
              <w:t>(1,0%)</w:t>
            </w:r>
          </w:p>
        </w:tc>
        <w:tc>
          <w:tcPr>
            <w:tcW w:w="2800" w:type="dxa"/>
            <w:shd w:val="clear" w:color="auto" w:fill="auto"/>
          </w:tcPr>
          <w:p w:rsidR="00F50CC3" w:rsidRDefault="00730655">
            <w:pPr>
              <w:pStyle w:val="Default"/>
              <w:rPr>
                <w:sz w:val="22"/>
                <w:szCs w:val="22"/>
              </w:rPr>
            </w:pPr>
            <w:r>
              <w:rPr>
                <w:sz w:val="22"/>
                <w:szCs w:val="22"/>
              </w:rPr>
              <w:t>38</w:t>
            </w:r>
          </w:p>
          <w:p w:rsidR="00F50CC3" w:rsidRDefault="00730655">
            <w:pPr>
              <w:pStyle w:val="Default"/>
              <w:rPr>
                <w:b/>
                <w:bCs/>
                <w:sz w:val="22"/>
                <w:szCs w:val="22"/>
              </w:rPr>
            </w:pPr>
            <w:r>
              <w:rPr>
                <w:sz w:val="22"/>
                <w:szCs w:val="22"/>
              </w:rPr>
              <w:t>(0,9%)</w:t>
            </w:r>
          </w:p>
        </w:tc>
      </w:tr>
      <w:tr w:rsidR="00F50CC3">
        <w:tc>
          <w:tcPr>
            <w:tcW w:w="3936" w:type="dxa"/>
            <w:shd w:val="clear" w:color="auto" w:fill="auto"/>
          </w:tcPr>
          <w:p w:rsidR="00F50CC3" w:rsidRDefault="00730655">
            <w:pPr>
              <w:pStyle w:val="Default"/>
              <w:ind w:left="567"/>
              <w:rPr>
                <w:b/>
                <w:bCs/>
                <w:sz w:val="22"/>
                <w:szCs w:val="22"/>
              </w:rPr>
            </w:pPr>
            <w:r>
              <w:rPr>
                <w:sz w:val="22"/>
                <w:szCs w:val="22"/>
              </w:rPr>
              <w:t xml:space="preserve">Tünetekkel járó, recidiváló MVT </w:t>
            </w:r>
          </w:p>
        </w:tc>
        <w:tc>
          <w:tcPr>
            <w:tcW w:w="2551" w:type="dxa"/>
            <w:shd w:val="clear" w:color="auto" w:fill="auto"/>
          </w:tcPr>
          <w:p w:rsidR="00F50CC3" w:rsidRDefault="00730655">
            <w:pPr>
              <w:pStyle w:val="Default"/>
              <w:rPr>
                <w:sz w:val="22"/>
                <w:szCs w:val="22"/>
              </w:rPr>
            </w:pPr>
            <w:r>
              <w:rPr>
                <w:sz w:val="22"/>
                <w:szCs w:val="22"/>
              </w:rPr>
              <w:t>32</w:t>
            </w:r>
          </w:p>
          <w:p w:rsidR="00F50CC3" w:rsidRDefault="00730655">
            <w:pPr>
              <w:pStyle w:val="Default"/>
              <w:rPr>
                <w:b/>
                <w:bCs/>
                <w:sz w:val="22"/>
                <w:szCs w:val="22"/>
              </w:rPr>
            </w:pPr>
            <w:r>
              <w:rPr>
                <w:sz w:val="22"/>
                <w:szCs w:val="22"/>
              </w:rPr>
              <w:t>(0,8%)</w:t>
            </w:r>
          </w:p>
        </w:tc>
        <w:tc>
          <w:tcPr>
            <w:tcW w:w="2800" w:type="dxa"/>
            <w:shd w:val="clear" w:color="auto" w:fill="auto"/>
          </w:tcPr>
          <w:p w:rsidR="00F50CC3" w:rsidRDefault="00730655">
            <w:pPr>
              <w:pStyle w:val="Default"/>
              <w:rPr>
                <w:sz w:val="22"/>
                <w:szCs w:val="22"/>
              </w:rPr>
            </w:pPr>
            <w:r>
              <w:rPr>
                <w:sz w:val="22"/>
                <w:szCs w:val="22"/>
              </w:rPr>
              <w:t>45</w:t>
            </w:r>
          </w:p>
          <w:p w:rsidR="00F50CC3" w:rsidRDefault="00730655">
            <w:pPr>
              <w:pStyle w:val="Default"/>
              <w:rPr>
                <w:b/>
                <w:bCs/>
                <w:sz w:val="22"/>
                <w:szCs w:val="22"/>
              </w:rPr>
            </w:pPr>
            <w:r>
              <w:rPr>
                <w:sz w:val="22"/>
                <w:szCs w:val="22"/>
              </w:rPr>
              <w:t>(1,1%)</w:t>
            </w:r>
          </w:p>
        </w:tc>
      </w:tr>
      <w:tr w:rsidR="00F50CC3">
        <w:tc>
          <w:tcPr>
            <w:tcW w:w="3936" w:type="dxa"/>
            <w:shd w:val="clear" w:color="auto" w:fill="auto"/>
          </w:tcPr>
          <w:p w:rsidR="00F50CC3" w:rsidRDefault="00730655">
            <w:pPr>
              <w:pStyle w:val="Default"/>
              <w:ind w:left="567"/>
              <w:rPr>
                <w:b/>
                <w:bCs/>
                <w:sz w:val="22"/>
                <w:szCs w:val="22"/>
              </w:rPr>
            </w:pPr>
            <w:r>
              <w:rPr>
                <w:sz w:val="22"/>
                <w:szCs w:val="22"/>
              </w:rPr>
              <w:t xml:space="preserve">Tünetekkel járó PE és MVT </w:t>
            </w:r>
          </w:p>
        </w:tc>
        <w:tc>
          <w:tcPr>
            <w:tcW w:w="2551" w:type="dxa"/>
            <w:shd w:val="clear" w:color="auto" w:fill="auto"/>
          </w:tcPr>
          <w:p w:rsidR="00F50CC3" w:rsidRDefault="00730655">
            <w:pPr>
              <w:pStyle w:val="Default"/>
              <w:rPr>
                <w:sz w:val="22"/>
                <w:szCs w:val="22"/>
              </w:rPr>
            </w:pPr>
            <w:r>
              <w:rPr>
                <w:sz w:val="22"/>
                <w:szCs w:val="22"/>
              </w:rPr>
              <w:t>1</w:t>
            </w:r>
          </w:p>
          <w:p w:rsidR="00F50CC3" w:rsidRDefault="00730655">
            <w:pPr>
              <w:pStyle w:val="Default"/>
              <w:rPr>
                <w:b/>
                <w:bCs/>
                <w:sz w:val="22"/>
                <w:szCs w:val="22"/>
              </w:rPr>
            </w:pPr>
            <w:r>
              <w:rPr>
                <w:sz w:val="22"/>
                <w:szCs w:val="22"/>
              </w:rPr>
              <w:t>( &lt; 0,1%)</w:t>
            </w:r>
          </w:p>
        </w:tc>
        <w:tc>
          <w:tcPr>
            <w:tcW w:w="2800" w:type="dxa"/>
            <w:shd w:val="clear" w:color="auto" w:fill="auto"/>
          </w:tcPr>
          <w:p w:rsidR="00F50CC3" w:rsidRDefault="00730655">
            <w:pPr>
              <w:pStyle w:val="Default"/>
              <w:rPr>
                <w:sz w:val="22"/>
                <w:szCs w:val="22"/>
              </w:rPr>
            </w:pPr>
            <w:r>
              <w:rPr>
                <w:sz w:val="22"/>
                <w:szCs w:val="22"/>
              </w:rPr>
              <w:t>2</w:t>
            </w:r>
          </w:p>
          <w:p w:rsidR="00F50CC3" w:rsidRDefault="00730655">
            <w:pPr>
              <w:pStyle w:val="Default"/>
              <w:rPr>
                <w:b/>
                <w:bCs/>
                <w:sz w:val="22"/>
                <w:szCs w:val="22"/>
              </w:rPr>
            </w:pPr>
            <w:r>
              <w:rPr>
                <w:sz w:val="22"/>
                <w:szCs w:val="22"/>
              </w:rPr>
              <w:t>( &lt; 0,1%)</w:t>
            </w:r>
          </w:p>
        </w:tc>
      </w:tr>
      <w:tr w:rsidR="00F50CC3">
        <w:tc>
          <w:tcPr>
            <w:tcW w:w="3936" w:type="dxa"/>
            <w:shd w:val="clear" w:color="auto" w:fill="auto"/>
          </w:tcPr>
          <w:p w:rsidR="00F50CC3" w:rsidRDefault="00730655">
            <w:pPr>
              <w:pStyle w:val="Default"/>
              <w:ind w:left="567"/>
              <w:rPr>
                <w:b/>
                <w:bCs/>
                <w:sz w:val="22"/>
                <w:szCs w:val="22"/>
              </w:rPr>
            </w:pPr>
            <w:r>
              <w:rPr>
                <w:sz w:val="22"/>
                <w:szCs w:val="22"/>
              </w:rPr>
              <w:t xml:space="preserve">Fatális PE/haláleset, amelynél nem lehet kizárni a PE-t </w:t>
            </w:r>
          </w:p>
        </w:tc>
        <w:tc>
          <w:tcPr>
            <w:tcW w:w="2551" w:type="dxa"/>
            <w:shd w:val="clear" w:color="auto" w:fill="auto"/>
          </w:tcPr>
          <w:p w:rsidR="00F50CC3" w:rsidRDefault="00730655">
            <w:pPr>
              <w:pStyle w:val="Default"/>
              <w:rPr>
                <w:sz w:val="22"/>
                <w:szCs w:val="22"/>
              </w:rPr>
            </w:pPr>
            <w:r>
              <w:rPr>
                <w:sz w:val="22"/>
                <w:szCs w:val="22"/>
              </w:rPr>
              <w:t>15</w:t>
            </w:r>
          </w:p>
          <w:p w:rsidR="00F50CC3" w:rsidRDefault="00730655">
            <w:pPr>
              <w:pStyle w:val="Default"/>
              <w:rPr>
                <w:b/>
                <w:bCs/>
                <w:sz w:val="22"/>
                <w:szCs w:val="22"/>
              </w:rPr>
            </w:pPr>
            <w:r>
              <w:rPr>
                <w:sz w:val="22"/>
                <w:szCs w:val="22"/>
              </w:rPr>
              <w:t>(0,4%)</w:t>
            </w:r>
          </w:p>
        </w:tc>
        <w:tc>
          <w:tcPr>
            <w:tcW w:w="2800" w:type="dxa"/>
            <w:shd w:val="clear" w:color="auto" w:fill="auto"/>
          </w:tcPr>
          <w:p w:rsidR="00F50CC3" w:rsidRDefault="00730655">
            <w:pPr>
              <w:pStyle w:val="Default"/>
              <w:rPr>
                <w:sz w:val="22"/>
                <w:szCs w:val="22"/>
              </w:rPr>
            </w:pPr>
            <w:r>
              <w:rPr>
                <w:sz w:val="22"/>
                <w:szCs w:val="22"/>
              </w:rPr>
              <w:t>13</w:t>
            </w:r>
          </w:p>
          <w:p w:rsidR="00F50CC3" w:rsidRDefault="00730655">
            <w:pPr>
              <w:pStyle w:val="Default"/>
              <w:rPr>
                <w:b/>
                <w:bCs/>
                <w:sz w:val="22"/>
                <w:szCs w:val="22"/>
              </w:rPr>
            </w:pPr>
            <w:r>
              <w:rPr>
                <w:sz w:val="22"/>
                <w:szCs w:val="22"/>
              </w:rPr>
              <w:t>(0,3%)</w:t>
            </w:r>
          </w:p>
        </w:tc>
      </w:tr>
      <w:tr w:rsidR="00F50CC3">
        <w:tc>
          <w:tcPr>
            <w:tcW w:w="3936" w:type="dxa"/>
            <w:shd w:val="clear" w:color="auto" w:fill="auto"/>
          </w:tcPr>
          <w:p w:rsidR="00F50CC3" w:rsidRDefault="00730655">
            <w:pPr>
              <w:pStyle w:val="Default"/>
              <w:rPr>
                <w:b/>
                <w:bCs/>
                <w:sz w:val="22"/>
                <w:szCs w:val="22"/>
              </w:rPr>
            </w:pPr>
            <w:r>
              <w:rPr>
                <w:sz w:val="22"/>
                <w:szCs w:val="22"/>
              </w:rPr>
              <w:t xml:space="preserve">Súlyos vagy klinikailag jelentős, nem súlyos vérzés </w:t>
            </w:r>
          </w:p>
        </w:tc>
        <w:tc>
          <w:tcPr>
            <w:tcW w:w="2551" w:type="dxa"/>
            <w:shd w:val="clear" w:color="auto" w:fill="auto"/>
          </w:tcPr>
          <w:p w:rsidR="00F50CC3" w:rsidRDefault="00730655">
            <w:pPr>
              <w:pStyle w:val="Default"/>
              <w:rPr>
                <w:sz w:val="22"/>
                <w:szCs w:val="22"/>
              </w:rPr>
            </w:pPr>
            <w:r>
              <w:rPr>
                <w:sz w:val="22"/>
                <w:szCs w:val="22"/>
              </w:rPr>
              <w:t>388</w:t>
            </w:r>
          </w:p>
          <w:p w:rsidR="00F50CC3" w:rsidRDefault="00730655">
            <w:pPr>
              <w:pStyle w:val="Default"/>
              <w:rPr>
                <w:b/>
                <w:bCs/>
                <w:sz w:val="22"/>
                <w:szCs w:val="22"/>
              </w:rPr>
            </w:pPr>
            <w:r>
              <w:rPr>
                <w:sz w:val="22"/>
                <w:szCs w:val="22"/>
              </w:rPr>
              <w:t>(9,4%)</w:t>
            </w:r>
          </w:p>
        </w:tc>
        <w:tc>
          <w:tcPr>
            <w:tcW w:w="2800" w:type="dxa"/>
            <w:shd w:val="clear" w:color="auto" w:fill="auto"/>
          </w:tcPr>
          <w:p w:rsidR="00F50CC3" w:rsidRDefault="00730655">
            <w:pPr>
              <w:pStyle w:val="Default"/>
              <w:rPr>
                <w:sz w:val="22"/>
                <w:szCs w:val="22"/>
              </w:rPr>
            </w:pPr>
            <w:r>
              <w:rPr>
                <w:sz w:val="22"/>
                <w:szCs w:val="22"/>
              </w:rPr>
              <w:t>412</w:t>
            </w:r>
          </w:p>
          <w:p w:rsidR="00F50CC3" w:rsidRDefault="00730655">
            <w:pPr>
              <w:pStyle w:val="Default"/>
              <w:rPr>
                <w:b/>
                <w:bCs/>
                <w:sz w:val="22"/>
                <w:szCs w:val="22"/>
              </w:rPr>
            </w:pPr>
            <w:r>
              <w:rPr>
                <w:sz w:val="22"/>
                <w:szCs w:val="22"/>
              </w:rPr>
              <w:t>(10,0%)</w:t>
            </w:r>
          </w:p>
        </w:tc>
      </w:tr>
      <w:tr w:rsidR="00F50CC3">
        <w:tc>
          <w:tcPr>
            <w:tcW w:w="3936" w:type="dxa"/>
            <w:shd w:val="clear" w:color="auto" w:fill="auto"/>
          </w:tcPr>
          <w:p w:rsidR="00F50CC3" w:rsidRDefault="00730655">
            <w:pPr>
              <w:pStyle w:val="Default"/>
              <w:rPr>
                <w:b/>
                <w:bCs/>
                <w:sz w:val="22"/>
                <w:szCs w:val="22"/>
              </w:rPr>
            </w:pPr>
            <w:r>
              <w:rPr>
                <w:sz w:val="22"/>
                <w:szCs w:val="22"/>
              </w:rPr>
              <w:t xml:space="preserve">Súlyos vérzéses esemény </w:t>
            </w:r>
          </w:p>
        </w:tc>
        <w:tc>
          <w:tcPr>
            <w:tcW w:w="2551" w:type="dxa"/>
            <w:shd w:val="clear" w:color="auto" w:fill="auto"/>
          </w:tcPr>
          <w:p w:rsidR="00F50CC3" w:rsidRDefault="00730655">
            <w:pPr>
              <w:pStyle w:val="Default"/>
              <w:rPr>
                <w:sz w:val="22"/>
                <w:szCs w:val="22"/>
              </w:rPr>
            </w:pPr>
            <w:r>
              <w:rPr>
                <w:sz w:val="22"/>
                <w:szCs w:val="22"/>
              </w:rPr>
              <w:t>40</w:t>
            </w:r>
          </w:p>
          <w:p w:rsidR="00F50CC3" w:rsidRDefault="00730655">
            <w:pPr>
              <w:pStyle w:val="Default"/>
              <w:rPr>
                <w:b/>
                <w:bCs/>
                <w:sz w:val="22"/>
                <w:szCs w:val="22"/>
              </w:rPr>
            </w:pPr>
            <w:r>
              <w:rPr>
                <w:sz w:val="22"/>
                <w:szCs w:val="22"/>
              </w:rPr>
              <w:t>(1,0%)</w:t>
            </w:r>
          </w:p>
        </w:tc>
        <w:tc>
          <w:tcPr>
            <w:tcW w:w="2800" w:type="dxa"/>
            <w:shd w:val="clear" w:color="auto" w:fill="auto"/>
          </w:tcPr>
          <w:p w:rsidR="00F50CC3" w:rsidRDefault="00730655">
            <w:pPr>
              <w:pStyle w:val="Default"/>
              <w:rPr>
                <w:sz w:val="22"/>
                <w:szCs w:val="22"/>
              </w:rPr>
            </w:pPr>
            <w:r>
              <w:rPr>
                <w:sz w:val="22"/>
                <w:szCs w:val="22"/>
              </w:rPr>
              <w:t>72</w:t>
            </w:r>
          </w:p>
          <w:p w:rsidR="00F50CC3" w:rsidRDefault="00730655">
            <w:pPr>
              <w:pStyle w:val="Default"/>
              <w:rPr>
                <w:b/>
                <w:bCs/>
                <w:sz w:val="22"/>
                <w:szCs w:val="22"/>
              </w:rPr>
            </w:pPr>
            <w:r>
              <w:rPr>
                <w:sz w:val="22"/>
                <w:szCs w:val="22"/>
              </w:rPr>
              <w:t>(1,7%)</w:t>
            </w:r>
          </w:p>
        </w:tc>
      </w:tr>
    </w:tbl>
    <w:p w:rsidR="00F50CC3" w:rsidRDefault="00730655" w:rsidP="00521197">
      <w:pPr>
        <w:pStyle w:val="Default"/>
        <w:tabs>
          <w:tab w:val="left" w:pos="426"/>
        </w:tabs>
        <w:ind w:left="426" w:hanging="426"/>
        <w:rPr>
          <w:sz w:val="22"/>
          <w:szCs w:val="22"/>
        </w:rPr>
      </w:pPr>
      <w:r>
        <w:rPr>
          <w:sz w:val="22"/>
          <w:szCs w:val="22"/>
        </w:rPr>
        <w:t>a)</w:t>
      </w:r>
      <w:r w:rsidR="00521197">
        <w:rPr>
          <w:sz w:val="22"/>
          <w:szCs w:val="22"/>
        </w:rPr>
        <w:tab/>
      </w:r>
      <w:r>
        <w:rPr>
          <w:sz w:val="22"/>
          <w:szCs w:val="22"/>
        </w:rPr>
        <w:t>Naponta kétszer 15 mg rivaroxabán 3 hétig, utána naponta egyszer 20 mg</w:t>
      </w:r>
    </w:p>
    <w:p w:rsidR="00F50CC3" w:rsidRDefault="00730655" w:rsidP="00521197">
      <w:pPr>
        <w:pStyle w:val="Default"/>
        <w:tabs>
          <w:tab w:val="left" w:pos="426"/>
        </w:tabs>
        <w:ind w:left="426" w:hanging="426"/>
        <w:rPr>
          <w:sz w:val="22"/>
          <w:szCs w:val="22"/>
        </w:rPr>
      </w:pPr>
      <w:r>
        <w:rPr>
          <w:sz w:val="22"/>
          <w:szCs w:val="22"/>
        </w:rPr>
        <w:t>b)</w:t>
      </w:r>
      <w:r w:rsidR="00521197">
        <w:rPr>
          <w:sz w:val="22"/>
          <w:szCs w:val="22"/>
        </w:rPr>
        <w:tab/>
      </w:r>
      <w:r>
        <w:rPr>
          <w:sz w:val="22"/>
          <w:szCs w:val="22"/>
        </w:rPr>
        <w:t>Legalább 5 napig enoxaparin, KVA-val átfedésben, utána KVA</w:t>
      </w:r>
    </w:p>
    <w:p w:rsidR="00F50CC3" w:rsidRDefault="00730655" w:rsidP="00521197">
      <w:pPr>
        <w:tabs>
          <w:tab w:val="left" w:pos="426"/>
        </w:tabs>
        <w:spacing w:line="240" w:lineRule="auto"/>
        <w:ind w:left="426" w:hanging="426"/>
        <w:rPr>
          <w:noProof/>
          <w:lang w:val="hu-HU"/>
        </w:rPr>
      </w:pPr>
      <w:r>
        <w:rPr>
          <w:lang w:val="hu-HU"/>
        </w:rPr>
        <w:t>*</w:t>
      </w:r>
      <w:r w:rsidR="00521197">
        <w:rPr>
          <w:lang w:val="hu-HU"/>
        </w:rPr>
        <w:tab/>
      </w:r>
      <w:r>
        <w:rPr>
          <w:lang w:val="hu-HU"/>
        </w:rPr>
        <w:t xml:space="preserve">p &lt; 0,0001 (non-inferioritás az előre meghatározott 1,75 relatív hazárdhoz); relatív hazárd: 0,886 (0,661 – 1,186) </w:t>
      </w:r>
    </w:p>
    <w:p w:rsidR="00F50CC3" w:rsidRDefault="00F50CC3">
      <w:pPr>
        <w:spacing w:line="240" w:lineRule="auto"/>
        <w:rPr>
          <w:noProof/>
          <w:lang w:val="hu-HU"/>
        </w:rPr>
      </w:pPr>
    </w:p>
    <w:p w:rsidR="00F50CC3" w:rsidRDefault="00730655">
      <w:pPr>
        <w:pStyle w:val="Default"/>
        <w:rPr>
          <w:sz w:val="22"/>
          <w:szCs w:val="22"/>
        </w:rPr>
      </w:pPr>
      <w:r>
        <w:rPr>
          <w:sz w:val="22"/>
          <w:szCs w:val="22"/>
        </w:rPr>
        <w:t>Az előre meghatározott nettó klinikai előny (elsődleges hatásossági végpont plusz a súlyos vérzéses események) tekintetében az összesített elemzés során 0,771-es relatív hazárdról számoltak be ((95%</w:t>
      </w:r>
      <w:r w:rsidR="00521197">
        <w:rPr>
          <w:sz w:val="22"/>
          <w:szCs w:val="22"/>
        </w:rPr>
        <w:noBreakHyphen/>
        <w:t>os</w:t>
      </w:r>
      <w:r>
        <w:rPr>
          <w:sz w:val="22"/>
          <w:szCs w:val="22"/>
        </w:rPr>
        <w:t xml:space="preserve"> CI: 0,614-0,967), névleges p-érték p = 0,0244).</w:t>
      </w:r>
    </w:p>
    <w:p w:rsidR="00F50CC3" w:rsidRDefault="00F50CC3">
      <w:pPr>
        <w:pStyle w:val="Default"/>
        <w:rPr>
          <w:sz w:val="22"/>
          <w:szCs w:val="22"/>
        </w:rPr>
      </w:pPr>
    </w:p>
    <w:p w:rsidR="00F50CC3" w:rsidRDefault="00730655">
      <w:pPr>
        <w:spacing w:line="240" w:lineRule="auto"/>
        <w:rPr>
          <w:noProof/>
          <w:lang w:val="hu-HU"/>
        </w:rPr>
      </w:pPr>
      <w:r>
        <w:rPr>
          <w:lang w:val="hu-HU"/>
        </w:rPr>
        <w:t>Az Einstein Extension vizsgálatban (lásd 8.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20 mg rivaroxabánnal kezelt betegeknél a placebóval kezeltekhez képest. A másodlagos biztonságossági végpont (súlyos vagy klinikailag jelentős, nem súlyos vérzéses események) tekintetében a naponta egyszer 20 mg rivaroxabánnal kezelt betegeknél magasabb arányokat észleltek a placebóval kezelt megfigyeltekhez képest.</w:t>
      </w:r>
    </w:p>
    <w:p w:rsidR="00F50CC3" w:rsidRDefault="00F50CC3">
      <w:pPr>
        <w:spacing w:line="240" w:lineRule="auto"/>
        <w:rPr>
          <w:noProof/>
          <w:lang w:val="hu-HU"/>
        </w:rPr>
      </w:pPr>
    </w:p>
    <w:p w:rsidR="00F50CC3" w:rsidRDefault="00730655" w:rsidP="00521197">
      <w:pPr>
        <w:pStyle w:val="Default"/>
        <w:tabs>
          <w:tab w:val="left" w:pos="1276"/>
        </w:tabs>
        <w:ind w:left="1276" w:hanging="1276"/>
        <w:rPr>
          <w:b/>
          <w:bCs/>
          <w:sz w:val="22"/>
          <w:szCs w:val="22"/>
        </w:rPr>
      </w:pPr>
      <w:r>
        <w:rPr>
          <w:b/>
          <w:bCs/>
          <w:sz w:val="22"/>
          <w:szCs w:val="22"/>
        </w:rPr>
        <w:t>8. táblázat:</w:t>
      </w:r>
      <w:r w:rsidR="00521197">
        <w:rPr>
          <w:b/>
          <w:bCs/>
          <w:sz w:val="22"/>
          <w:szCs w:val="22"/>
        </w:rPr>
        <w:tab/>
      </w:r>
      <w:r>
        <w:rPr>
          <w:b/>
          <w:bCs/>
          <w:sz w:val="22"/>
          <w:szCs w:val="22"/>
        </w:rPr>
        <w:t>A III. fázisú Einstein Extension vizsgálat hatásossági és biztonságossági eredményei</w:t>
      </w:r>
    </w:p>
    <w:p w:rsidR="00521197" w:rsidRDefault="00521197" w:rsidP="00521197">
      <w:pPr>
        <w:pStyle w:val="Default"/>
        <w:tabs>
          <w:tab w:val="left" w:pos="1276"/>
        </w:tabs>
        <w:ind w:left="1276" w:hanging="1276"/>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2774"/>
        <w:gridCol w:w="2448"/>
      </w:tblGrid>
      <w:tr w:rsidR="00F50CC3">
        <w:tc>
          <w:tcPr>
            <w:tcW w:w="3936" w:type="dxa"/>
            <w:shd w:val="clear" w:color="auto" w:fill="auto"/>
          </w:tcPr>
          <w:p w:rsidR="00F50CC3" w:rsidRDefault="00730655">
            <w:pPr>
              <w:pStyle w:val="Default"/>
              <w:rPr>
                <w:b/>
                <w:sz w:val="22"/>
                <w:szCs w:val="22"/>
              </w:rPr>
            </w:pPr>
            <w:r>
              <w:rPr>
                <w:b/>
                <w:sz w:val="22"/>
                <w:szCs w:val="22"/>
              </w:rPr>
              <w:t>Vizsgálati populáció</w:t>
            </w:r>
          </w:p>
        </w:tc>
        <w:tc>
          <w:tcPr>
            <w:tcW w:w="5351" w:type="dxa"/>
            <w:gridSpan w:val="2"/>
            <w:shd w:val="clear" w:color="auto" w:fill="auto"/>
          </w:tcPr>
          <w:p w:rsidR="00F50CC3" w:rsidRDefault="00730655">
            <w:pPr>
              <w:pStyle w:val="Default"/>
              <w:rPr>
                <w:b/>
                <w:sz w:val="22"/>
                <w:szCs w:val="22"/>
                <w:u w:val="single"/>
              </w:rPr>
            </w:pPr>
            <w:r>
              <w:rPr>
                <w:b/>
                <w:sz w:val="22"/>
                <w:szCs w:val="22"/>
              </w:rPr>
              <w:t>1197 beteg folytatta a kezelést a visszatérő vénás thromboembolia megelőzésére</w:t>
            </w:r>
          </w:p>
        </w:tc>
      </w:tr>
      <w:tr w:rsidR="00F50CC3">
        <w:tc>
          <w:tcPr>
            <w:tcW w:w="3936" w:type="dxa"/>
            <w:shd w:val="clear" w:color="auto" w:fill="auto"/>
          </w:tcPr>
          <w:p w:rsidR="00F50CC3" w:rsidRDefault="00730655">
            <w:pPr>
              <w:pStyle w:val="Default"/>
              <w:rPr>
                <w:b/>
                <w:sz w:val="22"/>
                <w:szCs w:val="22"/>
                <w:u w:val="single"/>
              </w:rPr>
            </w:pPr>
            <w:r>
              <w:rPr>
                <w:b/>
                <w:sz w:val="22"/>
                <w:szCs w:val="22"/>
              </w:rPr>
              <w:t>Terápiás dózis és kezelési időtartam</w:t>
            </w:r>
          </w:p>
        </w:tc>
        <w:tc>
          <w:tcPr>
            <w:tcW w:w="2835" w:type="dxa"/>
            <w:shd w:val="clear" w:color="auto" w:fill="auto"/>
          </w:tcPr>
          <w:p w:rsidR="00F50CC3" w:rsidRDefault="00730655">
            <w:pPr>
              <w:pStyle w:val="Default"/>
              <w:rPr>
                <w:b/>
                <w:sz w:val="22"/>
                <w:szCs w:val="22"/>
              </w:rPr>
            </w:pPr>
            <w:r>
              <w:rPr>
                <w:b/>
                <w:sz w:val="22"/>
                <w:szCs w:val="22"/>
              </w:rPr>
              <w:t>Rivaroxabán</w:t>
            </w:r>
            <w:r>
              <w:rPr>
                <w:b/>
                <w:position w:val="8"/>
                <w:sz w:val="22"/>
                <w:szCs w:val="22"/>
                <w:vertAlign w:val="superscript"/>
              </w:rPr>
              <w:t xml:space="preserve">a) </w:t>
            </w:r>
          </w:p>
          <w:p w:rsidR="00F50CC3" w:rsidRDefault="00730655">
            <w:pPr>
              <w:pStyle w:val="Default"/>
              <w:rPr>
                <w:b/>
                <w:sz w:val="22"/>
                <w:szCs w:val="22"/>
              </w:rPr>
            </w:pPr>
            <w:r>
              <w:rPr>
                <w:b/>
                <w:sz w:val="22"/>
                <w:szCs w:val="22"/>
              </w:rPr>
              <w:t>6 vagy 12 hónap</w:t>
            </w:r>
          </w:p>
          <w:p w:rsidR="00F50CC3" w:rsidRDefault="00730655">
            <w:pPr>
              <w:pStyle w:val="Default"/>
              <w:rPr>
                <w:b/>
                <w:sz w:val="22"/>
                <w:szCs w:val="22"/>
                <w:u w:val="single"/>
              </w:rPr>
            </w:pPr>
            <w:r>
              <w:rPr>
                <w:b/>
                <w:sz w:val="22"/>
                <w:szCs w:val="22"/>
              </w:rPr>
              <w:t>N = 602</w:t>
            </w:r>
          </w:p>
        </w:tc>
        <w:tc>
          <w:tcPr>
            <w:tcW w:w="2516" w:type="dxa"/>
            <w:shd w:val="clear" w:color="auto" w:fill="auto"/>
          </w:tcPr>
          <w:p w:rsidR="00F50CC3" w:rsidRDefault="00730655">
            <w:pPr>
              <w:pStyle w:val="Default"/>
              <w:rPr>
                <w:b/>
                <w:sz w:val="22"/>
                <w:szCs w:val="22"/>
              </w:rPr>
            </w:pPr>
            <w:r>
              <w:rPr>
                <w:b/>
                <w:sz w:val="22"/>
                <w:szCs w:val="22"/>
              </w:rPr>
              <w:t>Placebo</w:t>
            </w:r>
          </w:p>
          <w:p w:rsidR="00F50CC3" w:rsidRDefault="00730655">
            <w:pPr>
              <w:pStyle w:val="Default"/>
              <w:rPr>
                <w:b/>
                <w:sz w:val="22"/>
                <w:szCs w:val="22"/>
              </w:rPr>
            </w:pPr>
            <w:r>
              <w:rPr>
                <w:b/>
                <w:sz w:val="22"/>
                <w:szCs w:val="22"/>
              </w:rPr>
              <w:t>6 vagy 12 hónap</w:t>
            </w:r>
          </w:p>
          <w:p w:rsidR="00F50CC3" w:rsidRDefault="00730655">
            <w:pPr>
              <w:pStyle w:val="Default"/>
              <w:rPr>
                <w:b/>
                <w:sz w:val="22"/>
                <w:szCs w:val="22"/>
                <w:u w:val="single"/>
              </w:rPr>
            </w:pPr>
            <w:r>
              <w:rPr>
                <w:b/>
                <w:sz w:val="22"/>
                <w:szCs w:val="22"/>
              </w:rPr>
              <w:t>N = 594</w:t>
            </w:r>
          </w:p>
        </w:tc>
      </w:tr>
      <w:tr w:rsidR="00F50CC3">
        <w:tc>
          <w:tcPr>
            <w:tcW w:w="3936" w:type="dxa"/>
            <w:shd w:val="clear" w:color="auto" w:fill="auto"/>
          </w:tcPr>
          <w:p w:rsidR="00F50CC3" w:rsidRDefault="00730655">
            <w:pPr>
              <w:pStyle w:val="Default"/>
              <w:rPr>
                <w:sz w:val="22"/>
                <w:szCs w:val="22"/>
                <w:u w:val="single"/>
              </w:rPr>
            </w:pPr>
            <w:r>
              <w:rPr>
                <w:sz w:val="22"/>
                <w:szCs w:val="22"/>
              </w:rPr>
              <w:t xml:space="preserve">Tünetekkel járó, visszatérő VTE* </w:t>
            </w:r>
          </w:p>
        </w:tc>
        <w:tc>
          <w:tcPr>
            <w:tcW w:w="2835" w:type="dxa"/>
            <w:shd w:val="clear" w:color="auto" w:fill="auto"/>
          </w:tcPr>
          <w:p w:rsidR="00F50CC3" w:rsidRDefault="00730655">
            <w:pPr>
              <w:pStyle w:val="Default"/>
              <w:rPr>
                <w:sz w:val="22"/>
                <w:szCs w:val="22"/>
              </w:rPr>
            </w:pPr>
            <w:r>
              <w:rPr>
                <w:sz w:val="22"/>
                <w:szCs w:val="22"/>
              </w:rPr>
              <w:t>8</w:t>
            </w:r>
          </w:p>
          <w:p w:rsidR="00F50CC3" w:rsidRDefault="00730655">
            <w:pPr>
              <w:pStyle w:val="Default"/>
              <w:rPr>
                <w:sz w:val="22"/>
                <w:szCs w:val="22"/>
                <w:u w:val="single"/>
              </w:rPr>
            </w:pPr>
            <w:r>
              <w:rPr>
                <w:sz w:val="22"/>
                <w:szCs w:val="22"/>
              </w:rPr>
              <w:t>(1,3%)</w:t>
            </w:r>
          </w:p>
        </w:tc>
        <w:tc>
          <w:tcPr>
            <w:tcW w:w="2516" w:type="dxa"/>
            <w:shd w:val="clear" w:color="auto" w:fill="auto"/>
          </w:tcPr>
          <w:p w:rsidR="00F50CC3" w:rsidRDefault="00730655">
            <w:pPr>
              <w:pStyle w:val="Default"/>
              <w:rPr>
                <w:sz w:val="22"/>
                <w:szCs w:val="22"/>
              </w:rPr>
            </w:pPr>
            <w:r>
              <w:rPr>
                <w:sz w:val="22"/>
                <w:szCs w:val="22"/>
              </w:rPr>
              <w:t>42</w:t>
            </w:r>
          </w:p>
          <w:p w:rsidR="00F50CC3" w:rsidRDefault="00730655">
            <w:pPr>
              <w:pStyle w:val="Default"/>
              <w:rPr>
                <w:sz w:val="22"/>
                <w:szCs w:val="22"/>
                <w:u w:val="single"/>
              </w:rPr>
            </w:pPr>
            <w:r>
              <w:rPr>
                <w:sz w:val="22"/>
                <w:szCs w:val="22"/>
              </w:rPr>
              <w:t>(7,1%)</w:t>
            </w:r>
          </w:p>
        </w:tc>
      </w:tr>
      <w:tr w:rsidR="00F50CC3">
        <w:tc>
          <w:tcPr>
            <w:tcW w:w="3936" w:type="dxa"/>
            <w:shd w:val="clear" w:color="auto" w:fill="auto"/>
          </w:tcPr>
          <w:p w:rsidR="00F50CC3" w:rsidRDefault="00730655">
            <w:pPr>
              <w:pStyle w:val="Default"/>
              <w:ind w:left="567"/>
              <w:rPr>
                <w:sz w:val="22"/>
                <w:szCs w:val="22"/>
                <w:u w:val="single"/>
              </w:rPr>
            </w:pPr>
            <w:r>
              <w:rPr>
                <w:sz w:val="22"/>
                <w:szCs w:val="22"/>
              </w:rPr>
              <w:lastRenderedPageBreak/>
              <w:t xml:space="preserve">Tünetekkel járó, visszatérő PE </w:t>
            </w:r>
          </w:p>
        </w:tc>
        <w:tc>
          <w:tcPr>
            <w:tcW w:w="2835" w:type="dxa"/>
            <w:shd w:val="clear" w:color="auto" w:fill="auto"/>
          </w:tcPr>
          <w:p w:rsidR="00F50CC3" w:rsidRDefault="00730655">
            <w:pPr>
              <w:pStyle w:val="Default"/>
              <w:rPr>
                <w:sz w:val="22"/>
                <w:szCs w:val="22"/>
              </w:rPr>
            </w:pPr>
            <w:r>
              <w:rPr>
                <w:sz w:val="22"/>
                <w:szCs w:val="22"/>
              </w:rPr>
              <w:t>2</w:t>
            </w:r>
          </w:p>
          <w:p w:rsidR="00F50CC3" w:rsidRDefault="00730655">
            <w:pPr>
              <w:pStyle w:val="Default"/>
              <w:rPr>
                <w:sz w:val="22"/>
                <w:szCs w:val="22"/>
                <w:u w:val="single"/>
              </w:rPr>
            </w:pPr>
            <w:r>
              <w:rPr>
                <w:sz w:val="22"/>
                <w:szCs w:val="22"/>
              </w:rPr>
              <w:t>(0,3%)</w:t>
            </w:r>
          </w:p>
        </w:tc>
        <w:tc>
          <w:tcPr>
            <w:tcW w:w="2516" w:type="dxa"/>
            <w:shd w:val="clear" w:color="auto" w:fill="auto"/>
          </w:tcPr>
          <w:p w:rsidR="00F50CC3" w:rsidRDefault="00730655">
            <w:pPr>
              <w:pStyle w:val="Default"/>
              <w:rPr>
                <w:sz w:val="22"/>
                <w:szCs w:val="22"/>
              </w:rPr>
            </w:pPr>
            <w:r>
              <w:rPr>
                <w:sz w:val="22"/>
                <w:szCs w:val="22"/>
              </w:rPr>
              <w:t>13</w:t>
            </w:r>
          </w:p>
          <w:p w:rsidR="00F50CC3" w:rsidRDefault="00730655">
            <w:pPr>
              <w:pStyle w:val="Default"/>
              <w:rPr>
                <w:sz w:val="22"/>
                <w:szCs w:val="22"/>
                <w:u w:val="single"/>
              </w:rPr>
            </w:pPr>
            <w:r>
              <w:rPr>
                <w:sz w:val="22"/>
                <w:szCs w:val="22"/>
              </w:rPr>
              <w:t>(2,2%)</w:t>
            </w:r>
          </w:p>
        </w:tc>
      </w:tr>
      <w:tr w:rsidR="00F50CC3">
        <w:tc>
          <w:tcPr>
            <w:tcW w:w="3936" w:type="dxa"/>
            <w:shd w:val="clear" w:color="auto" w:fill="auto"/>
          </w:tcPr>
          <w:p w:rsidR="00F50CC3" w:rsidRDefault="00730655">
            <w:pPr>
              <w:pStyle w:val="Default"/>
              <w:ind w:left="567"/>
              <w:rPr>
                <w:sz w:val="22"/>
                <w:szCs w:val="22"/>
                <w:u w:val="single"/>
              </w:rPr>
            </w:pPr>
            <w:r>
              <w:rPr>
                <w:sz w:val="22"/>
                <w:szCs w:val="22"/>
              </w:rPr>
              <w:t xml:space="preserve">Tünetekkel járó, recidiváló MVT </w:t>
            </w:r>
          </w:p>
        </w:tc>
        <w:tc>
          <w:tcPr>
            <w:tcW w:w="2835" w:type="dxa"/>
            <w:shd w:val="clear" w:color="auto" w:fill="auto"/>
          </w:tcPr>
          <w:p w:rsidR="00F50CC3" w:rsidRDefault="00730655">
            <w:pPr>
              <w:pStyle w:val="Default"/>
              <w:rPr>
                <w:sz w:val="22"/>
                <w:szCs w:val="22"/>
              </w:rPr>
            </w:pPr>
            <w:r>
              <w:rPr>
                <w:sz w:val="22"/>
                <w:szCs w:val="22"/>
              </w:rPr>
              <w:t>5</w:t>
            </w:r>
          </w:p>
          <w:p w:rsidR="00F50CC3" w:rsidRDefault="00730655">
            <w:pPr>
              <w:pStyle w:val="Default"/>
              <w:rPr>
                <w:sz w:val="22"/>
                <w:szCs w:val="22"/>
                <w:u w:val="single"/>
              </w:rPr>
            </w:pPr>
            <w:r>
              <w:rPr>
                <w:sz w:val="22"/>
                <w:szCs w:val="22"/>
              </w:rPr>
              <w:t>(0,8%)</w:t>
            </w:r>
          </w:p>
        </w:tc>
        <w:tc>
          <w:tcPr>
            <w:tcW w:w="2516" w:type="dxa"/>
            <w:shd w:val="clear" w:color="auto" w:fill="auto"/>
          </w:tcPr>
          <w:p w:rsidR="00F50CC3" w:rsidRDefault="00730655">
            <w:pPr>
              <w:pStyle w:val="Default"/>
              <w:rPr>
                <w:sz w:val="22"/>
                <w:szCs w:val="22"/>
              </w:rPr>
            </w:pPr>
            <w:r>
              <w:rPr>
                <w:sz w:val="22"/>
                <w:szCs w:val="22"/>
              </w:rPr>
              <w:t>31</w:t>
            </w:r>
          </w:p>
          <w:p w:rsidR="00F50CC3" w:rsidRDefault="00730655">
            <w:pPr>
              <w:pStyle w:val="Default"/>
              <w:rPr>
                <w:sz w:val="22"/>
                <w:szCs w:val="22"/>
                <w:u w:val="single"/>
              </w:rPr>
            </w:pPr>
            <w:r>
              <w:rPr>
                <w:sz w:val="22"/>
                <w:szCs w:val="22"/>
              </w:rPr>
              <w:t>(5,2%)</w:t>
            </w:r>
          </w:p>
        </w:tc>
      </w:tr>
      <w:tr w:rsidR="00F50CC3">
        <w:tc>
          <w:tcPr>
            <w:tcW w:w="3936" w:type="dxa"/>
            <w:shd w:val="clear" w:color="auto" w:fill="auto"/>
          </w:tcPr>
          <w:p w:rsidR="00F50CC3" w:rsidRDefault="00730655">
            <w:pPr>
              <w:pStyle w:val="Default"/>
              <w:ind w:left="567"/>
              <w:rPr>
                <w:sz w:val="22"/>
                <w:szCs w:val="22"/>
                <w:u w:val="single"/>
              </w:rPr>
            </w:pPr>
            <w:r>
              <w:rPr>
                <w:sz w:val="22"/>
                <w:szCs w:val="22"/>
              </w:rPr>
              <w:t xml:space="preserve">Fatális PE/haláleset, amelynél nem lehet kizárni a PE-t </w:t>
            </w:r>
          </w:p>
        </w:tc>
        <w:tc>
          <w:tcPr>
            <w:tcW w:w="2835" w:type="dxa"/>
            <w:shd w:val="clear" w:color="auto" w:fill="auto"/>
          </w:tcPr>
          <w:p w:rsidR="00F50CC3" w:rsidRDefault="00730655">
            <w:pPr>
              <w:pStyle w:val="Default"/>
              <w:rPr>
                <w:sz w:val="22"/>
                <w:szCs w:val="22"/>
              </w:rPr>
            </w:pPr>
            <w:r>
              <w:rPr>
                <w:sz w:val="22"/>
                <w:szCs w:val="22"/>
              </w:rPr>
              <w:t>1</w:t>
            </w:r>
          </w:p>
          <w:p w:rsidR="00F50CC3" w:rsidRDefault="00730655">
            <w:pPr>
              <w:pStyle w:val="Default"/>
              <w:rPr>
                <w:sz w:val="22"/>
                <w:szCs w:val="22"/>
                <w:u w:val="single"/>
              </w:rPr>
            </w:pPr>
            <w:r>
              <w:rPr>
                <w:sz w:val="22"/>
                <w:szCs w:val="22"/>
              </w:rPr>
              <w:t>(0,2%)</w:t>
            </w:r>
          </w:p>
        </w:tc>
        <w:tc>
          <w:tcPr>
            <w:tcW w:w="2516" w:type="dxa"/>
            <w:shd w:val="clear" w:color="auto" w:fill="auto"/>
          </w:tcPr>
          <w:p w:rsidR="00F50CC3" w:rsidRDefault="00730655">
            <w:pPr>
              <w:pStyle w:val="Default"/>
              <w:rPr>
                <w:sz w:val="22"/>
                <w:szCs w:val="22"/>
              </w:rPr>
            </w:pPr>
            <w:r>
              <w:rPr>
                <w:sz w:val="22"/>
                <w:szCs w:val="22"/>
              </w:rPr>
              <w:t>1</w:t>
            </w:r>
          </w:p>
          <w:p w:rsidR="00F50CC3" w:rsidRDefault="00730655">
            <w:pPr>
              <w:pStyle w:val="Default"/>
              <w:rPr>
                <w:sz w:val="22"/>
                <w:szCs w:val="22"/>
                <w:u w:val="single"/>
              </w:rPr>
            </w:pPr>
            <w:r>
              <w:rPr>
                <w:sz w:val="22"/>
                <w:szCs w:val="22"/>
              </w:rPr>
              <w:t>(0,2%)</w:t>
            </w:r>
          </w:p>
        </w:tc>
      </w:tr>
      <w:tr w:rsidR="00F50CC3">
        <w:tc>
          <w:tcPr>
            <w:tcW w:w="3936" w:type="dxa"/>
            <w:shd w:val="clear" w:color="auto" w:fill="auto"/>
          </w:tcPr>
          <w:p w:rsidR="00F50CC3" w:rsidRDefault="00730655">
            <w:pPr>
              <w:pStyle w:val="Default"/>
              <w:rPr>
                <w:sz w:val="22"/>
                <w:szCs w:val="22"/>
                <w:u w:val="single"/>
              </w:rPr>
            </w:pPr>
            <w:r>
              <w:rPr>
                <w:sz w:val="22"/>
                <w:szCs w:val="22"/>
              </w:rPr>
              <w:t xml:space="preserve">Súlyos vérzéses esemény </w:t>
            </w:r>
          </w:p>
        </w:tc>
        <w:tc>
          <w:tcPr>
            <w:tcW w:w="2835" w:type="dxa"/>
            <w:shd w:val="clear" w:color="auto" w:fill="auto"/>
          </w:tcPr>
          <w:p w:rsidR="00F50CC3" w:rsidRDefault="00730655">
            <w:pPr>
              <w:pStyle w:val="Default"/>
              <w:rPr>
                <w:sz w:val="22"/>
                <w:szCs w:val="22"/>
              </w:rPr>
            </w:pPr>
            <w:r>
              <w:rPr>
                <w:sz w:val="22"/>
                <w:szCs w:val="22"/>
              </w:rPr>
              <w:t>4</w:t>
            </w:r>
          </w:p>
          <w:p w:rsidR="00F50CC3" w:rsidRDefault="00730655">
            <w:pPr>
              <w:pStyle w:val="Default"/>
              <w:rPr>
                <w:sz w:val="22"/>
                <w:szCs w:val="22"/>
                <w:u w:val="single"/>
              </w:rPr>
            </w:pPr>
            <w:r>
              <w:rPr>
                <w:sz w:val="22"/>
                <w:szCs w:val="22"/>
              </w:rPr>
              <w:t>(0,7%)</w:t>
            </w:r>
          </w:p>
        </w:tc>
        <w:tc>
          <w:tcPr>
            <w:tcW w:w="2516" w:type="dxa"/>
            <w:shd w:val="clear" w:color="auto" w:fill="auto"/>
          </w:tcPr>
          <w:p w:rsidR="00F50CC3" w:rsidRDefault="00730655">
            <w:pPr>
              <w:pStyle w:val="Default"/>
              <w:rPr>
                <w:sz w:val="22"/>
                <w:szCs w:val="22"/>
              </w:rPr>
            </w:pPr>
            <w:r>
              <w:rPr>
                <w:sz w:val="22"/>
                <w:szCs w:val="22"/>
              </w:rPr>
              <w:t>0</w:t>
            </w:r>
          </w:p>
          <w:p w:rsidR="00F50CC3" w:rsidRDefault="00730655">
            <w:pPr>
              <w:pStyle w:val="Default"/>
              <w:rPr>
                <w:sz w:val="22"/>
                <w:szCs w:val="22"/>
                <w:u w:val="single"/>
              </w:rPr>
            </w:pPr>
            <w:r>
              <w:rPr>
                <w:sz w:val="22"/>
                <w:szCs w:val="22"/>
              </w:rPr>
              <w:t>(0,0%)</w:t>
            </w:r>
          </w:p>
        </w:tc>
      </w:tr>
      <w:tr w:rsidR="00F50CC3">
        <w:tc>
          <w:tcPr>
            <w:tcW w:w="3936" w:type="dxa"/>
            <w:shd w:val="clear" w:color="auto" w:fill="auto"/>
          </w:tcPr>
          <w:p w:rsidR="00F50CC3" w:rsidRDefault="00730655">
            <w:pPr>
              <w:pStyle w:val="Default"/>
              <w:rPr>
                <w:sz w:val="22"/>
                <w:szCs w:val="22"/>
                <w:u w:val="single"/>
              </w:rPr>
            </w:pPr>
            <w:r>
              <w:rPr>
                <w:sz w:val="22"/>
                <w:szCs w:val="22"/>
              </w:rPr>
              <w:t xml:space="preserve">Klinikailag jelentős, nem súlyos vérzés </w:t>
            </w:r>
          </w:p>
        </w:tc>
        <w:tc>
          <w:tcPr>
            <w:tcW w:w="2835" w:type="dxa"/>
            <w:shd w:val="clear" w:color="auto" w:fill="auto"/>
          </w:tcPr>
          <w:p w:rsidR="00F50CC3" w:rsidRDefault="00730655">
            <w:pPr>
              <w:pStyle w:val="Default"/>
              <w:rPr>
                <w:sz w:val="22"/>
                <w:szCs w:val="22"/>
              </w:rPr>
            </w:pPr>
            <w:r>
              <w:rPr>
                <w:sz w:val="22"/>
                <w:szCs w:val="22"/>
              </w:rPr>
              <w:t>32</w:t>
            </w:r>
          </w:p>
          <w:p w:rsidR="00F50CC3" w:rsidRDefault="00730655">
            <w:pPr>
              <w:pStyle w:val="Default"/>
              <w:rPr>
                <w:sz w:val="22"/>
                <w:szCs w:val="22"/>
                <w:u w:val="single"/>
              </w:rPr>
            </w:pPr>
            <w:r>
              <w:rPr>
                <w:sz w:val="22"/>
                <w:szCs w:val="22"/>
              </w:rPr>
              <w:t>(5,4%)</w:t>
            </w:r>
          </w:p>
        </w:tc>
        <w:tc>
          <w:tcPr>
            <w:tcW w:w="2516" w:type="dxa"/>
            <w:shd w:val="clear" w:color="auto" w:fill="auto"/>
          </w:tcPr>
          <w:p w:rsidR="00F50CC3" w:rsidRDefault="00730655">
            <w:pPr>
              <w:pStyle w:val="Default"/>
              <w:rPr>
                <w:sz w:val="22"/>
                <w:szCs w:val="22"/>
              </w:rPr>
            </w:pPr>
            <w:r>
              <w:rPr>
                <w:sz w:val="22"/>
                <w:szCs w:val="22"/>
              </w:rPr>
              <w:t>7</w:t>
            </w:r>
          </w:p>
          <w:p w:rsidR="00F50CC3" w:rsidRDefault="00730655">
            <w:pPr>
              <w:pStyle w:val="Default"/>
              <w:rPr>
                <w:sz w:val="22"/>
                <w:szCs w:val="22"/>
                <w:u w:val="single"/>
              </w:rPr>
            </w:pPr>
            <w:r>
              <w:rPr>
                <w:sz w:val="22"/>
                <w:szCs w:val="22"/>
              </w:rPr>
              <w:t>(1,2%)</w:t>
            </w:r>
          </w:p>
        </w:tc>
      </w:tr>
    </w:tbl>
    <w:p w:rsidR="00F50CC3" w:rsidRDefault="00730655" w:rsidP="00521197">
      <w:pPr>
        <w:pStyle w:val="Default"/>
        <w:tabs>
          <w:tab w:val="left" w:pos="426"/>
        </w:tabs>
        <w:ind w:left="426" w:hanging="426"/>
        <w:rPr>
          <w:sz w:val="22"/>
          <w:szCs w:val="22"/>
        </w:rPr>
      </w:pPr>
      <w:r>
        <w:rPr>
          <w:sz w:val="22"/>
          <w:szCs w:val="22"/>
        </w:rPr>
        <w:t>a)</w:t>
      </w:r>
      <w:r w:rsidR="00521197">
        <w:rPr>
          <w:sz w:val="22"/>
          <w:szCs w:val="22"/>
        </w:rPr>
        <w:tab/>
      </w:r>
      <w:r>
        <w:rPr>
          <w:sz w:val="22"/>
          <w:szCs w:val="22"/>
        </w:rPr>
        <w:t>Naponta egyszer 20 mg rivaroxabán</w:t>
      </w:r>
    </w:p>
    <w:p w:rsidR="00F50CC3" w:rsidRDefault="00730655" w:rsidP="00521197">
      <w:pPr>
        <w:pStyle w:val="Default"/>
        <w:tabs>
          <w:tab w:val="left" w:pos="426"/>
        </w:tabs>
        <w:ind w:left="426" w:hanging="426"/>
        <w:rPr>
          <w:sz w:val="22"/>
          <w:szCs w:val="22"/>
          <w:u w:val="single"/>
        </w:rPr>
      </w:pPr>
      <w:r>
        <w:rPr>
          <w:sz w:val="22"/>
          <w:szCs w:val="22"/>
        </w:rPr>
        <w:t>*</w:t>
      </w:r>
      <w:r w:rsidR="00521197">
        <w:rPr>
          <w:sz w:val="22"/>
          <w:szCs w:val="22"/>
        </w:rPr>
        <w:tab/>
      </w:r>
      <w:r>
        <w:rPr>
          <w:sz w:val="22"/>
          <w:szCs w:val="22"/>
        </w:rPr>
        <w:t>p &lt; 0,0001 (szuperioritás); relatív hazárd: 0,185 (0,087 – 0,393)</w:t>
      </w:r>
    </w:p>
    <w:p w:rsidR="00F50CC3" w:rsidRDefault="00F50CC3">
      <w:pPr>
        <w:pStyle w:val="Default"/>
        <w:rPr>
          <w:sz w:val="22"/>
          <w:szCs w:val="22"/>
          <w:u w:val="single"/>
        </w:rPr>
      </w:pPr>
    </w:p>
    <w:p w:rsidR="00F50CC3" w:rsidRDefault="00730655">
      <w:pPr>
        <w:pStyle w:val="Default"/>
        <w:rPr>
          <w:sz w:val="22"/>
          <w:szCs w:val="22"/>
        </w:rPr>
      </w:pPr>
      <w:r>
        <w:rPr>
          <w:sz w:val="22"/>
          <w:szCs w:val="22"/>
        </w:rPr>
        <w:t>Az Einstein Choice vizsgálatban (lásd 9. táblázat) az elsődleges hatásossági végpont tekintetében a rivaroxabán 20 mg és 10 mg egyaránt szuperiornak bizonyult a 100 mg acetilszalicilsavhoz képest. Az elsődleges biztonságossági végpont (súlyos vérzéses események) tekintetében a naponta egyszer adott 20 mg, illetve 10 mg rivaroxabánnal kezelt betegek adatai hasonlóak voltak a 100 mg acetilszalicilsavval kezeltekéhez.</w:t>
      </w:r>
    </w:p>
    <w:p w:rsidR="00521197" w:rsidRDefault="00521197">
      <w:pPr>
        <w:pStyle w:val="Default"/>
        <w:rPr>
          <w:sz w:val="22"/>
          <w:szCs w:val="22"/>
          <w:u w:val="single"/>
        </w:rPr>
      </w:pPr>
    </w:p>
    <w:p w:rsidR="00521197" w:rsidRDefault="00730655" w:rsidP="00521197">
      <w:pPr>
        <w:pStyle w:val="Default"/>
        <w:tabs>
          <w:tab w:val="left" w:pos="1276"/>
        </w:tabs>
        <w:rPr>
          <w:b/>
          <w:bCs/>
          <w:sz w:val="22"/>
          <w:szCs w:val="22"/>
        </w:rPr>
      </w:pPr>
      <w:r>
        <w:rPr>
          <w:b/>
          <w:bCs/>
          <w:sz w:val="22"/>
          <w:szCs w:val="22"/>
        </w:rPr>
        <w:t>9. táblázat:</w:t>
      </w:r>
      <w:r w:rsidR="00521197">
        <w:rPr>
          <w:b/>
          <w:bCs/>
          <w:sz w:val="22"/>
          <w:szCs w:val="22"/>
        </w:rPr>
        <w:tab/>
      </w:r>
      <w:r>
        <w:rPr>
          <w:b/>
          <w:bCs/>
          <w:sz w:val="22"/>
          <w:szCs w:val="22"/>
        </w:rPr>
        <w:t>A III. fázisú Einstein Choice vizsgálat hatásossági és biztonságossági eredményei</w:t>
      </w:r>
    </w:p>
    <w:p w:rsidR="00F50CC3" w:rsidRDefault="00F50CC3">
      <w:pPr>
        <w:pStyle w:val="Default"/>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2027"/>
        <w:gridCol w:w="2027"/>
        <w:gridCol w:w="2000"/>
      </w:tblGrid>
      <w:tr w:rsidR="00F50CC3">
        <w:tc>
          <w:tcPr>
            <w:tcW w:w="3095" w:type="dxa"/>
            <w:shd w:val="clear" w:color="auto" w:fill="auto"/>
          </w:tcPr>
          <w:p w:rsidR="00F50CC3" w:rsidRDefault="00730655">
            <w:pPr>
              <w:pStyle w:val="Default"/>
              <w:rPr>
                <w:b/>
                <w:sz w:val="22"/>
                <w:szCs w:val="22"/>
              </w:rPr>
            </w:pPr>
            <w:r>
              <w:rPr>
                <w:b/>
                <w:sz w:val="22"/>
                <w:szCs w:val="22"/>
              </w:rPr>
              <w:t>Vizsgálati populáció</w:t>
            </w:r>
          </w:p>
        </w:tc>
        <w:tc>
          <w:tcPr>
            <w:tcW w:w="6192" w:type="dxa"/>
            <w:gridSpan w:val="3"/>
            <w:shd w:val="clear" w:color="auto" w:fill="auto"/>
          </w:tcPr>
          <w:p w:rsidR="00F50CC3" w:rsidRDefault="00730655">
            <w:pPr>
              <w:pStyle w:val="Default"/>
              <w:rPr>
                <w:b/>
                <w:sz w:val="22"/>
                <w:szCs w:val="22"/>
                <w:u w:val="single"/>
              </w:rPr>
            </w:pPr>
            <w:r>
              <w:rPr>
                <w:b/>
                <w:sz w:val="22"/>
                <w:szCs w:val="22"/>
              </w:rPr>
              <w:t xml:space="preserve">3396 beteg folytatta a visszatérő vénás thromboembolia megelőző kezelését </w:t>
            </w:r>
          </w:p>
        </w:tc>
      </w:tr>
      <w:tr w:rsidR="00F50CC3">
        <w:tc>
          <w:tcPr>
            <w:tcW w:w="3095" w:type="dxa"/>
            <w:shd w:val="clear" w:color="auto" w:fill="auto"/>
          </w:tcPr>
          <w:p w:rsidR="00F50CC3" w:rsidRDefault="00730655">
            <w:pPr>
              <w:pStyle w:val="Default"/>
              <w:rPr>
                <w:b/>
                <w:sz w:val="22"/>
                <w:szCs w:val="22"/>
                <w:u w:val="single"/>
              </w:rPr>
            </w:pPr>
            <w:r>
              <w:rPr>
                <w:b/>
                <w:sz w:val="22"/>
                <w:szCs w:val="22"/>
              </w:rPr>
              <w:t xml:space="preserve">Terápiás dózis </w:t>
            </w:r>
          </w:p>
        </w:tc>
        <w:tc>
          <w:tcPr>
            <w:tcW w:w="2064" w:type="dxa"/>
            <w:shd w:val="clear" w:color="auto" w:fill="auto"/>
          </w:tcPr>
          <w:p w:rsidR="00F50CC3" w:rsidRDefault="00730655">
            <w:pPr>
              <w:pStyle w:val="Default"/>
              <w:rPr>
                <w:b/>
                <w:sz w:val="22"/>
                <w:szCs w:val="22"/>
              </w:rPr>
            </w:pPr>
            <w:r>
              <w:rPr>
                <w:b/>
                <w:sz w:val="22"/>
                <w:szCs w:val="22"/>
              </w:rPr>
              <w:t>Rivaroxabán 20 mg naponta egyszer</w:t>
            </w:r>
          </w:p>
          <w:p w:rsidR="00F50CC3" w:rsidRDefault="00730655">
            <w:pPr>
              <w:pStyle w:val="Default"/>
              <w:rPr>
                <w:b/>
                <w:sz w:val="22"/>
                <w:szCs w:val="22"/>
                <w:u w:val="single"/>
              </w:rPr>
            </w:pPr>
            <w:r>
              <w:rPr>
                <w:b/>
                <w:sz w:val="22"/>
                <w:szCs w:val="22"/>
              </w:rPr>
              <w:t>N = 1107</w:t>
            </w:r>
          </w:p>
        </w:tc>
        <w:tc>
          <w:tcPr>
            <w:tcW w:w="2064" w:type="dxa"/>
            <w:shd w:val="clear" w:color="auto" w:fill="auto"/>
          </w:tcPr>
          <w:p w:rsidR="00F50CC3" w:rsidRDefault="00730655">
            <w:pPr>
              <w:pStyle w:val="Default"/>
              <w:rPr>
                <w:b/>
                <w:sz w:val="22"/>
                <w:szCs w:val="22"/>
              </w:rPr>
            </w:pPr>
            <w:r>
              <w:rPr>
                <w:b/>
                <w:sz w:val="22"/>
                <w:szCs w:val="22"/>
              </w:rPr>
              <w:t>Rivaroxabán 10 mg naponta egyszer</w:t>
            </w:r>
          </w:p>
          <w:p w:rsidR="00F50CC3" w:rsidRDefault="00730655">
            <w:pPr>
              <w:pStyle w:val="Default"/>
              <w:rPr>
                <w:b/>
                <w:sz w:val="22"/>
                <w:szCs w:val="22"/>
                <w:u w:val="single"/>
              </w:rPr>
            </w:pPr>
            <w:r>
              <w:rPr>
                <w:b/>
                <w:sz w:val="22"/>
                <w:szCs w:val="22"/>
              </w:rPr>
              <w:t>N = 1127</w:t>
            </w:r>
          </w:p>
        </w:tc>
        <w:tc>
          <w:tcPr>
            <w:tcW w:w="2064" w:type="dxa"/>
            <w:shd w:val="clear" w:color="auto" w:fill="auto"/>
          </w:tcPr>
          <w:p w:rsidR="00F50CC3" w:rsidRDefault="00730655">
            <w:pPr>
              <w:pStyle w:val="Default"/>
              <w:rPr>
                <w:b/>
                <w:sz w:val="22"/>
                <w:szCs w:val="22"/>
              </w:rPr>
            </w:pPr>
            <w:r>
              <w:rPr>
                <w:b/>
                <w:sz w:val="22"/>
                <w:szCs w:val="22"/>
              </w:rPr>
              <w:t>ASA 100 mg naponta egyszer</w:t>
            </w:r>
          </w:p>
          <w:p w:rsidR="00F50CC3" w:rsidRDefault="00730655">
            <w:pPr>
              <w:pStyle w:val="Default"/>
              <w:rPr>
                <w:b/>
                <w:sz w:val="22"/>
                <w:szCs w:val="22"/>
                <w:u w:val="single"/>
              </w:rPr>
            </w:pPr>
            <w:r>
              <w:rPr>
                <w:b/>
                <w:sz w:val="22"/>
                <w:szCs w:val="22"/>
              </w:rPr>
              <w:t>N = 1131</w:t>
            </w:r>
          </w:p>
        </w:tc>
      </w:tr>
      <w:tr w:rsidR="00F50CC3">
        <w:tc>
          <w:tcPr>
            <w:tcW w:w="3095" w:type="dxa"/>
            <w:shd w:val="clear" w:color="auto" w:fill="auto"/>
          </w:tcPr>
          <w:p w:rsidR="00F50CC3" w:rsidRDefault="00730655">
            <w:pPr>
              <w:pStyle w:val="Default"/>
              <w:rPr>
                <w:sz w:val="22"/>
                <w:szCs w:val="22"/>
                <w:u w:val="single"/>
              </w:rPr>
            </w:pPr>
            <w:r>
              <w:rPr>
                <w:sz w:val="22"/>
                <w:szCs w:val="22"/>
              </w:rPr>
              <w:t>Medián kezelési időtartam [interkvartilis tartomány]</w:t>
            </w:r>
          </w:p>
        </w:tc>
        <w:tc>
          <w:tcPr>
            <w:tcW w:w="2064" w:type="dxa"/>
            <w:shd w:val="clear" w:color="auto" w:fill="auto"/>
          </w:tcPr>
          <w:p w:rsidR="00F50CC3" w:rsidRDefault="00730655">
            <w:pPr>
              <w:pStyle w:val="Default"/>
              <w:rPr>
                <w:sz w:val="22"/>
                <w:szCs w:val="22"/>
                <w:u w:val="single"/>
              </w:rPr>
            </w:pPr>
            <w:r>
              <w:rPr>
                <w:sz w:val="22"/>
                <w:szCs w:val="22"/>
              </w:rPr>
              <w:t>349 [189 - 362] nap</w:t>
            </w:r>
          </w:p>
        </w:tc>
        <w:tc>
          <w:tcPr>
            <w:tcW w:w="2064" w:type="dxa"/>
            <w:shd w:val="clear" w:color="auto" w:fill="auto"/>
          </w:tcPr>
          <w:p w:rsidR="00F50CC3" w:rsidRDefault="00730655">
            <w:pPr>
              <w:pStyle w:val="Default"/>
              <w:rPr>
                <w:sz w:val="22"/>
                <w:szCs w:val="22"/>
                <w:u w:val="single"/>
              </w:rPr>
            </w:pPr>
            <w:r>
              <w:rPr>
                <w:sz w:val="22"/>
                <w:szCs w:val="22"/>
              </w:rPr>
              <w:t>353 [190 - 362] nap</w:t>
            </w:r>
          </w:p>
        </w:tc>
        <w:tc>
          <w:tcPr>
            <w:tcW w:w="2064" w:type="dxa"/>
            <w:shd w:val="clear" w:color="auto" w:fill="auto"/>
          </w:tcPr>
          <w:p w:rsidR="00F50CC3" w:rsidRDefault="00730655">
            <w:pPr>
              <w:pStyle w:val="Default"/>
              <w:rPr>
                <w:sz w:val="22"/>
                <w:szCs w:val="22"/>
                <w:u w:val="single"/>
              </w:rPr>
            </w:pPr>
            <w:r>
              <w:rPr>
                <w:sz w:val="22"/>
                <w:szCs w:val="22"/>
              </w:rPr>
              <w:t>350 [186 - 362] nap</w:t>
            </w:r>
          </w:p>
        </w:tc>
      </w:tr>
      <w:tr w:rsidR="00F50CC3">
        <w:tc>
          <w:tcPr>
            <w:tcW w:w="3095" w:type="dxa"/>
            <w:shd w:val="clear" w:color="auto" w:fill="auto"/>
          </w:tcPr>
          <w:p w:rsidR="00F50CC3" w:rsidRDefault="00730655">
            <w:pPr>
              <w:pStyle w:val="Default"/>
              <w:rPr>
                <w:sz w:val="22"/>
                <w:szCs w:val="22"/>
                <w:u w:val="single"/>
              </w:rPr>
            </w:pPr>
            <w:r>
              <w:rPr>
                <w:sz w:val="22"/>
                <w:szCs w:val="22"/>
              </w:rPr>
              <w:t>Tünetekkel járó, visszatérő VTE</w:t>
            </w:r>
          </w:p>
        </w:tc>
        <w:tc>
          <w:tcPr>
            <w:tcW w:w="2064" w:type="dxa"/>
            <w:shd w:val="clear" w:color="auto" w:fill="auto"/>
          </w:tcPr>
          <w:p w:rsidR="00F50CC3" w:rsidRDefault="00730655">
            <w:pPr>
              <w:pStyle w:val="Default"/>
              <w:rPr>
                <w:sz w:val="22"/>
                <w:szCs w:val="22"/>
              </w:rPr>
            </w:pPr>
            <w:r>
              <w:rPr>
                <w:sz w:val="22"/>
                <w:szCs w:val="22"/>
              </w:rPr>
              <w:t>17</w:t>
            </w:r>
          </w:p>
          <w:p w:rsidR="00F50CC3" w:rsidRDefault="00730655">
            <w:pPr>
              <w:pStyle w:val="Default"/>
              <w:rPr>
                <w:sz w:val="22"/>
                <w:szCs w:val="22"/>
                <w:u w:val="single"/>
              </w:rPr>
            </w:pPr>
            <w:r>
              <w:rPr>
                <w:sz w:val="22"/>
                <w:szCs w:val="22"/>
              </w:rPr>
              <w:t>(1,5%)*</w:t>
            </w:r>
          </w:p>
        </w:tc>
        <w:tc>
          <w:tcPr>
            <w:tcW w:w="2064" w:type="dxa"/>
            <w:shd w:val="clear" w:color="auto" w:fill="auto"/>
          </w:tcPr>
          <w:p w:rsidR="00F50CC3" w:rsidRDefault="00730655">
            <w:pPr>
              <w:pStyle w:val="Default"/>
              <w:rPr>
                <w:sz w:val="22"/>
                <w:szCs w:val="22"/>
              </w:rPr>
            </w:pPr>
            <w:r>
              <w:rPr>
                <w:sz w:val="22"/>
                <w:szCs w:val="22"/>
              </w:rPr>
              <w:t>13</w:t>
            </w:r>
          </w:p>
          <w:p w:rsidR="00F50CC3" w:rsidRDefault="00730655">
            <w:pPr>
              <w:pStyle w:val="Default"/>
              <w:rPr>
                <w:sz w:val="22"/>
                <w:szCs w:val="22"/>
                <w:u w:val="single"/>
              </w:rPr>
            </w:pPr>
            <w:r>
              <w:rPr>
                <w:sz w:val="22"/>
                <w:szCs w:val="22"/>
              </w:rPr>
              <w:t>(1,2%)**</w:t>
            </w:r>
          </w:p>
        </w:tc>
        <w:tc>
          <w:tcPr>
            <w:tcW w:w="2064" w:type="dxa"/>
            <w:shd w:val="clear" w:color="auto" w:fill="auto"/>
          </w:tcPr>
          <w:p w:rsidR="00F50CC3" w:rsidRDefault="00730655">
            <w:pPr>
              <w:pStyle w:val="Default"/>
              <w:rPr>
                <w:sz w:val="22"/>
                <w:szCs w:val="22"/>
              </w:rPr>
            </w:pPr>
            <w:r>
              <w:rPr>
                <w:sz w:val="22"/>
                <w:szCs w:val="22"/>
              </w:rPr>
              <w:t>50</w:t>
            </w:r>
          </w:p>
          <w:p w:rsidR="00F50CC3" w:rsidRDefault="00730655">
            <w:pPr>
              <w:pStyle w:val="Default"/>
              <w:rPr>
                <w:sz w:val="22"/>
                <w:szCs w:val="22"/>
                <w:u w:val="single"/>
              </w:rPr>
            </w:pPr>
            <w:r>
              <w:rPr>
                <w:sz w:val="22"/>
                <w:szCs w:val="22"/>
              </w:rPr>
              <w:t>(4,4%)</w:t>
            </w:r>
          </w:p>
        </w:tc>
      </w:tr>
      <w:tr w:rsidR="00F50CC3">
        <w:tc>
          <w:tcPr>
            <w:tcW w:w="3095" w:type="dxa"/>
            <w:shd w:val="clear" w:color="auto" w:fill="auto"/>
          </w:tcPr>
          <w:p w:rsidR="00F50CC3" w:rsidRDefault="00730655">
            <w:pPr>
              <w:pStyle w:val="Default"/>
              <w:ind w:left="284"/>
              <w:rPr>
                <w:sz w:val="22"/>
                <w:szCs w:val="22"/>
                <w:u w:val="single"/>
              </w:rPr>
            </w:pPr>
            <w:r>
              <w:rPr>
                <w:sz w:val="22"/>
                <w:szCs w:val="22"/>
              </w:rPr>
              <w:t xml:space="preserve">Tünetekkel járó, visszatérő PE </w:t>
            </w:r>
          </w:p>
        </w:tc>
        <w:tc>
          <w:tcPr>
            <w:tcW w:w="2064" w:type="dxa"/>
            <w:shd w:val="clear" w:color="auto" w:fill="auto"/>
          </w:tcPr>
          <w:p w:rsidR="00F50CC3" w:rsidRDefault="00730655">
            <w:pPr>
              <w:pStyle w:val="Default"/>
              <w:rPr>
                <w:sz w:val="22"/>
                <w:szCs w:val="22"/>
              </w:rPr>
            </w:pPr>
            <w:r>
              <w:rPr>
                <w:sz w:val="22"/>
                <w:szCs w:val="22"/>
              </w:rPr>
              <w:t>6</w:t>
            </w:r>
          </w:p>
          <w:p w:rsidR="00F50CC3" w:rsidRDefault="00730655">
            <w:pPr>
              <w:pStyle w:val="Default"/>
              <w:rPr>
                <w:sz w:val="22"/>
                <w:szCs w:val="22"/>
                <w:u w:val="single"/>
              </w:rPr>
            </w:pPr>
            <w:r>
              <w:rPr>
                <w:sz w:val="22"/>
                <w:szCs w:val="22"/>
              </w:rPr>
              <w:t>(0,5%)</w:t>
            </w:r>
          </w:p>
        </w:tc>
        <w:tc>
          <w:tcPr>
            <w:tcW w:w="2064" w:type="dxa"/>
            <w:shd w:val="clear" w:color="auto" w:fill="auto"/>
          </w:tcPr>
          <w:p w:rsidR="00F50CC3" w:rsidRDefault="00730655">
            <w:pPr>
              <w:pStyle w:val="Default"/>
              <w:rPr>
                <w:sz w:val="22"/>
                <w:szCs w:val="22"/>
              </w:rPr>
            </w:pPr>
            <w:r>
              <w:rPr>
                <w:sz w:val="22"/>
                <w:szCs w:val="22"/>
              </w:rPr>
              <w:t>6</w:t>
            </w:r>
          </w:p>
          <w:p w:rsidR="00F50CC3" w:rsidRDefault="00730655">
            <w:pPr>
              <w:pStyle w:val="Default"/>
              <w:rPr>
                <w:sz w:val="22"/>
                <w:szCs w:val="22"/>
                <w:u w:val="single"/>
              </w:rPr>
            </w:pPr>
            <w:r>
              <w:rPr>
                <w:sz w:val="22"/>
                <w:szCs w:val="22"/>
              </w:rPr>
              <w:t>(0,5%)</w:t>
            </w:r>
          </w:p>
        </w:tc>
        <w:tc>
          <w:tcPr>
            <w:tcW w:w="2064" w:type="dxa"/>
            <w:shd w:val="clear" w:color="auto" w:fill="auto"/>
          </w:tcPr>
          <w:p w:rsidR="00F50CC3" w:rsidRDefault="00730655">
            <w:pPr>
              <w:pStyle w:val="Default"/>
              <w:rPr>
                <w:sz w:val="22"/>
                <w:szCs w:val="22"/>
              </w:rPr>
            </w:pPr>
            <w:r>
              <w:rPr>
                <w:sz w:val="22"/>
                <w:szCs w:val="22"/>
              </w:rPr>
              <w:t>19</w:t>
            </w:r>
          </w:p>
          <w:p w:rsidR="00F50CC3" w:rsidRDefault="00730655">
            <w:pPr>
              <w:pStyle w:val="Default"/>
              <w:rPr>
                <w:sz w:val="22"/>
                <w:szCs w:val="22"/>
                <w:u w:val="single"/>
              </w:rPr>
            </w:pPr>
            <w:r>
              <w:rPr>
                <w:sz w:val="22"/>
                <w:szCs w:val="22"/>
              </w:rPr>
              <w:t>(1,7%)</w:t>
            </w:r>
          </w:p>
        </w:tc>
      </w:tr>
      <w:tr w:rsidR="00F50CC3">
        <w:tc>
          <w:tcPr>
            <w:tcW w:w="3095" w:type="dxa"/>
            <w:shd w:val="clear" w:color="auto" w:fill="auto"/>
          </w:tcPr>
          <w:p w:rsidR="00F50CC3" w:rsidRDefault="00730655">
            <w:pPr>
              <w:pStyle w:val="Default"/>
              <w:ind w:left="284"/>
              <w:rPr>
                <w:sz w:val="22"/>
                <w:szCs w:val="22"/>
                <w:u w:val="single"/>
              </w:rPr>
            </w:pPr>
            <w:r>
              <w:rPr>
                <w:sz w:val="22"/>
                <w:szCs w:val="22"/>
              </w:rPr>
              <w:t xml:space="preserve">Tünetekkel járó, recidiváló MVT </w:t>
            </w:r>
          </w:p>
        </w:tc>
        <w:tc>
          <w:tcPr>
            <w:tcW w:w="2064" w:type="dxa"/>
            <w:shd w:val="clear" w:color="auto" w:fill="auto"/>
          </w:tcPr>
          <w:p w:rsidR="00F50CC3" w:rsidRDefault="00730655">
            <w:pPr>
              <w:pStyle w:val="Default"/>
              <w:rPr>
                <w:sz w:val="22"/>
                <w:szCs w:val="22"/>
              </w:rPr>
            </w:pPr>
            <w:r>
              <w:rPr>
                <w:sz w:val="22"/>
                <w:szCs w:val="22"/>
              </w:rPr>
              <w:t>9</w:t>
            </w:r>
          </w:p>
          <w:p w:rsidR="00F50CC3" w:rsidRDefault="00730655">
            <w:pPr>
              <w:pStyle w:val="Default"/>
              <w:rPr>
                <w:sz w:val="22"/>
                <w:szCs w:val="22"/>
                <w:u w:val="single"/>
              </w:rPr>
            </w:pPr>
            <w:r>
              <w:rPr>
                <w:sz w:val="22"/>
                <w:szCs w:val="22"/>
              </w:rPr>
              <w:t>(0,8%)</w:t>
            </w:r>
          </w:p>
        </w:tc>
        <w:tc>
          <w:tcPr>
            <w:tcW w:w="2064" w:type="dxa"/>
            <w:shd w:val="clear" w:color="auto" w:fill="auto"/>
          </w:tcPr>
          <w:p w:rsidR="00F50CC3" w:rsidRDefault="00730655">
            <w:pPr>
              <w:pStyle w:val="Default"/>
              <w:rPr>
                <w:sz w:val="22"/>
                <w:szCs w:val="22"/>
              </w:rPr>
            </w:pPr>
            <w:r>
              <w:rPr>
                <w:sz w:val="22"/>
                <w:szCs w:val="22"/>
              </w:rPr>
              <w:t>8</w:t>
            </w:r>
          </w:p>
          <w:p w:rsidR="00F50CC3" w:rsidRDefault="00730655">
            <w:pPr>
              <w:pStyle w:val="Default"/>
              <w:rPr>
                <w:sz w:val="22"/>
                <w:szCs w:val="22"/>
                <w:u w:val="single"/>
              </w:rPr>
            </w:pPr>
            <w:r>
              <w:rPr>
                <w:sz w:val="22"/>
                <w:szCs w:val="22"/>
              </w:rPr>
              <w:t>(0,7%)</w:t>
            </w:r>
          </w:p>
        </w:tc>
        <w:tc>
          <w:tcPr>
            <w:tcW w:w="2064" w:type="dxa"/>
            <w:shd w:val="clear" w:color="auto" w:fill="auto"/>
          </w:tcPr>
          <w:p w:rsidR="00F50CC3" w:rsidRDefault="00730655">
            <w:pPr>
              <w:pStyle w:val="Default"/>
              <w:rPr>
                <w:sz w:val="22"/>
                <w:szCs w:val="22"/>
              </w:rPr>
            </w:pPr>
            <w:r>
              <w:rPr>
                <w:sz w:val="22"/>
                <w:szCs w:val="22"/>
              </w:rPr>
              <w:t>30</w:t>
            </w:r>
          </w:p>
          <w:p w:rsidR="00F50CC3" w:rsidRDefault="00730655">
            <w:pPr>
              <w:pStyle w:val="Default"/>
              <w:rPr>
                <w:sz w:val="22"/>
                <w:szCs w:val="22"/>
                <w:u w:val="single"/>
              </w:rPr>
            </w:pPr>
            <w:r>
              <w:rPr>
                <w:sz w:val="22"/>
                <w:szCs w:val="22"/>
              </w:rPr>
              <w:t>(2,7%)</w:t>
            </w:r>
          </w:p>
        </w:tc>
      </w:tr>
      <w:tr w:rsidR="00F50CC3">
        <w:tc>
          <w:tcPr>
            <w:tcW w:w="3095" w:type="dxa"/>
            <w:shd w:val="clear" w:color="auto" w:fill="auto"/>
          </w:tcPr>
          <w:p w:rsidR="00F50CC3" w:rsidRDefault="00730655">
            <w:pPr>
              <w:pStyle w:val="Default"/>
              <w:ind w:left="284"/>
              <w:rPr>
                <w:sz w:val="22"/>
                <w:szCs w:val="22"/>
                <w:u w:val="single"/>
              </w:rPr>
            </w:pPr>
            <w:r>
              <w:rPr>
                <w:sz w:val="22"/>
                <w:szCs w:val="22"/>
              </w:rPr>
              <w:t xml:space="preserve">Fatális PE/haláleset, amelynél nem lehet kizárni a PE-t </w:t>
            </w:r>
          </w:p>
        </w:tc>
        <w:tc>
          <w:tcPr>
            <w:tcW w:w="2064" w:type="dxa"/>
            <w:shd w:val="clear" w:color="auto" w:fill="auto"/>
          </w:tcPr>
          <w:p w:rsidR="00F50CC3" w:rsidRDefault="00730655">
            <w:pPr>
              <w:pStyle w:val="Default"/>
              <w:rPr>
                <w:sz w:val="22"/>
                <w:szCs w:val="22"/>
              </w:rPr>
            </w:pPr>
            <w:r>
              <w:rPr>
                <w:sz w:val="22"/>
                <w:szCs w:val="22"/>
              </w:rPr>
              <w:t>2</w:t>
            </w:r>
          </w:p>
          <w:p w:rsidR="00F50CC3" w:rsidRDefault="00730655">
            <w:pPr>
              <w:pStyle w:val="Default"/>
              <w:rPr>
                <w:sz w:val="22"/>
                <w:szCs w:val="22"/>
                <w:u w:val="single"/>
              </w:rPr>
            </w:pPr>
            <w:r>
              <w:rPr>
                <w:sz w:val="22"/>
                <w:szCs w:val="22"/>
              </w:rPr>
              <w:t>(0,2%)</w:t>
            </w:r>
          </w:p>
        </w:tc>
        <w:tc>
          <w:tcPr>
            <w:tcW w:w="2064" w:type="dxa"/>
            <w:shd w:val="clear" w:color="auto" w:fill="auto"/>
          </w:tcPr>
          <w:p w:rsidR="00F50CC3" w:rsidRDefault="00730655">
            <w:pPr>
              <w:pStyle w:val="Default"/>
              <w:rPr>
                <w:sz w:val="22"/>
                <w:szCs w:val="22"/>
              </w:rPr>
            </w:pPr>
            <w:r>
              <w:rPr>
                <w:sz w:val="22"/>
                <w:szCs w:val="22"/>
              </w:rPr>
              <w:t>0</w:t>
            </w:r>
          </w:p>
        </w:tc>
        <w:tc>
          <w:tcPr>
            <w:tcW w:w="2064" w:type="dxa"/>
            <w:shd w:val="clear" w:color="auto" w:fill="auto"/>
          </w:tcPr>
          <w:p w:rsidR="00F50CC3" w:rsidRDefault="00730655">
            <w:pPr>
              <w:pStyle w:val="Default"/>
              <w:rPr>
                <w:sz w:val="22"/>
                <w:szCs w:val="22"/>
              </w:rPr>
            </w:pPr>
            <w:r>
              <w:rPr>
                <w:sz w:val="22"/>
                <w:szCs w:val="22"/>
              </w:rPr>
              <w:t xml:space="preserve">2 </w:t>
            </w:r>
          </w:p>
          <w:p w:rsidR="00F50CC3" w:rsidRDefault="00730655">
            <w:pPr>
              <w:pStyle w:val="Default"/>
              <w:rPr>
                <w:sz w:val="22"/>
                <w:szCs w:val="22"/>
                <w:u w:val="single"/>
              </w:rPr>
            </w:pPr>
            <w:r>
              <w:rPr>
                <w:sz w:val="22"/>
                <w:szCs w:val="22"/>
              </w:rPr>
              <w:t>(0,2%)</w:t>
            </w:r>
          </w:p>
        </w:tc>
      </w:tr>
      <w:tr w:rsidR="00F50CC3">
        <w:tc>
          <w:tcPr>
            <w:tcW w:w="3095" w:type="dxa"/>
            <w:shd w:val="clear" w:color="auto" w:fill="auto"/>
          </w:tcPr>
          <w:p w:rsidR="00F50CC3" w:rsidRDefault="00730655">
            <w:pPr>
              <w:pStyle w:val="Default"/>
              <w:rPr>
                <w:sz w:val="22"/>
                <w:szCs w:val="22"/>
                <w:u w:val="single"/>
              </w:rPr>
            </w:pPr>
            <w:r>
              <w:rPr>
                <w:sz w:val="22"/>
                <w:szCs w:val="22"/>
              </w:rPr>
              <w:t xml:space="preserve">Tünetekkel járó, visszatérő VTE, MI, stroke vagy nem központi idegrendszeri embólia </w:t>
            </w:r>
          </w:p>
        </w:tc>
        <w:tc>
          <w:tcPr>
            <w:tcW w:w="2064" w:type="dxa"/>
            <w:shd w:val="clear" w:color="auto" w:fill="auto"/>
          </w:tcPr>
          <w:p w:rsidR="00F50CC3" w:rsidRDefault="00730655">
            <w:pPr>
              <w:pStyle w:val="Default"/>
              <w:rPr>
                <w:sz w:val="22"/>
                <w:szCs w:val="22"/>
              </w:rPr>
            </w:pPr>
            <w:r>
              <w:rPr>
                <w:sz w:val="22"/>
                <w:szCs w:val="22"/>
              </w:rPr>
              <w:t>19</w:t>
            </w:r>
          </w:p>
          <w:p w:rsidR="00F50CC3" w:rsidRDefault="00730655">
            <w:pPr>
              <w:pStyle w:val="Default"/>
              <w:rPr>
                <w:sz w:val="22"/>
                <w:szCs w:val="22"/>
                <w:u w:val="single"/>
              </w:rPr>
            </w:pPr>
            <w:r>
              <w:rPr>
                <w:sz w:val="22"/>
                <w:szCs w:val="22"/>
              </w:rPr>
              <w:t>(1,7%)</w:t>
            </w:r>
          </w:p>
        </w:tc>
        <w:tc>
          <w:tcPr>
            <w:tcW w:w="2064" w:type="dxa"/>
            <w:shd w:val="clear" w:color="auto" w:fill="auto"/>
          </w:tcPr>
          <w:p w:rsidR="00F50CC3" w:rsidRDefault="00730655">
            <w:pPr>
              <w:pStyle w:val="Default"/>
              <w:rPr>
                <w:sz w:val="22"/>
                <w:szCs w:val="22"/>
              </w:rPr>
            </w:pPr>
            <w:r>
              <w:rPr>
                <w:sz w:val="22"/>
                <w:szCs w:val="22"/>
              </w:rPr>
              <w:t>18</w:t>
            </w:r>
          </w:p>
          <w:p w:rsidR="00F50CC3" w:rsidRDefault="00730655">
            <w:pPr>
              <w:pStyle w:val="Default"/>
              <w:rPr>
                <w:sz w:val="22"/>
                <w:szCs w:val="22"/>
                <w:u w:val="single"/>
              </w:rPr>
            </w:pPr>
            <w:r>
              <w:rPr>
                <w:sz w:val="22"/>
                <w:szCs w:val="22"/>
              </w:rPr>
              <w:t>(1,6%)</w:t>
            </w:r>
          </w:p>
        </w:tc>
        <w:tc>
          <w:tcPr>
            <w:tcW w:w="2064" w:type="dxa"/>
            <w:shd w:val="clear" w:color="auto" w:fill="auto"/>
          </w:tcPr>
          <w:p w:rsidR="00F50CC3" w:rsidRDefault="00730655">
            <w:pPr>
              <w:pStyle w:val="Default"/>
              <w:rPr>
                <w:sz w:val="22"/>
                <w:szCs w:val="22"/>
              </w:rPr>
            </w:pPr>
            <w:r>
              <w:rPr>
                <w:sz w:val="22"/>
                <w:szCs w:val="22"/>
              </w:rPr>
              <w:t>56</w:t>
            </w:r>
          </w:p>
          <w:p w:rsidR="00F50CC3" w:rsidRDefault="00730655">
            <w:pPr>
              <w:pStyle w:val="Default"/>
              <w:rPr>
                <w:sz w:val="22"/>
                <w:szCs w:val="22"/>
                <w:u w:val="single"/>
              </w:rPr>
            </w:pPr>
            <w:r>
              <w:rPr>
                <w:sz w:val="22"/>
                <w:szCs w:val="22"/>
              </w:rPr>
              <w:t>(5,0%)</w:t>
            </w:r>
          </w:p>
        </w:tc>
      </w:tr>
      <w:tr w:rsidR="00F50CC3">
        <w:tc>
          <w:tcPr>
            <w:tcW w:w="3095" w:type="dxa"/>
            <w:shd w:val="clear" w:color="auto" w:fill="auto"/>
          </w:tcPr>
          <w:p w:rsidR="00F50CC3" w:rsidRDefault="00730655">
            <w:pPr>
              <w:pStyle w:val="Default"/>
              <w:rPr>
                <w:sz w:val="22"/>
                <w:szCs w:val="22"/>
                <w:u w:val="single"/>
              </w:rPr>
            </w:pPr>
            <w:r>
              <w:rPr>
                <w:sz w:val="22"/>
                <w:szCs w:val="22"/>
              </w:rPr>
              <w:t xml:space="preserve">Súlyos vérzéses esemény </w:t>
            </w:r>
          </w:p>
        </w:tc>
        <w:tc>
          <w:tcPr>
            <w:tcW w:w="2064" w:type="dxa"/>
            <w:shd w:val="clear" w:color="auto" w:fill="auto"/>
          </w:tcPr>
          <w:p w:rsidR="00F50CC3" w:rsidRDefault="00730655">
            <w:pPr>
              <w:pStyle w:val="Default"/>
              <w:rPr>
                <w:sz w:val="22"/>
                <w:szCs w:val="22"/>
              </w:rPr>
            </w:pPr>
            <w:r>
              <w:rPr>
                <w:sz w:val="22"/>
                <w:szCs w:val="22"/>
              </w:rPr>
              <w:t>6</w:t>
            </w:r>
          </w:p>
          <w:p w:rsidR="00F50CC3" w:rsidRDefault="00730655">
            <w:pPr>
              <w:pStyle w:val="Default"/>
              <w:rPr>
                <w:sz w:val="22"/>
                <w:szCs w:val="22"/>
                <w:u w:val="single"/>
              </w:rPr>
            </w:pPr>
            <w:r>
              <w:rPr>
                <w:sz w:val="22"/>
                <w:szCs w:val="22"/>
              </w:rPr>
              <w:t>(0,5%)</w:t>
            </w:r>
          </w:p>
        </w:tc>
        <w:tc>
          <w:tcPr>
            <w:tcW w:w="2064" w:type="dxa"/>
            <w:shd w:val="clear" w:color="auto" w:fill="auto"/>
          </w:tcPr>
          <w:p w:rsidR="00F50CC3" w:rsidRDefault="00730655">
            <w:pPr>
              <w:pStyle w:val="Default"/>
              <w:rPr>
                <w:sz w:val="22"/>
                <w:szCs w:val="22"/>
              </w:rPr>
            </w:pPr>
            <w:r>
              <w:rPr>
                <w:sz w:val="22"/>
                <w:szCs w:val="22"/>
              </w:rPr>
              <w:t>5</w:t>
            </w:r>
          </w:p>
          <w:p w:rsidR="00F50CC3" w:rsidRDefault="00730655">
            <w:pPr>
              <w:pStyle w:val="Default"/>
              <w:rPr>
                <w:sz w:val="22"/>
                <w:szCs w:val="22"/>
                <w:u w:val="single"/>
              </w:rPr>
            </w:pPr>
            <w:r>
              <w:rPr>
                <w:sz w:val="22"/>
                <w:szCs w:val="22"/>
              </w:rPr>
              <w:t>(0,4%)</w:t>
            </w:r>
          </w:p>
        </w:tc>
        <w:tc>
          <w:tcPr>
            <w:tcW w:w="2064" w:type="dxa"/>
            <w:shd w:val="clear" w:color="auto" w:fill="auto"/>
          </w:tcPr>
          <w:p w:rsidR="00F50CC3" w:rsidRDefault="00730655">
            <w:pPr>
              <w:pStyle w:val="Default"/>
              <w:rPr>
                <w:sz w:val="22"/>
                <w:szCs w:val="22"/>
              </w:rPr>
            </w:pPr>
            <w:r>
              <w:rPr>
                <w:sz w:val="22"/>
                <w:szCs w:val="22"/>
              </w:rPr>
              <w:t>3</w:t>
            </w:r>
          </w:p>
          <w:p w:rsidR="00F50CC3" w:rsidRDefault="00730655">
            <w:pPr>
              <w:pStyle w:val="Default"/>
              <w:rPr>
                <w:sz w:val="22"/>
                <w:szCs w:val="22"/>
                <w:u w:val="single"/>
              </w:rPr>
            </w:pPr>
            <w:r>
              <w:rPr>
                <w:sz w:val="22"/>
                <w:szCs w:val="22"/>
              </w:rPr>
              <w:t>(0,3%)</w:t>
            </w:r>
          </w:p>
        </w:tc>
      </w:tr>
      <w:tr w:rsidR="00F50CC3">
        <w:tc>
          <w:tcPr>
            <w:tcW w:w="3095" w:type="dxa"/>
            <w:shd w:val="clear" w:color="auto" w:fill="auto"/>
          </w:tcPr>
          <w:p w:rsidR="00F50CC3" w:rsidRDefault="00730655">
            <w:pPr>
              <w:pStyle w:val="Default"/>
              <w:rPr>
                <w:sz w:val="22"/>
                <w:szCs w:val="22"/>
                <w:u w:val="single"/>
              </w:rPr>
            </w:pPr>
            <w:r>
              <w:rPr>
                <w:sz w:val="22"/>
                <w:szCs w:val="22"/>
              </w:rPr>
              <w:t xml:space="preserve">Klinikailag jelentős, nem súlyos vérzés </w:t>
            </w:r>
          </w:p>
        </w:tc>
        <w:tc>
          <w:tcPr>
            <w:tcW w:w="2064" w:type="dxa"/>
            <w:shd w:val="clear" w:color="auto" w:fill="auto"/>
          </w:tcPr>
          <w:p w:rsidR="00F50CC3" w:rsidRDefault="00730655">
            <w:pPr>
              <w:pStyle w:val="Default"/>
              <w:rPr>
                <w:sz w:val="22"/>
                <w:szCs w:val="22"/>
              </w:rPr>
            </w:pPr>
            <w:r>
              <w:rPr>
                <w:sz w:val="22"/>
                <w:szCs w:val="22"/>
              </w:rPr>
              <w:t>30</w:t>
            </w:r>
          </w:p>
          <w:p w:rsidR="00F50CC3" w:rsidRDefault="00730655">
            <w:pPr>
              <w:pStyle w:val="Default"/>
              <w:rPr>
                <w:sz w:val="22"/>
                <w:szCs w:val="22"/>
                <w:u w:val="single"/>
              </w:rPr>
            </w:pPr>
            <w:r>
              <w:rPr>
                <w:sz w:val="22"/>
                <w:szCs w:val="22"/>
              </w:rPr>
              <w:t>(2,7%)</w:t>
            </w:r>
          </w:p>
        </w:tc>
        <w:tc>
          <w:tcPr>
            <w:tcW w:w="2064" w:type="dxa"/>
            <w:shd w:val="clear" w:color="auto" w:fill="auto"/>
          </w:tcPr>
          <w:p w:rsidR="00F50CC3" w:rsidRDefault="00730655">
            <w:pPr>
              <w:pStyle w:val="Default"/>
              <w:rPr>
                <w:sz w:val="22"/>
                <w:szCs w:val="22"/>
              </w:rPr>
            </w:pPr>
            <w:r>
              <w:rPr>
                <w:sz w:val="22"/>
                <w:szCs w:val="22"/>
              </w:rPr>
              <w:t>22</w:t>
            </w:r>
          </w:p>
          <w:p w:rsidR="00F50CC3" w:rsidRDefault="00730655">
            <w:pPr>
              <w:pStyle w:val="Default"/>
              <w:rPr>
                <w:sz w:val="22"/>
                <w:szCs w:val="22"/>
                <w:u w:val="single"/>
              </w:rPr>
            </w:pPr>
            <w:r>
              <w:rPr>
                <w:sz w:val="22"/>
                <w:szCs w:val="22"/>
              </w:rPr>
              <w:t>(2,0%)</w:t>
            </w:r>
          </w:p>
        </w:tc>
        <w:tc>
          <w:tcPr>
            <w:tcW w:w="2064" w:type="dxa"/>
            <w:shd w:val="clear" w:color="auto" w:fill="auto"/>
          </w:tcPr>
          <w:p w:rsidR="00F50CC3" w:rsidRDefault="00730655">
            <w:pPr>
              <w:pStyle w:val="Default"/>
              <w:rPr>
                <w:sz w:val="22"/>
                <w:szCs w:val="22"/>
              </w:rPr>
            </w:pPr>
            <w:r>
              <w:rPr>
                <w:sz w:val="22"/>
                <w:szCs w:val="22"/>
              </w:rPr>
              <w:t>20</w:t>
            </w:r>
          </w:p>
          <w:p w:rsidR="00F50CC3" w:rsidRDefault="00730655">
            <w:pPr>
              <w:pStyle w:val="Default"/>
              <w:rPr>
                <w:sz w:val="22"/>
                <w:szCs w:val="22"/>
                <w:u w:val="single"/>
              </w:rPr>
            </w:pPr>
            <w:r>
              <w:rPr>
                <w:sz w:val="22"/>
                <w:szCs w:val="22"/>
              </w:rPr>
              <w:t>(1,8%)</w:t>
            </w:r>
          </w:p>
        </w:tc>
      </w:tr>
      <w:tr w:rsidR="00F50CC3">
        <w:tc>
          <w:tcPr>
            <w:tcW w:w="3095" w:type="dxa"/>
            <w:shd w:val="clear" w:color="auto" w:fill="auto"/>
          </w:tcPr>
          <w:p w:rsidR="00F50CC3" w:rsidRDefault="00730655">
            <w:pPr>
              <w:pStyle w:val="Default"/>
              <w:rPr>
                <w:sz w:val="22"/>
                <w:szCs w:val="22"/>
                <w:u w:val="single"/>
              </w:rPr>
            </w:pPr>
            <w:r>
              <w:rPr>
                <w:sz w:val="22"/>
                <w:szCs w:val="22"/>
              </w:rPr>
              <w:t xml:space="preserve">Tünetekkel járó, visszatérő VTE vagy súlyos vérzéses (nettó klinikai előny) </w:t>
            </w:r>
          </w:p>
        </w:tc>
        <w:tc>
          <w:tcPr>
            <w:tcW w:w="2064" w:type="dxa"/>
            <w:shd w:val="clear" w:color="auto" w:fill="auto"/>
          </w:tcPr>
          <w:p w:rsidR="00F50CC3" w:rsidRDefault="00730655">
            <w:pPr>
              <w:pStyle w:val="Default"/>
              <w:rPr>
                <w:sz w:val="22"/>
                <w:szCs w:val="22"/>
                <w:u w:val="single"/>
              </w:rPr>
            </w:pPr>
            <w:r>
              <w:rPr>
                <w:sz w:val="22"/>
                <w:szCs w:val="22"/>
              </w:rPr>
              <w:t>23</w:t>
            </w:r>
            <w:r>
              <w:rPr>
                <w:sz w:val="22"/>
                <w:szCs w:val="22"/>
              </w:rPr>
              <w:br/>
              <w:t>(2,1%)</w:t>
            </w:r>
            <w:r>
              <w:rPr>
                <w:position w:val="8"/>
                <w:sz w:val="22"/>
                <w:szCs w:val="22"/>
                <w:vertAlign w:val="superscript"/>
              </w:rPr>
              <w:t xml:space="preserve">+ </w:t>
            </w:r>
          </w:p>
        </w:tc>
        <w:tc>
          <w:tcPr>
            <w:tcW w:w="2064" w:type="dxa"/>
            <w:shd w:val="clear" w:color="auto" w:fill="auto"/>
          </w:tcPr>
          <w:p w:rsidR="00F50CC3" w:rsidRDefault="00730655">
            <w:pPr>
              <w:pStyle w:val="Default"/>
              <w:rPr>
                <w:sz w:val="22"/>
                <w:szCs w:val="22"/>
              </w:rPr>
            </w:pPr>
            <w:r>
              <w:rPr>
                <w:sz w:val="22"/>
                <w:szCs w:val="22"/>
              </w:rPr>
              <w:t>17</w:t>
            </w:r>
          </w:p>
          <w:p w:rsidR="00F50CC3" w:rsidRDefault="00730655">
            <w:pPr>
              <w:pStyle w:val="Default"/>
              <w:rPr>
                <w:sz w:val="22"/>
                <w:szCs w:val="22"/>
              </w:rPr>
            </w:pPr>
            <w:r>
              <w:rPr>
                <w:sz w:val="22"/>
                <w:szCs w:val="22"/>
              </w:rPr>
              <w:t>(1,5%)</w:t>
            </w:r>
            <w:r>
              <w:rPr>
                <w:position w:val="8"/>
                <w:sz w:val="22"/>
                <w:szCs w:val="22"/>
                <w:vertAlign w:val="superscript"/>
              </w:rPr>
              <w:t xml:space="preserve">++ </w:t>
            </w:r>
          </w:p>
          <w:p w:rsidR="00F50CC3" w:rsidRDefault="00F50CC3">
            <w:pPr>
              <w:pStyle w:val="Default"/>
              <w:rPr>
                <w:sz w:val="22"/>
                <w:szCs w:val="22"/>
                <w:u w:val="single"/>
              </w:rPr>
            </w:pPr>
          </w:p>
        </w:tc>
        <w:tc>
          <w:tcPr>
            <w:tcW w:w="2064" w:type="dxa"/>
            <w:shd w:val="clear" w:color="auto" w:fill="auto"/>
          </w:tcPr>
          <w:p w:rsidR="00F50CC3" w:rsidRDefault="00730655">
            <w:pPr>
              <w:pStyle w:val="Default"/>
              <w:rPr>
                <w:sz w:val="22"/>
                <w:szCs w:val="22"/>
              </w:rPr>
            </w:pPr>
            <w:r>
              <w:rPr>
                <w:sz w:val="22"/>
                <w:szCs w:val="22"/>
              </w:rPr>
              <w:t>53</w:t>
            </w:r>
          </w:p>
          <w:p w:rsidR="00F50CC3" w:rsidRDefault="00730655">
            <w:pPr>
              <w:pStyle w:val="Default"/>
              <w:rPr>
                <w:sz w:val="22"/>
                <w:szCs w:val="22"/>
                <w:u w:val="single"/>
              </w:rPr>
            </w:pPr>
            <w:r>
              <w:rPr>
                <w:sz w:val="22"/>
                <w:szCs w:val="22"/>
              </w:rPr>
              <w:t>(4,7%)</w:t>
            </w:r>
          </w:p>
        </w:tc>
      </w:tr>
    </w:tbl>
    <w:p w:rsidR="00F50CC3" w:rsidRDefault="00730655" w:rsidP="00521197">
      <w:pPr>
        <w:pStyle w:val="Default"/>
        <w:ind w:left="426" w:hanging="426"/>
        <w:rPr>
          <w:sz w:val="22"/>
          <w:szCs w:val="22"/>
        </w:rPr>
      </w:pPr>
      <w:r>
        <w:rPr>
          <w:sz w:val="22"/>
          <w:szCs w:val="22"/>
        </w:rPr>
        <w:t>*</w:t>
      </w:r>
      <w:r w:rsidR="00521197">
        <w:rPr>
          <w:sz w:val="22"/>
          <w:szCs w:val="22"/>
        </w:rPr>
        <w:tab/>
      </w:r>
      <w:r>
        <w:rPr>
          <w:sz w:val="22"/>
          <w:szCs w:val="22"/>
        </w:rPr>
        <w:t>p &lt; 0,001 (szuperioritás) rivaroxabán 20 mg naponta egyszer vs. ASA 100 mg naponta egyszer; HR = 0,34 (0,20 – 0,59)</w:t>
      </w:r>
    </w:p>
    <w:p w:rsidR="00F50CC3" w:rsidRDefault="00730655" w:rsidP="00521197">
      <w:pPr>
        <w:pStyle w:val="Default"/>
        <w:ind w:left="426" w:hanging="426"/>
        <w:rPr>
          <w:sz w:val="22"/>
          <w:szCs w:val="22"/>
        </w:rPr>
      </w:pPr>
      <w:r>
        <w:rPr>
          <w:sz w:val="22"/>
          <w:szCs w:val="22"/>
        </w:rPr>
        <w:t>**</w:t>
      </w:r>
      <w:r w:rsidR="00521197">
        <w:rPr>
          <w:sz w:val="22"/>
          <w:szCs w:val="22"/>
        </w:rPr>
        <w:tab/>
      </w:r>
      <w:r>
        <w:rPr>
          <w:sz w:val="22"/>
          <w:szCs w:val="22"/>
        </w:rPr>
        <w:t>p &lt; 0,001 (szuperioritás) rivaroxabán 10 mg naponta egyszer vs. ASA 100 mg naponta egyszer; HR = 0,26 (0,14 – 0,47)</w:t>
      </w:r>
    </w:p>
    <w:p w:rsidR="00F50CC3" w:rsidRDefault="00730655" w:rsidP="00521197">
      <w:pPr>
        <w:pStyle w:val="Default"/>
        <w:ind w:left="426" w:hanging="426"/>
        <w:rPr>
          <w:sz w:val="22"/>
          <w:szCs w:val="22"/>
        </w:rPr>
      </w:pPr>
      <w:r>
        <w:rPr>
          <w:position w:val="8"/>
          <w:sz w:val="22"/>
          <w:szCs w:val="22"/>
          <w:vertAlign w:val="superscript"/>
        </w:rPr>
        <w:t>+</w:t>
      </w:r>
      <w:r w:rsidR="00521197">
        <w:rPr>
          <w:position w:val="8"/>
          <w:sz w:val="22"/>
          <w:szCs w:val="22"/>
        </w:rPr>
        <w:tab/>
      </w:r>
      <w:r>
        <w:rPr>
          <w:sz w:val="22"/>
          <w:szCs w:val="22"/>
        </w:rPr>
        <w:t>Rivaroxabán 20 mg naponta egyszer vs. ASA 100 mg naponta egyszer; HR = 0,44 (0,27 – 0,71), p = 0,0009 (névleges érték)</w:t>
      </w:r>
    </w:p>
    <w:p w:rsidR="00F50CC3" w:rsidRDefault="00730655" w:rsidP="00521197">
      <w:pPr>
        <w:pStyle w:val="Default"/>
        <w:ind w:left="426" w:hanging="426"/>
        <w:rPr>
          <w:sz w:val="22"/>
          <w:szCs w:val="22"/>
        </w:rPr>
      </w:pPr>
      <w:r>
        <w:rPr>
          <w:position w:val="8"/>
          <w:sz w:val="22"/>
          <w:szCs w:val="22"/>
          <w:vertAlign w:val="superscript"/>
        </w:rPr>
        <w:lastRenderedPageBreak/>
        <w:t>++</w:t>
      </w:r>
      <w:r w:rsidR="00521197">
        <w:rPr>
          <w:position w:val="8"/>
          <w:sz w:val="22"/>
          <w:szCs w:val="22"/>
          <w:vertAlign w:val="superscript"/>
        </w:rPr>
        <w:tab/>
      </w:r>
      <w:r>
        <w:rPr>
          <w:sz w:val="22"/>
          <w:szCs w:val="22"/>
        </w:rPr>
        <w:t>Rivaroxabán 10 mg naponta egyszer vs. ASA 100 mg naponta egyszer; HR = 0,32 (0,18 – 0,55), p &lt; 0,0001 (névleges érték)</w:t>
      </w:r>
    </w:p>
    <w:p w:rsidR="00F50CC3" w:rsidRDefault="00F50CC3" w:rsidP="00521197">
      <w:pPr>
        <w:pStyle w:val="Default"/>
        <w:ind w:left="426" w:hanging="426"/>
        <w:rPr>
          <w:sz w:val="22"/>
          <w:szCs w:val="22"/>
        </w:rPr>
      </w:pPr>
    </w:p>
    <w:p w:rsidR="00F50CC3" w:rsidRDefault="00730655">
      <w:pPr>
        <w:pStyle w:val="Default"/>
        <w:rPr>
          <w:sz w:val="22"/>
          <w:szCs w:val="22"/>
        </w:rPr>
      </w:pPr>
      <w:r>
        <w:rPr>
          <w:sz w:val="22"/>
          <w:szCs w:val="22"/>
        </w:rPr>
        <w:t>A III. fázisú EINSTEIN vizsgálaton túl egy prospektív, beavatkozással nem járó, nyílt kohorsz vizsgálatot (XALIA) végeztek központosított kiértékeléssel, beleértve a recidiváló MVT-t, a jelentős vérzést és a halált is. 5142, akut MVT-s beteget vontak be, hogy a klinikai gyakorlatban vizsgálják a rivaroxabán standard antikoagulációs terápiához viszonyított, hosszú távú biztonságosságát. A jelentős vérzés, a recidiváló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rivaroxabánt és a standard kezelést összehasonlító korrigált relatív hazárdok a súlyos vérzés, a visszatérő VTE és a teljes halálozás tekintetében sorrendben 0,77 (95%</w:t>
      </w:r>
      <w:r w:rsidR="00521197">
        <w:rPr>
          <w:sz w:val="22"/>
          <w:szCs w:val="22"/>
        </w:rPr>
        <w:t>-</w:t>
      </w:r>
      <w:r>
        <w:rPr>
          <w:sz w:val="22"/>
          <w:szCs w:val="22"/>
        </w:rPr>
        <w:t>os CI</w:t>
      </w:r>
      <w:r w:rsidR="00521197">
        <w:rPr>
          <w:sz w:val="22"/>
          <w:szCs w:val="22"/>
        </w:rPr>
        <w:t>:</w:t>
      </w:r>
      <w:r>
        <w:rPr>
          <w:sz w:val="22"/>
          <w:szCs w:val="22"/>
        </w:rPr>
        <w:t xml:space="preserve"> 0,40–1,50), 0,91 (95%</w:t>
      </w:r>
      <w:r w:rsidR="00521197">
        <w:rPr>
          <w:sz w:val="22"/>
          <w:szCs w:val="22"/>
        </w:rPr>
        <w:t>-</w:t>
      </w:r>
      <w:r>
        <w:rPr>
          <w:sz w:val="22"/>
          <w:szCs w:val="22"/>
        </w:rPr>
        <w:t>os CI</w:t>
      </w:r>
      <w:r w:rsidR="00521197">
        <w:rPr>
          <w:sz w:val="22"/>
          <w:szCs w:val="22"/>
        </w:rPr>
        <w:t>:</w:t>
      </w:r>
      <w:r>
        <w:rPr>
          <w:sz w:val="22"/>
          <w:szCs w:val="22"/>
        </w:rPr>
        <w:t xml:space="preserve"> 0,54–1,54) és 0,51 (95%</w:t>
      </w:r>
      <w:r w:rsidR="00521197">
        <w:rPr>
          <w:sz w:val="22"/>
          <w:szCs w:val="22"/>
        </w:rPr>
        <w:t>-</w:t>
      </w:r>
      <w:r>
        <w:rPr>
          <w:sz w:val="22"/>
          <w:szCs w:val="22"/>
        </w:rPr>
        <w:t>os CI</w:t>
      </w:r>
      <w:r w:rsidR="00521197">
        <w:rPr>
          <w:sz w:val="22"/>
          <w:szCs w:val="22"/>
        </w:rPr>
        <w:t>:</w:t>
      </w:r>
      <w:r>
        <w:rPr>
          <w:sz w:val="22"/>
          <w:szCs w:val="22"/>
        </w:rPr>
        <w:t xml:space="preserve"> 0,24–1,07) voltak.</w:t>
      </w:r>
    </w:p>
    <w:p w:rsidR="00F50CC3" w:rsidRDefault="00730655">
      <w:pPr>
        <w:pStyle w:val="Default"/>
        <w:rPr>
          <w:sz w:val="22"/>
          <w:szCs w:val="22"/>
        </w:rPr>
      </w:pPr>
      <w:r>
        <w:rPr>
          <w:sz w:val="22"/>
          <w:szCs w:val="22"/>
        </w:rPr>
        <w:t>Ezek a klinikai gyakorlatból származó megfigyelések konzisztensek az ebben az indikációban megállapított biztonságossági profillal.</w:t>
      </w:r>
    </w:p>
    <w:p w:rsidR="00F50CC3" w:rsidRDefault="00F50CC3">
      <w:pPr>
        <w:pStyle w:val="Default"/>
        <w:rPr>
          <w:sz w:val="22"/>
          <w:szCs w:val="22"/>
        </w:rPr>
      </w:pPr>
    </w:p>
    <w:p w:rsidR="00F50CC3" w:rsidRDefault="00730655">
      <w:pPr>
        <w:pStyle w:val="Default"/>
        <w:widowControl w:val="0"/>
        <w:suppressAutoHyphens/>
        <w:rPr>
          <w:sz w:val="22"/>
          <w:szCs w:val="22"/>
        </w:rPr>
      </w:pPr>
      <w:r>
        <w:rPr>
          <w:sz w:val="22"/>
          <w:szCs w:val="22"/>
        </w:rPr>
        <w:t>A forgalombahozatali engedély kiadása utáni, beavatkozással nem járó vizsgálatban négy országban több mint 40 000, daganatos betegségek szempontjából negatív anamnézisű betegnél rivaroxabánt rendeltek az MVT és a PE kezelésére vagy megelőzésére. A kórházi kezeléshez vezető, tünetekkel járó, vagy klinikailag nyilvánvaló VTE, illetve thromboemboliás események 100 betegévre vetített előfordulási aránya 0,64-től (95%-os CI</w:t>
      </w:r>
      <w:r w:rsidR="00521197">
        <w:rPr>
          <w:sz w:val="22"/>
          <w:szCs w:val="22"/>
        </w:rPr>
        <w:t>:</w:t>
      </w:r>
      <w:r>
        <w:rPr>
          <w:sz w:val="22"/>
          <w:szCs w:val="22"/>
        </w:rPr>
        <w:t xml:space="preserve"> 0,40–0,97; egyesült királyságbeli adatok) 2,30-ig (95%-os CI</w:t>
      </w:r>
      <w:r w:rsidR="00521197">
        <w:rPr>
          <w:sz w:val="22"/>
          <w:szCs w:val="22"/>
        </w:rPr>
        <w:t>:</w:t>
      </w:r>
      <w:r>
        <w:rPr>
          <w:sz w:val="22"/>
          <w:szCs w:val="22"/>
        </w:rPr>
        <w:t xml:space="preserve"> 2,11–2,51; németországbeli adatok) terjedő tartományban mozgott. Kórházi kezelést igénylő vérzések a következő esemény/100 betegév arányban fordultak elő: 0,31 (95%-os CI</w:t>
      </w:r>
      <w:r w:rsidR="00521197">
        <w:rPr>
          <w:sz w:val="22"/>
          <w:szCs w:val="22"/>
        </w:rPr>
        <w:t>:</w:t>
      </w:r>
      <w:r>
        <w:rPr>
          <w:sz w:val="22"/>
          <w:szCs w:val="22"/>
        </w:rPr>
        <w:t xml:space="preserve"> 0,23–0,42) intracranialis vérzések; 0,89 (95%-os CI</w:t>
      </w:r>
      <w:r w:rsidR="00521197">
        <w:rPr>
          <w:sz w:val="22"/>
          <w:szCs w:val="22"/>
        </w:rPr>
        <w:t>:</w:t>
      </w:r>
      <w:r>
        <w:rPr>
          <w:sz w:val="22"/>
          <w:szCs w:val="22"/>
        </w:rPr>
        <w:t xml:space="preserve"> 0,67–1,17) gasztrointesztinális vérzések; 0,44 (95%-os CI</w:t>
      </w:r>
      <w:r w:rsidR="00521197">
        <w:rPr>
          <w:sz w:val="22"/>
          <w:szCs w:val="22"/>
        </w:rPr>
        <w:t>:</w:t>
      </w:r>
      <w:r>
        <w:rPr>
          <w:sz w:val="22"/>
          <w:szCs w:val="22"/>
        </w:rPr>
        <w:t xml:space="preserve"> 0,26–0</w:t>
      </w:r>
      <w:r w:rsidR="00521197">
        <w:rPr>
          <w:sz w:val="22"/>
          <w:szCs w:val="22"/>
        </w:rPr>
        <w:t>,</w:t>
      </w:r>
      <w:r>
        <w:rPr>
          <w:sz w:val="22"/>
          <w:szCs w:val="22"/>
        </w:rPr>
        <w:t>74) urogenitalis vérzések és 0,41 (95%-os CI</w:t>
      </w:r>
      <w:r w:rsidR="00521197">
        <w:rPr>
          <w:sz w:val="22"/>
          <w:szCs w:val="22"/>
        </w:rPr>
        <w:t>:</w:t>
      </w:r>
      <w:r>
        <w:rPr>
          <w:sz w:val="22"/>
          <w:szCs w:val="22"/>
        </w:rPr>
        <w:t xml:space="preserve"> 0,31–0,54) egyéb vérzések.</w:t>
      </w:r>
    </w:p>
    <w:p w:rsidR="00F50CC3" w:rsidRDefault="00F50CC3">
      <w:pPr>
        <w:pStyle w:val="Default"/>
        <w:rPr>
          <w:sz w:val="22"/>
          <w:szCs w:val="22"/>
        </w:rPr>
      </w:pPr>
    </w:p>
    <w:p w:rsidR="00F50CC3" w:rsidRDefault="00730655">
      <w:pPr>
        <w:pStyle w:val="Default"/>
        <w:rPr>
          <w:sz w:val="22"/>
          <w:szCs w:val="22"/>
          <w:u w:val="single"/>
        </w:rPr>
      </w:pPr>
      <w:r>
        <w:rPr>
          <w:sz w:val="22"/>
          <w:szCs w:val="22"/>
          <w:u w:val="single"/>
        </w:rPr>
        <w:t>Nagy kockázatú, tripla pozitív antifoszfolipid szindrómában szenvedő betegek</w:t>
      </w:r>
    </w:p>
    <w:p w:rsidR="00F50CC3" w:rsidRDefault="00730655">
      <w:pPr>
        <w:pStyle w:val="Default"/>
        <w:rPr>
          <w:sz w:val="22"/>
          <w:szCs w:val="22"/>
        </w:rPr>
      </w:pPr>
      <w:r>
        <w:rPr>
          <w:sz w:val="22"/>
          <w:szCs w:val="22"/>
        </w:rPr>
        <w:t>Egy vizsgáló által szponzorált, randomizált, nyílt, multicentrikus vizsgálatban, amelyben a végpont értékelése vakon történt, a rivaroxabánt warfarinnal hasonlították össze olyan, trombózison átesett betegeknél, akiknél antifoszfolipid szindrómát diagnosztizáltak és a nagy volt a thromboemboliás események kockázata (pozitív mindhárom antifoszfolipid-teszt: lupusz antikoaguláns, antikardiolipin antitestek és anti-béta-2-glikoprotein-antitestek). 120 beteg bevonását követően a vizsgálatot a tervezettnél korábban leállították, mivel a rivaroxabán-karon kezelt betegeknél több nemkívánatos esemény fordult elő. Az átlagos utánkövetés 569 nap volt. 59 beteget randomizáltak 20 mg rivaroxabán (&lt; 50 ml/perc kreatinin</w:t>
      </w:r>
      <w:r w:rsidR="00521197">
        <w:rPr>
          <w:sz w:val="22"/>
          <w:szCs w:val="22"/>
        </w:rPr>
        <w:t>-</w:t>
      </w:r>
      <w:r>
        <w:rPr>
          <w:sz w:val="22"/>
          <w:szCs w:val="22"/>
        </w:rPr>
        <w:t>clearance (</w:t>
      </w:r>
      <w:r w:rsidR="00521197">
        <w:rPr>
          <w:sz w:val="22"/>
          <w:szCs w:val="22"/>
        </w:rPr>
        <w:t>K</w:t>
      </w:r>
      <w:r>
        <w:rPr>
          <w:sz w:val="22"/>
          <w:szCs w:val="22"/>
        </w:rPr>
        <w:t>rCl) esetén 15 mg), 61 beteget pedig a warfarin kezelésre (INR</w:t>
      </w:r>
      <w:r w:rsidR="00521197">
        <w:rPr>
          <w:sz w:val="22"/>
          <w:szCs w:val="22"/>
        </w:rPr>
        <w:t>:</w:t>
      </w:r>
      <w:r>
        <w:rPr>
          <w:sz w:val="22"/>
          <w:szCs w:val="22"/>
        </w:rPr>
        <w:t xml:space="preserve"> 2,0</w:t>
      </w:r>
      <w:r>
        <w:rPr>
          <w:sz w:val="22"/>
          <w:szCs w:val="22"/>
        </w:rPr>
        <w:noBreakHyphen/>
        <w:t>3,0). A rivaroxabán-kezelésre randomizált betegek 12%-ánál jelentkezett thromboemboliás esemény (4 ischaemiás stroke és 3 myocardialis infarctus). A warfarin-kezelésre randomizált betegeknél nem számoltak be eseményekről. Súlyos vérzés jelentkezett 4 betegnél (7%) a rivaroxabán-csoportban és 2 betegnél (3%) a warfarin-csoportban.</w:t>
      </w:r>
    </w:p>
    <w:p w:rsidR="00F50CC3" w:rsidRDefault="00F50CC3">
      <w:pPr>
        <w:pStyle w:val="Default"/>
        <w:rPr>
          <w:sz w:val="22"/>
          <w:szCs w:val="22"/>
          <w:u w:val="single"/>
        </w:rPr>
      </w:pPr>
    </w:p>
    <w:p w:rsidR="00F50CC3" w:rsidRDefault="00730655">
      <w:pPr>
        <w:pStyle w:val="Default"/>
        <w:rPr>
          <w:sz w:val="22"/>
          <w:szCs w:val="22"/>
        </w:rPr>
      </w:pPr>
      <w:r>
        <w:rPr>
          <w:sz w:val="22"/>
          <w:szCs w:val="22"/>
          <w:u w:val="single"/>
        </w:rPr>
        <w:t>Gyermekek és serdülők</w:t>
      </w:r>
    </w:p>
    <w:p w:rsidR="00F50CC3" w:rsidRDefault="00730655">
      <w:pPr>
        <w:spacing w:line="240" w:lineRule="auto"/>
        <w:rPr>
          <w:noProof/>
          <w:lang w:val="hu-HU"/>
        </w:rPr>
      </w:pPr>
      <w:r>
        <w:rPr>
          <w:lang w:val="hu-HU"/>
        </w:rPr>
        <w:t>Az Európai Gyógyszerügynökség a gyermekek és serdülők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rsidR="00F50CC3" w:rsidRDefault="00F50CC3">
      <w:pPr>
        <w:spacing w:line="240" w:lineRule="auto"/>
        <w:rPr>
          <w:noProof/>
          <w:lang w:val="hu-HU"/>
        </w:rPr>
      </w:pPr>
    </w:p>
    <w:p w:rsidR="00F50CC3" w:rsidRDefault="00730655">
      <w:pPr>
        <w:spacing w:line="240" w:lineRule="auto"/>
        <w:ind w:left="567" w:hanging="567"/>
        <w:outlineLvl w:val="0"/>
        <w:rPr>
          <w:b/>
          <w:lang w:val="hu-HU"/>
        </w:rPr>
      </w:pPr>
      <w:r>
        <w:rPr>
          <w:b/>
          <w:lang w:val="hu-HU"/>
        </w:rPr>
        <w:t>5.2</w:t>
      </w:r>
      <w:r>
        <w:rPr>
          <w:b/>
          <w:lang w:val="hu-HU"/>
        </w:rPr>
        <w:tab/>
        <w:t>Farmakokinetikai tulajdonságok</w:t>
      </w:r>
    </w:p>
    <w:p w:rsidR="00F50CC3" w:rsidRDefault="00F50CC3">
      <w:pPr>
        <w:spacing w:line="240" w:lineRule="auto"/>
        <w:ind w:left="567" w:hanging="567"/>
        <w:outlineLvl w:val="0"/>
        <w:rPr>
          <w:b/>
          <w:lang w:val="hu-HU"/>
        </w:rPr>
      </w:pPr>
    </w:p>
    <w:p w:rsidR="00F50CC3" w:rsidRDefault="00730655">
      <w:pPr>
        <w:pStyle w:val="Default"/>
        <w:rPr>
          <w:sz w:val="22"/>
          <w:szCs w:val="22"/>
        </w:rPr>
      </w:pPr>
      <w:r>
        <w:rPr>
          <w:sz w:val="22"/>
          <w:szCs w:val="22"/>
          <w:u w:val="single"/>
        </w:rPr>
        <w:t>Felszívódás</w:t>
      </w:r>
    </w:p>
    <w:p w:rsidR="00F50CC3" w:rsidRDefault="00730655">
      <w:pPr>
        <w:pStyle w:val="Default"/>
        <w:rPr>
          <w:sz w:val="22"/>
          <w:szCs w:val="22"/>
        </w:rPr>
      </w:pPr>
      <w:r>
        <w:rPr>
          <w:sz w:val="22"/>
          <w:szCs w:val="22"/>
        </w:rPr>
        <w:t>A rivaroxabán gyorsan felszívódik, csúcskoncentrációját (C</w:t>
      </w:r>
      <w:r>
        <w:rPr>
          <w:sz w:val="22"/>
          <w:szCs w:val="22"/>
          <w:vertAlign w:val="subscript"/>
        </w:rPr>
        <w:t>max</w:t>
      </w:r>
      <w:r>
        <w:rPr>
          <w:sz w:val="22"/>
          <w:szCs w:val="22"/>
        </w:rPr>
        <w:t>) 2</w:t>
      </w:r>
      <w:r>
        <w:rPr>
          <w:sz w:val="22"/>
          <w:szCs w:val="22"/>
        </w:rPr>
        <w:noBreakHyphen/>
        <w:t>4 órával a tabletta bevétele után éri el.</w:t>
      </w:r>
    </w:p>
    <w:p w:rsidR="00F50CC3" w:rsidRDefault="00730655">
      <w:pPr>
        <w:pStyle w:val="Default"/>
        <w:rPr>
          <w:sz w:val="22"/>
          <w:szCs w:val="22"/>
        </w:rPr>
      </w:pPr>
      <w:r>
        <w:rPr>
          <w:sz w:val="22"/>
          <w:szCs w:val="22"/>
        </w:rPr>
        <w:t xml:space="preserve">A rivaroxabán orális alkalmazását követően a felszívódás majdnem teljes, és a 2,5 mg-os, illetve 10 mg-os dózist tartalmazó tabletta esetén az orális biohasznosulás az éhgyomri/étkezés utáni </w:t>
      </w:r>
      <w:r>
        <w:rPr>
          <w:sz w:val="22"/>
          <w:szCs w:val="22"/>
        </w:rPr>
        <w:lastRenderedPageBreak/>
        <w:t>állapottól függetlenül magas (80-100%). Az étellel együtt történő bevétel nem befolyásolja a rivaroxabán AUC- vagy C</w:t>
      </w:r>
      <w:r>
        <w:rPr>
          <w:sz w:val="22"/>
          <w:szCs w:val="22"/>
          <w:vertAlign w:val="subscript"/>
        </w:rPr>
        <w:t>max</w:t>
      </w:r>
      <w:r>
        <w:rPr>
          <w:sz w:val="22"/>
          <w:szCs w:val="22"/>
        </w:rPr>
        <w:t>-értékeket 2,5 mg, illetve 10 mg dózis mellett. A rivaroxabán 2,5 mg-os, illetve 10 mg-os tabletta, étkezés alatt vagy étkezéstől függetlenül is bevehető.</w:t>
      </w:r>
    </w:p>
    <w:p w:rsidR="00F50CC3" w:rsidRDefault="00730655">
      <w:pPr>
        <w:pStyle w:val="Default"/>
        <w:rPr>
          <w:sz w:val="22"/>
          <w:szCs w:val="22"/>
        </w:rPr>
      </w:pPr>
      <w:r>
        <w:rPr>
          <w:sz w:val="22"/>
          <w:szCs w:val="22"/>
        </w:rPr>
        <w:t>A rivaroxabán farmakokinetikája napi 15 mg-ig megközelítőleg lineáris. Nagyobb dózisokban a rivaroxabán a kioldódás által korlátozott felszívódást mutat, a dózis növelésével csökkenő biológiai hozzáférhetőséggel és felszívódási sebességgel. Ez a jelenség éhgyomri állapotban kifejezettebb, mint táplálkozást követően. A rivaroxabán farmakokinetikájának mérsékelt a szórása, az egyének közötti variabilitás (CV%) 30%-tól 40%-ig terjedő tartományban mozog, kivéve a műtét napját és a következő napot, amikor az expozíciós variabilitás magas (70%).</w:t>
      </w:r>
    </w:p>
    <w:p w:rsidR="00F50CC3" w:rsidRDefault="00730655">
      <w:pPr>
        <w:pStyle w:val="Default"/>
        <w:rPr>
          <w:sz w:val="22"/>
          <w:szCs w:val="22"/>
        </w:rPr>
      </w:pPr>
      <w:r>
        <w:rPr>
          <w:sz w:val="22"/>
          <w:szCs w:val="22"/>
        </w:rPr>
        <w:t>A rivaroxabán felszívódása a gyomor-bélrendszerben történő felszabadulásának helyétől függ. Amikor a rivaroxabán granulátum a vékonybél proximális részében szabadul fel, az AUC-érték 29%-os és a C</w:t>
      </w:r>
      <w:r>
        <w:rPr>
          <w:sz w:val="22"/>
          <w:szCs w:val="22"/>
          <w:vertAlign w:val="subscript"/>
        </w:rPr>
        <w:t>max</w:t>
      </w:r>
      <w:r>
        <w:rPr>
          <w:sz w:val="22"/>
          <w:szCs w:val="22"/>
        </w:rPr>
        <w:t>-érték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w:t>
      </w:r>
    </w:p>
    <w:p w:rsidR="00F50CC3" w:rsidRDefault="00730655">
      <w:pPr>
        <w:numPr>
          <w:ilvl w:val="12"/>
          <w:numId w:val="0"/>
        </w:numPr>
        <w:spacing w:line="240" w:lineRule="auto"/>
        <w:ind w:right="-2"/>
        <w:rPr>
          <w:color w:val="000000"/>
          <w:lang w:val="hu-HU" w:eastAsia="hu-HU"/>
        </w:rPr>
      </w:pPr>
      <w:r>
        <w:rPr>
          <w:color w:val="000000"/>
          <w:lang w:val="hu-HU" w:eastAsia="hu-HU"/>
        </w:rPr>
        <w:t>A biohasznosulás (AUC és C</w:t>
      </w:r>
      <w:r>
        <w:rPr>
          <w:color w:val="000000"/>
          <w:vertAlign w:val="subscript"/>
          <w:lang w:val="hu-HU" w:eastAsia="hu-HU"/>
        </w:rPr>
        <w:t>max</w:t>
      </w:r>
      <w:r>
        <w:rPr>
          <w:color w:val="000000"/>
          <w:lang w:val="hu-HU" w:eastAsia="hu-HU"/>
        </w:rPr>
        <w:t>) az egész tablettáéhoz hasonló volt, amikor 20 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r>
        <w:rPr>
          <w:lang w:val="hu-HU"/>
        </w:rPr>
        <w:t>.</w:t>
      </w:r>
    </w:p>
    <w:p w:rsidR="00F50CC3" w:rsidRDefault="00F50CC3">
      <w:pPr>
        <w:numPr>
          <w:ilvl w:val="12"/>
          <w:numId w:val="0"/>
        </w:numPr>
        <w:spacing w:line="240" w:lineRule="auto"/>
        <w:ind w:right="-2"/>
        <w:rPr>
          <w:i/>
          <w:noProof/>
          <w:lang w:val="hu-HU"/>
        </w:rPr>
      </w:pPr>
    </w:p>
    <w:p w:rsidR="00F50CC3" w:rsidRDefault="00730655">
      <w:pPr>
        <w:pStyle w:val="Default"/>
        <w:rPr>
          <w:sz w:val="22"/>
          <w:szCs w:val="22"/>
        </w:rPr>
      </w:pPr>
      <w:r>
        <w:rPr>
          <w:sz w:val="22"/>
          <w:szCs w:val="22"/>
          <w:u w:val="single"/>
        </w:rPr>
        <w:t>Eloszlás</w:t>
      </w:r>
    </w:p>
    <w:p w:rsidR="00F50CC3" w:rsidRDefault="00730655">
      <w:pPr>
        <w:pStyle w:val="Default"/>
        <w:rPr>
          <w:sz w:val="22"/>
          <w:szCs w:val="22"/>
        </w:rPr>
      </w:pPr>
      <w:r>
        <w:rPr>
          <w:sz w:val="22"/>
          <w:szCs w:val="22"/>
        </w:rPr>
        <w:t>A plazmafehérjékhez való kötődése embernél magas, hozzávetőlegesen 92 %</w:t>
      </w:r>
      <w:r>
        <w:rPr>
          <w:sz w:val="22"/>
          <w:szCs w:val="22"/>
        </w:rPr>
        <w:noBreakHyphen/>
        <w:t>95 %, közülük a fő kötő komponens a szérum albumin. Eloszlási térfogata közepes, a V</w:t>
      </w:r>
      <w:r>
        <w:rPr>
          <w:sz w:val="22"/>
          <w:szCs w:val="22"/>
          <w:vertAlign w:val="subscript"/>
        </w:rPr>
        <w:t>ss</w:t>
      </w:r>
      <w:r>
        <w:rPr>
          <w:position w:val="-8"/>
          <w:sz w:val="22"/>
          <w:szCs w:val="22"/>
          <w:vertAlign w:val="subscript"/>
        </w:rPr>
        <w:t xml:space="preserve">  </w:t>
      </w:r>
      <w:r>
        <w:rPr>
          <w:sz w:val="22"/>
          <w:szCs w:val="22"/>
        </w:rPr>
        <w:t>értéke hozzávetőlegesen 50 liter.</w:t>
      </w:r>
    </w:p>
    <w:p w:rsidR="00F50CC3" w:rsidRDefault="00F50CC3">
      <w:pPr>
        <w:pStyle w:val="Default"/>
        <w:rPr>
          <w:sz w:val="22"/>
          <w:szCs w:val="22"/>
        </w:rPr>
      </w:pPr>
    </w:p>
    <w:p w:rsidR="00F50CC3" w:rsidRDefault="00730655">
      <w:pPr>
        <w:pStyle w:val="Default"/>
        <w:rPr>
          <w:sz w:val="22"/>
          <w:szCs w:val="22"/>
        </w:rPr>
      </w:pPr>
      <w:r>
        <w:rPr>
          <w:sz w:val="22"/>
          <w:szCs w:val="22"/>
          <w:u w:val="single"/>
        </w:rPr>
        <w:t>Biotranszformáció és elimináció</w:t>
      </w:r>
    </w:p>
    <w:p w:rsidR="00F50CC3" w:rsidRDefault="00730655">
      <w:pPr>
        <w:pStyle w:val="Default"/>
        <w:rPr>
          <w:sz w:val="22"/>
          <w:szCs w:val="22"/>
        </w:rPr>
      </w:pPr>
      <w:r>
        <w:rPr>
          <w:sz w:val="22"/>
          <w:szCs w:val="22"/>
        </w:rPr>
        <w:t>Az alkalmazott rivaroxabán dózis kb. 2/3 része bomlik le metabolikusan, melynek fele a vesén keresztül, másik fele a széklettel ürül ki a szervezetből. Az alkalmazott dózis fennmaradó 1/3 része közvetlenül, változatlan, aktív formában ürül ki a vesén keresztül a vizeletben, főként aktív renális kiválasztás révén.</w:t>
      </w:r>
    </w:p>
    <w:p w:rsidR="00F50CC3" w:rsidRDefault="00730655">
      <w:pPr>
        <w:numPr>
          <w:ilvl w:val="12"/>
          <w:numId w:val="0"/>
        </w:numPr>
        <w:spacing w:line="240" w:lineRule="auto"/>
        <w:ind w:right="-2"/>
      </w:pPr>
      <w:r>
        <w:rPr>
          <w:lang w:val="hu-HU"/>
        </w:rPr>
        <w:t xml:space="preserve">A rivaroxabán a CYP3A4, a CYP2J2 és a CYP enzimektől független mechanizmusok útján metabolizálódik. A morfolinon rész oxidatív lebontása és az amid-kötések hidrolízise a biotranszformáció fő támadáspontjai. </w:t>
      </w:r>
      <w:r>
        <w:rPr>
          <w:i/>
          <w:iCs/>
        </w:rPr>
        <w:t xml:space="preserve">In vitro </w:t>
      </w:r>
      <w:r>
        <w:t>vizsgálatok alapján a rivaroxabán a P-gp (P-glikoprotein) és Bcrp (emlő carcinoma rezisztencia fehérje) transzporter-fehérjék szubsztrátja.</w:t>
      </w:r>
    </w:p>
    <w:p w:rsidR="00F50CC3" w:rsidRDefault="00730655">
      <w:pPr>
        <w:numPr>
          <w:ilvl w:val="12"/>
          <w:numId w:val="0"/>
        </w:numPr>
        <w:spacing w:line="240" w:lineRule="auto"/>
        <w:ind w:right="-2"/>
        <w:rPr>
          <w:i/>
          <w:noProof/>
          <w:lang w:val="hu-HU"/>
        </w:rPr>
      </w:pPr>
      <w:r>
        <w:rPr>
          <w:lang w:val="hu-HU"/>
        </w:rPr>
        <w:t>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dózis intravénás beadása után a felezési idő körülbelül 4,5 óra. Oralis beadást követően az eliminációt a felszívódás sebessége korlátozza. A rivaroxabán plazmából történő eliminációja 5</w:t>
      </w:r>
      <w:r>
        <w:rPr>
          <w:lang w:val="hu-HU"/>
        </w:rPr>
        <w:noBreakHyphen/>
        <w:t>9 órás terminális felezési idővel történik fiataloknál, míg idősek esetében a terminális felezési idő 11</w:t>
      </w:r>
      <w:r>
        <w:rPr>
          <w:lang w:val="hu-HU"/>
        </w:rPr>
        <w:noBreakHyphen/>
        <w:t>13 óra.</w:t>
      </w:r>
    </w:p>
    <w:p w:rsidR="00F50CC3" w:rsidRDefault="00730655">
      <w:pPr>
        <w:pStyle w:val="Default"/>
        <w:rPr>
          <w:sz w:val="22"/>
          <w:szCs w:val="22"/>
          <w:u w:val="single"/>
        </w:rPr>
      </w:pPr>
      <w:r>
        <w:rPr>
          <w:sz w:val="22"/>
          <w:szCs w:val="22"/>
          <w:u w:val="single"/>
        </w:rPr>
        <w:t xml:space="preserve"> </w:t>
      </w:r>
    </w:p>
    <w:p w:rsidR="00F50CC3" w:rsidRDefault="00730655">
      <w:pPr>
        <w:pStyle w:val="Default"/>
        <w:rPr>
          <w:sz w:val="22"/>
          <w:szCs w:val="22"/>
        </w:rPr>
      </w:pPr>
      <w:r>
        <w:rPr>
          <w:sz w:val="22"/>
          <w:szCs w:val="22"/>
          <w:u w:val="single"/>
        </w:rPr>
        <w:t>Különleges betegcsoportok</w:t>
      </w:r>
    </w:p>
    <w:p w:rsidR="00F50CC3" w:rsidRDefault="00730655">
      <w:pPr>
        <w:pStyle w:val="Default"/>
        <w:rPr>
          <w:sz w:val="22"/>
          <w:szCs w:val="22"/>
        </w:rPr>
      </w:pPr>
      <w:r>
        <w:rPr>
          <w:i/>
          <w:iCs/>
          <w:sz w:val="22"/>
          <w:szCs w:val="22"/>
        </w:rPr>
        <w:t>Nemek közötti különbségek</w:t>
      </w:r>
    </w:p>
    <w:p w:rsidR="00F50CC3" w:rsidRDefault="00730655">
      <w:pPr>
        <w:pStyle w:val="Default"/>
        <w:rPr>
          <w:sz w:val="22"/>
          <w:szCs w:val="22"/>
        </w:rPr>
      </w:pPr>
      <w:r>
        <w:rPr>
          <w:sz w:val="22"/>
          <w:szCs w:val="22"/>
        </w:rPr>
        <w:t>A férfi és női betegek között nem volt klinikailag jelentős különbség sem a farmakokinetikai tulajdonságokban, sem a farmakodinámiás hatásokban.</w:t>
      </w:r>
    </w:p>
    <w:p w:rsidR="00F50CC3" w:rsidRDefault="00F50CC3">
      <w:pPr>
        <w:pStyle w:val="Default"/>
        <w:rPr>
          <w:sz w:val="22"/>
          <w:szCs w:val="22"/>
        </w:rPr>
      </w:pPr>
    </w:p>
    <w:p w:rsidR="00F50CC3" w:rsidRDefault="00730655">
      <w:pPr>
        <w:pStyle w:val="Default"/>
        <w:rPr>
          <w:sz w:val="22"/>
          <w:szCs w:val="22"/>
        </w:rPr>
      </w:pPr>
      <w:r>
        <w:rPr>
          <w:i/>
          <w:iCs/>
          <w:sz w:val="22"/>
          <w:szCs w:val="22"/>
        </w:rPr>
        <w:t>Idősek</w:t>
      </w:r>
    </w:p>
    <w:p w:rsidR="00F50CC3" w:rsidRDefault="00730655">
      <w:pPr>
        <w:pStyle w:val="Default"/>
        <w:rPr>
          <w:sz w:val="22"/>
          <w:szCs w:val="22"/>
        </w:rPr>
      </w:pPr>
      <w:r>
        <w:rPr>
          <w:sz w:val="22"/>
          <w:szCs w:val="22"/>
        </w:rPr>
        <w:t>Idős betegeknél a fiatal betegeknél magasabb plazmakoncentrációk fordultak elő, az átlagos AUC-értékek körülbelül 1,5-szer voltak magasabbak, főleg a csökkent (látszólagos) teljes és renális clearance miatt. Nem szükséges a dózis módosítása.</w:t>
      </w:r>
    </w:p>
    <w:p w:rsidR="00F50CC3" w:rsidRDefault="00F50CC3">
      <w:pPr>
        <w:pStyle w:val="Default"/>
        <w:rPr>
          <w:sz w:val="22"/>
          <w:szCs w:val="22"/>
        </w:rPr>
      </w:pPr>
    </w:p>
    <w:p w:rsidR="00F50CC3" w:rsidRDefault="00730655">
      <w:pPr>
        <w:pStyle w:val="Default"/>
        <w:rPr>
          <w:sz w:val="22"/>
          <w:szCs w:val="22"/>
        </w:rPr>
      </w:pPr>
      <w:r>
        <w:rPr>
          <w:i/>
          <w:iCs/>
          <w:sz w:val="22"/>
          <w:szCs w:val="22"/>
        </w:rPr>
        <w:t xml:space="preserve">Különböző testtömeg-kategóriák </w:t>
      </w:r>
    </w:p>
    <w:p w:rsidR="00F50CC3" w:rsidRDefault="00730655">
      <w:pPr>
        <w:pStyle w:val="Default"/>
        <w:rPr>
          <w:sz w:val="22"/>
          <w:szCs w:val="22"/>
        </w:rPr>
      </w:pPr>
      <w:r>
        <w:rPr>
          <w:sz w:val="22"/>
          <w:szCs w:val="22"/>
        </w:rPr>
        <w:t>Szélsőséges testtömegértékek (&lt; 50 kg vagy &gt; 120 kg) csak kis mértékben befolyásolták a rivaroxabán plazmakoncentrációit (kevesebb mint 25%-ban). Nem szükséges a dózis módosítása.</w:t>
      </w:r>
    </w:p>
    <w:p w:rsidR="00F50CC3" w:rsidRDefault="00F50CC3">
      <w:pPr>
        <w:pStyle w:val="Default"/>
        <w:rPr>
          <w:sz w:val="22"/>
          <w:szCs w:val="22"/>
        </w:rPr>
      </w:pPr>
    </w:p>
    <w:p w:rsidR="00F50CC3" w:rsidRDefault="00730655">
      <w:pPr>
        <w:pStyle w:val="Default"/>
        <w:rPr>
          <w:sz w:val="22"/>
          <w:szCs w:val="22"/>
        </w:rPr>
      </w:pPr>
      <w:r>
        <w:rPr>
          <w:i/>
          <w:iCs/>
          <w:sz w:val="22"/>
          <w:szCs w:val="22"/>
        </w:rPr>
        <w:lastRenderedPageBreak/>
        <w:t>Etnikai különbségek</w:t>
      </w:r>
    </w:p>
    <w:p w:rsidR="00F50CC3" w:rsidRDefault="00730655">
      <w:pPr>
        <w:numPr>
          <w:ilvl w:val="12"/>
          <w:numId w:val="0"/>
        </w:numPr>
        <w:spacing w:line="240" w:lineRule="auto"/>
        <w:ind w:right="-2"/>
        <w:rPr>
          <w:i/>
          <w:noProof/>
          <w:lang w:val="hu-HU"/>
        </w:rPr>
      </w:pPr>
      <w:r>
        <w:rPr>
          <w:lang w:val="hu-HU"/>
        </w:rPr>
        <w:t>A rivaroxabán farmakokinetikájában és farmakodinámiájában nem volt megfigyelhető klinikailag jelentős etnikai különbség a kaukázusi, afroamerikai, spanyol, japán, illetve kínai betegek között.</w:t>
      </w:r>
    </w:p>
    <w:p w:rsidR="00F50CC3" w:rsidRDefault="00F50CC3">
      <w:pPr>
        <w:numPr>
          <w:ilvl w:val="12"/>
          <w:numId w:val="0"/>
        </w:numPr>
        <w:spacing w:line="240" w:lineRule="auto"/>
        <w:ind w:right="-2"/>
        <w:rPr>
          <w:i/>
          <w:noProof/>
          <w:lang w:val="hu-HU"/>
        </w:rPr>
      </w:pPr>
    </w:p>
    <w:p w:rsidR="00F50CC3" w:rsidRDefault="00730655">
      <w:pPr>
        <w:pStyle w:val="Default"/>
        <w:rPr>
          <w:sz w:val="22"/>
          <w:szCs w:val="22"/>
        </w:rPr>
      </w:pPr>
      <w:r>
        <w:rPr>
          <w:i/>
          <w:iCs/>
          <w:sz w:val="22"/>
          <w:szCs w:val="22"/>
        </w:rPr>
        <w:t>Májkárosodás</w:t>
      </w:r>
    </w:p>
    <w:p w:rsidR="00F50CC3" w:rsidRDefault="00730655">
      <w:pPr>
        <w:pStyle w:val="Default"/>
        <w:rPr>
          <w:sz w:val="22"/>
          <w:szCs w:val="22"/>
        </w:rPr>
      </w:pPr>
      <w:r>
        <w:rPr>
          <w:sz w:val="22"/>
          <w:szCs w:val="22"/>
        </w:rPr>
        <w:t>Enyhe májkárosodásban szenvedő cirrhosisos betegek (Child 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 Pugh B stádium) a rivaroxabán átlagos AUC-értékei jelentős mértékben növekedtek (2,3-szeresére) az egészséges önkéntesekhez képest. A nem kötött AUC-érték 2,6-szeres emelkedését figyelték meg. Ezeknél a betegeknél a rivaroxabán renalis kiválasztása is csökkent volt, a mérsékelt fokú vesekárosodásban szenvedő betegekhez hasonlóan. Nem állnak rendelkezésre adatok súlyos májkárosodásban szenvedő betegeknél történő alkalmazásról.</w:t>
      </w:r>
    </w:p>
    <w:p w:rsidR="00F50CC3" w:rsidRDefault="00730655">
      <w:pPr>
        <w:pStyle w:val="Default"/>
        <w:rPr>
          <w:sz w:val="22"/>
          <w:szCs w:val="22"/>
        </w:rPr>
      </w:pPr>
      <w:r>
        <w:rPr>
          <w:sz w:val="22"/>
          <w:szCs w:val="22"/>
        </w:rPr>
        <w:t>A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 közvetlenebb farmakokinetikai/farmakodinámiás összefüggést eredményez.</w:t>
      </w:r>
    </w:p>
    <w:p w:rsidR="00F50CC3" w:rsidRDefault="00730655">
      <w:pPr>
        <w:numPr>
          <w:ilvl w:val="12"/>
          <w:numId w:val="0"/>
        </w:numPr>
        <w:spacing w:line="240" w:lineRule="auto"/>
        <w:ind w:right="-2"/>
        <w:rPr>
          <w:i/>
          <w:noProof/>
          <w:lang w:val="hu-HU"/>
        </w:rPr>
      </w:pPr>
      <w:r>
        <w:rPr>
          <w:lang w:val="hu-HU"/>
        </w:rPr>
        <w:t>A rivaroxabán ellenjavallt véralvadási zavarral és klinikailag jelentős vérzési kockázattal járó májbetegségben szenvedő betegek esetében, ideértve a cirrhosisos, Child-Pugh B és C stádiumú betegeket is (lásd 4.3 pont).</w:t>
      </w:r>
    </w:p>
    <w:p w:rsidR="00F50CC3" w:rsidRDefault="00F50CC3">
      <w:pPr>
        <w:numPr>
          <w:ilvl w:val="12"/>
          <w:numId w:val="0"/>
        </w:numPr>
        <w:spacing w:line="240" w:lineRule="auto"/>
        <w:ind w:right="-2"/>
        <w:rPr>
          <w:i/>
          <w:noProof/>
          <w:lang w:val="hu-HU"/>
        </w:rPr>
      </w:pPr>
    </w:p>
    <w:p w:rsidR="00F50CC3" w:rsidRDefault="00730655">
      <w:pPr>
        <w:pStyle w:val="Default"/>
        <w:rPr>
          <w:sz w:val="22"/>
          <w:szCs w:val="22"/>
        </w:rPr>
      </w:pPr>
      <w:r>
        <w:rPr>
          <w:i/>
          <w:iCs/>
          <w:sz w:val="22"/>
          <w:szCs w:val="22"/>
        </w:rPr>
        <w:t>Vesekárosodás</w:t>
      </w:r>
    </w:p>
    <w:p w:rsidR="00F50CC3" w:rsidRDefault="00730655">
      <w:pPr>
        <w:pStyle w:val="Default"/>
        <w:rPr>
          <w:sz w:val="22"/>
          <w:szCs w:val="22"/>
        </w:rPr>
      </w:pPr>
      <w:r>
        <w:rPr>
          <w:sz w:val="22"/>
          <w:szCs w:val="22"/>
        </w:rPr>
        <w:t>A rivaroxabán expozíciójának növekedése korrelált a vesefunkció csökkenésével, amit a kreatinin-clearance mérésével értékeltek. Enyhe (kreatinin-clearance 50</w:t>
      </w:r>
      <w:r>
        <w:rPr>
          <w:sz w:val="22"/>
          <w:szCs w:val="22"/>
        </w:rPr>
        <w:noBreakHyphen/>
        <w:t>80 ml/perc), mérsékelt fokú (kreatinin-clearance 30</w:t>
      </w:r>
      <w:r>
        <w:rPr>
          <w:sz w:val="22"/>
          <w:szCs w:val="22"/>
        </w:rPr>
        <w:noBreakHyphen/>
        <w:t>49 ml/perc) és súlyos (kreatinin-clearance 15</w:t>
      </w:r>
      <w:r>
        <w:rPr>
          <w:sz w:val="22"/>
          <w:szCs w:val="22"/>
        </w:rPr>
        <w:noBreakHyphen/>
        <w:t>29 ml/perc) vesekárosodásban szenvedő egyének esetén a rivaroxabán megfelelő plazmakoncentrációi (AUC) 1,4-, 1,5- illetőleg 1,6-szeresre nőttek. Az ennek megfelelő növekedés a farmakodinámiás hatásokban kifejezettebb volt. Enyhe, mérsékelt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 15 ml/perc.</w:t>
      </w:r>
    </w:p>
    <w:p w:rsidR="00F50CC3" w:rsidRDefault="00730655">
      <w:pPr>
        <w:numPr>
          <w:ilvl w:val="12"/>
          <w:numId w:val="0"/>
        </w:numPr>
        <w:spacing w:line="240" w:lineRule="auto"/>
        <w:ind w:right="-2"/>
        <w:rPr>
          <w:i/>
          <w:noProof/>
          <w:lang w:val="hu-HU"/>
        </w:rPr>
      </w:pPr>
      <w:r>
        <w:rPr>
          <w:lang w:val="hu-HU"/>
        </w:rPr>
        <w:t>A plazmafehérjékhez való nagyfokú kötődése miatt a rivaroxabán várhatóan nem dializálható.</w:t>
      </w:r>
    </w:p>
    <w:p w:rsidR="00F50CC3" w:rsidRDefault="00730655">
      <w:pPr>
        <w:tabs>
          <w:tab w:val="clear" w:pos="567"/>
        </w:tabs>
        <w:autoSpaceDE w:val="0"/>
        <w:autoSpaceDN w:val="0"/>
        <w:adjustRightInd w:val="0"/>
        <w:spacing w:line="240" w:lineRule="auto"/>
        <w:rPr>
          <w:color w:val="000000"/>
          <w:lang w:val="hu-HU" w:eastAsia="hu-HU"/>
        </w:rPr>
      </w:pPr>
      <w:r>
        <w:rPr>
          <w:color w:val="000000"/>
          <w:lang w:val="hu-HU" w:eastAsia="hu-HU"/>
        </w:rPr>
        <w:t>Alkalmazása nem javasolt olyan betegeknél, akiknek kreatinin-clearance-értéke &lt; 15 ml/perc. A rivaroxabán elővigyázatosan alkalmazható olyan betegeknél, akiknek kreatinin-clearance-értéke 15</w:t>
      </w:r>
      <w:r>
        <w:rPr>
          <w:color w:val="000000"/>
          <w:lang w:val="hu-HU" w:eastAsia="hu-HU"/>
        </w:rPr>
        <w:noBreakHyphen/>
        <w:t>29 ml/perc között van (lásd 4.4 pont).</w:t>
      </w:r>
    </w:p>
    <w:p w:rsidR="00F50CC3" w:rsidRDefault="00F50CC3">
      <w:pPr>
        <w:tabs>
          <w:tab w:val="clear" w:pos="567"/>
        </w:tabs>
        <w:autoSpaceDE w:val="0"/>
        <w:autoSpaceDN w:val="0"/>
        <w:adjustRightInd w:val="0"/>
        <w:spacing w:line="240" w:lineRule="auto"/>
        <w:rPr>
          <w:color w:val="000000"/>
          <w:lang w:val="hu-HU" w:eastAsia="hu-HU"/>
        </w:rPr>
      </w:pPr>
    </w:p>
    <w:p w:rsidR="00F50CC3" w:rsidRDefault="00730655">
      <w:pPr>
        <w:tabs>
          <w:tab w:val="clear" w:pos="567"/>
        </w:tabs>
        <w:autoSpaceDE w:val="0"/>
        <w:autoSpaceDN w:val="0"/>
        <w:adjustRightInd w:val="0"/>
        <w:spacing w:line="240" w:lineRule="auto"/>
        <w:rPr>
          <w:color w:val="000000"/>
          <w:lang w:val="hu-HU" w:eastAsia="hu-HU"/>
        </w:rPr>
      </w:pPr>
      <w:r>
        <w:rPr>
          <w:color w:val="000000"/>
          <w:u w:val="single"/>
          <w:lang w:val="hu-HU" w:eastAsia="hu-HU"/>
        </w:rPr>
        <w:t>Betegektől származó farmakokinetikai adatok</w:t>
      </w:r>
    </w:p>
    <w:p w:rsidR="00F50CC3" w:rsidRDefault="00730655">
      <w:pPr>
        <w:tabs>
          <w:tab w:val="clear" w:pos="567"/>
        </w:tabs>
        <w:autoSpaceDE w:val="0"/>
        <w:autoSpaceDN w:val="0"/>
        <w:adjustRightInd w:val="0"/>
        <w:spacing w:line="240" w:lineRule="auto"/>
        <w:rPr>
          <w:color w:val="000000"/>
          <w:lang w:val="hu-HU" w:eastAsia="hu-HU"/>
        </w:rPr>
      </w:pPr>
      <w:r>
        <w:rPr>
          <w:color w:val="000000"/>
          <w:lang w:val="hu-HU" w:eastAsia="hu-HU"/>
        </w:rPr>
        <w:t>Azoknál a betegeknél, akik a VTE megelőzésére kapnak napi egyszer 10 mg rivaroxabánt, a koncentrációk mértani átlaga (90%-os előrejelzési intervallummal) 2-4 órával és körülbelül 24 órával az adag bevétele után (amely durván megfelel az adagolási intervallum maximális és minimális koncentráció-értékeinek) sorrendben 101 (7</w:t>
      </w:r>
      <w:r>
        <w:rPr>
          <w:color w:val="000000"/>
          <w:lang w:val="hu-HU" w:eastAsia="hu-HU"/>
        </w:rPr>
        <w:noBreakHyphen/>
        <w:t>273) és 14 (4</w:t>
      </w:r>
      <w:r>
        <w:rPr>
          <w:color w:val="000000"/>
          <w:lang w:val="hu-HU" w:eastAsia="hu-HU"/>
        </w:rPr>
        <w:noBreakHyphen/>
        <w:t>51) mikrogramm/l-nek adódott.</w:t>
      </w:r>
    </w:p>
    <w:p w:rsidR="00F50CC3" w:rsidRDefault="00F50CC3">
      <w:pPr>
        <w:tabs>
          <w:tab w:val="clear" w:pos="567"/>
        </w:tabs>
        <w:autoSpaceDE w:val="0"/>
        <w:autoSpaceDN w:val="0"/>
        <w:adjustRightInd w:val="0"/>
        <w:spacing w:line="240" w:lineRule="auto"/>
        <w:rPr>
          <w:color w:val="000000"/>
          <w:lang w:val="hu-HU" w:eastAsia="hu-HU"/>
        </w:rPr>
      </w:pPr>
    </w:p>
    <w:p w:rsidR="00F50CC3" w:rsidRDefault="00730655">
      <w:pPr>
        <w:tabs>
          <w:tab w:val="clear" w:pos="567"/>
        </w:tabs>
        <w:autoSpaceDE w:val="0"/>
        <w:autoSpaceDN w:val="0"/>
        <w:adjustRightInd w:val="0"/>
        <w:spacing w:line="240" w:lineRule="auto"/>
        <w:rPr>
          <w:color w:val="000000"/>
          <w:u w:val="single"/>
          <w:lang w:val="hu-HU" w:eastAsia="hu-HU"/>
        </w:rPr>
      </w:pPr>
      <w:r>
        <w:rPr>
          <w:color w:val="000000"/>
          <w:u w:val="single"/>
          <w:lang w:val="hu-HU" w:eastAsia="hu-HU"/>
        </w:rPr>
        <w:t>A farmakokinetika/farmakodinámia közötti összefüggés</w:t>
      </w:r>
    </w:p>
    <w:p w:rsidR="00F50CC3" w:rsidRDefault="00730655">
      <w:pPr>
        <w:numPr>
          <w:ilvl w:val="12"/>
          <w:numId w:val="0"/>
        </w:numPr>
        <w:spacing w:line="240" w:lineRule="auto"/>
        <w:ind w:right="-2"/>
        <w:rPr>
          <w:i/>
          <w:noProof/>
          <w:lang w:val="hu-HU"/>
        </w:rPr>
      </w:pPr>
      <w:r>
        <w:rPr>
          <w:color w:val="000000"/>
          <w:lang w:val="hu-HU" w:eastAsia="hu-HU"/>
        </w:rPr>
        <w:t>Különböző, széles tartományt felölelő dózisok (5</w:t>
      </w:r>
      <w:r>
        <w:rPr>
          <w:color w:val="000000"/>
          <w:lang w:val="hu-HU" w:eastAsia="hu-HU"/>
        </w:rPr>
        <w:noBreakHyphen/>
        <w:t>30 mg naponta kétszer) beadását követően vizsgálták a rivaroxabán plazmakoncentrációja és számos farmakodinamikai végpont (Xa faktor gátlás, protrombin idő - PI, aktivált parciális thromboplasztin idő - aPTI, Heptest) közötti farmakokinetikai/farmakodinamikai (FK/FD) összefüggést. A rivaroxabán koncentrációja és a Xa faktor aktivitása közötti összefüggést legjobban egy E</w:t>
      </w:r>
      <w:r>
        <w:rPr>
          <w:color w:val="000000"/>
          <w:vertAlign w:val="subscript"/>
          <w:lang w:val="hu-HU" w:eastAsia="hu-HU"/>
        </w:rPr>
        <w:t>max</w:t>
      </w:r>
      <w:r>
        <w:rPr>
          <w:color w:val="000000"/>
          <w:lang w:val="hu-HU" w:eastAsia="hu-HU"/>
        </w:rPr>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másodperc volt, a meredekség pedig 3</w:t>
      </w:r>
      <w:r>
        <w:rPr>
          <w:color w:val="000000"/>
          <w:lang w:val="hu-HU" w:eastAsia="hu-HU"/>
        </w:rPr>
        <w:noBreakHyphen/>
        <w:t xml:space="preserve">4 másodperc/(100 mikrogramm/l). A II. és III. fázisú vizsgálatok során elvégzett FK/FD elemzések eredményei egybevágtak az egészséges alanyok körében kapott adatokkal. A betegek esetében a kiindulási Xa-faktor-szintet és PI időt befolyásolta a sebészeti beavatkozás, ami azt eredményezte, </w:t>
      </w:r>
      <w:r>
        <w:rPr>
          <w:color w:val="000000"/>
          <w:lang w:val="hu-HU" w:eastAsia="hu-HU"/>
        </w:rPr>
        <w:lastRenderedPageBreak/>
        <w:t>hogy különbség volt a műtét utáni napon, illetve az egyensúlyi állapot kialakulása után felvett koncentráció-PI idő görbe meredekségében.</w:t>
      </w:r>
    </w:p>
    <w:p w:rsidR="00F50CC3" w:rsidRDefault="00F50CC3">
      <w:pPr>
        <w:numPr>
          <w:ilvl w:val="12"/>
          <w:numId w:val="0"/>
        </w:numPr>
        <w:spacing w:line="240" w:lineRule="auto"/>
        <w:ind w:right="-2"/>
        <w:rPr>
          <w:i/>
          <w:noProof/>
          <w:lang w:val="hu-HU"/>
        </w:rPr>
      </w:pPr>
    </w:p>
    <w:p w:rsidR="00F50CC3" w:rsidRDefault="00730655">
      <w:pPr>
        <w:pStyle w:val="Default"/>
        <w:ind w:left="567" w:hanging="568"/>
        <w:rPr>
          <w:sz w:val="22"/>
          <w:szCs w:val="22"/>
        </w:rPr>
      </w:pPr>
      <w:r>
        <w:rPr>
          <w:sz w:val="22"/>
          <w:szCs w:val="22"/>
          <w:u w:val="single"/>
        </w:rPr>
        <w:t>Gyermekek és serdülők</w:t>
      </w:r>
    </w:p>
    <w:p w:rsidR="00F50CC3" w:rsidRDefault="00730655">
      <w:pPr>
        <w:widowControl w:val="0"/>
        <w:numPr>
          <w:ilvl w:val="12"/>
          <w:numId w:val="0"/>
        </w:numPr>
        <w:suppressAutoHyphens/>
        <w:spacing w:line="240" w:lineRule="auto"/>
        <w:ind w:right="-2"/>
        <w:rPr>
          <w:i/>
          <w:noProof/>
          <w:lang w:val="hu-HU"/>
        </w:rPr>
      </w:pPr>
      <w:r>
        <w:rPr>
          <w:lang w:val="hu-HU"/>
        </w:rPr>
        <w:t>A biztonságosságot és hatásosságot gyermekeknél és legfeljebb 18 év alatti serdülőknél nem igazolták VTE elsődleges megelőzésének indikációjában.</w:t>
      </w:r>
    </w:p>
    <w:p w:rsidR="00F50CC3" w:rsidRDefault="00F50CC3">
      <w:pPr>
        <w:numPr>
          <w:ilvl w:val="12"/>
          <w:numId w:val="0"/>
        </w:numPr>
        <w:spacing w:line="240" w:lineRule="auto"/>
        <w:ind w:right="-2"/>
        <w:rPr>
          <w:i/>
          <w:noProof/>
          <w:lang w:val="hu-HU"/>
        </w:rPr>
      </w:pPr>
    </w:p>
    <w:p w:rsidR="00F50CC3" w:rsidRDefault="00730655">
      <w:pPr>
        <w:spacing w:line="240" w:lineRule="auto"/>
        <w:ind w:left="567" w:hanging="567"/>
        <w:outlineLvl w:val="0"/>
        <w:rPr>
          <w:b/>
          <w:noProof/>
          <w:lang w:val="hu-HU"/>
        </w:rPr>
      </w:pPr>
      <w:r>
        <w:rPr>
          <w:b/>
          <w:noProof/>
          <w:lang w:val="hu-HU"/>
        </w:rPr>
        <w:t>5.3</w:t>
      </w:r>
      <w:r>
        <w:rPr>
          <w:b/>
          <w:noProof/>
          <w:lang w:val="hu-HU"/>
        </w:rPr>
        <w:tab/>
        <w:t>A preklinikai biztonságossági vizsgálatok eredményei</w:t>
      </w:r>
    </w:p>
    <w:p w:rsidR="00F50CC3" w:rsidRDefault="00F50CC3">
      <w:pPr>
        <w:spacing w:line="240" w:lineRule="auto"/>
        <w:ind w:left="567" w:hanging="567"/>
        <w:outlineLvl w:val="0"/>
        <w:rPr>
          <w:b/>
          <w:lang w:val="hu-HU"/>
        </w:rPr>
      </w:pPr>
    </w:p>
    <w:p w:rsidR="00F50CC3" w:rsidRDefault="00730655">
      <w:pPr>
        <w:pStyle w:val="Default"/>
        <w:rPr>
          <w:sz w:val="22"/>
          <w:szCs w:val="22"/>
        </w:rPr>
      </w:pPr>
      <w:r>
        <w:rPr>
          <w:sz w:val="22"/>
          <w:szCs w:val="22"/>
        </w:rPr>
        <w:t>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rsidR="00F50CC3" w:rsidRDefault="00730655">
      <w:pPr>
        <w:pStyle w:val="Default"/>
        <w:rPr>
          <w:sz w:val="22"/>
          <w:szCs w:val="22"/>
        </w:rPr>
      </w:pPr>
      <w:r>
        <w:rPr>
          <w:sz w:val="22"/>
          <w:szCs w:val="22"/>
        </w:rPr>
        <w:t>Az ismételt adagolású dózistoxicitási vizsgálatok során megfigyelt hatásokat főként a rivaroxabán fokozott farmakodinámiás aktivitására lehetett visszavezetni. Patkányokban klinikailag releváns expozíciós szintek mellett emelkedett IgG- és IgA-plazmaszinteket figyeltek meg a plazmában.</w:t>
      </w:r>
    </w:p>
    <w:p w:rsidR="00F50CC3" w:rsidRDefault="00730655">
      <w:pPr>
        <w:spacing w:line="240" w:lineRule="auto"/>
        <w:rPr>
          <w:lang w:val="hu-HU"/>
        </w:rPr>
      </w:pPr>
      <w:r>
        <w:rPr>
          <w:lang w:val="hu-HU"/>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Patkányokkal végzett pre- és postnatalis vizsgálatokban az anyaállatra toxikus dózis mellett az utódok csökkent vitalitását figyelték meg.</w:t>
      </w:r>
    </w:p>
    <w:p w:rsidR="00F50CC3" w:rsidRDefault="00F50CC3">
      <w:pPr>
        <w:spacing w:line="240" w:lineRule="auto"/>
        <w:rPr>
          <w:lang w:val="hu-HU"/>
        </w:rPr>
      </w:pPr>
    </w:p>
    <w:p w:rsidR="00F50CC3" w:rsidRDefault="00F50CC3">
      <w:pPr>
        <w:spacing w:line="240" w:lineRule="auto"/>
        <w:rPr>
          <w:lang w:val="hu-HU"/>
        </w:rPr>
      </w:pPr>
    </w:p>
    <w:p w:rsidR="00F50CC3" w:rsidRDefault="00730655">
      <w:pPr>
        <w:spacing w:line="240" w:lineRule="auto"/>
        <w:ind w:left="567" w:hanging="567"/>
        <w:outlineLvl w:val="0"/>
        <w:rPr>
          <w:b/>
          <w:noProof/>
          <w:lang w:val="hu-HU"/>
        </w:rPr>
      </w:pPr>
      <w:r>
        <w:rPr>
          <w:b/>
          <w:noProof/>
          <w:lang w:val="hu-HU"/>
        </w:rPr>
        <w:t>6.</w:t>
      </w:r>
      <w:r>
        <w:rPr>
          <w:b/>
          <w:noProof/>
          <w:lang w:val="hu-HU"/>
        </w:rPr>
        <w:tab/>
        <w:t>GYÓGYSZERÉSZETI JELLEMZŐK</w:t>
      </w: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b/>
          <w:noProof/>
          <w:lang w:val="hu-HU"/>
        </w:rPr>
      </w:pPr>
      <w:r>
        <w:rPr>
          <w:b/>
          <w:noProof/>
          <w:lang w:val="hu-HU"/>
        </w:rPr>
        <w:t>6.1</w:t>
      </w:r>
      <w:r>
        <w:rPr>
          <w:b/>
          <w:noProof/>
          <w:lang w:val="hu-HU"/>
        </w:rPr>
        <w:tab/>
        <w:t>Segédanyagok felsorolása</w:t>
      </w:r>
    </w:p>
    <w:p w:rsidR="00F50CC3" w:rsidRDefault="00F50CC3">
      <w:pPr>
        <w:spacing w:line="240" w:lineRule="auto"/>
        <w:ind w:left="567" w:hanging="567"/>
        <w:outlineLvl w:val="0"/>
        <w:rPr>
          <w:b/>
          <w:noProof/>
          <w:lang w:val="hu-HU"/>
        </w:rPr>
      </w:pPr>
    </w:p>
    <w:p w:rsidR="00F50CC3" w:rsidRDefault="00730655">
      <w:pPr>
        <w:spacing w:line="240" w:lineRule="auto"/>
        <w:rPr>
          <w:lang w:val="hu-HU"/>
        </w:rPr>
      </w:pPr>
      <w:r>
        <w:rPr>
          <w:u w:val="single"/>
          <w:lang w:val="hu-HU"/>
        </w:rPr>
        <w:t>Tablettamag:</w:t>
      </w:r>
    </w:p>
    <w:p w:rsidR="00F50CC3" w:rsidRDefault="00730655">
      <w:pPr>
        <w:spacing w:line="240" w:lineRule="auto"/>
        <w:rPr>
          <w:lang w:val="hu-HU"/>
        </w:rPr>
      </w:pPr>
      <w:r>
        <w:rPr>
          <w:lang w:val="hu-HU"/>
        </w:rPr>
        <w:t>mannit</w:t>
      </w:r>
    </w:p>
    <w:p w:rsidR="00F50CC3" w:rsidRDefault="00730655">
      <w:pPr>
        <w:spacing w:line="240" w:lineRule="auto"/>
        <w:rPr>
          <w:lang w:val="hu-HU"/>
        </w:rPr>
      </w:pPr>
      <w:r>
        <w:rPr>
          <w:lang w:val="hu-HU"/>
        </w:rPr>
        <w:t>mikrokristályos cellulóz</w:t>
      </w:r>
    </w:p>
    <w:p w:rsidR="00F50CC3" w:rsidRDefault="00730655">
      <w:pPr>
        <w:spacing w:line="240" w:lineRule="auto"/>
        <w:rPr>
          <w:lang w:val="hu-HU"/>
        </w:rPr>
      </w:pPr>
      <w:r>
        <w:rPr>
          <w:lang w:val="hu-HU"/>
        </w:rPr>
        <w:t>makrogol</w:t>
      </w:r>
    </w:p>
    <w:p w:rsidR="00F50CC3" w:rsidRDefault="00730655">
      <w:pPr>
        <w:spacing w:line="240" w:lineRule="auto"/>
        <w:rPr>
          <w:lang w:val="hu-HU"/>
        </w:rPr>
      </w:pPr>
      <w:r>
        <w:rPr>
          <w:lang w:val="hu-HU"/>
        </w:rPr>
        <w:t>poloxamer</w:t>
      </w:r>
    </w:p>
    <w:p w:rsidR="00F50CC3" w:rsidRDefault="00730655">
      <w:pPr>
        <w:spacing w:line="240" w:lineRule="auto"/>
        <w:rPr>
          <w:lang w:val="hu-HU"/>
        </w:rPr>
      </w:pPr>
      <w:r>
        <w:rPr>
          <w:lang w:val="hu-HU"/>
        </w:rPr>
        <w:t>nátrium-lauril-szulfát</w:t>
      </w:r>
    </w:p>
    <w:p w:rsidR="00F50CC3" w:rsidRDefault="00730655">
      <w:pPr>
        <w:spacing w:line="240" w:lineRule="auto"/>
        <w:rPr>
          <w:lang w:val="hu-HU"/>
        </w:rPr>
      </w:pPr>
      <w:r>
        <w:rPr>
          <w:lang w:val="hu-HU"/>
        </w:rPr>
        <w:t>kroszkarmellóz-nátrium</w:t>
      </w:r>
    </w:p>
    <w:p w:rsidR="00F50CC3" w:rsidRDefault="00730655">
      <w:pPr>
        <w:spacing w:line="240" w:lineRule="auto"/>
        <w:rPr>
          <w:lang w:val="hu-HU"/>
        </w:rPr>
      </w:pPr>
      <w:r>
        <w:rPr>
          <w:lang w:val="hu-HU"/>
        </w:rPr>
        <w:t>vízmentes kolloid szilícium-dioxid</w:t>
      </w:r>
    </w:p>
    <w:p w:rsidR="00F50CC3" w:rsidRDefault="00730655">
      <w:pPr>
        <w:spacing w:line="240" w:lineRule="auto"/>
        <w:rPr>
          <w:lang w:val="hu-HU"/>
        </w:rPr>
      </w:pPr>
      <w:r>
        <w:rPr>
          <w:lang w:val="hu-HU"/>
        </w:rPr>
        <w:t>nátrium-sztearil-fumarát</w:t>
      </w:r>
    </w:p>
    <w:p w:rsidR="00F50CC3" w:rsidRDefault="00F50CC3">
      <w:pPr>
        <w:spacing w:line="240" w:lineRule="auto"/>
        <w:rPr>
          <w:lang w:val="hu-HU"/>
        </w:rPr>
      </w:pPr>
    </w:p>
    <w:p w:rsidR="00F50CC3" w:rsidRDefault="00730655">
      <w:pPr>
        <w:spacing w:line="240" w:lineRule="auto"/>
        <w:rPr>
          <w:lang w:val="hu-HU"/>
        </w:rPr>
      </w:pPr>
      <w:r>
        <w:rPr>
          <w:u w:val="single"/>
          <w:lang w:val="hu-HU"/>
        </w:rPr>
        <w:t>Filmbevonat:</w:t>
      </w:r>
    </w:p>
    <w:p w:rsidR="00F50CC3" w:rsidRDefault="00730655">
      <w:pPr>
        <w:spacing w:line="240" w:lineRule="auto"/>
        <w:rPr>
          <w:lang w:val="hu-HU"/>
        </w:rPr>
      </w:pPr>
      <w:r>
        <w:rPr>
          <w:lang w:val="hu-HU"/>
        </w:rPr>
        <w:t>hipromellóz</w:t>
      </w:r>
    </w:p>
    <w:p w:rsidR="00F50CC3" w:rsidRDefault="00730655">
      <w:pPr>
        <w:spacing w:line="240" w:lineRule="auto"/>
        <w:rPr>
          <w:lang w:val="hu-HU"/>
        </w:rPr>
      </w:pPr>
      <w:r>
        <w:rPr>
          <w:lang w:val="hu-HU"/>
        </w:rPr>
        <w:t>makrogol</w:t>
      </w:r>
    </w:p>
    <w:p w:rsidR="00F50CC3" w:rsidRDefault="00730655">
      <w:pPr>
        <w:spacing w:line="240" w:lineRule="auto"/>
        <w:rPr>
          <w:lang w:val="hu-HU"/>
        </w:rPr>
      </w:pPr>
      <w:r>
        <w:rPr>
          <w:lang w:val="hu-HU"/>
        </w:rPr>
        <w:t>titán-dioxid (E171)</w:t>
      </w:r>
    </w:p>
    <w:p w:rsidR="00F50CC3" w:rsidRDefault="00730655">
      <w:pPr>
        <w:spacing w:line="240" w:lineRule="auto"/>
        <w:rPr>
          <w:lang w:val="hu-HU"/>
        </w:rPr>
      </w:pPr>
      <w:r>
        <w:rPr>
          <w:lang w:val="hu-HU"/>
        </w:rPr>
        <w:t>vörös vas-oxid (E172)</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6.2</w:t>
      </w:r>
      <w:r>
        <w:rPr>
          <w:b/>
          <w:noProof/>
          <w:lang w:val="hu-HU"/>
        </w:rPr>
        <w:tab/>
        <w:t>Inkompatibilitások</w:t>
      </w:r>
    </w:p>
    <w:p w:rsidR="00F50CC3" w:rsidRDefault="00F50CC3">
      <w:pPr>
        <w:spacing w:line="240" w:lineRule="auto"/>
        <w:rPr>
          <w:noProof/>
          <w:lang w:val="hu-HU"/>
        </w:rPr>
      </w:pPr>
    </w:p>
    <w:p w:rsidR="00F50CC3" w:rsidRDefault="00730655">
      <w:pPr>
        <w:spacing w:line="240" w:lineRule="auto"/>
        <w:rPr>
          <w:noProof/>
          <w:lang w:val="hu-HU"/>
        </w:rPr>
      </w:pPr>
      <w:r>
        <w:rPr>
          <w:noProof/>
          <w:lang w:val="hu-HU"/>
        </w:rPr>
        <w:t>Nem értelmezhető.</w:t>
      </w:r>
    </w:p>
    <w:p w:rsidR="00F50CC3" w:rsidRDefault="00F50CC3">
      <w:pPr>
        <w:spacing w:line="240" w:lineRule="auto"/>
        <w:rPr>
          <w:lang w:val="hu-HU"/>
        </w:rPr>
      </w:pPr>
    </w:p>
    <w:p w:rsidR="00F50CC3" w:rsidRDefault="00730655">
      <w:pPr>
        <w:spacing w:line="240" w:lineRule="auto"/>
        <w:ind w:left="567" w:hanging="567"/>
        <w:outlineLvl w:val="0"/>
        <w:rPr>
          <w:b/>
          <w:noProof/>
          <w:lang w:val="hu-HU"/>
        </w:rPr>
      </w:pPr>
      <w:r>
        <w:rPr>
          <w:b/>
          <w:noProof/>
          <w:lang w:val="hu-HU"/>
        </w:rPr>
        <w:t>6.3</w:t>
      </w:r>
      <w:r>
        <w:rPr>
          <w:b/>
          <w:noProof/>
          <w:lang w:val="hu-HU"/>
        </w:rPr>
        <w:tab/>
        <w:t>Felhasználhatósági időtartam</w:t>
      </w:r>
    </w:p>
    <w:p w:rsidR="00F50CC3" w:rsidRDefault="00F50CC3">
      <w:pPr>
        <w:spacing w:line="240" w:lineRule="auto"/>
        <w:rPr>
          <w:noProof/>
          <w:lang w:val="hu-HU"/>
        </w:rPr>
      </w:pPr>
    </w:p>
    <w:p w:rsidR="00F50CC3" w:rsidRDefault="00730655">
      <w:pPr>
        <w:spacing w:line="240" w:lineRule="auto"/>
        <w:rPr>
          <w:noProof/>
          <w:lang w:val="hu-HU"/>
        </w:rPr>
      </w:pPr>
      <w:r>
        <w:rPr>
          <w:noProof/>
          <w:lang w:val="hu-HU"/>
        </w:rPr>
        <w:t>5 év</w:t>
      </w:r>
    </w:p>
    <w:p w:rsidR="00F50CC3" w:rsidRDefault="00F50CC3">
      <w:pPr>
        <w:spacing w:line="240" w:lineRule="auto"/>
        <w:rPr>
          <w:noProof/>
          <w:lang w:val="hu-HU"/>
        </w:rPr>
      </w:pPr>
    </w:p>
    <w:p w:rsidR="00F50CC3" w:rsidRDefault="00730655" w:rsidP="00A9412C">
      <w:pPr>
        <w:keepNext/>
        <w:spacing w:line="240" w:lineRule="auto"/>
        <w:ind w:left="567" w:hanging="567"/>
        <w:outlineLvl w:val="0"/>
        <w:rPr>
          <w:b/>
          <w:noProof/>
          <w:lang w:val="hu-HU"/>
        </w:rPr>
      </w:pPr>
      <w:r>
        <w:rPr>
          <w:b/>
          <w:noProof/>
          <w:lang w:val="hu-HU"/>
        </w:rPr>
        <w:lastRenderedPageBreak/>
        <w:t>6.4</w:t>
      </w:r>
      <w:r>
        <w:rPr>
          <w:b/>
          <w:noProof/>
          <w:lang w:val="hu-HU"/>
        </w:rPr>
        <w:tab/>
        <w:t>Különleges tárolási előírások</w:t>
      </w:r>
    </w:p>
    <w:p w:rsidR="00F50CC3" w:rsidRDefault="00F50CC3">
      <w:pPr>
        <w:spacing w:line="240" w:lineRule="auto"/>
        <w:ind w:left="567" w:hanging="567"/>
        <w:outlineLvl w:val="0"/>
        <w:rPr>
          <w:b/>
          <w:lang w:val="hu-HU"/>
        </w:rPr>
      </w:pPr>
    </w:p>
    <w:p w:rsidR="00F50CC3" w:rsidRDefault="00730655">
      <w:pPr>
        <w:spacing w:line="240" w:lineRule="auto"/>
        <w:rPr>
          <w:noProof/>
          <w:lang w:val="hu-HU"/>
        </w:rPr>
      </w:pPr>
      <w:r>
        <w:rPr>
          <w:noProof/>
          <w:lang w:val="hu-HU"/>
        </w:rPr>
        <w:t>Ez a gyógyszer nem igényel különleges tárolást.</w:t>
      </w: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6.5</w:t>
      </w:r>
      <w:r>
        <w:rPr>
          <w:b/>
          <w:noProof/>
          <w:lang w:val="hu-HU"/>
        </w:rPr>
        <w:tab/>
        <w:t>Csomagolás típusa és kiszerelése</w:t>
      </w:r>
    </w:p>
    <w:p w:rsidR="00F50CC3" w:rsidRDefault="00F50CC3">
      <w:pPr>
        <w:spacing w:line="240" w:lineRule="auto"/>
        <w:rPr>
          <w:noProof/>
          <w:lang w:val="hu-HU"/>
        </w:rPr>
      </w:pPr>
    </w:p>
    <w:p w:rsidR="00F50CC3" w:rsidRDefault="00730655">
      <w:pPr>
        <w:spacing w:line="240" w:lineRule="auto"/>
        <w:rPr>
          <w:lang w:val="hu-HU"/>
        </w:rPr>
      </w:pPr>
      <w:r>
        <w:rPr>
          <w:lang w:val="hu-HU"/>
        </w:rPr>
        <w:t>10, 15, 30, 60, 90 és 100 db filmtabletta átlátszó PVC/PVDC/PVC fólia//Al fólia buborékcsomagolásban és dobozban.</w:t>
      </w:r>
    </w:p>
    <w:p w:rsidR="00F50CC3" w:rsidRDefault="00730655">
      <w:pPr>
        <w:spacing w:line="240" w:lineRule="auto"/>
        <w:rPr>
          <w:lang w:val="hu-HU"/>
        </w:rPr>
      </w:pPr>
      <w:r>
        <w:rPr>
          <w:lang w:val="hu-HU"/>
        </w:rPr>
        <w:t>10</w:t>
      </w:r>
      <w:r w:rsidR="00521197">
        <w:rPr>
          <w:lang w:val="hu-HU"/>
        </w:rPr>
        <w:t>×</w:t>
      </w:r>
      <w:r>
        <w:rPr>
          <w:lang w:val="hu-HU"/>
        </w:rPr>
        <w:t>1, 30</w:t>
      </w:r>
      <w:r w:rsidR="00521197">
        <w:rPr>
          <w:lang w:val="hu-HU"/>
        </w:rPr>
        <w:t>×</w:t>
      </w:r>
      <w:r>
        <w:rPr>
          <w:lang w:val="hu-HU"/>
        </w:rPr>
        <w:t>1, 60</w:t>
      </w:r>
      <w:r w:rsidR="00521197">
        <w:rPr>
          <w:lang w:val="hu-HU"/>
        </w:rPr>
        <w:t>×</w:t>
      </w:r>
      <w:r>
        <w:rPr>
          <w:lang w:val="hu-HU"/>
        </w:rPr>
        <w:t>1, 90</w:t>
      </w:r>
      <w:r w:rsidR="00521197">
        <w:rPr>
          <w:lang w:val="hu-HU"/>
        </w:rPr>
        <w:t>×</w:t>
      </w:r>
      <w:r>
        <w:rPr>
          <w:lang w:val="hu-HU"/>
        </w:rPr>
        <w:t>1 és 100</w:t>
      </w:r>
      <w:r w:rsidR="00521197">
        <w:rPr>
          <w:lang w:val="hu-HU"/>
        </w:rPr>
        <w:t>×</w:t>
      </w:r>
      <w:r>
        <w:rPr>
          <w:lang w:val="hu-HU"/>
        </w:rPr>
        <w:t>1 db filmtabletta adagonként perforált átlátszó PVC/PVDC/PVC fólia//Al fólia buborékcsomagolásban és dobozban.</w:t>
      </w:r>
    </w:p>
    <w:p w:rsidR="00F50CC3" w:rsidRDefault="00730655">
      <w:pPr>
        <w:spacing w:line="240" w:lineRule="auto"/>
        <w:rPr>
          <w:lang w:val="hu-HU"/>
        </w:rPr>
      </w:pPr>
      <w:r>
        <w:rPr>
          <w:lang w:val="hu-HU"/>
        </w:rPr>
        <w:t>14, 28, 42, 56, 98 db filmtabletta naptár jelzéses, átlátszó PVC/PVDC/PVC fólia//Al fólia buborékcsomagolásban és dobozban.</w:t>
      </w:r>
    </w:p>
    <w:p w:rsidR="00F50CC3" w:rsidRDefault="00F50CC3">
      <w:pPr>
        <w:spacing w:line="240" w:lineRule="auto"/>
        <w:rPr>
          <w:lang w:val="hu-HU"/>
        </w:rPr>
      </w:pPr>
    </w:p>
    <w:p w:rsidR="00F50CC3" w:rsidRDefault="00730655">
      <w:pPr>
        <w:spacing w:line="240" w:lineRule="auto"/>
        <w:rPr>
          <w:noProof/>
          <w:lang w:val="hu-HU"/>
        </w:rPr>
      </w:pPr>
      <w:r>
        <w:rPr>
          <w:noProof/>
          <w:lang w:val="hu-HU"/>
        </w:rPr>
        <w:t>Minden doboz betegemlékeztető kártyát is tartalmaz.</w:t>
      </w:r>
    </w:p>
    <w:p w:rsidR="00F50CC3" w:rsidRDefault="00F50CC3">
      <w:pPr>
        <w:spacing w:line="240" w:lineRule="auto"/>
        <w:rPr>
          <w:noProof/>
          <w:lang w:val="hu-HU"/>
        </w:rPr>
      </w:pPr>
    </w:p>
    <w:p w:rsidR="00F50CC3" w:rsidRDefault="00730655">
      <w:pPr>
        <w:spacing w:line="240" w:lineRule="auto"/>
        <w:rPr>
          <w:noProof/>
          <w:lang w:val="hu-HU"/>
        </w:rPr>
      </w:pPr>
      <w:r>
        <w:rPr>
          <w:noProof/>
          <w:lang w:val="hu-HU"/>
        </w:rPr>
        <w:t>Nem feltétlenül mindegyik kiszerelés kerül kereskedelmi forgalomba.</w:t>
      </w:r>
    </w:p>
    <w:p w:rsidR="00F50CC3" w:rsidRDefault="00F50CC3">
      <w:pPr>
        <w:spacing w:line="240" w:lineRule="auto"/>
        <w:rPr>
          <w:noProof/>
          <w:lang w:val="hu-HU"/>
        </w:rPr>
      </w:pPr>
    </w:p>
    <w:p w:rsidR="00F50CC3" w:rsidRDefault="00730655" w:rsidP="00A9412C">
      <w:pPr>
        <w:keepNext/>
        <w:spacing w:line="240" w:lineRule="auto"/>
        <w:ind w:left="567" w:hanging="567"/>
        <w:outlineLvl w:val="0"/>
        <w:rPr>
          <w:b/>
          <w:noProof/>
          <w:lang w:val="hu-HU"/>
        </w:rPr>
      </w:pPr>
      <w:r>
        <w:rPr>
          <w:b/>
          <w:noProof/>
          <w:lang w:val="hu-HU"/>
        </w:rPr>
        <w:t>6.6</w:t>
      </w:r>
      <w:r>
        <w:rPr>
          <w:b/>
          <w:noProof/>
          <w:lang w:val="hu-HU"/>
        </w:rPr>
        <w:tab/>
        <w:t>A megsemmisítésre vonatkozó különleges óvintézkedések és egyéb, a készítmény kezelésével kapcsolatos információk</w:t>
      </w:r>
    </w:p>
    <w:p w:rsidR="00F50CC3" w:rsidRDefault="00F50CC3">
      <w:pPr>
        <w:spacing w:line="240" w:lineRule="auto"/>
        <w:ind w:left="567" w:hanging="567"/>
        <w:outlineLvl w:val="0"/>
        <w:rPr>
          <w:b/>
          <w:noProof/>
          <w:lang w:val="hu-HU"/>
        </w:rPr>
      </w:pPr>
    </w:p>
    <w:p w:rsidR="00F50CC3" w:rsidRDefault="00730655">
      <w:pPr>
        <w:tabs>
          <w:tab w:val="clear" w:pos="567"/>
          <w:tab w:val="left" w:pos="0"/>
        </w:tabs>
        <w:spacing w:line="240" w:lineRule="auto"/>
        <w:outlineLvl w:val="0"/>
        <w:rPr>
          <w:noProof/>
          <w:lang w:val="hu-HU"/>
        </w:rPr>
      </w:pPr>
      <w:r>
        <w:rPr>
          <w:noProof/>
          <w:lang w:val="hu-HU"/>
        </w:rPr>
        <w:t>Bármilyen fel nem használt gyógyszer, illetve hulladékanyag megsemmisítését a gyógyszerekre vonatkozó előírások szerint kell végrehajtani.</w:t>
      </w:r>
    </w:p>
    <w:p w:rsidR="00F50CC3" w:rsidRDefault="00F50CC3">
      <w:pPr>
        <w:tabs>
          <w:tab w:val="clear" w:pos="567"/>
          <w:tab w:val="left" w:pos="0"/>
        </w:tabs>
        <w:spacing w:line="240" w:lineRule="auto"/>
        <w:outlineLvl w:val="0"/>
        <w:rPr>
          <w:noProof/>
          <w:lang w:val="hu-HU"/>
        </w:rPr>
      </w:pPr>
    </w:p>
    <w:p w:rsidR="00F50CC3" w:rsidRDefault="00730655">
      <w:pPr>
        <w:tabs>
          <w:tab w:val="clear" w:pos="567"/>
          <w:tab w:val="left" w:pos="0"/>
        </w:tabs>
        <w:spacing w:line="240" w:lineRule="auto"/>
        <w:outlineLvl w:val="0"/>
        <w:rPr>
          <w:noProof/>
          <w:u w:val="single"/>
          <w:lang w:val="hu-HU"/>
        </w:rPr>
      </w:pPr>
      <w:r>
        <w:rPr>
          <w:noProof/>
          <w:u w:val="single"/>
          <w:lang w:val="hu-HU"/>
        </w:rPr>
        <w:t>Porrá tört tabletta</w:t>
      </w:r>
    </w:p>
    <w:p w:rsidR="00F50CC3" w:rsidRDefault="00730655">
      <w:pPr>
        <w:tabs>
          <w:tab w:val="clear" w:pos="567"/>
          <w:tab w:val="left" w:pos="0"/>
        </w:tabs>
        <w:spacing w:line="240" w:lineRule="auto"/>
        <w:outlineLvl w:val="0"/>
        <w:rPr>
          <w:noProof/>
          <w:lang w:val="hu-HU"/>
        </w:rPr>
      </w:pPr>
      <w:r>
        <w:rPr>
          <w:noProof/>
          <w:lang w:val="hu-HU"/>
        </w:rPr>
        <w:t>A rivaroxabán tabletta porrá törhető és 50 ml vízben szuszpendálható, majd a szuszpenziót be lehet adni nasogastricus szondán vagy tápláló gyomorszondán át, miután ellenőrizték, hogy a szonda vége a gyomorban helyezkedik-e el. Utána a szondát át kell öblíteni vízzel. A rivaroxabán felszívódása a hatóanyag felszabadulásának helyétől függ, ezért a rivaroxabán beadását a gyomor utáni bélszakaszba el kell kerülni, ez ugyanis csökkent felszívódáshoz, következésképpen pedig csökkent hatóanyag expozícióhoz vezethet. A 10 mg-os tabletta alkalmazása után közvetlenül nem szükséges enterális táplálás.</w:t>
      </w:r>
    </w:p>
    <w:p w:rsidR="00F50CC3" w:rsidRDefault="00F50CC3">
      <w:pPr>
        <w:tabs>
          <w:tab w:val="clear" w:pos="567"/>
          <w:tab w:val="left" w:pos="0"/>
        </w:tabs>
        <w:spacing w:line="240" w:lineRule="auto"/>
        <w:outlineLvl w:val="0"/>
        <w:rPr>
          <w:noProof/>
          <w:lang w:val="hu-HU"/>
        </w:rPr>
      </w:pPr>
    </w:p>
    <w:p w:rsidR="00F50CC3" w:rsidRDefault="00730655">
      <w:pPr>
        <w:rPr>
          <w:b/>
        </w:rPr>
      </w:pPr>
      <w:r>
        <w:rPr>
          <w:b/>
        </w:rPr>
        <w:t>Megjegyzés</w:t>
      </w:r>
      <w:r>
        <w:t>:</w:t>
      </w:r>
      <w:r>
        <w:rPr>
          <w:b/>
        </w:rPr>
        <w:t xml:space="preserve"> </w:t>
      </w:r>
      <w:r>
        <w:sym w:font="Wingdings" w:char="F058"/>
      </w:r>
      <w:r>
        <w:t xml:space="preserve"> (egy keresztes)</w:t>
      </w:r>
    </w:p>
    <w:p w:rsidR="00F50CC3" w:rsidRDefault="00730655">
      <w:pPr>
        <w:rPr>
          <w:b/>
        </w:rPr>
      </w:pPr>
      <w:r>
        <w:t xml:space="preserve">Osztályozás: </w:t>
      </w:r>
      <w:r>
        <w:rPr>
          <w:b/>
        </w:rPr>
        <w:t>II./1 csoport</w:t>
      </w:r>
    </w:p>
    <w:p w:rsidR="00F50CC3" w:rsidRDefault="00730655">
      <w:pPr>
        <w:tabs>
          <w:tab w:val="left" w:pos="0"/>
        </w:tabs>
        <w:outlineLvl w:val="0"/>
      </w:pPr>
      <w:r>
        <w:t>Korlátozott érvényű orvosi rendelvényhez kötött, szakorvosi kórházi diagnózist követő járóbeteg-ellátásban alkalmazható gyógyszer (J).</w:t>
      </w:r>
    </w:p>
    <w:p w:rsidR="00F50CC3" w:rsidRDefault="00F50CC3">
      <w:pPr>
        <w:tabs>
          <w:tab w:val="clear" w:pos="567"/>
          <w:tab w:val="left" w:pos="0"/>
        </w:tabs>
        <w:spacing w:line="240" w:lineRule="auto"/>
        <w:outlineLvl w:val="0"/>
        <w:rPr>
          <w:noProof/>
          <w:lang w:val="hu-HU"/>
        </w:rPr>
      </w:pP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b/>
          <w:noProof/>
          <w:lang w:val="hu-HU"/>
        </w:rPr>
      </w:pPr>
      <w:r>
        <w:rPr>
          <w:b/>
          <w:noProof/>
          <w:lang w:val="hu-HU"/>
        </w:rPr>
        <w:t>7.</w:t>
      </w:r>
      <w:r>
        <w:rPr>
          <w:b/>
          <w:noProof/>
          <w:lang w:val="hu-HU"/>
        </w:rPr>
        <w:tab/>
        <w:t>A FORGALOMBA HOZATALI ENGEDÉLY JOGOSULTJA</w:t>
      </w: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lang w:val="hu-HU"/>
        </w:rPr>
      </w:pPr>
      <w:r>
        <w:rPr>
          <w:lang w:val="hu-HU"/>
        </w:rPr>
        <w:t>TAD Pharma GmbH</w:t>
      </w:r>
    </w:p>
    <w:p w:rsidR="00F50CC3" w:rsidRDefault="00730655">
      <w:pPr>
        <w:spacing w:line="240" w:lineRule="auto"/>
        <w:ind w:left="567" w:hanging="567"/>
        <w:outlineLvl w:val="0"/>
        <w:rPr>
          <w:lang w:val="hu-HU"/>
        </w:rPr>
      </w:pPr>
      <w:r>
        <w:rPr>
          <w:lang w:val="hu-HU"/>
        </w:rPr>
        <w:t>Heinz-Lohmann-Straße 5</w:t>
      </w:r>
    </w:p>
    <w:p w:rsidR="00F50CC3" w:rsidRDefault="00730655">
      <w:pPr>
        <w:spacing w:line="240" w:lineRule="auto"/>
        <w:ind w:left="567" w:hanging="567"/>
        <w:outlineLvl w:val="0"/>
        <w:rPr>
          <w:lang w:val="hu-HU"/>
        </w:rPr>
      </w:pPr>
      <w:r>
        <w:rPr>
          <w:lang w:val="hu-HU"/>
        </w:rPr>
        <w:t>27472 Cuxhaven</w:t>
      </w:r>
    </w:p>
    <w:p w:rsidR="00F50CC3" w:rsidRDefault="00730655">
      <w:pPr>
        <w:spacing w:line="240" w:lineRule="auto"/>
        <w:ind w:left="567" w:hanging="567"/>
        <w:outlineLvl w:val="0"/>
        <w:rPr>
          <w:lang w:val="hu-HU"/>
        </w:rPr>
      </w:pPr>
      <w:r>
        <w:rPr>
          <w:lang w:val="hu-HU"/>
        </w:rPr>
        <w:t>Németország</w:t>
      </w:r>
    </w:p>
    <w:p w:rsidR="00F50CC3" w:rsidRDefault="00F50CC3">
      <w:pPr>
        <w:spacing w:line="240" w:lineRule="auto"/>
        <w:ind w:left="567" w:hanging="567"/>
        <w:outlineLvl w:val="0"/>
        <w:rPr>
          <w:b/>
          <w:lang w:val="hu-HU"/>
        </w:rPr>
      </w:pPr>
    </w:p>
    <w:p w:rsidR="00F50CC3" w:rsidRDefault="00F50CC3">
      <w:pPr>
        <w:spacing w:line="240" w:lineRule="auto"/>
        <w:ind w:left="567" w:hanging="567"/>
        <w:outlineLvl w:val="0"/>
        <w:rPr>
          <w:b/>
          <w:lang w:val="hu-HU"/>
        </w:rPr>
      </w:pPr>
    </w:p>
    <w:p w:rsidR="00F50CC3" w:rsidRDefault="00730655">
      <w:pPr>
        <w:spacing w:line="240" w:lineRule="auto"/>
        <w:ind w:left="567" w:hanging="567"/>
        <w:outlineLvl w:val="0"/>
        <w:rPr>
          <w:b/>
          <w:noProof/>
          <w:lang w:val="hu-HU"/>
        </w:rPr>
      </w:pPr>
      <w:r>
        <w:rPr>
          <w:b/>
          <w:noProof/>
          <w:lang w:val="hu-HU"/>
        </w:rPr>
        <w:t>8.</w:t>
      </w:r>
      <w:r>
        <w:rPr>
          <w:b/>
          <w:noProof/>
          <w:lang w:val="hu-HU"/>
        </w:rPr>
        <w:tab/>
        <w:t>A FORGALOMBA HOZATALI ENGEDÉLY SZÁMA(I)</w:t>
      </w:r>
    </w:p>
    <w:p w:rsidR="00F50CC3" w:rsidRDefault="00F50CC3">
      <w:pPr>
        <w:spacing w:line="240" w:lineRule="auto"/>
        <w:ind w:right="-2"/>
        <w:rPr>
          <w:lang w:val="hu-HU"/>
        </w:rPr>
      </w:pPr>
    </w:p>
    <w:p w:rsidR="00F50CC3" w:rsidRDefault="00730655">
      <w:pPr>
        <w:pStyle w:val="NormlWeb"/>
        <w:rPr>
          <w:rFonts w:ascii="Calibri" w:hAnsi="Calibri" w:cs="Calibri"/>
          <w:color w:val="000000"/>
          <w:sz w:val="22"/>
          <w:szCs w:val="22"/>
        </w:rPr>
      </w:pPr>
      <w:r>
        <w:rPr>
          <w:color w:val="000000"/>
          <w:sz w:val="22"/>
          <w:szCs w:val="22"/>
        </w:rPr>
        <w:t>OGYI-T-24371/17</w:t>
      </w:r>
      <w:r>
        <w:rPr>
          <w:color w:val="000000"/>
          <w:sz w:val="22"/>
          <w:szCs w:val="22"/>
        </w:rPr>
        <w:tab/>
        <w:t>10×</w:t>
      </w:r>
      <w:r>
        <w:rPr>
          <w:color w:val="000000"/>
          <w:sz w:val="22"/>
          <w:szCs w:val="22"/>
        </w:rPr>
        <w:tab/>
        <w:t>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OGYI-T-24371/18</w:t>
      </w:r>
      <w:r>
        <w:rPr>
          <w:color w:val="000000"/>
          <w:sz w:val="22"/>
          <w:szCs w:val="22"/>
        </w:rPr>
        <w:tab/>
        <w:t>10×1</w:t>
      </w:r>
      <w:r>
        <w:rPr>
          <w:color w:val="000000"/>
          <w:sz w:val="22"/>
          <w:szCs w:val="22"/>
        </w:rPr>
        <w:tab/>
        <w:t>adagonként perforált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OGYI-T-24371/19</w:t>
      </w:r>
      <w:r>
        <w:rPr>
          <w:color w:val="000000"/>
          <w:sz w:val="22"/>
          <w:szCs w:val="22"/>
        </w:rPr>
        <w:tab/>
        <w:t>14×</w:t>
      </w:r>
      <w:r>
        <w:rPr>
          <w:color w:val="000000"/>
          <w:sz w:val="22"/>
          <w:szCs w:val="22"/>
        </w:rPr>
        <w:tab/>
        <w:t>naptár jelzéses, átlátszó PVC/PVDC/PVC fólia//Al fólia buborékcsomagolásban</w:t>
      </w:r>
    </w:p>
    <w:p w:rsidR="00F50CC3" w:rsidRDefault="00730655">
      <w:pPr>
        <w:pStyle w:val="NormlWeb"/>
        <w:rPr>
          <w:rFonts w:ascii="Calibri" w:hAnsi="Calibri" w:cs="Calibri"/>
          <w:color w:val="000000"/>
          <w:sz w:val="22"/>
          <w:szCs w:val="22"/>
        </w:rPr>
      </w:pPr>
      <w:r>
        <w:rPr>
          <w:color w:val="000000"/>
          <w:sz w:val="22"/>
          <w:szCs w:val="22"/>
        </w:rPr>
        <w:t>OGYI-T-24371/20</w:t>
      </w:r>
      <w:r>
        <w:rPr>
          <w:color w:val="000000"/>
          <w:sz w:val="22"/>
          <w:szCs w:val="22"/>
        </w:rPr>
        <w:tab/>
        <w:t>15×</w:t>
      </w:r>
      <w:r>
        <w:rPr>
          <w:color w:val="000000"/>
          <w:sz w:val="22"/>
          <w:szCs w:val="22"/>
        </w:rPr>
        <w:tab/>
        <w:t>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lastRenderedPageBreak/>
        <w:t>OGYI-T-24371/21</w:t>
      </w:r>
      <w:r>
        <w:rPr>
          <w:color w:val="000000"/>
          <w:sz w:val="22"/>
          <w:szCs w:val="22"/>
        </w:rPr>
        <w:tab/>
        <w:t>28×</w:t>
      </w:r>
      <w:r>
        <w:rPr>
          <w:color w:val="000000"/>
          <w:sz w:val="22"/>
          <w:szCs w:val="22"/>
        </w:rPr>
        <w:tab/>
        <w:t>naptár jelzéses,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OGYI-T-24371/22</w:t>
      </w:r>
      <w:r>
        <w:rPr>
          <w:color w:val="000000"/>
          <w:sz w:val="22"/>
          <w:szCs w:val="22"/>
        </w:rPr>
        <w:tab/>
        <w:t>30×</w:t>
      </w:r>
      <w:r>
        <w:rPr>
          <w:color w:val="000000"/>
          <w:sz w:val="22"/>
          <w:szCs w:val="22"/>
        </w:rPr>
        <w:tab/>
        <w:t>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OGYI-T-24371/23</w:t>
      </w:r>
      <w:r>
        <w:rPr>
          <w:color w:val="000000"/>
          <w:sz w:val="22"/>
          <w:szCs w:val="22"/>
        </w:rPr>
        <w:tab/>
        <w:t>30×1</w:t>
      </w:r>
      <w:r>
        <w:rPr>
          <w:color w:val="000000"/>
          <w:sz w:val="22"/>
          <w:szCs w:val="22"/>
        </w:rPr>
        <w:tab/>
        <w:t>adagonként perforált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OGYI-T-24371/24</w:t>
      </w:r>
      <w:r>
        <w:rPr>
          <w:color w:val="000000"/>
          <w:sz w:val="22"/>
          <w:szCs w:val="22"/>
        </w:rPr>
        <w:tab/>
        <w:t>42×</w:t>
      </w:r>
      <w:r>
        <w:rPr>
          <w:color w:val="000000"/>
          <w:sz w:val="22"/>
          <w:szCs w:val="22"/>
        </w:rPr>
        <w:tab/>
        <w:t>naptár jelzéses,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OGYI-T-24371/25</w:t>
      </w:r>
      <w:r>
        <w:rPr>
          <w:color w:val="000000"/>
          <w:sz w:val="22"/>
          <w:szCs w:val="22"/>
        </w:rPr>
        <w:tab/>
        <w:t>56×</w:t>
      </w:r>
      <w:r>
        <w:rPr>
          <w:color w:val="000000"/>
          <w:sz w:val="22"/>
          <w:szCs w:val="22"/>
        </w:rPr>
        <w:tab/>
        <w:t>naptár jelzéses,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OGYI-T-24371/26</w:t>
      </w:r>
      <w:r>
        <w:rPr>
          <w:color w:val="000000"/>
          <w:sz w:val="22"/>
          <w:szCs w:val="22"/>
        </w:rPr>
        <w:tab/>
        <w:t>60×</w:t>
      </w:r>
      <w:r>
        <w:rPr>
          <w:color w:val="000000"/>
          <w:sz w:val="22"/>
          <w:szCs w:val="22"/>
        </w:rPr>
        <w:tab/>
        <w:t>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OGYI-T-24371/27</w:t>
      </w:r>
      <w:r>
        <w:rPr>
          <w:color w:val="000000"/>
          <w:sz w:val="22"/>
          <w:szCs w:val="22"/>
        </w:rPr>
        <w:tab/>
        <w:t>60×1</w:t>
      </w:r>
      <w:r>
        <w:rPr>
          <w:color w:val="000000"/>
          <w:sz w:val="22"/>
          <w:szCs w:val="22"/>
        </w:rPr>
        <w:tab/>
        <w:t>adagonként perforált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OGYI-T-24371/28</w:t>
      </w:r>
      <w:r>
        <w:rPr>
          <w:color w:val="000000"/>
          <w:sz w:val="22"/>
          <w:szCs w:val="22"/>
        </w:rPr>
        <w:tab/>
        <w:t>90×</w:t>
      </w:r>
      <w:r>
        <w:rPr>
          <w:color w:val="000000"/>
          <w:sz w:val="22"/>
          <w:szCs w:val="22"/>
        </w:rPr>
        <w:tab/>
        <w:t>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OGYI-T-24371/29</w:t>
      </w:r>
      <w:r>
        <w:rPr>
          <w:color w:val="000000"/>
          <w:sz w:val="22"/>
          <w:szCs w:val="22"/>
        </w:rPr>
        <w:tab/>
        <w:t>90×1</w:t>
      </w:r>
      <w:r>
        <w:rPr>
          <w:color w:val="000000"/>
          <w:sz w:val="22"/>
          <w:szCs w:val="22"/>
        </w:rPr>
        <w:tab/>
        <w:t>adagonként perforált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OGYI-T-24371/30</w:t>
      </w:r>
      <w:r>
        <w:rPr>
          <w:color w:val="000000"/>
          <w:sz w:val="22"/>
          <w:szCs w:val="22"/>
        </w:rPr>
        <w:tab/>
        <w:t>98×</w:t>
      </w:r>
      <w:r>
        <w:rPr>
          <w:color w:val="000000"/>
          <w:sz w:val="22"/>
          <w:szCs w:val="22"/>
        </w:rPr>
        <w:tab/>
        <w:t>naptár jelzéses, átlátszó PVC/PVDC/PVC fólia//Al fólia buborékcsomagolásban</w:t>
      </w:r>
    </w:p>
    <w:p w:rsidR="00F50CC3" w:rsidRDefault="00730655" w:rsidP="00730655">
      <w:pPr>
        <w:pStyle w:val="NormlWeb"/>
        <w:tabs>
          <w:tab w:val="left" w:pos="2127"/>
        </w:tabs>
        <w:ind w:left="2835" w:hanging="2835"/>
        <w:rPr>
          <w:rFonts w:ascii="Calibri" w:hAnsi="Calibri" w:cs="Calibri"/>
          <w:color w:val="000000"/>
          <w:sz w:val="22"/>
          <w:szCs w:val="22"/>
        </w:rPr>
      </w:pPr>
      <w:r>
        <w:rPr>
          <w:color w:val="000000"/>
          <w:sz w:val="22"/>
          <w:szCs w:val="22"/>
        </w:rPr>
        <w:t>OGYI-T-24371/31</w:t>
      </w:r>
      <w:r>
        <w:rPr>
          <w:color w:val="000000"/>
          <w:sz w:val="22"/>
          <w:szCs w:val="22"/>
        </w:rPr>
        <w:tab/>
        <w:t>100×</w:t>
      </w:r>
      <w:r>
        <w:rPr>
          <w:color w:val="000000"/>
          <w:sz w:val="22"/>
          <w:szCs w:val="22"/>
        </w:rPr>
        <w:tab/>
        <w:t>átlátszó PVC/PVDC/PVC fólia//Al fólia buborékcsomagolásban</w:t>
      </w:r>
    </w:p>
    <w:p w:rsidR="00F50CC3" w:rsidRDefault="00730655" w:rsidP="00730655">
      <w:pPr>
        <w:tabs>
          <w:tab w:val="clear" w:pos="567"/>
          <w:tab w:val="left" w:pos="2127"/>
        </w:tabs>
        <w:spacing w:line="240" w:lineRule="auto"/>
        <w:ind w:left="2835" w:hanging="2835"/>
        <w:rPr>
          <w:color w:val="000000"/>
        </w:rPr>
      </w:pPr>
      <w:r>
        <w:rPr>
          <w:color w:val="000000"/>
        </w:rPr>
        <w:t>OGYI-T-24371/32</w:t>
      </w:r>
      <w:r>
        <w:rPr>
          <w:color w:val="000000"/>
        </w:rPr>
        <w:tab/>
        <w:t>100×1</w:t>
      </w:r>
      <w:r>
        <w:rPr>
          <w:color w:val="000000"/>
        </w:rPr>
        <w:tab/>
        <w:t>adagonként perforált átlátszó PVC/PVDC/PVC fólia//Al fólia buborékcsomagolásban</w:t>
      </w:r>
    </w:p>
    <w:p w:rsidR="00F50CC3" w:rsidRDefault="00F50CC3">
      <w:pPr>
        <w:spacing w:line="240" w:lineRule="auto"/>
        <w:rPr>
          <w:lang w:val="hu-HU"/>
        </w:rPr>
      </w:pPr>
    </w:p>
    <w:p w:rsidR="00F50CC3" w:rsidRDefault="00F50CC3">
      <w:pPr>
        <w:spacing w:line="240" w:lineRule="auto"/>
        <w:ind w:right="-2"/>
        <w:rPr>
          <w:lang w:val="hu-HU"/>
        </w:rPr>
      </w:pPr>
    </w:p>
    <w:p w:rsidR="00F50CC3" w:rsidRDefault="00730655">
      <w:pPr>
        <w:spacing w:line="240" w:lineRule="auto"/>
        <w:ind w:left="567" w:hanging="567"/>
        <w:outlineLvl w:val="0"/>
        <w:rPr>
          <w:b/>
          <w:lang w:val="hu-HU"/>
        </w:rPr>
      </w:pPr>
      <w:r>
        <w:rPr>
          <w:b/>
          <w:noProof/>
          <w:lang w:val="hu-HU"/>
        </w:rPr>
        <w:t>9.</w:t>
      </w:r>
      <w:r>
        <w:rPr>
          <w:b/>
          <w:noProof/>
          <w:lang w:val="hu-HU"/>
        </w:rPr>
        <w:tab/>
        <w:t>A FORGALOMBA HOZATALI ENGEDÉLY ELSŐ KIADÁSÁNAK/ MEGÚJÍTÁSÁNAK</w:t>
      </w:r>
      <w:r>
        <w:rPr>
          <w:b/>
          <w:lang w:val="hu-HU"/>
        </w:rPr>
        <w:t xml:space="preserve"> DÁTUMA</w:t>
      </w:r>
    </w:p>
    <w:p w:rsidR="00F50CC3" w:rsidRDefault="00F50CC3">
      <w:pPr>
        <w:spacing w:line="240" w:lineRule="auto"/>
        <w:rPr>
          <w:noProof/>
          <w:lang w:val="hu-HU"/>
        </w:rPr>
      </w:pPr>
    </w:p>
    <w:p w:rsidR="00F50CC3" w:rsidRDefault="00730655">
      <w:pPr>
        <w:spacing w:line="240" w:lineRule="auto"/>
        <w:rPr>
          <w:noProof/>
          <w:lang w:val="hu-HU"/>
        </w:rPr>
      </w:pPr>
      <w:r>
        <w:rPr>
          <w:noProof/>
        </w:rPr>
        <w:t>A forgalomba hozatali engedély első kiadásának dátuma: 2024. április 22.</w:t>
      </w:r>
    </w:p>
    <w:p w:rsidR="00F50CC3" w:rsidRDefault="00F50CC3">
      <w:pPr>
        <w:spacing w:line="240" w:lineRule="auto"/>
        <w:rPr>
          <w:noProof/>
          <w:lang w:val="hu-HU"/>
        </w:rPr>
      </w:pPr>
    </w:p>
    <w:p w:rsidR="00F50CC3" w:rsidRDefault="00F50CC3">
      <w:pPr>
        <w:spacing w:line="240" w:lineRule="auto"/>
        <w:rPr>
          <w:noProof/>
          <w:lang w:val="hu-HU"/>
        </w:rPr>
      </w:pPr>
    </w:p>
    <w:p w:rsidR="00F50CC3" w:rsidRDefault="00730655">
      <w:pPr>
        <w:spacing w:line="240" w:lineRule="auto"/>
        <w:ind w:left="567" w:hanging="567"/>
        <w:outlineLvl w:val="0"/>
        <w:rPr>
          <w:b/>
          <w:noProof/>
          <w:lang w:val="hu-HU"/>
        </w:rPr>
      </w:pPr>
      <w:r>
        <w:rPr>
          <w:b/>
          <w:noProof/>
          <w:lang w:val="hu-HU"/>
        </w:rPr>
        <w:t>10.</w:t>
      </w:r>
      <w:r>
        <w:rPr>
          <w:b/>
          <w:noProof/>
          <w:lang w:val="hu-HU"/>
        </w:rPr>
        <w:tab/>
        <w:t>A SZÖVEG ELLENŐRZÉSÉNEK DÁTUMA</w:t>
      </w:r>
    </w:p>
    <w:p w:rsidR="00F50CC3" w:rsidRDefault="00F50CC3">
      <w:pPr>
        <w:spacing w:line="240" w:lineRule="auto"/>
        <w:ind w:left="567" w:hanging="567"/>
        <w:outlineLvl w:val="0"/>
        <w:rPr>
          <w:lang w:val="hu-HU"/>
        </w:rPr>
      </w:pPr>
    </w:p>
    <w:p w:rsidR="00F50CC3" w:rsidRDefault="00730655">
      <w:pPr>
        <w:tabs>
          <w:tab w:val="clear" w:pos="567"/>
        </w:tabs>
        <w:spacing w:line="240" w:lineRule="auto"/>
      </w:pPr>
      <w:r>
        <w:t>2026. február 6.</w:t>
      </w:r>
    </w:p>
    <w:sectPr w:rsidR="00F50CC3">
      <w:headerReference w:type="defaul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655" w:rsidRDefault="00730655">
      <w:pPr>
        <w:spacing w:line="240" w:lineRule="auto"/>
      </w:pPr>
      <w:r>
        <w:separator/>
      </w:r>
    </w:p>
  </w:endnote>
  <w:endnote w:type="continuationSeparator" w:id="0">
    <w:p w:rsidR="00730655" w:rsidRDefault="007306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655" w:rsidRDefault="00730655" w:rsidP="00730655">
    <w:pPr>
      <w:pStyle w:val="llb"/>
      <w:rPr>
        <w:sz w:val="18"/>
        <w:szCs w:val="18"/>
      </w:rPr>
    </w:pPr>
    <w:r w:rsidRPr="00730655">
      <w:rPr>
        <w:sz w:val="18"/>
        <w:szCs w:val="18"/>
      </w:rPr>
      <w:t>NNGYK/ETGY/28242/2025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655" w:rsidRDefault="00730655">
      <w:pPr>
        <w:spacing w:line="240" w:lineRule="auto"/>
      </w:pPr>
      <w:r>
        <w:separator/>
      </w:r>
    </w:p>
  </w:footnote>
  <w:footnote w:type="continuationSeparator" w:id="0">
    <w:p w:rsidR="00730655" w:rsidRDefault="007306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736366"/>
      <w:docPartObj>
        <w:docPartGallery w:val="Page Numbers (Top of Page)"/>
        <w:docPartUnique/>
      </w:docPartObj>
    </w:sdtPr>
    <w:sdtEndPr>
      <w:rPr>
        <w:sz w:val="18"/>
        <w:szCs w:val="18"/>
      </w:rPr>
    </w:sdtEndPr>
    <w:sdtContent>
      <w:p w:rsidR="00730655" w:rsidRPr="00A9412C" w:rsidRDefault="00730655">
        <w:pPr>
          <w:pStyle w:val="lfej"/>
          <w:jc w:val="center"/>
          <w:rPr>
            <w:sz w:val="18"/>
            <w:szCs w:val="18"/>
          </w:rPr>
        </w:pPr>
        <w:r w:rsidRPr="00A9412C">
          <w:rPr>
            <w:sz w:val="18"/>
            <w:szCs w:val="18"/>
          </w:rPr>
          <w:fldChar w:fldCharType="begin"/>
        </w:r>
        <w:r w:rsidRPr="00A9412C">
          <w:rPr>
            <w:sz w:val="18"/>
            <w:szCs w:val="18"/>
          </w:rPr>
          <w:instrText>PAGE   \* MERGEFORMAT</w:instrText>
        </w:r>
        <w:r w:rsidRPr="00A9412C">
          <w:rPr>
            <w:sz w:val="18"/>
            <w:szCs w:val="18"/>
          </w:rPr>
          <w:fldChar w:fldCharType="separate"/>
        </w:r>
        <w:r w:rsidR="00A9412C" w:rsidRPr="00A9412C">
          <w:rPr>
            <w:noProof/>
            <w:sz w:val="18"/>
            <w:szCs w:val="18"/>
            <w:lang w:val="hu-HU"/>
          </w:rPr>
          <w:t>26</w:t>
        </w:r>
        <w:r w:rsidRPr="00A9412C">
          <w:rPr>
            <w:sz w:val="18"/>
            <w:szCs w:val="18"/>
          </w:rPr>
          <w:fldChar w:fldCharType="end"/>
        </w:r>
      </w:p>
    </w:sdtContent>
  </w:sdt>
  <w:p w:rsidR="00730655" w:rsidRPr="00A9412C" w:rsidRDefault="00730655">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5" w15:restartNumberingAfterBreak="0">
    <w:nsid w:val="0076523C"/>
    <w:multiLevelType w:val="hybridMultilevel"/>
    <w:tmpl w:val="FBC0948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5076656"/>
    <w:multiLevelType w:val="hybridMultilevel"/>
    <w:tmpl w:val="D64484CC"/>
    <w:lvl w:ilvl="0" w:tplc="2B5A7312">
      <w:start w:val="6"/>
      <w:numFmt w:val="decimal"/>
      <w:lvlText w:val="%1."/>
      <w:lvlJc w:val="left"/>
      <w:pPr>
        <w:ind w:left="720" w:hanging="360"/>
      </w:pPr>
      <w:rPr>
        <w:rFonts w:hint="default"/>
        <w:b/>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6CD61D8"/>
    <w:multiLevelType w:val="multilevel"/>
    <w:tmpl w:val="CC08E63C"/>
    <w:lvl w:ilvl="0">
      <w:start w:val="1"/>
      <w:numFmt w:val="bullet"/>
      <w:lvlText w:val=""/>
      <w:lvlJc w:val="left"/>
      <w:pPr>
        <w:tabs>
          <w:tab w:val="num" w:pos="502"/>
        </w:tabs>
      </w:pPr>
      <w:rPr>
        <w:rFonts w:ascii="Symbol" w:hAnsi="Symbol" w:hint="default"/>
      </w:rPr>
    </w:lvl>
    <w:lvl w:ilvl="1">
      <w:start w:val="1"/>
      <w:numFmt w:val="decimal"/>
      <w:lvlText w:val="%2."/>
      <w:lvlJc w:val="left"/>
      <w:pPr>
        <w:tabs>
          <w:tab w:val="num" w:pos="142"/>
        </w:tabs>
      </w:pPr>
      <w:rPr>
        <w:rFonts w:cs="Times New Roman"/>
      </w:rPr>
    </w:lvl>
    <w:lvl w:ilvl="2">
      <w:start w:val="1"/>
      <w:numFmt w:val="decimal"/>
      <w:lvlText w:val="%3."/>
      <w:lvlJc w:val="left"/>
      <w:pPr>
        <w:tabs>
          <w:tab w:val="num" w:pos="142"/>
        </w:tabs>
      </w:pPr>
      <w:rPr>
        <w:rFonts w:cs="Times New Roman"/>
      </w:rPr>
    </w:lvl>
    <w:lvl w:ilvl="3">
      <w:start w:val="1"/>
      <w:numFmt w:val="decimal"/>
      <w:lvlText w:val="%4."/>
      <w:lvlJc w:val="left"/>
      <w:pPr>
        <w:tabs>
          <w:tab w:val="num" w:pos="142"/>
        </w:tabs>
      </w:pPr>
      <w:rPr>
        <w:rFonts w:cs="Times New Roman"/>
      </w:rPr>
    </w:lvl>
    <w:lvl w:ilvl="4">
      <w:start w:val="1"/>
      <w:numFmt w:val="decimal"/>
      <w:lvlText w:val="%5."/>
      <w:lvlJc w:val="left"/>
      <w:pPr>
        <w:tabs>
          <w:tab w:val="num" w:pos="142"/>
        </w:tabs>
      </w:pPr>
      <w:rPr>
        <w:rFonts w:cs="Times New Roman"/>
      </w:rPr>
    </w:lvl>
    <w:lvl w:ilvl="5">
      <w:start w:val="1"/>
      <w:numFmt w:val="decimal"/>
      <w:lvlText w:val="%6."/>
      <w:lvlJc w:val="left"/>
      <w:pPr>
        <w:tabs>
          <w:tab w:val="num" w:pos="142"/>
        </w:tabs>
      </w:pPr>
      <w:rPr>
        <w:rFonts w:cs="Times New Roman"/>
      </w:rPr>
    </w:lvl>
    <w:lvl w:ilvl="6">
      <w:start w:val="1"/>
      <w:numFmt w:val="decimal"/>
      <w:lvlText w:val="%7."/>
      <w:lvlJc w:val="left"/>
      <w:pPr>
        <w:tabs>
          <w:tab w:val="num" w:pos="142"/>
        </w:tabs>
      </w:pPr>
      <w:rPr>
        <w:rFonts w:cs="Times New Roman"/>
      </w:rPr>
    </w:lvl>
    <w:lvl w:ilvl="7">
      <w:start w:val="1"/>
      <w:numFmt w:val="decimal"/>
      <w:lvlText w:val="%8."/>
      <w:lvlJc w:val="left"/>
      <w:pPr>
        <w:tabs>
          <w:tab w:val="num" w:pos="142"/>
        </w:tabs>
      </w:pPr>
      <w:rPr>
        <w:rFonts w:cs="Times New Roman"/>
      </w:rPr>
    </w:lvl>
    <w:lvl w:ilvl="8">
      <w:start w:val="1"/>
      <w:numFmt w:val="decimal"/>
      <w:lvlText w:val="%9."/>
      <w:lvlJc w:val="left"/>
      <w:pPr>
        <w:tabs>
          <w:tab w:val="num" w:pos="142"/>
        </w:tabs>
      </w:pPr>
      <w:rPr>
        <w:rFonts w:cs="Times New Roman"/>
      </w:rPr>
    </w:lvl>
  </w:abstractNum>
  <w:abstractNum w:abstractNumId="8"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1D55CF"/>
    <w:multiLevelType w:val="hybridMultilevel"/>
    <w:tmpl w:val="F45CF0B0"/>
    <w:lvl w:ilvl="0" w:tplc="FFFFFFFF">
      <w:start w:val="1"/>
      <w:numFmt w:val="bullet"/>
      <w:lvlText w:val="-"/>
      <w:lvlJc w:val="left"/>
      <w:pPr>
        <w:ind w:left="720" w:hanging="360"/>
      </w:pPr>
    </w:lvl>
    <w:lvl w:ilvl="1" w:tplc="257A23FC">
      <w:numFmt w:val="bullet"/>
      <w:lvlText w:val="•"/>
      <w:lvlJc w:val="left"/>
      <w:pPr>
        <w:ind w:left="1440" w:hanging="360"/>
      </w:pPr>
      <w:rPr>
        <w:rFonts w:ascii="Times New Roman" w:eastAsia="SimSu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F3E466E"/>
    <w:multiLevelType w:val="hybridMultilevel"/>
    <w:tmpl w:val="3B628BF4"/>
    <w:lvl w:ilvl="0" w:tplc="9E76A184">
      <w:start w:val="1"/>
      <w:numFmt w:val="bullet"/>
      <w:lvlText w:val=""/>
      <w:lvlJc w:val="left"/>
      <w:pPr>
        <w:ind w:left="397" w:hanging="285"/>
      </w:pPr>
      <w:rPr>
        <w:rFonts w:ascii="Symbol" w:eastAsia="Symbol" w:hAnsi="Symbol" w:hint="default"/>
        <w:w w:val="99"/>
        <w:sz w:val="22"/>
        <w:szCs w:val="22"/>
      </w:rPr>
    </w:lvl>
    <w:lvl w:ilvl="1" w:tplc="AC00203C">
      <w:start w:val="1"/>
      <w:numFmt w:val="bullet"/>
      <w:lvlText w:val="•"/>
      <w:lvlJc w:val="left"/>
      <w:pPr>
        <w:ind w:left="1324" w:hanging="285"/>
      </w:pPr>
      <w:rPr>
        <w:rFonts w:hint="default"/>
      </w:rPr>
    </w:lvl>
    <w:lvl w:ilvl="2" w:tplc="18EA4852">
      <w:start w:val="1"/>
      <w:numFmt w:val="bullet"/>
      <w:lvlText w:val="•"/>
      <w:lvlJc w:val="left"/>
      <w:pPr>
        <w:ind w:left="2251" w:hanging="285"/>
      </w:pPr>
      <w:rPr>
        <w:rFonts w:hint="default"/>
      </w:rPr>
    </w:lvl>
    <w:lvl w:ilvl="3" w:tplc="C6706956">
      <w:start w:val="1"/>
      <w:numFmt w:val="bullet"/>
      <w:lvlText w:val="•"/>
      <w:lvlJc w:val="left"/>
      <w:pPr>
        <w:ind w:left="3178" w:hanging="285"/>
      </w:pPr>
      <w:rPr>
        <w:rFonts w:hint="default"/>
      </w:rPr>
    </w:lvl>
    <w:lvl w:ilvl="4" w:tplc="7B480960">
      <w:start w:val="1"/>
      <w:numFmt w:val="bullet"/>
      <w:lvlText w:val="•"/>
      <w:lvlJc w:val="left"/>
      <w:pPr>
        <w:ind w:left="4105" w:hanging="285"/>
      </w:pPr>
      <w:rPr>
        <w:rFonts w:hint="default"/>
      </w:rPr>
    </w:lvl>
    <w:lvl w:ilvl="5" w:tplc="ED185482">
      <w:start w:val="1"/>
      <w:numFmt w:val="bullet"/>
      <w:lvlText w:val="•"/>
      <w:lvlJc w:val="left"/>
      <w:pPr>
        <w:ind w:left="5032" w:hanging="285"/>
      </w:pPr>
      <w:rPr>
        <w:rFonts w:hint="default"/>
      </w:rPr>
    </w:lvl>
    <w:lvl w:ilvl="6" w:tplc="5B10F520">
      <w:start w:val="1"/>
      <w:numFmt w:val="bullet"/>
      <w:lvlText w:val="•"/>
      <w:lvlJc w:val="left"/>
      <w:pPr>
        <w:ind w:left="5959" w:hanging="285"/>
      </w:pPr>
      <w:rPr>
        <w:rFonts w:hint="default"/>
      </w:rPr>
    </w:lvl>
    <w:lvl w:ilvl="7" w:tplc="59E059AE">
      <w:start w:val="1"/>
      <w:numFmt w:val="bullet"/>
      <w:lvlText w:val="•"/>
      <w:lvlJc w:val="left"/>
      <w:pPr>
        <w:ind w:left="6886" w:hanging="285"/>
      </w:pPr>
      <w:rPr>
        <w:rFonts w:hint="default"/>
      </w:rPr>
    </w:lvl>
    <w:lvl w:ilvl="8" w:tplc="FEDAC03E">
      <w:start w:val="1"/>
      <w:numFmt w:val="bullet"/>
      <w:lvlText w:val="•"/>
      <w:lvlJc w:val="left"/>
      <w:pPr>
        <w:ind w:left="7813" w:hanging="285"/>
      </w:pPr>
      <w:rPr>
        <w:rFonts w:hint="default"/>
      </w:rPr>
    </w:lvl>
  </w:abstractNum>
  <w:abstractNum w:abstractNumId="11" w15:restartNumberingAfterBreak="0">
    <w:nsid w:val="20470C80"/>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4"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7A465FC"/>
    <w:multiLevelType w:val="hybridMultilevel"/>
    <w:tmpl w:val="3828E48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15:restartNumberingAfterBreak="0">
    <w:nsid w:val="2EC43F36"/>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9" w15:restartNumberingAfterBreak="0">
    <w:nsid w:val="30347FCD"/>
    <w:multiLevelType w:val="hybridMultilevel"/>
    <w:tmpl w:val="739CA644"/>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AB86B2A"/>
    <w:multiLevelType w:val="hybridMultilevel"/>
    <w:tmpl w:val="0C183C1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 w15:restartNumberingAfterBreak="0">
    <w:nsid w:val="3E307B47"/>
    <w:multiLevelType w:val="hybridMultilevel"/>
    <w:tmpl w:val="CDB08A1E"/>
    <w:lvl w:ilvl="0" w:tplc="040E0001">
      <w:start w:val="1"/>
      <w:numFmt w:val="bullet"/>
      <w:lvlText w:val=""/>
      <w:lvlJc w:val="left"/>
      <w:pPr>
        <w:ind w:left="1341" w:hanging="360"/>
      </w:pPr>
      <w:rPr>
        <w:rFonts w:ascii="Symbol" w:hAnsi="Symbol" w:hint="default"/>
      </w:rPr>
    </w:lvl>
    <w:lvl w:ilvl="1" w:tplc="040E0001">
      <w:start w:val="1"/>
      <w:numFmt w:val="bullet"/>
      <w:lvlText w:val=""/>
      <w:lvlJc w:val="left"/>
      <w:pPr>
        <w:ind w:left="2061" w:hanging="360"/>
      </w:pPr>
      <w:rPr>
        <w:rFonts w:ascii="Symbol" w:hAnsi="Symbol" w:hint="default"/>
      </w:rPr>
    </w:lvl>
    <w:lvl w:ilvl="2" w:tplc="040E0005" w:tentative="1">
      <w:start w:val="1"/>
      <w:numFmt w:val="bullet"/>
      <w:lvlText w:val=""/>
      <w:lvlJc w:val="left"/>
      <w:pPr>
        <w:ind w:left="2781" w:hanging="360"/>
      </w:pPr>
      <w:rPr>
        <w:rFonts w:ascii="Wingdings" w:hAnsi="Wingdings" w:hint="default"/>
      </w:rPr>
    </w:lvl>
    <w:lvl w:ilvl="3" w:tplc="040E0001" w:tentative="1">
      <w:start w:val="1"/>
      <w:numFmt w:val="bullet"/>
      <w:lvlText w:val=""/>
      <w:lvlJc w:val="left"/>
      <w:pPr>
        <w:ind w:left="3501" w:hanging="360"/>
      </w:pPr>
      <w:rPr>
        <w:rFonts w:ascii="Symbol" w:hAnsi="Symbol" w:hint="default"/>
      </w:rPr>
    </w:lvl>
    <w:lvl w:ilvl="4" w:tplc="040E0003" w:tentative="1">
      <w:start w:val="1"/>
      <w:numFmt w:val="bullet"/>
      <w:lvlText w:val="o"/>
      <w:lvlJc w:val="left"/>
      <w:pPr>
        <w:ind w:left="4221" w:hanging="360"/>
      </w:pPr>
      <w:rPr>
        <w:rFonts w:ascii="Courier New" w:hAnsi="Courier New" w:cs="Courier New" w:hint="default"/>
      </w:rPr>
    </w:lvl>
    <w:lvl w:ilvl="5" w:tplc="040E0005" w:tentative="1">
      <w:start w:val="1"/>
      <w:numFmt w:val="bullet"/>
      <w:lvlText w:val=""/>
      <w:lvlJc w:val="left"/>
      <w:pPr>
        <w:ind w:left="4941" w:hanging="360"/>
      </w:pPr>
      <w:rPr>
        <w:rFonts w:ascii="Wingdings" w:hAnsi="Wingdings" w:hint="default"/>
      </w:rPr>
    </w:lvl>
    <w:lvl w:ilvl="6" w:tplc="040E0001" w:tentative="1">
      <w:start w:val="1"/>
      <w:numFmt w:val="bullet"/>
      <w:lvlText w:val=""/>
      <w:lvlJc w:val="left"/>
      <w:pPr>
        <w:ind w:left="5661" w:hanging="360"/>
      </w:pPr>
      <w:rPr>
        <w:rFonts w:ascii="Symbol" w:hAnsi="Symbol" w:hint="default"/>
      </w:rPr>
    </w:lvl>
    <w:lvl w:ilvl="7" w:tplc="040E0003" w:tentative="1">
      <w:start w:val="1"/>
      <w:numFmt w:val="bullet"/>
      <w:lvlText w:val="o"/>
      <w:lvlJc w:val="left"/>
      <w:pPr>
        <w:ind w:left="6381" w:hanging="360"/>
      </w:pPr>
      <w:rPr>
        <w:rFonts w:ascii="Courier New" w:hAnsi="Courier New" w:cs="Courier New" w:hint="default"/>
      </w:rPr>
    </w:lvl>
    <w:lvl w:ilvl="8" w:tplc="040E0005" w:tentative="1">
      <w:start w:val="1"/>
      <w:numFmt w:val="bullet"/>
      <w:lvlText w:val=""/>
      <w:lvlJc w:val="left"/>
      <w:pPr>
        <w:ind w:left="7101" w:hanging="360"/>
      </w:pPr>
      <w:rPr>
        <w:rFonts w:ascii="Wingdings" w:hAnsi="Wingdings" w:hint="default"/>
      </w:rPr>
    </w:lvl>
  </w:abstractNum>
  <w:abstractNum w:abstractNumId="22" w15:restartNumberingAfterBreak="0">
    <w:nsid w:val="468E6813"/>
    <w:multiLevelType w:val="hybridMultilevel"/>
    <w:tmpl w:val="C666B9E2"/>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9300409"/>
    <w:multiLevelType w:val="hybridMultilevel"/>
    <w:tmpl w:val="E00A8022"/>
    <w:lvl w:ilvl="0" w:tplc="3A6E18C0">
      <w:start w:val="1"/>
      <w:numFmt w:val="bullet"/>
      <w:lvlText w:val="-"/>
      <w:lvlJc w:val="left"/>
      <w:pPr>
        <w:ind w:left="735" w:hanging="263"/>
      </w:pPr>
      <w:rPr>
        <w:rFonts w:ascii="Times New Roman" w:eastAsia="Times New Roman" w:hAnsi="Times New Roman" w:hint="default"/>
        <w:w w:val="99"/>
        <w:sz w:val="22"/>
        <w:szCs w:val="22"/>
      </w:rPr>
    </w:lvl>
    <w:lvl w:ilvl="1" w:tplc="D86660C0">
      <w:start w:val="1"/>
      <w:numFmt w:val="bullet"/>
      <w:lvlText w:val="•"/>
      <w:lvlJc w:val="left"/>
      <w:pPr>
        <w:ind w:left="1628" w:hanging="263"/>
      </w:pPr>
      <w:rPr>
        <w:rFonts w:hint="default"/>
      </w:rPr>
    </w:lvl>
    <w:lvl w:ilvl="2" w:tplc="049E6C1C">
      <w:start w:val="1"/>
      <w:numFmt w:val="bullet"/>
      <w:lvlText w:val="•"/>
      <w:lvlJc w:val="left"/>
      <w:pPr>
        <w:ind w:left="2521" w:hanging="263"/>
      </w:pPr>
      <w:rPr>
        <w:rFonts w:hint="default"/>
      </w:rPr>
    </w:lvl>
    <w:lvl w:ilvl="3" w:tplc="E9BEC726">
      <w:start w:val="1"/>
      <w:numFmt w:val="bullet"/>
      <w:lvlText w:val="•"/>
      <w:lvlJc w:val="left"/>
      <w:pPr>
        <w:ind w:left="3415" w:hanging="263"/>
      </w:pPr>
      <w:rPr>
        <w:rFonts w:hint="default"/>
      </w:rPr>
    </w:lvl>
    <w:lvl w:ilvl="4" w:tplc="97C4E48A">
      <w:start w:val="1"/>
      <w:numFmt w:val="bullet"/>
      <w:lvlText w:val="•"/>
      <w:lvlJc w:val="left"/>
      <w:pPr>
        <w:ind w:left="4308" w:hanging="263"/>
      </w:pPr>
      <w:rPr>
        <w:rFonts w:hint="default"/>
      </w:rPr>
    </w:lvl>
    <w:lvl w:ilvl="5" w:tplc="FD28A9F2">
      <w:start w:val="1"/>
      <w:numFmt w:val="bullet"/>
      <w:lvlText w:val="•"/>
      <w:lvlJc w:val="left"/>
      <w:pPr>
        <w:ind w:left="5201" w:hanging="263"/>
      </w:pPr>
      <w:rPr>
        <w:rFonts w:hint="default"/>
      </w:rPr>
    </w:lvl>
    <w:lvl w:ilvl="6" w:tplc="29E48386">
      <w:start w:val="1"/>
      <w:numFmt w:val="bullet"/>
      <w:lvlText w:val="•"/>
      <w:lvlJc w:val="left"/>
      <w:pPr>
        <w:ind w:left="6094" w:hanging="263"/>
      </w:pPr>
      <w:rPr>
        <w:rFonts w:hint="default"/>
      </w:rPr>
    </w:lvl>
    <w:lvl w:ilvl="7" w:tplc="0B10D936">
      <w:start w:val="1"/>
      <w:numFmt w:val="bullet"/>
      <w:lvlText w:val="•"/>
      <w:lvlJc w:val="left"/>
      <w:pPr>
        <w:ind w:left="6987" w:hanging="263"/>
      </w:pPr>
      <w:rPr>
        <w:rFonts w:hint="default"/>
      </w:rPr>
    </w:lvl>
    <w:lvl w:ilvl="8" w:tplc="736EDF82">
      <w:start w:val="1"/>
      <w:numFmt w:val="bullet"/>
      <w:lvlText w:val="•"/>
      <w:lvlJc w:val="left"/>
      <w:pPr>
        <w:ind w:left="7881" w:hanging="263"/>
      </w:pPr>
      <w:rPr>
        <w:rFonts w:hint="default"/>
      </w:rPr>
    </w:lvl>
  </w:abstractNum>
  <w:abstractNum w:abstractNumId="24"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7" w15:restartNumberingAfterBreak="0">
    <w:nsid w:val="5AAB1E16"/>
    <w:multiLevelType w:val="hybridMultilevel"/>
    <w:tmpl w:val="EDBABA2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BC00C90"/>
    <w:multiLevelType w:val="hybridMultilevel"/>
    <w:tmpl w:val="2440F8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62855FA"/>
    <w:multiLevelType w:val="hybridMultilevel"/>
    <w:tmpl w:val="B9EABEB4"/>
    <w:lvl w:ilvl="0" w:tplc="FD321D42">
      <w:numFmt w:val="bullet"/>
      <w:lvlText w:val="-"/>
      <w:lvlJc w:val="left"/>
      <w:pPr>
        <w:ind w:left="720" w:hanging="360"/>
      </w:pPr>
      <w:rPr>
        <w:rFonts w:ascii="Times New Roman" w:eastAsia="Times New Roman" w:hAnsi="Times New Roman" w:cs="Times New Roman" w:hint="default"/>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C02362"/>
    <w:multiLevelType w:val="multilevel"/>
    <w:tmpl w:val="25160E52"/>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ymbol" w:hAnsi="Symbol" w:hint="default"/>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1"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33" w15:restartNumberingAfterBreak="0">
    <w:nsid w:val="6DFB0874"/>
    <w:multiLevelType w:val="hybridMultilevel"/>
    <w:tmpl w:val="DA5CA3F4"/>
    <w:lvl w:ilvl="0" w:tplc="9E76A184">
      <w:start w:val="1"/>
      <w:numFmt w:val="bullet"/>
      <w:lvlText w:val=""/>
      <w:lvlJc w:val="left"/>
      <w:pPr>
        <w:ind w:left="681" w:hanging="568"/>
      </w:pPr>
      <w:rPr>
        <w:rFonts w:ascii="Symbol" w:eastAsia="Symbol" w:hAnsi="Symbol" w:hint="default"/>
        <w:w w:val="99"/>
        <w:sz w:val="22"/>
        <w:szCs w:val="22"/>
      </w:rPr>
    </w:lvl>
    <w:lvl w:ilvl="1" w:tplc="9E76A184">
      <w:start w:val="1"/>
      <w:numFmt w:val="bullet"/>
      <w:lvlText w:val=""/>
      <w:lvlJc w:val="left"/>
      <w:pPr>
        <w:ind w:left="499" w:hanging="427"/>
      </w:pPr>
      <w:rPr>
        <w:rFonts w:ascii="Symbol" w:eastAsia="Symbol" w:hAnsi="Symbol" w:hint="default"/>
        <w:w w:val="99"/>
        <w:sz w:val="22"/>
        <w:szCs w:val="22"/>
      </w:rPr>
    </w:lvl>
    <w:lvl w:ilvl="2" w:tplc="D616B26C">
      <w:start w:val="1"/>
      <w:numFmt w:val="bullet"/>
      <w:lvlText w:val="•"/>
      <w:lvlJc w:val="left"/>
      <w:pPr>
        <w:ind w:left="1700" w:hanging="427"/>
      </w:pPr>
      <w:rPr>
        <w:rFonts w:hint="default"/>
      </w:rPr>
    </w:lvl>
    <w:lvl w:ilvl="3" w:tplc="6A662F1E">
      <w:start w:val="1"/>
      <w:numFmt w:val="bullet"/>
      <w:lvlText w:val="•"/>
      <w:lvlJc w:val="left"/>
      <w:pPr>
        <w:ind w:left="2718" w:hanging="427"/>
      </w:pPr>
      <w:rPr>
        <w:rFonts w:hint="default"/>
      </w:rPr>
    </w:lvl>
    <w:lvl w:ilvl="4" w:tplc="1E7E4B7C">
      <w:start w:val="1"/>
      <w:numFmt w:val="bullet"/>
      <w:lvlText w:val="•"/>
      <w:lvlJc w:val="left"/>
      <w:pPr>
        <w:ind w:left="3737" w:hanging="427"/>
      </w:pPr>
      <w:rPr>
        <w:rFonts w:hint="default"/>
      </w:rPr>
    </w:lvl>
    <w:lvl w:ilvl="5" w:tplc="4D1A7028">
      <w:start w:val="1"/>
      <w:numFmt w:val="bullet"/>
      <w:lvlText w:val="•"/>
      <w:lvlJc w:val="left"/>
      <w:pPr>
        <w:ind w:left="4755" w:hanging="427"/>
      </w:pPr>
      <w:rPr>
        <w:rFonts w:hint="default"/>
      </w:rPr>
    </w:lvl>
    <w:lvl w:ilvl="6" w:tplc="330CBF5E">
      <w:start w:val="1"/>
      <w:numFmt w:val="bullet"/>
      <w:lvlText w:val="•"/>
      <w:lvlJc w:val="left"/>
      <w:pPr>
        <w:ind w:left="5773" w:hanging="427"/>
      </w:pPr>
      <w:rPr>
        <w:rFonts w:hint="default"/>
      </w:rPr>
    </w:lvl>
    <w:lvl w:ilvl="7" w:tplc="28DAC056">
      <w:start w:val="1"/>
      <w:numFmt w:val="bullet"/>
      <w:lvlText w:val="•"/>
      <w:lvlJc w:val="left"/>
      <w:pPr>
        <w:ind w:left="6792" w:hanging="427"/>
      </w:pPr>
      <w:rPr>
        <w:rFonts w:hint="default"/>
      </w:rPr>
    </w:lvl>
    <w:lvl w:ilvl="8" w:tplc="3C223D1A">
      <w:start w:val="1"/>
      <w:numFmt w:val="bullet"/>
      <w:lvlText w:val="•"/>
      <w:lvlJc w:val="left"/>
      <w:pPr>
        <w:ind w:left="7810" w:hanging="427"/>
      </w:pPr>
      <w:rPr>
        <w:rFonts w:hint="default"/>
      </w:rPr>
    </w:lvl>
  </w:abstractNum>
  <w:abstractNum w:abstractNumId="34" w15:restartNumberingAfterBreak="0">
    <w:nsid w:val="7030258C"/>
    <w:multiLevelType w:val="hybridMultilevel"/>
    <w:tmpl w:val="54407EC4"/>
    <w:lvl w:ilvl="0" w:tplc="FFFFFFFF">
      <w:start w:val="1"/>
      <w:numFmt w:val="bullet"/>
      <w:lvlText w:val="-"/>
      <w:lvlJc w:val="left"/>
      <w:pPr>
        <w:ind w:left="719" w:hanging="360"/>
      </w:pPr>
    </w:lvl>
    <w:lvl w:ilvl="1" w:tplc="040E0003">
      <w:start w:val="1"/>
      <w:numFmt w:val="bullet"/>
      <w:lvlText w:val="o"/>
      <w:lvlJc w:val="left"/>
      <w:pPr>
        <w:ind w:left="1439" w:hanging="360"/>
      </w:pPr>
      <w:rPr>
        <w:rFonts w:ascii="Courier New" w:hAnsi="Courier New" w:cs="Courier New" w:hint="default"/>
      </w:rPr>
    </w:lvl>
    <w:lvl w:ilvl="2" w:tplc="040E0005">
      <w:start w:val="1"/>
      <w:numFmt w:val="bullet"/>
      <w:lvlText w:val=""/>
      <w:lvlJc w:val="left"/>
      <w:pPr>
        <w:ind w:left="2159" w:hanging="360"/>
      </w:pPr>
      <w:rPr>
        <w:rFonts w:ascii="Wingdings" w:hAnsi="Wingdings" w:hint="default"/>
      </w:rPr>
    </w:lvl>
    <w:lvl w:ilvl="3" w:tplc="040E0001">
      <w:start w:val="1"/>
      <w:numFmt w:val="bullet"/>
      <w:lvlText w:val=""/>
      <w:lvlJc w:val="left"/>
      <w:pPr>
        <w:ind w:left="2879" w:hanging="360"/>
      </w:pPr>
      <w:rPr>
        <w:rFonts w:ascii="Symbol" w:hAnsi="Symbol" w:hint="default"/>
      </w:rPr>
    </w:lvl>
    <w:lvl w:ilvl="4" w:tplc="040E0003">
      <w:start w:val="1"/>
      <w:numFmt w:val="bullet"/>
      <w:lvlText w:val="o"/>
      <w:lvlJc w:val="left"/>
      <w:pPr>
        <w:ind w:left="3599" w:hanging="360"/>
      </w:pPr>
      <w:rPr>
        <w:rFonts w:ascii="Courier New" w:hAnsi="Courier New" w:cs="Courier New" w:hint="default"/>
      </w:rPr>
    </w:lvl>
    <w:lvl w:ilvl="5" w:tplc="040E0005">
      <w:start w:val="1"/>
      <w:numFmt w:val="bullet"/>
      <w:lvlText w:val=""/>
      <w:lvlJc w:val="left"/>
      <w:pPr>
        <w:ind w:left="4319" w:hanging="360"/>
      </w:pPr>
      <w:rPr>
        <w:rFonts w:ascii="Wingdings" w:hAnsi="Wingdings" w:hint="default"/>
      </w:rPr>
    </w:lvl>
    <w:lvl w:ilvl="6" w:tplc="040E0001">
      <w:start w:val="1"/>
      <w:numFmt w:val="bullet"/>
      <w:lvlText w:val=""/>
      <w:lvlJc w:val="left"/>
      <w:pPr>
        <w:ind w:left="5039" w:hanging="360"/>
      </w:pPr>
      <w:rPr>
        <w:rFonts w:ascii="Symbol" w:hAnsi="Symbol" w:hint="default"/>
      </w:rPr>
    </w:lvl>
    <w:lvl w:ilvl="7" w:tplc="040E0003">
      <w:start w:val="1"/>
      <w:numFmt w:val="bullet"/>
      <w:lvlText w:val="o"/>
      <w:lvlJc w:val="left"/>
      <w:pPr>
        <w:ind w:left="5759" w:hanging="360"/>
      </w:pPr>
      <w:rPr>
        <w:rFonts w:ascii="Courier New" w:hAnsi="Courier New" w:cs="Courier New" w:hint="default"/>
      </w:rPr>
    </w:lvl>
    <w:lvl w:ilvl="8" w:tplc="040E0005">
      <w:start w:val="1"/>
      <w:numFmt w:val="bullet"/>
      <w:lvlText w:val=""/>
      <w:lvlJc w:val="left"/>
      <w:pPr>
        <w:ind w:left="6479" w:hanging="360"/>
      </w:pPr>
      <w:rPr>
        <w:rFonts w:ascii="Wingdings" w:hAnsi="Wingdings" w:hint="default"/>
      </w:rPr>
    </w:lvl>
  </w:abstractNum>
  <w:abstractNum w:abstractNumId="35" w15:restartNumberingAfterBreak="0">
    <w:nsid w:val="70AB133B"/>
    <w:multiLevelType w:val="hybridMultilevel"/>
    <w:tmpl w:val="DD00E58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6F262B5"/>
    <w:multiLevelType w:val="hybridMultilevel"/>
    <w:tmpl w:val="E9002AE6"/>
    <w:lvl w:ilvl="0" w:tplc="FFFFFFFF">
      <w:start w:val="1"/>
      <w:numFmt w:val="bullet"/>
      <w:lvlText w:val="-"/>
      <w:lvlJc w:val="left"/>
      <w:pPr>
        <w:ind w:left="776" w:hanging="360"/>
      </w:pPr>
    </w:lvl>
    <w:lvl w:ilvl="1" w:tplc="040E0003" w:tentative="1">
      <w:start w:val="1"/>
      <w:numFmt w:val="bullet"/>
      <w:lvlText w:val="o"/>
      <w:lvlJc w:val="left"/>
      <w:pPr>
        <w:ind w:left="1496" w:hanging="360"/>
      </w:pPr>
      <w:rPr>
        <w:rFonts w:ascii="Courier New" w:hAnsi="Courier New" w:cs="Courier New" w:hint="default"/>
      </w:rPr>
    </w:lvl>
    <w:lvl w:ilvl="2" w:tplc="040E0005" w:tentative="1">
      <w:start w:val="1"/>
      <w:numFmt w:val="bullet"/>
      <w:lvlText w:val=""/>
      <w:lvlJc w:val="left"/>
      <w:pPr>
        <w:ind w:left="2216" w:hanging="360"/>
      </w:pPr>
      <w:rPr>
        <w:rFonts w:ascii="Wingdings" w:hAnsi="Wingdings" w:hint="default"/>
      </w:rPr>
    </w:lvl>
    <w:lvl w:ilvl="3" w:tplc="040E0001" w:tentative="1">
      <w:start w:val="1"/>
      <w:numFmt w:val="bullet"/>
      <w:lvlText w:val=""/>
      <w:lvlJc w:val="left"/>
      <w:pPr>
        <w:ind w:left="2936" w:hanging="360"/>
      </w:pPr>
      <w:rPr>
        <w:rFonts w:ascii="Symbol" w:hAnsi="Symbol" w:hint="default"/>
      </w:rPr>
    </w:lvl>
    <w:lvl w:ilvl="4" w:tplc="040E0003" w:tentative="1">
      <w:start w:val="1"/>
      <w:numFmt w:val="bullet"/>
      <w:lvlText w:val="o"/>
      <w:lvlJc w:val="left"/>
      <w:pPr>
        <w:ind w:left="3656" w:hanging="360"/>
      </w:pPr>
      <w:rPr>
        <w:rFonts w:ascii="Courier New" w:hAnsi="Courier New" w:cs="Courier New" w:hint="default"/>
      </w:rPr>
    </w:lvl>
    <w:lvl w:ilvl="5" w:tplc="040E0005" w:tentative="1">
      <w:start w:val="1"/>
      <w:numFmt w:val="bullet"/>
      <w:lvlText w:val=""/>
      <w:lvlJc w:val="left"/>
      <w:pPr>
        <w:ind w:left="4376" w:hanging="360"/>
      </w:pPr>
      <w:rPr>
        <w:rFonts w:ascii="Wingdings" w:hAnsi="Wingdings" w:hint="default"/>
      </w:rPr>
    </w:lvl>
    <w:lvl w:ilvl="6" w:tplc="040E0001" w:tentative="1">
      <w:start w:val="1"/>
      <w:numFmt w:val="bullet"/>
      <w:lvlText w:val=""/>
      <w:lvlJc w:val="left"/>
      <w:pPr>
        <w:ind w:left="5096" w:hanging="360"/>
      </w:pPr>
      <w:rPr>
        <w:rFonts w:ascii="Symbol" w:hAnsi="Symbol" w:hint="default"/>
      </w:rPr>
    </w:lvl>
    <w:lvl w:ilvl="7" w:tplc="040E0003" w:tentative="1">
      <w:start w:val="1"/>
      <w:numFmt w:val="bullet"/>
      <w:lvlText w:val="o"/>
      <w:lvlJc w:val="left"/>
      <w:pPr>
        <w:ind w:left="5816" w:hanging="360"/>
      </w:pPr>
      <w:rPr>
        <w:rFonts w:ascii="Courier New" w:hAnsi="Courier New" w:cs="Courier New" w:hint="default"/>
      </w:rPr>
    </w:lvl>
    <w:lvl w:ilvl="8" w:tplc="040E0005" w:tentative="1">
      <w:start w:val="1"/>
      <w:numFmt w:val="bullet"/>
      <w:lvlText w:val=""/>
      <w:lvlJc w:val="left"/>
      <w:pPr>
        <w:ind w:left="6536" w:hanging="360"/>
      </w:pPr>
      <w:rPr>
        <w:rFonts w:ascii="Wingdings" w:hAnsi="Wingdings" w:hint="default"/>
      </w:rPr>
    </w:lvl>
  </w:abstractNum>
  <w:abstractNum w:abstractNumId="37" w15:restartNumberingAfterBreak="0">
    <w:nsid w:val="7B652975"/>
    <w:multiLevelType w:val="hybridMultilevel"/>
    <w:tmpl w:val="2CD40B70"/>
    <w:lvl w:ilvl="0" w:tplc="01DCBFA4">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8" w15:restartNumberingAfterBreak="0">
    <w:nsid w:val="7DF45702"/>
    <w:multiLevelType w:val="hybridMultilevel"/>
    <w:tmpl w:val="4D5C174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29"/>
  </w:num>
  <w:num w:numId="7">
    <w:abstractNumId w:val="13"/>
  </w:num>
  <w:num w:numId="8">
    <w:abstractNumId w:val="4"/>
  </w:num>
  <w:num w:numId="9">
    <w:abstractNumId w:val="31"/>
  </w:num>
  <w:num w:numId="10">
    <w:abstractNumId w:val="24"/>
  </w:num>
  <w:num w:numId="11">
    <w:abstractNumId w:val="25"/>
  </w:num>
  <w:num w:numId="12">
    <w:abstractNumId w:val="14"/>
  </w:num>
  <w:num w:numId="13">
    <w:abstractNumId w:val="16"/>
  </w:num>
  <w:num w:numId="14">
    <w:abstractNumId w:val="19"/>
  </w:num>
  <w:num w:numId="15">
    <w:abstractNumId w:val="33"/>
  </w:num>
  <w:num w:numId="16">
    <w:abstractNumId w:val="10"/>
  </w:num>
  <w:num w:numId="17">
    <w:abstractNumId w:val="23"/>
  </w:num>
  <w:num w:numId="18">
    <w:abstractNumId w:val="36"/>
  </w:num>
  <w:num w:numId="19">
    <w:abstractNumId w:val="21"/>
  </w:num>
  <w:num w:numId="20">
    <w:abstractNumId w:val="30"/>
  </w:num>
  <w:num w:numId="21">
    <w:abstractNumId w:val="7"/>
  </w:num>
  <w:num w:numId="22">
    <w:abstractNumId w:val="35"/>
  </w:num>
  <w:num w:numId="23">
    <w:abstractNumId w:val="15"/>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5"/>
  </w:num>
  <w:num w:numId="36">
    <w:abstractNumId w:val="27"/>
  </w:num>
  <w:num w:numId="37">
    <w:abstractNumId w:val="38"/>
  </w:num>
  <w:num w:numId="38">
    <w:abstractNumId w:val="32"/>
  </w:num>
  <w:num w:numId="39">
    <w:abstractNumId w:val="11"/>
  </w:num>
  <w:num w:numId="40">
    <w:abstractNumId w:val="18"/>
  </w:num>
  <w:num w:numId="41">
    <w:abstractNumId w:val="9"/>
  </w:num>
  <w:num w:numId="42">
    <w:abstractNumId w:val="37"/>
  </w:num>
  <w:num w:numId="43">
    <w:abstractNumId w:val="22"/>
  </w:num>
  <w:num w:numId="44">
    <w:abstractNumId w:val="8"/>
  </w:num>
  <w:num w:numId="45">
    <w:abstractNumId w:val="6"/>
  </w:num>
  <w:num w:numId="46">
    <w:abstractNumId w:val="20"/>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CC3"/>
    <w:rsid w:val="0043217A"/>
    <w:rsid w:val="00521197"/>
    <w:rsid w:val="00730655"/>
    <w:rsid w:val="00A9412C"/>
    <w:rsid w:val="00C06B46"/>
    <w:rsid w:val="00F50C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9CD1BEB-FF84-4128-8F49-AD68CBF1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SimSun" w:hAnsi="Times New Roman" w:cs="Times New Roman"/>
      <w:lang w:val="en-GB"/>
    </w:rPr>
  </w:style>
  <w:style w:type="paragraph" w:styleId="Cmsor1">
    <w:name w:val="heading 1"/>
    <w:basedOn w:val="Norml"/>
    <w:next w:val="Norml"/>
    <w:link w:val="Cmsor1Char"/>
    <w:qFormat/>
    <w:pPr>
      <w:numPr>
        <w:numId w:val="8"/>
      </w:numPr>
      <w:tabs>
        <w:tab w:val="clear" w:pos="567"/>
      </w:tabs>
      <w:suppressAutoHyphens/>
      <w:spacing w:before="240" w:after="120"/>
      <w:outlineLvl w:val="0"/>
    </w:pPr>
    <w:rPr>
      <w:b/>
      <w:caps/>
      <w:sz w:val="26"/>
      <w:szCs w:val="20"/>
      <w:lang w:val="en-US"/>
    </w:rPr>
  </w:style>
  <w:style w:type="paragraph" w:styleId="Cmsor2">
    <w:name w:val="heading 2"/>
    <w:basedOn w:val="Norml"/>
    <w:next w:val="Norml"/>
    <w:link w:val="Cmsor2Char"/>
    <w:qFormat/>
    <w:pPr>
      <w:keepNext/>
      <w:numPr>
        <w:ilvl w:val="1"/>
        <w:numId w:val="8"/>
      </w:numPr>
      <w:tabs>
        <w:tab w:val="clear" w:pos="567"/>
      </w:tabs>
      <w:suppressAutoHyphens/>
      <w:spacing w:before="240" w:after="60"/>
      <w:outlineLvl w:val="1"/>
    </w:pPr>
    <w:rPr>
      <w:rFonts w:ascii="Helvetica" w:hAnsi="Helvetica"/>
      <w:b/>
      <w:i/>
      <w:sz w:val="24"/>
      <w:szCs w:val="20"/>
      <w:lang w:val="hu-HU"/>
    </w:rPr>
  </w:style>
  <w:style w:type="paragraph" w:styleId="Cmsor3">
    <w:name w:val="heading 3"/>
    <w:basedOn w:val="Norml"/>
    <w:next w:val="Norml"/>
    <w:link w:val="Cmsor3Char"/>
    <w:qFormat/>
    <w:pPr>
      <w:keepNext/>
      <w:keepLines/>
      <w:numPr>
        <w:ilvl w:val="2"/>
        <w:numId w:val="8"/>
      </w:numPr>
      <w:tabs>
        <w:tab w:val="clear" w:pos="567"/>
      </w:tabs>
      <w:suppressAutoHyphens/>
      <w:spacing w:before="120" w:after="80"/>
      <w:outlineLvl w:val="2"/>
    </w:pPr>
    <w:rPr>
      <w:b/>
      <w:kern w:val="1"/>
      <w:sz w:val="24"/>
      <w:szCs w:val="20"/>
      <w:lang w:val="en-US"/>
    </w:rPr>
  </w:style>
  <w:style w:type="paragraph" w:styleId="Cmsor4">
    <w:name w:val="heading 4"/>
    <w:basedOn w:val="Norml"/>
    <w:next w:val="Norml"/>
    <w:link w:val="Cmsor4Char"/>
    <w:qFormat/>
    <w:pPr>
      <w:keepNext/>
      <w:numPr>
        <w:ilvl w:val="3"/>
        <w:numId w:val="8"/>
      </w:numPr>
      <w:tabs>
        <w:tab w:val="clear" w:pos="567"/>
      </w:tabs>
      <w:suppressAutoHyphens/>
      <w:jc w:val="both"/>
      <w:outlineLvl w:val="3"/>
    </w:pPr>
    <w:rPr>
      <w:b/>
      <w:szCs w:val="20"/>
    </w:rPr>
  </w:style>
  <w:style w:type="paragraph" w:styleId="Cmsor5">
    <w:name w:val="heading 5"/>
    <w:basedOn w:val="Norml"/>
    <w:next w:val="Norml"/>
    <w:link w:val="Cmsor5Char"/>
    <w:qFormat/>
    <w:pPr>
      <w:keepNext/>
      <w:numPr>
        <w:ilvl w:val="4"/>
        <w:numId w:val="8"/>
      </w:numPr>
      <w:tabs>
        <w:tab w:val="clear" w:pos="567"/>
      </w:tabs>
      <w:suppressAutoHyphens/>
      <w:jc w:val="both"/>
      <w:outlineLvl w:val="4"/>
    </w:pPr>
    <w:rPr>
      <w:szCs w:val="20"/>
    </w:rPr>
  </w:style>
  <w:style w:type="paragraph" w:styleId="Cmsor6">
    <w:name w:val="heading 6"/>
    <w:basedOn w:val="Norml"/>
    <w:next w:val="Norml"/>
    <w:link w:val="Cmsor6Char"/>
    <w:qFormat/>
    <w:pPr>
      <w:keepNext/>
      <w:numPr>
        <w:ilvl w:val="5"/>
        <w:numId w:val="8"/>
      </w:numPr>
      <w:tabs>
        <w:tab w:val="left" w:pos="4536"/>
      </w:tabs>
      <w:suppressAutoHyphens/>
      <w:outlineLvl w:val="5"/>
    </w:pPr>
    <w:rPr>
      <w:i/>
      <w:szCs w:val="20"/>
      <w:lang w:val="hu-HU"/>
    </w:rPr>
  </w:style>
  <w:style w:type="paragraph" w:styleId="Cmsor7">
    <w:name w:val="heading 7"/>
    <w:basedOn w:val="Norml"/>
    <w:next w:val="Norml"/>
    <w:link w:val="Cmsor7Char"/>
    <w:qFormat/>
    <w:pPr>
      <w:keepNext/>
      <w:numPr>
        <w:ilvl w:val="6"/>
        <w:numId w:val="8"/>
      </w:numPr>
      <w:tabs>
        <w:tab w:val="left" w:pos="4536"/>
      </w:tabs>
      <w:suppressAutoHyphens/>
      <w:jc w:val="both"/>
      <w:outlineLvl w:val="6"/>
    </w:pPr>
    <w:rPr>
      <w:i/>
      <w:szCs w:val="20"/>
      <w:lang w:val="hu-HU"/>
    </w:rPr>
  </w:style>
  <w:style w:type="paragraph" w:styleId="Cmsor8">
    <w:name w:val="heading 8"/>
    <w:basedOn w:val="Norml"/>
    <w:next w:val="Norml"/>
    <w:link w:val="Cmsor8Char"/>
    <w:qFormat/>
    <w:pPr>
      <w:keepNext/>
      <w:numPr>
        <w:ilvl w:val="7"/>
        <w:numId w:val="8"/>
      </w:numPr>
      <w:tabs>
        <w:tab w:val="clear" w:pos="567"/>
      </w:tabs>
      <w:suppressAutoHyphens/>
      <w:jc w:val="both"/>
      <w:outlineLvl w:val="7"/>
    </w:pPr>
    <w:rPr>
      <w:b/>
      <w:i/>
      <w:szCs w:val="20"/>
      <w:lang w:val="hu-HU"/>
    </w:rPr>
  </w:style>
  <w:style w:type="paragraph" w:styleId="Cmsor9">
    <w:name w:val="heading 9"/>
    <w:basedOn w:val="Norml"/>
    <w:next w:val="Norml"/>
    <w:link w:val="Cmsor9Char"/>
    <w:qFormat/>
    <w:pPr>
      <w:keepNext/>
      <w:numPr>
        <w:ilvl w:val="8"/>
        <w:numId w:val="8"/>
      </w:numPr>
      <w:tabs>
        <w:tab w:val="clear" w:pos="567"/>
      </w:tabs>
      <w:suppressAutoHyphens/>
      <w:jc w:val="both"/>
      <w:outlineLvl w:val="8"/>
    </w:pPr>
    <w:rPr>
      <w:b/>
      <w:i/>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Pr>
      <w:rFonts w:ascii="Times New Roman" w:eastAsia="SimSun" w:hAnsi="Times New Roman" w:cs="Times New Roman"/>
      <w:b/>
      <w:caps/>
      <w:sz w:val="26"/>
      <w:szCs w:val="20"/>
      <w:lang w:val="en-US"/>
    </w:rPr>
  </w:style>
  <w:style w:type="character" w:customStyle="1" w:styleId="Cmsor2Char">
    <w:name w:val="Címsor 2 Char"/>
    <w:basedOn w:val="Bekezdsalapbettpusa"/>
    <w:link w:val="Cmsor2"/>
    <w:rPr>
      <w:rFonts w:ascii="Helvetica" w:eastAsia="SimSun" w:hAnsi="Helvetica" w:cs="Times New Roman"/>
      <w:b/>
      <w:i/>
      <w:sz w:val="24"/>
      <w:szCs w:val="20"/>
    </w:rPr>
  </w:style>
  <w:style w:type="character" w:customStyle="1" w:styleId="Cmsor3Char">
    <w:name w:val="Címsor 3 Char"/>
    <w:basedOn w:val="Bekezdsalapbettpusa"/>
    <w:link w:val="Cmsor3"/>
    <w:rPr>
      <w:rFonts w:ascii="Times New Roman" w:eastAsia="SimSun" w:hAnsi="Times New Roman" w:cs="Times New Roman"/>
      <w:b/>
      <w:kern w:val="1"/>
      <w:sz w:val="24"/>
      <w:szCs w:val="20"/>
      <w:lang w:val="en-US"/>
    </w:rPr>
  </w:style>
  <w:style w:type="character" w:customStyle="1" w:styleId="Cmsor4Char">
    <w:name w:val="Címsor 4 Char"/>
    <w:basedOn w:val="Bekezdsalapbettpusa"/>
    <w:link w:val="Cmsor4"/>
    <w:rPr>
      <w:rFonts w:ascii="Times New Roman" w:eastAsia="SimSun" w:hAnsi="Times New Roman" w:cs="Times New Roman"/>
      <w:b/>
      <w:szCs w:val="20"/>
      <w:lang w:val="en-GB"/>
    </w:rPr>
  </w:style>
  <w:style w:type="character" w:customStyle="1" w:styleId="Cmsor5Char">
    <w:name w:val="Címsor 5 Char"/>
    <w:basedOn w:val="Bekezdsalapbettpusa"/>
    <w:link w:val="Cmsor5"/>
    <w:rPr>
      <w:rFonts w:ascii="Times New Roman" w:eastAsia="SimSun" w:hAnsi="Times New Roman" w:cs="Times New Roman"/>
      <w:szCs w:val="20"/>
      <w:lang w:val="en-GB"/>
    </w:rPr>
  </w:style>
  <w:style w:type="character" w:customStyle="1" w:styleId="Cmsor6Char">
    <w:name w:val="Címsor 6 Char"/>
    <w:basedOn w:val="Bekezdsalapbettpusa"/>
    <w:link w:val="Cmsor6"/>
    <w:rPr>
      <w:rFonts w:ascii="Times New Roman" w:eastAsia="SimSun" w:hAnsi="Times New Roman" w:cs="Times New Roman"/>
      <w:i/>
      <w:szCs w:val="20"/>
    </w:rPr>
  </w:style>
  <w:style w:type="character" w:customStyle="1" w:styleId="Cmsor7Char">
    <w:name w:val="Címsor 7 Char"/>
    <w:basedOn w:val="Bekezdsalapbettpusa"/>
    <w:link w:val="Cmsor7"/>
    <w:rPr>
      <w:rFonts w:ascii="Times New Roman" w:eastAsia="SimSun" w:hAnsi="Times New Roman" w:cs="Times New Roman"/>
      <w:i/>
      <w:szCs w:val="20"/>
    </w:rPr>
  </w:style>
  <w:style w:type="character" w:customStyle="1" w:styleId="Cmsor8Char">
    <w:name w:val="Címsor 8 Char"/>
    <w:basedOn w:val="Bekezdsalapbettpusa"/>
    <w:link w:val="Cmsor8"/>
    <w:rPr>
      <w:rFonts w:ascii="Times New Roman" w:eastAsia="SimSun" w:hAnsi="Times New Roman" w:cs="Times New Roman"/>
      <w:b/>
      <w:i/>
      <w:szCs w:val="20"/>
    </w:rPr>
  </w:style>
  <w:style w:type="character" w:customStyle="1" w:styleId="Cmsor9Char">
    <w:name w:val="Címsor 9 Char"/>
    <w:basedOn w:val="Bekezdsalapbettpusa"/>
    <w:link w:val="Cmsor9"/>
    <w:rPr>
      <w:rFonts w:ascii="Times New Roman" w:eastAsia="SimSun" w:hAnsi="Times New Roman" w:cs="Times New Roman"/>
      <w:b/>
      <w:i/>
      <w:szCs w:val="20"/>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SimSu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SimSun" w:hAnsi="Times New Roman" w:cs="Times New Roman"/>
      <w:lang w:val="en-GB" w:eastAsia="hu-HU"/>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semiHidden/>
    <w:pPr>
      <w:spacing w:line="240" w:lineRule="auto"/>
    </w:pPr>
    <w:rPr>
      <w:rFonts w:ascii="Tahoma" w:hAnsi="Tahoma" w:cs="Tahoma"/>
      <w:sz w:val="16"/>
      <w:szCs w:val="16"/>
    </w:rPr>
  </w:style>
  <w:style w:type="character" w:customStyle="1" w:styleId="BuborkszvegChar">
    <w:name w:val="Buborékszöveg Char"/>
    <w:link w:val="Buborkszveg1"/>
    <w:semiHidden/>
    <w:locked/>
    <w:rPr>
      <w:rFonts w:ascii="Tahoma" w:eastAsia="SimSu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SimSu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SimSu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SimSu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uiPriority w:val="99"/>
    <w:rPr>
      <w:rFonts w:ascii="Times New Roman" w:eastAsia="SimSun" w:hAnsi="Times New Roman" w:cs="Times New Roman"/>
      <w:lang w:val="en-GB"/>
    </w:rPr>
  </w:style>
  <w:style w:type="paragraph" w:styleId="llb">
    <w:name w:val="footer"/>
    <w:basedOn w:val="Norml"/>
    <w:link w:val="llbChar1"/>
    <w:pPr>
      <w:tabs>
        <w:tab w:val="clear" w:pos="567"/>
        <w:tab w:val="center" w:pos="4513"/>
        <w:tab w:val="right" w:pos="9026"/>
      </w:tabs>
    </w:pPr>
  </w:style>
  <w:style w:type="character" w:customStyle="1" w:styleId="llbChar1">
    <w:name w:val="Élőláb Char1"/>
    <w:basedOn w:val="Bekezdsalapbettpusa"/>
    <w:link w:val="llb"/>
    <w:rPr>
      <w:rFonts w:ascii="Times New Roman" w:eastAsia="SimSun" w:hAnsi="Times New Roman" w:cs="Times New Roman"/>
      <w:lang w:val="en-GB"/>
    </w:rPr>
  </w:style>
  <w:style w:type="paragraph" w:styleId="Buborkszveg">
    <w:name w:val="Balloon Text"/>
    <w:basedOn w:val="Norml"/>
    <w:link w:val="BuborkszvegChar1"/>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rPr>
      <w:rFonts w:ascii="Segoe UI" w:eastAsia="SimSun" w:hAnsi="Segoe UI" w:cs="Segoe UI"/>
      <w:sz w:val="18"/>
      <w:szCs w:val="18"/>
      <w:lang w:val="en-GB"/>
    </w:rPr>
  </w:style>
  <w:style w:type="paragraph" w:styleId="Vltozat">
    <w:name w:val="Revision"/>
    <w:hidden/>
    <w:uiPriority w:val="99"/>
    <w:semiHidden/>
    <w:pPr>
      <w:spacing w:after="0" w:line="240" w:lineRule="auto"/>
    </w:pPr>
    <w:rPr>
      <w:rFonts w:ascii="Times New Roman" w:eastAsia="SimSun" w:hAnsi="Times New Roman" w:cs="Times New Roman"/>
      <w:lang w:val="en-GB"/>
    </w:rPr>
  </w:style>
  <w:style w:type="character" w:styleId="Jegyzethivatkozs">
    <w:name w:val="annotation reference"/>
    <w:basedOn w:val="Bekezdsalapbettpusa"/>
    <w:semiHidden/>
    <w:unhideWhenUsed/>
    <w:rPr>
      <w:sz w:val="16"/>
      <w:szCs w:val="16"/>
    </w:rPr>
  </w:style>
  <w:style w:type="paragraph" w:styleId="Jegyzetszveg">
    <w:name w:val="annotation text"/>
    <w:basedOn w:val="Norml"/>
    <w:link w:val="JegyzetszvegChar1"/>
    <w:unhideWhenUsed/>
    <w:pPr>
      <w:spacing w:line="240" w:lineRule="auto"/>
    </w:pPr>
    <w:rPr>
      <w:sz w:val="20"/>
      <w:szCs w:val="20"/>
    </w:rPr>
  </w:style>
  <w:style w:type="character" w:customStyle="1" w:styleId="JegyzetszvegChar1">
    <w:name w:val="Jegyzetszöveg Char1"/>
    <w:basedOn w:val="Bekezdsalapbettpusa"/>
    <w:link w:val="Jegyzetszveg"/>
    <w:rPr>
      <w:rFonts w:ascii="Times New Roman" w:eastAsia="SimSu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1"/>
    <w:qFormat/>
    <w:pPr>
      <w:ind w:left="720"/>
      <w:contextualSpacing/>
    </w:pPr>
  </w:style>
  <w:style w:type="paragraph" w:customStyle="1" w:styleId="Default">
    <w:name w:val="Default"/>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character" w:styleId="Hiperhivatkozs">
    <w:name w:val="Hyperlink"/>
    <w:rPr>
      <w:rFonts w:cs="Times New Roman"/>
      <w:color w:val="0000FF"/>
      <w:u w:val="single"/>
    </w:rPr>
  </w:style>
  <w:style w:type="character" w:styleId="Oldalszm">
    <w:name w:val="page number"/>
    <w:rPr>
      <w:rFonts w:cs="Times New Roman"/>
    </w:rPr>
  </w:style>
  <w:style w:type="paragraph" w:styleId="Megjegyzstrgya">
    <w:name w:val="annotation subject"/>
    <w:basedOn w:val="Jegyzetszveg"/>
    <w:next w:val="Jegyzetszveg"/>
    <w:link w:val="MegjegyzstrgyaChar1"/>
    <w:semiHidden/>
    <w:pPr>
      <w:spacing w:line="260" w:lineRule="exact"/>
    </w:pPr>
    <w:rPr>
      <w:b/>
      <w:bCs/>
      <w:snapToGrid w:val="0"/>
      <w:lang w:eastAsia="zh-CN"/>
    </w:rPr>
  </w:style>
  <w:style w:type="character" w:customStyle="1" w:styleId="MegjegyzstrgyaChar1">
    <w:name w:val="Megjegyzés tárgya Char1"/>
    <w:basedOn w:val="JegyzetszvegChar1"/>
    <w:link w:val="Megjegyzstrgya"/>
    <w:semiHidden/>
    <w:rPr>
      <w:rFonts w:ascii="Times New Roman" w:eastAsia="SimSun" w:hAnsi="Times New Roman" w:cs="Times New Roman"/>
      <w:b/>
      <w:bCs/>
      <w:snapToGrid w:val="0"/>
      <w:sz w:val="20"/>
      <w:szCs w:val="20"/>
      <w:lang w:val="en-GB" w:eastAsia="zh-CN"/>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b/>
      <w:i/>
      <w:szCs w:val="20"/>
      <w:lang w:val="hu-HU"/>
    </w:rPr>
  </w:style>
  <w:style w:type="character" w:customStyle="1" w:styleId="SzvegtrzsChar">
    <w:name w:val="Szövegtörzs Char"/>
    <w:basedOn w:val="Bekezdsalapbettpusa"/>
    <w:link w:val="Szvegtrzs"/>
    <w:rPr>
      <w:rFonts w:ascii="Times New Roman" w:eastAsia="SimSun" w:hAnsi="Times New Roman" w:cs="Times New Roman"/>
      <w:b/>
      <w:i/>
      <w:szCs w:val="20"/>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b/>
      <w:color w:val="808080"/>
      <w:szCs w:val="20"/>
      <w:lang w:val="hu-HU"/>
    </w:rPr>
  </w:style>
  <w:style w:type="character" w:customStyle="1" w:styleId="SzvegtrzsbehzssalChar">
    <w:name w:val="Szövegtörzs behúzással Char"/>
    <w:basedOn w:val="Bekezdsalapbettpusa"/>
    <w:link w:val="Szvegtrzsbehzssal"/>
    <w:rPr>
      <w:rFonts w:ascii="Times New Roman" w:eastAsia="SimSun" w:hAnsi="Times New Roman" w:cs="Times New Roman"/>
      <w:b/>
      <w:color w:val="808080"/>
      <w:szCs w:val="20"/>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z w:val="28"/>
      <w:szCs w:val="20"/>
      <w:lang w:val="hu-HU"/>
    </w:rPr>
  </w:style>
  <w:style w:type="paragraph" w:styleId="Lbjegyzetszveg">
    <w:name w:val="footnote text"/>
    <w:basedOn w:val="Norml"/>
    <w:link w:val="LbjegyzetszvegChar"/>
    <w:pPr>
      <w:tabs>
        <w:tab w:val="clear" w:pos="567"/>
      </w:tabs>
      <w:suppressAutoHyphens/>
    </w:pPr>
    <w:rPr>
      <w:sz w:val="20"/>
      <w:szCs w:val="20"/>
      <w:lang w:val="hu-HU"/>
    </w:rPr>
  </w:style>
  <w:style w:type="character" w:customStyle="1" w:styleId="LbjegyzetszvegChar">
    <w:name w:val="Lábjegyzetszöveg Char"/>
    <w:basedOn w:val="Bekezdsalapbettpusa"/>
    <w:link w:val="Lbjegyzetszveg"/>
    <w:rPr>
      <w:rFonts w:ascii="Times New Roman" w:eastAsia="SimSun" w:hAnsi="Times New Roman" w:cs="Times New Roman"/>
      <w:sz w:val="20"/>
      <w:szCs w:val="20"/>
    </w:rPr>
  </w:style>
  <w:style w:type="paragraph" w:styleId="Vgjegyzetszvege">
    <w:name w:val="endnote text"/>
    <w:basedOn w:val="Norml"/>
    <w:next w:val="Norml"/>
    <w:link w:val="VgjegyzetszvegeChar"/>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Pr>
      <w:rFonts w:ascii="Times New Roman" w:eastAsia="SimSun" w:hAnsi="Times New Roman" w:cs="Times New Roman"/>
      <w:szCs w:val="20"/>
    </w:rPr>
  </w:style>
  <w:style w:type="paragraph" w:styleId="Szvegblokk">
    <w:name w:val="Block Text"/>
    <w:basedOn w:val="Norml"/>
    <w:pPr>
      <w:tabs>
        <w:tab w:val="clear" w:pos="567"/>
      </w:tabs>
      <w:suppressAutoHyphens/>
      <w:spacing w:line="260" w:lineRule="atLeast"/>
      <w:ind w:left="567" w:right="-2" w:hanging="567"/>
    </w:pPr>
    <w:rPr>
      <w:b/>
      <w:szCs w:val="20"/>
      <w:lang w:val="hu-HU"/>
    </w:rPr>
  </w:style>
  <w:style w:type="table" w:styleId="Rcsostblzat">
    <w:name w:val="Table Grid"/>
    <w:basedOn w:val="Normltblzat"/>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pPr>
      <w:spacing w:after="0" w:line="240" w:lineRule="auto"/>
    </w:pPr>
    <w:rPr>
      <w:rFonts w:ascii="Times New Roman" w:eastAsia="Calibri" w:hAnsi="Times New Roman" w:cs="Times New Roman"/>
    </w:rPr>
  </w:style>
  <w:style w:type="table" w:customStyle="1" w:styleId="TableNormal1">
    <w:name w:val="Table Normal1"/>
    <w:uiPriority w:val="2"/>
    <w:semiHidden/>
    <w:unhideWhenUsed/>
    <w:qFormat/>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spacing w:line="240" w:lineRule="auto"/>
      <w:ind w:left="107"/>
    </w:pPr>
    <w:rPr>
      <w:lang w:val="hu-HU" w:eastAsia="hu-HU" w:bidi="hu-HU"/>
    </w:rPr>
  </w:style>
  <w:style w:type="character" w:customStyle="1" w:styleId="st1">
    <w:name w:val="st1"/>
  </w:style>
  <w:style w:type="paragraph" w:styleId="NormlWeb">
    <w:name w:val="Normal (Web)"/>
    <w:basedOn w:val="Norml"/>
    <w:uiPriority w:val="99"/>
    <w:semiHidden/>
    <w:unhideWhenUsed/>
    <w:pPr>
      <w:tabs>
        <w:tab w:val="clear" w:pos="567"/>
      </w:tabs>
      <w:spacing w:line="240" w:lineRule="auto"/>
    </w:pPr>
    <w:rPr>
      <w:rFonts w:eastAsiaTheme="minorHAnsi"/>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7983">
      <w:bodyDiv w:val="1"/>
      <w:marLeft w:val="0"/>
      <w:marRight w:val="0"/>
      <w:marTop w:val="0"/>
      <w:marBottom w:val="0"/>
      <w:divBdr>
        <w:top w:val="none" w:sz="0" w:space="0" w:color="auto"/>
        <w:left w:val="none" w:sz="0" w:space="0" w:color="auto"/>
        <w:bottom w:val="none" w:sz="0" w:space="0" w:color="auto"/>
        <w:right w:val="none" w:sz="0" w:space="0" w:color="auto"/>
      </w:divBdr>
    </w:div>
    <w:div w:id="69281859">
      <w:bodyDiv w:val="1"/>
      <w:marLeft w:val="0"/>
      <w:marRight w:val="0"/>
      <w:marTop w:val="0"/>
      <w:marBottom w:val="0"/>
      <w:divBdr>
        <w:top w:val="none" w:sz="0" w:space="0" w:color="auto"/>
        <w:left w:val="none" w:sz="0" w:space="0" w:color="auto"/>
        <w:bottom w:val="none" w:sz="0" w:space="0" w:color="auto"/>
        <w:right w:val="none" w:sz="0" w:space="0" w:color="auto"/>
      </w:divBdr>
    </w:div>
    <w:div w:id="341902366">
      <w:bodyDiv w:val="1"/>
      <w:marLeft w:val="0"/>
      <w:marRight w:val="0"/>
      <w:marTop w:val="0"/>
      <w:marBottom w:val="0"/>
      <w:divBdr>
        <w:top w:val="none" w:sz="0" w:space="0" w:color="auto"/>
        <w:left w:val="none" w:sz="0" w:space="0" w:color="auto"/>
        <w:bottom w:val="none" w:sz="0" w:space="0" w:color="auto"/>
        <w:right w:val="none" w:sz="0" w:space="0" w:color="auto"/>
      </w:divBdr>
    </w:div>
    <w:div w:id="713190502">
      <w:bodyDiv w:val="1"/>
      <w:marLeft w:val="0"/>
      <w:marRight w:val="0"/>
      <w:marTop w:val="0"/>
      <w:marBottom w:val="0"/>
      <w:divBdr>
        <w:top w:val="none" w:sz="0" w:space="0" w:color="auto"/>
        <w:left w:val="none" w:sz="0" w:space="0" w:color="auto"/>
        <w:bottom w:val="none" w:sz="0" w:space="0" w:color="auto"/>
        <w:right w:val="none" w:sz="0" w:space="0" w:color="auto"/>
      </w:divBdr>
    </w:div>
    <w:div w:id="156849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10168</Words>
  <Characters>70167</Characters>
  <Application>Microsoft Office Word</Application>
  <DocSecurity>0</DocSecurity>
  <Lines>584</Lines>
  <Paragraphs>160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HU_OGYEI_16.1.2</cp:lastModifiedBy>
  <cp:revision>3</cp:revision>
  <dcterms:created xsi:type="dcterms:W3CDTF">2026-09-04T14:50:00Z</dcterms:created>
  <dcterms:modified xsi:type="dcterms:W3CDTF">2026-09-04T14:51:00Z</dcterms:modified>
</cp:coreProperties>
</file>