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3507F" w14:textId="77777777" w:rsidR="00120F83" w:rsidRPr="00AA3F64" w:rsidRDefault="00120F83" w:rsidP="003F44A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1.</w:t>
      </w:r>
      <w:r w:rsidRPr="00AA3F64">
        <w:rPr>
          <w:rFonts w:cs="Times New Roman"/>
          <w:b/>
          <w:bCs/>
          <w:sz w:val="22"/>
        </w:rPr>
        <w:tab/>
        <w:t>A GYÓGYSZER NEVE</w:t>
      </w:r>
    </w:p>
    <w:p w14:paraId="73240647" w14:textId="77777777" w:rsidR="00120F83" w:rsidRPr="00AA3F64" w:rsidRDefault="00120F83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4811D272" w14:textId="77777777" w:rsidR="00120F83" w:rsidRPr="00AA3F64" w:rsidRDefault="00097117" w:rsidP="003F44A6">
      <w:pPr>
        <w:widowControl w:val="0"/>
        <w:numPr>
          <w:ilvl w:val="12"/>
          <w:numId w:val="0"/>
        </w:numPr>
        <w:tabs>
          <w:tab w:val="left" w:pos="567"/>
        </w:tabs>
        <w:rPr>
          <w:rFonts w:cs="Times New Roman"/>
          <w:noProof/>
          <w:sz w:val="22"/>
        </w:rPr>
      </w:pPr>
      <w:r w:rsidRPr="00AA3F64">
        <w:rPr>
          <w:rFonts w:cs="Times New Roman"/>
          <w:sz w:val="22"/>
        </w:rPr>
        <w:t xml:space="preserve">Co-Xeter </w:t>
      </w:r>
      <w:r w:rsidR="00777D78" w:rsidRPr="00AA3F64">
        <w:rPr>
          <w:rFonts w:cs="Times New Roman"/>
          <w:sz w:val="22"/>
        </w:rPr>
        <w:t>4</w:t>
      </w:r>
      <w:r w:rsidR="001963B1" w:rsidRPr="00AA3F64">
        <w:rPr>
          <w:rFonts w:cs="Times New Roman"/>
          <w:noProof/>
          <w:sz w:val="22"/>
        </w:rPr>
        <w:t>0 </w:t>
      </w:r>
      <w:r w:rsidR="00120F83" w:rsidRPr="00AA3F64">
        <w:rPr>
          <w:rFonts w:cs="Times New Roman"/>
          <w:noProof/>
          <w:sz w:val="22"/>
        </w:rPr>
        <w:t>mg</w:t>
      </w:r>
      <w:r w:rsidR="001963B1" w:rsidRPr="00AA3F64">
        <w:rPr>
          <w:rFonts w:cs="Times New Roman"/>
          <w:noProof/>
          <w:sz w:val="22"/>
        </w:rPr>
        <w:t>/10 mg</w:t>
      </w:r>
      <w:r w:rsidR="00120F83" w:rsidRPr="00AA3F64">
        <w:rPr>
          <w:rFonts w:cs="Times New Roman"/>
          <w:noProof/>
          <w:sz w:val="22"/>
        </w:rPr>
        <w:t xml:space="preserve"> </w:t>
      </w:r>
      <w:r w:rsidR="001749CE" w:rsidRPr="00AA3F64">
        <w:rPr>
          <w:rFonts w:cs="Times New Roman"/>
          <w:noProof/>
          <w:sz w:val="22"/>
        </w:rPr>
        <w:t>film</w:t>
      </w:r>
      <w:r w:rsidR="00120F83" w:rsidRPr="00AA3F64">
        <w:rPr>
          <w:rFonts w:cs="Times New Roman"/>
          <w:noProof/>
          <w:sz w:val="22"/>
        </w:rPr>
        <w:t>tabletta</w:t>
      </w:r>
    </w:p>
    <w:p w14:paraId="6EC3349B" w14:textId="77777777" w:rsidR="00120F83" w:rsidRPr="00AA3F64" w:rsidRDefault="00120F83" w:rsidP="001749C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51C60C4D" w14:textId="77777777" w:rsidR="00120F83" w:rsidRPr="00AA3F64" w:rsidRDefault="00120F83" w:rsidP="001749C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35D2D8B0" w14:textId="77777777" w:rsidR="00120F83" w:rsidRPr="00AA3F64" w:rsidRDefault="00120F83" w:rsidP="001749CE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2.</w:t>
      </w:r>
      <w:r w:rsidRPr="00AA3F64">
        <w:rPr>
          <w:rFonts w:cs="Times New Roman"/>
          <w:b/>
          <w:bCs/>
          <w:sz w:val="22"/>
        </w:rPr>
        <w:tab/>
        <w:t>MIN</w:t>
      </w:r>
      <w:r w:rsidRPr="00AA3F64">
        <w:rPr>
          <w:rFonts w:cs="Times New Roman"/>
          <w:sz w:val="22"/>
        </w:rPr>
        <w:t>Ő</w:t>
      </w:r>
      <w:r w:rsidRPr="00AA3F64">
        <w:rPr>
          <w:rFonts w:cs="Times New Roman"/>
          <w:b/>
          <w:bCs/>
          <w:sz w:val="22"/>
        </w:rPr>
        <w:t>SÉGI ÉS MENNYISÉGI ÖSSZETÉTEL</w:t>
      </w:r>
    </w:p>
    <w:p w14:paraId="74CFB54C" w14:textId="77777777" w:rsidR="00120F83" w:rsidRPr="00AA3F64" w:rsidRDefault="00120F83" w:rsidP="001749C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5F6B0AE3" w14:textId="7CD3D347" w:rsidR="00F85255" w:rsidRPr="00AA3F64" w:rsidRDefault="00777D78" w:rsidP="001749CE">
      <w:pPr>
        <w:widowControl w:val="0"/>
        <w:tabs>
          <w:tab w:val="left" w:pos="567"/>
        </w:tabs>
        <w:rPr>
          <w:rFonts w:cs="Times New Roman"/>
          <w:noProof/>
          <w:sz w:val="22"/>
        </w:rPr>
      </w:pPr>
      <w:r w:rsidRPr="00AA3F64">
        <w:rPr>
          <w:rFonts w:cs="Times New Roman"/>
          <w:iCs/>
          <w:noProof/>
          <w:sz w:val="22"/>
        </w:rPr>
        <w:t>4</w:t>
      </w:r>
      <w:r w:rsidR="00120F83" w:rsidRPr="00AA3F64">
        <w:rPr>
          <w:rFonts w:cs="Times New Roman"/>
          <w:iCs/>
          <w:noProof/>
          <w:sz w:val="22"/>
        </w:rPr>
        <w:t>0</w:t>
      </w:r>
      <w:r w:rsidR="001963B1" w:rsidRPr="00AA3F64">
        <w:rPr>
          <w:rFonts w:cs="Times New Roman"/>
          <w:iCs/>
          <w:noProof/>
          <w:sz w:val="22"/>
        </w:rPr>
        <w:t> </w:t>
      </w:r>
      <w:r w:rsidR="00120F83" w:rsidRPr="00AA3F64">
        <w:rPr>
          <w:rFonts w:cs="Times New Roman"/>
          <w:iCs/>
          <w:noProof/>
          <w:sz w:val="22"/>
        </w:rPr>
        <w:t>mg rozuvasztatin</w:t>
      </w:r>
      <w:r w:rsidR="00F20D18" w:rsidRPr="00AA3F64">
        <w:rPr>
          <w:rFonts w:cs="Times New Roman"/>
          <w:iCs/>
          <w:noProof/>
          <w:sz w:val="22"/>
        </w:rPr>
        <w:t xml:space="preserve">t </w:t>
      </w:r>
      <w:r w:rsidR="00120F83" w:rsidRPr="00AA3F64">
        <w:rPr>
          <w:rFonts w:cs="Times New Roman"/>
          <w:iCs/>
          <w:noProof/>
          <w:sz w:val="22"/>
        </w:rPr>
        <w:t>(</w:t>
      </w:r>
      <w:r w:rsidR="006213AB" w:rsidRPr="00F03D74">
        <w:rPr>
          <w:noProof/>
          <w:sz w:val="22"/>
        </w:rPr>
        <w:t>41</w:t>
      </w:r>
      <w:r w:rsidR="004B4B86">
        <w:rPr>
          <w:noProof/>
          <w:sz w:val="22"/>
        </w:rPr>
        <w:t>,</w:t>
      </w:r>
      <w:r w:rsidR="006213AB" w:rsidRPr="00F03D74">
        <w:rPr>
          <w:noProof/>
          <w:sz w:val="22"/>
        </w:rPr>
        <w:t>60 </w:t>
      </w:r>
      <w:r w:rsidR="00DA493C">
        <w:rPr>
          <w:noProof/>
          <w:sz w:val="22"/>
        </w:rPr>
        <w:t xml:space="preserve">mg </w:t>
      </w:r>
      <w:r w:rsidR="00120F83" w:rsidRPr="00AA3F64">
        <w:rPr>
          <w:rFonts w:cs="Times New Roman"/>
          <w:iCs/>
          <w:noProof/>
          <w:sz w:val="22"/>
        </w:rPr>
        <w:t>rozuvasztatin-kalcium formá</w:t>
      </w:r>
      <w:r w:rsidR="005B2FDB">
        <w:rPr>
          <w:rFonts w:cs="Times New Roman"/>
          <w:iCs/>
          <w:noProof/>
          <w:sz w:val="22"/>
        </w:rPr>
        <w:t>já</w:t>
      </w:r>
      <w:r w:rsidR="00120F83" w:rsidRPr="00AA3F64">
        <w:rPr>
          <w:rFonts w:cs="Times New Roman"/>
          <w:iCs/>
          <w:noProof/>
          <w:sz w:val="22"/>
        </w:rPr>
        <w:t xml:space="preserve">ban) </w:t>
      </w:r>
      <w:r w:rsidR="001963B1" w:rsidRPr="00AA3F64">
        <w:rPr>
          <w:rFonts w:cs="Times New Roman"/>
          <w:iCs/>
          <w:noProof/>
          <w:sz w:val="22"/>
        </w:rPr>
        <w:t>és 10 mg ezetimibet tartalmaz</w:t>
      </w:r>
      <w:r w:rsidR="00D50AC0" w:rsidRPr="00D50AC0">
        <w:rPr>
          <w:rFonts w:cs="Times New Roman"/>
          <w:iCs/>
          <w:sz w:val="22"/>
        </w:rPr>
        <w:t xml:space="preserve"> </w:t>
      </w:r>
      <w:r w:rsidR="00D50AC0">
        <w:rPr>
          <w:rFonts w:cs="Times New Roman"/>
          <w:iCs/>
          <w:sz w:val="22"/>
        </w:rPr>
        <w:t>f</w:t>
      </w:r>
      <w:r w:rsidR="00D50AC0" w:rsidRPr="00AA3F64">
        <w:rPr>
          <w:rFonts w:cs="Times New Roman"/>
          <w:iCs/>
          <w:sz w:val="22"/>
        </w:rPr>
        <w:t>ilmtablettánként</w:t>
      </w:r>
      <w:r w:rsidR="00F85255" w:rsidRPr="00AA3F64">
        <w:rPr>
          <w:rFonts w:cs="Times New Roman"/>
          <w:noProof/>
          <w:sz w:val="22"/>
        </w:rPr>
        <w:t>.</w:t>
      </w:r>
    </w:p>
    <w:p w14:paraId="288D7E0F" w14:textId="77777777" w:rsidR="00F85255" w:rsidRPr="00AA3F64" w:rsidRDefault="00F85255" w:rsidP="001749CE">
      <w:pPr>
        <w:widowControl w:val="0"/>
        <w:tabs>
          <w:tab w:val="left" w:pos="567"/>
        </w:tabs>
        <w:rPr>
          <w:rFonts w:cs="Times New Roman"/>
          <w:noProof/>
          <w:sz w:val="22"/>
        </w:rPr>
      </w:pPr>
    </w:p>
    <w:p w14:paraId="5729C5E3" w14:textId="77777777" w:rsidR="00120F83" w:rsidRPr="00AA3F64" w:rsidRDefault="00BC5E96" w:rsidP="001749CE">
      <w:pPr>
        <w:widowControl w:val="0"/>
        <w:tabs>
          <w:tab w:val="left" w:pos="567"/>
        </w:tabs>
        <w:rPr>
          <w:rFonts w:cs="Times New Roman"/>
          <w:bCs/>
          <w:sz w:val="22"/>
          <w:u w:val="single"/>
        </w:rPr>
      </w:pPr>
      <w:r w:rsidRPr="00AA3F64">
        <w:rPr>
          <w:rFonts w:cs="Times New Roman"/>
          <w:bCs/>
          <w:sz w:val="22"/>
          <w:u w:val="single"/>
        </w:rPr>
        <w:t>Ismert hatású s</w:t>
      </w:r>
      <w:r w:rsidR="00120F83" w:rsidRPr="00AA3F64">
        <w:rPr>
          <w:rFonts w:cs="Times New Roman"/>
          <w:bCs/>
          <w:sz w:val="22"/>
          <w:u w:val="single"/>
        </w:rPr>
        <w:t>egédanyagok:</w:t>
      </w:r>
    </w:p>
    <w:p w14:paraId="78997765" w14:textId="77777777" w:rsidR="00120F83" w:rsidRPr="00AA3F64" w:rsidRDefault="001963B1" w:rsidP="001749C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sz w:val="22"/>
        </w:rPr>
        <w:t>2</w:t>
      </w:r>
      <w:r w:rsidR="00777D78" w:rsidRPr="00AA3F64">
        <w:rPr>
          <w:rFonts w:cs="Times New Roman"/>
          <w:sz w:val="22"/>
        </w:rPr>
        <w:t>05</w:t>
      </w:r>
      <w:r w:rsidR="002C70D4" w:rsidRPr="00AA3F64">
        <w:rPr>
          <w:rFonts w:cs="Times New Roman"/>
          <w:sz w:val="22"/>
        </w:rPr>
        <w:t>,</w:t>
      </w:r>
      <w:r w:rsidR="00777D78" w:rsidRPr="00AA3F64">
        <w:rPr>
          <w:rFonts w:cs="Times New Roman"/>
          <w:sz w:val="22"/>
        </w:rPr>
        <w:t>54</w:t>
      </w:r>
      <w:r w:rsidRPr="00AA3F64">
        <w:rPr>
          <w:rFonts w:cs="Times New Roman"/>
          <w:sz w:val="22"/>
        </w:rPr>
        <w:t xml:space="preserve"> mg </w:t>
      </w:r>
      <w:r w:rsidR="00120F83" w:rsidRPr="00AA3F64">
        <w:rPr>
          <w:rFonts w:cs="Times New Roman"/>
          <w:bCs/>
          <w:sz w:val="22"/>
        </w:rPr>
        <w:t>laktóz-monohidrát</w:t>
      </w:r>
      <w:r w:rsidR="00F20D18" w:rsidRPr="00AA3F64">
        <w:rPr>
          <w:rFonts w:cs="Times New Roman"/>
          <w:bCs/>
          <w:sz w:val="22"/>
        </w:rPr>
        <w:t>ot tartalmaz</w:t>
      </w:r>
      <w:r w:rsidR="00120F83" w:rsidRPr="00AA3F64">
        <w:rPr>
          <w:rFonts w:cs="Times New Roman"/>
          <w:bCs/>
          <w:sz w:val="22"/>
        </w:rPr>
        <w:t xml:space="preserve"> </w:t>
      </w:r>
      <w:r w:rsidR="00D50AC0">
        <w:rPr>
          <w:rFonts w:cs="Times New Roman"/>
          <w:bCs/>
          <w:sz w:val="22"/>
        </w:rPr>
        <w:t>film</w:t>
      </w:r>
      <w:r w:rsidR="00120F83" w:rsidRPr="00AA3F64">
        <w:rPr>
          <w:rFonts w:cs="Times New Roman"/>
          <w:bCs/>
          <w:sz w:val="22"/>
        </w:rPr>
        <w:t>tablettánként.</w:t>
      </w:r>
    </w:p>
    <w:p w14:paraId="3286470B" w14:textId="77777777" w:rsidR="005B4883" w:rsidRPr="00AA3F64" w:rsidRDefault="005B4883" w:rsidP="001749C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64603375" w14:textId="77777777" w:rsidR="00120F83" w:rsidRPr="00AA3F64" w:rsidRDefault="00120F83" w:rsidP="004413F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segédanyagok teljes listáját lásd a 6.1 pontban.</w:t>
      </w:r>
    </w:p>
    <w:p w14:paraId="59A2EDC3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5A883F02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bookmarkStart w:id="0" w:name="_GoBack"/>
      <w:bookmarkEnd w:id="0"/>
    </w:p>
    <w:p w14:paraId="37E62284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3.</w:t>
      </w:r>
      <w:r w:rsidRPr="00AA3F64">
        <w:rPr>
          <w:rFonts w:cs="Times New Roman"/>
          <w:b/>
          <w:bCs/>
          <w:sz w:val="22"/>
        </w:rPr>
        <w:tab/>
        <w:t>GYÓGYSZERFORMA</w:t>
      </w:r>
    </w:p>
    <w:p w14:paraId="12C70649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7848DA4F" w14:textId="77777777" w:rsidR="00120F83" w:rsidRPr="00AA3F64" w:rsidRDefault="001749CE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Filmt</w:t>
      </w:r>
      <w:r w:rsidR="00120F83" w:rsidRPr="00AA3F64">
        <w:rPr>
          <w:rFonts w:cs="Times New Roman"/>
          <w:sz w:val="22"/>
        </w:rPr>
        <w:t>abletta.</w:t>
      </w:r>
    </w:p>
    <w:p w14:paraId="1DEC06F5" w14:textId="77777777" w:rsidR="00777D78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sz w:val="22"/>
        </w:rPr>
        <w:t>Fehér</w:t>
      </w:r>
      <w:r w:rsidR="002B0DFB" w:rsidRPr="00AA3F64">
        <w:rPr>
          <w:rFonts w:cs="Times New Roman"/>
          <w:bCs/>
          <w:sz w:val="22"/>
        </w:rPr>
        <w:t>,</w:t>
      </w:r>
      <w:r w:rsidRPr="00AA3F64">
        <w:rPr>
          <w:rFonts w:cs="Times New Roman"/>
          <w:bCs/>
          <w:sz w:val="22"/>
        </w:rPr>
        <w:t xml:space="preserve"> </w:t>
      </w:r>
      <w:r w:rsidR="00777D78" w:rsidRPr="00AA3F64">
        <w:rPr>
          <w:rFonts w:cs="Times New Roman"/>
          <w:bCs/>
          <w:sz w:val="22"/>
        </w:rPr>
        <w:t>kerek</w:t>
      </w:r>
      <w:r w:rsidRPr="00AA3F64">
        <w:rPr>
          <w:rFonts w:cs="Times New Roman"/>
          <w:bCs/>
          <w:sz w:val="22"/>
        </w:rPr>
        <w:t xml:space="preserve">, mindkét oldalán domború felületű </w:t>
      </w:r>
      <w:r w:rsidR="005B2FDB" w:rsidRPr="005B2FDB">
        <w:rPr>
          <w:rFonts w:cs="Times New Roman"/>
          <w:bCs/>
          <w:sz w:val="22"/>
        </w:rPr>
        <w:t xml:space="preserve">kb. 10 mm átmérőjű </w:t>
      </w:r>
      <w:r w:rsidR="005B2FDB">
        <w:rPr>
          <w:rFonts w:cs="Times New Roman"/>
          <w:bCs/>
          <w:sz w:val="22"/>
        </w:rPr>
        <w:t>filmtabletta, egyik oldalán "EL </w:t>
      </w:r>
      <w:r w:rsidR="005B2FDB" w:rsidRPr="005B2FDB">
        <w:rPr>
          <w:rFonts w:cs="Times New Roman"/>
          <w:bCs/>
          <w:sz w:val="22"/>
        </w:rPr>
        <w:t>2" jelöléssel.</w:t>
      </w:r>
    </w:p>
    <w:p w14:paraId="02D39B08" w14:textId="77777777" w:rsidR="005B4883" w:rsidRPr="00AA3F64" w:rsidRDefault="005B48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0AEF33F6" w14:textId="77777777" w:rsidR="00120F83" w:rsidRPr="00AA3F64" w:rsidRDefault="00120F83" w:rsidP="001749C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15A924BC" w14:textId="77777777" w:rsidR="00120F83" w:rsidRPr="00AA3F64" w:rsidRDefault="00120F83" w:rsidP="001749CE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4.</w:t>
      </w:r>
      <w:r w:rsidRPr="00AA3F64">
        <w:rPr>
          <w:rFonts w:cs="Times New Roman"/>
          <w:b/>
          <w:bCs/>
          <w:sz w:val="22"/>
        </w:rPr>
        <w:tab/>
        <w:t>KLINIKAI JELLEMZ</w:t>
      </w:r>
      <w:r w:rsidRPr="00AA3F64">
        <w:rPr>
          <w:rFonts w:cs="Times New Roman"/>
          <w:sz w:val="22"/>
        </w:rPr>
        <w:t>Ő</w:t>
      </w:r>
      <w:r w:rsidRPr="00AA3F64">
        <w:rPr>
          <w:rFonts w:cs="Times New Roman"/>
          <w:b/>
          <w:bCs/>
          <w:sz w:val="22"/>
        </w:rPr>
        <w:t>K</w:t>
      </w:r>
    </w:p>
    <w:p w14:paraId="14F30BE5" w14:textId="77777777" w:rsidR="00120F83" w:rsidRPr="00AA3F64" w:rsidRDefault="00120F83" w:rsidP="001749C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4B1BFEFC" w14:textId="77777777" w:rsidR="00120F83" w:rsidRPr="00AA3F64" w:rsidRDefault="00120F83" w:rsidP="001749CE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4.1</w:t>
      </w:r>
      <w:r w:rsidRPr="00AA3F64">
        <w:rPr>
          <w:rFonts w:cs="Times New Roman"/>
          <w:b/>
          <w:bCs/>
          <w:sz w:val="22"/>
        </w:rPr>
        <w:tab/>
        <w:t>Terápiás javallatok</w:t>
      </w:r>
    </w:p>
    <w:p w14:paraId="0C11E0E1" w14:textId="77777777" w:rsidR="0053067C" w:rsidRPr="00AA3F64" w:rsidRDefault="0053067C" w:rsidP="001749CE">
      <w:pPr>
        <w:widowControl w:val="0"/>
        <w:rPr>
          <w:rFonts w:cs="Times New Roman"/>
          <w:sz w:val="22"/>
        </w:rPr>
      </w:pPr>
    </w:p>
    <w:p w14:paraId="24ECD2EF" w14:textId="77777777" w:rsidR="00DC6E0C" w:rsidRPr="00AA3F64" w:rsidRDefault="00DC6E0C" w:rsidP="001749CE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</w:t>
      </w:r>
      <w:r w:rsidR="00D50AC0">
        <w:rPr>
          <w:rFonts w:cs="Times New Roman"/>
          <w:sz w:val="22"/>
        </w:rPr>
        <w:t>Co-Xeter 40 </w:t>
      </w:r>
      <w:r w:rsidR="00D50AC0" w:rsidRPr="00010CF3">
        <w:rPr>
          <w:rFonts w:cs="Times New Roman"/>
          <w:sz w:val="22"/>
        </w:rPr>
        <w:t>mg/10</w:t>
      </w:r>
      <w:r w:rsidR="00D50AC0">
        <w:rPr>
          <w:rFonts w:cs="Times New Roman"/>
          <w:sz w:val="22"/>
        </w:rPr>
        <w:t> </w:t>
      </w:r>
      <w:r w:rsidR="00D50AC0" w:rsidRPr="00010CF3">
        <w:rPr>
          <w:rFonts w:cs="Times New Roman"/>
          <w:sz w:val="22"/>
        </w:rPr>
        <w:t xml:space="preserve">mg filmtabletta (továbbiakban </w:t>
      </w:r>
      <w:r w:rsidRPr="00AA3F64">
        <w:rPr>
          <w:rFonts w:cs="Times New Roman"/>
          <w:sz w:val="22"/>
        </w:rPr>
        <w:t>Co</w:t>
      </w:r>
      <w:r w:rsidRPr="00AA3F64">
        <w:rPr>
          <w:rFonts w:cs="Times New Roman"/>
          <w:sz w:val="22"/>
        </w:rPr>
        <w:noBreakHyphen/>
        <w:t>Xeter</w:t>
      </w:r>
      <w:r w:rsidR="00D50AC0">
        <w:rPr>
          <w:rFonts w:cs="Times New Roman"/>
          <w:sz w:val="22"/>
        </w:rPr>
        <w:t>)</w:t>
      </w:r>
      <w:r w:rsidRPr="00AA3F64">
        <w:rPr>
          <w:rFonts w:cs="Times New Roman"/>
          <w:sz w:val="22"/>
        </w:rPr>
        <w:t xml:space="preserve"> a diéta kiegészítéseként prim</w:t>
      </w:r>
      <w:r w:rsidR="00086DE9" w:rsidRPr="00AA3F64">
        <w:rPr>
          <w:rFonts w:cs="Times New Roman"/>
          <w:sz w:val="22"/>
        </w:rPr>
        <w:t>a</w:t>
      </w:r>
      <w:r w:rsidRPr="00AA3F64">
        <w:rPr>
          <w:rFonts w:cs="Times New Roman"/>
          <w:sz w:val="22"/>
        </w:rPr>
        <w:t>er hypercholesterinaemia szubsztitúciós kezelésére java</w:t>
      </w:r>
      <w:r w:rsidR="00D50AC0">
        <w:rPr>
          <w:rFonts w:cs="Times New Roman"/>
          <w:sz w:val="22"/>
        </w:rPr>
        <w:t>llott</w:t>
      </w:r>
      <w:r w:rsidRPr="00AA3F64">
        <w:rPr>
          <w:rFonts w:cs="Times New Roman"/>
          <w:sz w:val="22"/>
        </w:rPr>
        <w:t xml:space="preserve"> azoknál a felnőtt betegeknél, akik megfelelő</w:t>
      </w:r>
      <w:r w:rsidR="00E47733" w:rsidRPr="00AA3F64">
        <w:rPr>
          <w:rFonts w:cs="Times New Roman"/>
          <w:sz w:val="22"/>
        </w:rPr>
        <w:t>en vannak beállítva</w:t>
      </w:r>
      <w:r w:rsidRPr="00AA3F64">
        <w:rPr>
          <w:rFonts w:cs="Times New Roman"/>
          <w:sz w:val="22"/>
        </w:rPr>
        <w:t xml:space="preserve"> az egyidejűleg</w:t>
      </w:r>
      <w:r w:rsidR="00E47733" w:rsidRPr="00AA3F64">
        <w:rPr>
          <w:rFonts w:cs="Times New Roman"/>
          <w:sz w:val="22"/>
        </w:rPr>
        <w:t>, de külön-külön</w:t>
      </w:r>
      <w:r w:rsidRPr="00AA3F64">
        <w:rPr>
          <w:rFonts w:cs="Times New Roman"/>
          <w:sz w:val="22"/>
        </w:rPr>
        <w:t xml:space="preserve"> adott, a két hatóanyagot a fix kombinációval megegyező dózisban tartalmazó készítményekkel.</w:t>
      </w:r>
    </w:p>
    <w:p w14:paraId="2C64E155" w14:textId="77777777" w:rsidR="00F32382" w:rsidRPr="00AA3F64" w:rsidRDefault="00F32382" w:rsidP="001749CE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352550CC" w14:textId="77777777" w:rsidR="00120F83" w:rsidRPr="00AA3F64" w:rsidRDefault="00120F83" w:rsidP="001749CE">
      <w:pPr>
        <w:widowControl w:val="0"/>
        <w:autoSpaceDE w:val="0"/>
        <w:autoSpaceDN w:val="0"/>
        <w:adjustRightInd w:val="0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4.2</w:t>
      </w:r>
      <w:r w:rsidRPr="00AA3F64">
        <w:rPr>
          <w:rFonts w:cs="Times New Roman"/>
          <w:b/>
          <w:bCs/>
          <w:sz w:val="22"/>
        </w:rPr>
        <w:tab/>
        <w:t>Adagolás és alkalmazás</w:t>
      </w:r>
    </w:p>
    <w:p w14:paraId="7399708E" w14:textId="77777777" w:rsidR="00120F83" w:rsidRPr="00AA3F64" w:rsidRDefault="00120F83" w:rsidP="001749CE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607FFE9B" w14:textId="77777777" w:rsidR="00777D78" w:rsidRPr="00AA3F64" w:rsidRDefault="00777D78" w:rsidP="001749CE">
      <w:pPr>
        <w:pStyle w:val="Szvegtrzs"/>
        <w:suppressAutoHyphens w:val="0"/>
        <w:spacing w:after="0"/>
        <w:rPr>
          <w:color w:val="auto"/>
          <w:sz w:val="22"/>
          <w:szCs w:val="22"/>
          <w:u w:val="single"/>
        </w:rPr>
      </w:pPr>
      <w:r w:rsidRPr="00AA3F64">
        <w:rPr>
          <w:color w:val="auto"/>
          <w:sz w:val="22"/>
          <w:szCs w:val="22"/>
          <w:u w:val="single"/>
        </w:rPr>
        <w:t>Adagolás</w:t>
      </w:r>
    </w:p>
    <w:p w14:paraId="29576670" w14:textId="77777777" w:rsidR="00777D78" w:rsidRPr="00AA3F64" w:rsidRDefault="00777D78" w:rsidP="001749CE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</w:p>
    <w:p w14:paraId="1901A045" w14:textId="77777777" w:rsidR="00BC5E96" w:rsidRPr="00AA3F64" w:rsidRDefault="00120F83" w:rsidP="001749CE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terápia megkezdése előtt a beteget hagyományos koleszterin</w:t>
      </w:r>
      <w:r w:rsidR="00086DE9" w:rsidRPr="00AA3F64">
        <w:rPr>
          <w:rFonts w:cs="Times New Roman"/>
          <w:sz w:val="22"/>
        </w:rPr>
        <w:t>szint</w:t>
      </w:r>
      <w:r w:rsidRPr="00AA3F64">
        <w:rPr>
          <w:rFonts w:cs="Times New Roman"/>
          <w:sz w:val="22"/>
        </w:rPr>
        <w:t xml:space="preserve">-csökkentő diétára kell állítani. A diétát a </w:t>
      </w:r>
      <w:r w:rsidR="00097117" w:rsidRPr="00AA3F64">
        <w:rPr>
          <w:rFonts w:cs="Times New Roman"/>
          <w:sz w:val="22"/>
        </w:rPr>
        <w:t>Co-Xeter</w:t>
      </w:r>
      <w:r w:rsidR="00D50AC0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kezelés ideje alatt is be kell tartani.</w:t>
      </w:r>
    </w:p>
    <w:p w14:paraId="6E6E38C7" w14:textId="77777777" w:rsidR="008002D6" w:rsidRPr="00AA3F64" w:rsidRDefault="008002D6" w:rsidP="00927D34">
      <w:pPr>
        <w:pStyle w:val="Szvegtrzs"/>
        <w:suppressAutoHyphens w:val="0"/>
        <w:spacing w:after="0"/>
        <w:rPr>
          <w:color w:val="auto"/>
          <w:sz w:val="22"/>
          <w:szCs w:val="22"/>
          <w:u w:val="single"/>
        </w:rPr>
      </w:pPr>
    </w:p>
    <w:p w14:paraId="15850F99" w14:textId="77777777" w:rsidR="0053067C" w:rsidRPr="00AA3F64" w:rsidRDefault="0053067C" w:rsidP="00927D34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 w:rsidRPr="00AA3F64">
        <w:rPr>
          <w:color w:val="auto"/>
          <w:sz w:val="22"/>
          <w:szCs w:val="22"/>
        </w:rPr>
        <w:t xml:space="preserve">A javasolt adag egy </w:t>
      </w:r>
      <w:r w:rsidR="00097117" w:rsidRPr="00AA3F64">
        <w:rPr>
          <w:color w:val="auto"/>
          <w:sz w:val="22"/>
          <w:szCs w:val="22"/>
        </w:rPr>
        <w:t xml:space="preserve">Co-Xeter </w:t>
      </w:r>
      <w:r w:rsidR="001749CE" w:rsidRPr="00AA3F64">
        <w:rPr>
          <w:color w:val="auto"/>
          <w:sz w:val="22"/>
          <w:szCs w:val="22"/>
        </w:rPr>
        <w:t>film</w:t>
      </w:r>
      <w:r w:rsidRPr="00AA3F64">
        <w:rPr>
          <w:color w:val="auto"/>
          <w:sz w:val="22"/>
          <w:szCs w:val="22"/>
        </w:rPr>
        <w:t>tabletta naponta.</w:t>
      </w:r>
    </w:p>
    <w:p w14:paraId="2CB42A3D" w14:textId="77777777" w:rsidR="00CE5911" w:rsidRPr="00AA3F64" w:rsidRDefault="00CE5911" w:rsidP="004413FE">
      <w:pPr>
        <w:widowControl w:val="0"/>
        <w:rPr>
          <w:rFonts w:cs="Times New Roman"/>
          <w:sz w:val="22"/>
        </w:rPr>
      </w:pPr>
    </w:p>
    <w:p w14:paraId="16C52ED8" w14:textId="77777777" w:rsidR="00DC6E0C" w:rsidRPr="00AA3F64" w:rsidRDefault="0053067C" w:rsidP="003F44A6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</w:t>
      </w:r>
      <w:r w:rsidR="00097117" w:rsidRPr="00AA3F64">
        <w:rPr>
          <w:rFonts w:cs="Times New Roman"/>
          <w:sz w:val="22"/>
        </w:rPr>
        <w:t xml:space="preserve">Co-Xeter </w:t>
      </w:r>
      <w:r w:rsidRPr="00AA3F64">
        <w:rPr>
          <w:rFonts w:cs="Times New Roman"/>
          <w:noProof/>
          <w:sz w:val="22"/>
        </w:rPr>
        <w:t>nem alkalmas kezdeti terápiára.</w:t>
      </w:r>
      <w:r w:rsidR="00CA0C93" w:rsidRPr="00AA3F64">
        <w:rPr>
          <w:rFonts w:cs="Times New Roman"/>
          <w:noProof/>
          <w:sz w:val="22"/>
        </w:rPr>
        <w:t xml:space="preserve"> </w:t>
      </w:r>
      <w:r w:rsidR="00DC6E0C" w:rsidRPr="00AA3F64">
        <w:rPr>
          <w:rFonts w:cs="Times New Roman"/>
          <w:noProof/>
          <w:sz w:val="22"/>
        </w:rPr>
        <w:t>A kezdeti dózis beállítása vagy a dózis módosítása csak a monokomponensek külön-külön titrálásával történhet</w:t>
      </w:r>
      <w:r w:rsidR="00DC6E0C" w:rsidRPr="00AA3F64">
        <w:rPr>
          <w:rFonts w:cs="Times New Roman"/>
          <w:sz w:val="22"/>
        </w:rPr>
        <w:t>. A monokomponensek megfelelő dózisának beállítását követően lehet áttérni a megfelelő erősségű fix dóziskombinációra.</w:t>
      </w:r>
    </w:p>
    <w:p w14:paraId="25A2CF4A" w14:textId="77777777" w:rsidR="00C63CCB" w:rsidRPr="00AA3F64" w:rsidRDefault="00C63CCB" w:rsidP="00AA3F64">
      <w:pPr>
        <w:widowControl w:val="0"/>
        <w:rPr>
          <w:rFonts w:cs="Times New Roman"/>
          <w:sz w:val="22"/>
        </w:rPr>
      </w:pPr>
    </w:p>
    <w:p w14:paraId="71F713E9" w14:textId="77777777" w:rsidR="00C63DD2" w:rsidRPr="00AA3F64" w:rsidRDefault="00C63DD2" w:rsidP="000037AE">
      <w:pPr>
        <w:widowControl w:val="0"/>
        <w:rPr>
          <w:rFonts w:cs="Times New Roman"/>
          <w:i/>
          <w:sz w:val="22"/>
        </w:rPr>
      </w:pPr>
      <w:r w:rsidRPr="00AA3F64">
        <w:rPr>
          <w:rFonts w:cs="Times New Roman"/>
          <w:i/>
          <w:noProof/>
          <w:sz w:val="22"/>
        </w:rPr>
        <w:t>Gyermek</w:t>
      </w:r>
      <w:r w:rsidR="00C97CF9" w:rsidRPr="00AA3F64">
        <w:rPr>
          <w:rFonts w:cs="Times New Roman"/>
          <w:i/>
          <w:sz w:val="22"/>
        </w:rPr>
        <w:t>ek</w:t>
      </w:r>
      <w:r w:rsidR="00491CE4" w:rsidRPr="00AA3F64">
        <w:rPr>
          <w:rFonts w:cs="Times New Roman"/>
          <w:i/>
          <w:sz w:val="22"/>
        </w:rPr>
        <w:t xml:space="preserve"> és serdülők</w:t>
      </w:r>
    </w:p>
    <w:p w14:paraId="2EC3BD2B" w14:textId="77777777" w:rsidR="003B48A3" w:rsidRPr="00AA3F64" w:rsidRDefault="003B48A3" w:rsidP="004413FE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</w:t>
      </w:r>
      <w:r w:rsidR="00097117" w:rsidRPr="00AA3F64">
        <w:rPr>
          <w:rFonts w:cs="Times New Roman"/>
          <w:sz w:val="22"/>
        </w:rPr>
        <w:t xml:space="preserve">Co-Xeter </w:t>
      </w:r>
      <w:r w:rsidRPr="00AA3F64">
        <w:rPr>
          <w:rFonts w:cs="Times New Roman"/>
          <w:sz w:val="22"/>
        </w:rPr>
        <w:t>biztonságosságát és hatásosságát 18</w:t>
      </w:r>
      <w:r w:rsidR="004413FE" w:rsidRPr="00AA3F64">
        <w:rPr>
          <w:rFonts w:cs="Times New Roman"/>
          <w:sz w:val="22"/>
        </w:rPr>
        <w:t>.</w:t>
      </w:r>
      <w:r w:rsidR="002C70D4" w:rsidRPr="00AA3F64">
        <w:rPr>
          <w:rFonts w:cs="Times New Roman"/>
          <w:sz w:val="22"/>
        </w:rPr>
        <w:t> </w:t>
      </w:r>
      <w:r w:rsidR="004413FE" w:rsidRPr="00AA3F64">
        <w:rPr>
          <w:rFonts w:cs="Times New Roman"/>
          <w:sz w:val="22"/>
        </w:rPr>
        <w:t>élet</w:t>
      </w:r>
      <w:r w:rsidRPr="00AA3F64">
        <w:rPr>
          <w:rFonts w:cs="Times New Roman"/>
          <w:sz w:val="22"/>
        </w:rPr>
        <w:t>év</w:t>
      </w:r>
      <w:r w:rsidR="004413FE" w:rsidRPr="00AA3F64">
        <w:rPr>
          <w:rFonts w:cs="Times New Roman"/>
          <w:sz w:val="22"/>
        </w:rPr>
        <w:t>üket még be nem töltött</w:t>
      </w:r>
      <w:r w:rsidRPr="00AA3F64">
        <w:rPr>
          <w:rFonts w:cs="Times New Roman"/>
          <w:sz w:val="22"/>
        </w:rPr>
        <w:t xml:space="preserve"> gyermekek </w:t>
      </w:r>
      <w:r w:rsidR="004413FE" w:rsidRPr="00AA3F64">
        <w:rPr>
          <w:rFonts w:cs="Times New Roman"/>
          <w:sz w:val="22"/>
        </w:rPr>
        <w:t xml:space="preserve">és serdülők </w:t>
      </w:r>
      <w:r w:rsidRPr="00AA3F64">
        <w:rPr>
          <w:rFonts w:cs="Times New Roman"/>
          <w:sz w:val="22"/>
        </w:rPr>
        <w:t>esetében nem igazolták.</w:t>
      </w:r>
      <w:r w:rsidR="004413FE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A jelenleg rendelkezésre álló adatok leírása a 4.8</w:t>
      </w:r>
      <w:r w:rsidR="0066450C" w:rsidRPr="00AA3F64">
        <w:rPr>
          <w:rFonts w:cs="Times New Roman"/>
          <w:sz w:val="22"/>
        </w:rPr>
        <w:t>,</w:t>
      </w:r>
      <w:r w:rsidRPr="00AA3F64">
        <w:rPr>
          <w:rFonts w:cs="Times New Roman"/>
          <w:sz w:val="22"/>
        </w:rPr>
        <w:t xml:space="preserve"> 5.1 </w:t>
      </w:r>
      <w:r w:rsidR="0066450C" w:rsidRPr="00AA3F64">
        <w:rPr>
          <w:rFonts w:cs="Times New Roman"/>
          <w:sz w:val="22"/>
        </w:rPr>
        <w:t xml:space="preserve">és </w:t>
      </w:r>
      <w:r w:rsidRPr="00AA3F64">
        <w:rPr>
          <w:rFonts w:cs="Times New Roman"/>
          <w:sz w:val="22"/>
        </w:rPr>
        <w:t>5.2 pontban található, de nincs az adagolásra vonatkozó javaslat.</w:t>
      </w:r>
    </w:p>
    <w:p w14:paraId="263CE746" w14:textId="77777777" w:rsidR="00EB0EA9" w:rsidRPr="00AA3F64" w:rsidRDefault="00EB0EA9" w:rsidP="00BF22C9">
      <w:pPr>
        <w:widowControl w:val="0"/>
        <w:rPr>
          <w:rFonts w:cs="Times New Roman"/>
          <w:sz w:val="22"/>
        </w:rPr>
      </w:pPr>
    </w:p>
    <w:p w14:paraId="09813B4E" w14:textId="77777777" w:rsidR="00120F83" w:rsidRPr="00AA3F64" w:rsidRDefault="00C37EFF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AA3F64">
        <w:rPr>
          <w:rFonts w:cs="Times New Roman"/>
          <w:bCs/>
          <w:i/>
          <w:sz w:val="22"/>
        </w:rPr>
        <w:t>I</w:t>
      </w:r>
      <w:r w:rsidR="00120F83" w:rsidRPr="00AA3F64">
        <w:rPr>
          <w:rFonts w:cs="Times New Roman"/>
          <w:bCs/>
          <w:i/>
          <w:sz w:val="22"/>
        </w:rPr>
        <w:t>dős</w:t>
      </w:r>
      <w:r w:rsidRPr="00AA3F64">
        <w:rPr>
          <w:rFonts w:cs="Times New Roman"/>
          <w:bCs/>
          <w:i/>
          <w:sz w:val="22"/>
        </w:rPr>
        <w:t>ek</w:t>
      </w:r>
    </w:p>
    <w:p w14:paraId="3DCCCEC4" w14:textId="77777777" w:rsidR="007471C7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70</w:t>
      </w:r>
      <w:r w:rsidR="002C70D4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év feletti betegek esetében 5</w:t>
      </w:r>
      <w:r w:rsidR="00927166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 xml:space="preserve">mg </w:t>
      </w:r>
      <w:r w:rsidR="00A73EFC" w:rsidRPr="00AA3F64">
        <w:rPr>
          <w:rFonts w:cs="Times New Roman"/>
          <w:bCs/>
          <w:sz w:val="22"/>
        </w:rPr>
        <w:t>rozuvasztatin</w:t>
      </w:r>
      <w:r w:rsidR="00BC515C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az ajánlott kezdő dózis (lásd 4.4 pont).</w:t>
      </w:r>
      <w:r w:rsidR="007471C7" w:rsidRPr="00AA3F64">
        <w:rPr>
          <w:rFonts w:cs="Times New Roman"/>
          <w:sz w:val="22"/>
        </w:rPr>
        <w:t xml:space="preserve"> A fix dózisú</w:t>
      </w:r>
      <w:r w:rsidR="005E73D9">
        <w:rPr>
          <w:rFonts w:cs="Times New Roman"/>
          <w:sz w:val="22"/>
        </w:rPr>
        <w:t xml:space="preserve"> </w:t>
      </w:r>
      <w:r w:rsidR="007471C7" w:rsidRPr="00AA3F64">
        <w:rPr>
          <w:rFonts w:cs="Times New Roman"/>
          <w:sz w:val="22"/>
        </w:rPr>
        <w:t xml:space="preserve">kombináció nem alkalmas kezdő terápiára. A kezelés megkezdése vagy szükség esetén dózismódosítás csak </w:t>
      </w:r>
      <w:r w:rsidR="009C3230" w:rsidRPr="00AA3F64">
        <w:rPr>
          <w:rFonts w:cs="Times New Roman"/>
          <w:sz w:val="22"/>
        </w:rPr>
        <w:t>egykomponensű készítményekkel történhet</w:t>
      </w:r>
      <w:r w:rsidR="007471C7" w:rsidRPr="00AA3F64">
        <w:rPr>
          <w:rFonts w:cs="Times New Roman"/>
          <w:sz w:val="22"/>
        </w:rPr>
        <w:t>, és a megfelelő dózisok beállítása után lehetséges az átállás a megfelelő erősségű fix dóziskombinációra.</w:t>
      </w:r>
    </w:p>
    <w:p w14:paraId="75250E37" w14:textId="77777777" w:rsidR="007471C7" w:rsidRPr="00AA3F64" w:rsidRDefault="007471C7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299F4C18" w14:textId="77777777" w:rsidR="00120F83" w:rsidRPr="00AA3F64" w:rsidRDefault="00C37EFF" w:rsidP="001D62CA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AA3F64">
        <w:rPr>
          <w:rFonts w:cs="Times New Roman"/>
          <w:bCs/>
          <w:i/>
          <w:sz w:val="22"/>
        </w:rPr>
        <w:lastRenderedPageBreak/>
        <w:t>V</w:t>
      </w:r>
      <w:r w:rsidR="00120F83" w:rsidRPr="00AA3F64">
        <w:rPr>
          <w:rFonts w:cs="Times New Roman"/>
          <w:bCs/>
          <w:i/>
          <w:sz w:val="22"/>
        </w:rPr>
        <w:t>ese</w:t>
      </w:r>
      <w:r w:rsidR="00086DE9" w:rsidRPr="00AA3F64">
        <w:rPr>
          <w:rFonts w:cs="Times New Roman"/>
          <w:bCs/>
          <w:i/>
          <w:sz w:val="22"/>
        </w:rPr>
        <w:t>károsodás</w:t>
      </w:r>
    </w:p>
    <w:p w14:paraId="5F36EEC9" w14:textId="77777777" w:rsidR="00120F83" w:rsidRPr="007677AC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7677AC">
        <w:rPr>
          <w:rFonts w:cs="Times New Roman"/>
          <w:sz w:val="22"/>
        </w:rPr>
        <w:t>Enyhe vesekárosodás esetén d</w:t>
      </w:r>
      <w:r w:rsidR="00D50AC0">
        <w:rPr>
          <w:rFonts w:cs="Times New Roman"/>
          <w:sz w:val="22"/>
        </w:rPr>
        <w:t>ózis</w:t>
      </w:r>
      <w:r w:rsidRPr="007677AC">
        <w:rPr>
          <w:rFonts w:cs="Times New Roman"/>
          <w:sz w:val="22"/>
        </w:rPr>
        <w:t>módosítás nem szükséges.</w:t>
      </w:r>
    </w:p>
    <w:p w14:paraId="59738C74" w14:textId="77777777" w:rsidR="00BC515C" w:rsidRPr="007677AC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7677AC">
        <w:rPr>
          <w:rFonts w:cs="Times New Roman"/>
          <w:sz w:val="22"/>
        </w:rPr>
        <w:t>Közepesen súlyos vesekárosodásban (kreatinin</w:t>
      </w:r>
      <w:r w:rsidR="00086DE9" w:rsidRPr="007677AC">
        <w:rPr>
          <w:rFonts w:cs="Times New Roman"/>
          <w:sz w:val="22"/>
        </w:rPr>
        <w:t>-clearance</w:t>
      </w:r>
      <w:r w:rsidRPr="007677AC">
        <w:rPr>
          <w:rFonts w:cs="Times New Roman"/>
          <w:sz w:val="22"/>
        </w:rPr>
        <w:t xml:space="preserve"> </w:t>
      </w:r>
      <w:r w:rsidR="007471C7" w:rsidRPr="007677AC">
        <w:rPr>
          <w:rFonts w:cs="Times New Roman"/>
          <w:sz w:val="22"/>
        </w:rPr>
        <w:t>&lt;</w:t>
      </w:r>
      <w:r w:rsidRPr="007677AC">
        <w:rPr>
          <w:rFonts w:cs="Times New Roman"/>
          <w:sz w:val="22"/>
        </w:rPr>
        <w:t>60</w:t>
      </w:r>
      <w:r w:rsidR="00927166" w:rsidRPr="007677AC">
        <w:rPr>
          <w:rFonts w:cs="Times New Roman"/>
          <w:sz w:val="22"/>
        </w:rPr>
        <w:t> </w:t>
      </w:r>
      <w:r w:rsidRPr="007677AC">
        <w:rPr>
          <w:rFonts w:cs="Times New Roman"/>
          <w:sz w:val="22"/>
        </w:rPr>
        <w:t>ml/perc) szenvedő betegek esetében 5</w:t>
      </w:r>
      <w:r w:rsidR="00927166" w:rsidRPr="007677AC">
        <w:rPr>
          <w:rFonts w:cs="Times New Roman"/>
          <w:sz w:val="22"/>
        </w:rPr>
        <w:t> </w:t>
      </w:r>
      <w:r w:rsidRPr="007677AC">
        <w:rPr>
          <w:rFonts w:cs="Times New Roman"/>
          <w:sz w:val="22"/>
        </w:rPr>
        <w:t>mg a</w:t>
      </w:r>
      <w:r w:rsidR="00A73EFC" w:rsidRPr="007677AC">
        <w:rPr>
          <w:rFonts w:cs="Times New Roman"/>
          <w:sz w:val="22"/>
        </w:rPr>
        <w:t xml:space="preserve"> </w:t>
      </w:r>
      <w:r w:rsidR="00A73EFC" w:rsidRPr="007677AC">
        <w:rPr>
          <w:rFonts w:cs="Times New Roman"/>
          <w:bCs/>
          <w:sz w:val="22"/>
        </w:rPr>
        <w:t>rozuvasztatin</w:t>
      </w:r>
      <w:r w:rsidRPr="007677AC">
        <w:rPr>
          <w:rFonts w:cs="Times New Roman"/>
          <w:sz w:val="22"/>
        </w:rPr>
        <w:t xml:space="preserve"> ajánlott </w:t>
      </w:r>
      <w:r w:rsidR="00BC515C" w:rsidRPr="007677AC">
        <w:rPr>
          <w:rFonts w:cs="Times New Roman"/>
          <w:sz w:val="22"/>
        </w:rPr>
        <w:t>kezdő dózis</w:t>
      </w:r>
      <w:r w:rsidR="00A73EFC" w:rsidRPr="007677AC">
        <w:rPr>
          <w:rFonts w:cs="Times New Roman"/>
          <w:sz w:val="22"/>
        </w:rPr>
        <w:t>a</w:t>
      </w:r>
      <w:r w:rsidR="00BC515C" w:rsidRPr="007677AC">
        <w:rPr>
          <w:rFonts w:cs="Times New Roman"/>
          <w:sz w:val="22"/>
        </w:rPr>
        <w:t>.</w:t>
      </w:r>
      <w:r w:rsidR="00DC6E0C" w:rsidRPr="007677AC">
        <w:rPr>
          <w:rFonts w:cs="Times New Roman"/>
          <w:sz w:val="22"/>
        </w:rPr>
        <w:t xml:space="preserve"> A fix dózisú</w:t>
      </w:r>
      <w:r w:rsidR="00D50AC0">
        <w:rPr>
          <w:rFonts w:cs="Times New Roman"/>
          <w:sz w:val="22"/>
        </w:rPr>
        <w:t xml:space="preserve"> </w:t>
      </w:r>
      <w:r w:rsidR="00DC6E0C" w:rsidRPr="007677AC">
        <w:rPr>
          <w:rFonts w:cs="Times New Roman"/>
          <w:sz w:val="22"/>
        </w:rPr>
        <w:t>kombináció nem alkalmas kezdő terápiára.</w:t>
      </w:r>
      <w:r w:rsidR="004413FE" w:rsidRPr="007677AC">
        <w:rPr>
          <w:rFonts w:cs="Times New Roman"/>
          <w:sz w:val="22"/>
        </w:rPr>
        <w:t xml:space="preserve"> A kezelés megkezdése vagy dózismódosítás csak egykomponensű készítményekkel történhet.</w:t>
      </w:r>
    </w:p>
    <w:p w14:paraId="40E02C83" w14:textId="77777777" w:rsidR="00120F83" w:rsidRPr="007677AC" w:rsidRDefault="007471C7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7677AC">
        <w:rPr>
          <w:rFonts w:cs="Times New Roman"/>
          <w:sz w:val="22"/>
        </w:rPr>
        <w:t>Közepesen súlyos és s</w:t>
      </w:r>
      <w:r w:rsidR="00120F83" w:rsidRPr="007677AC">
        <w:rPr>
          <w:rFonts w:cs="Times New Roman"/>
          <w:sz w:val="22"/>
        </w:rPr>
        <w:t>úlyos vesekárosodásban</w:t>
      </w:r>
      <w:r w:rsidR="00A34968" w:rsidRPr="007677AC">
        <w:rPr>
          <w:rFonts w:cs="Times New Roman"/>
          <w:sz w:val="22"/>
        </w:rPr>
        <w:t xml:space="preserve"> </w:t>
      </w:r>
      <w:r w:rsidR="00120F83" w:rsidRPr="007677AC">
        <w:rPr>
          <w:rFonts w:cs="Times New Roman"/>
          <w:sz w:val="22"/>
        </w:rPr>
        <w:t xml:space="preserve">a </w:t>
      </w:r>
      <w:r w:rsidR="004413FE" w:rsidRPr="007677AC">
        <w:rPr>
          <w:rFonts w:cs="Times New Roman"/>
          <w:sz w:val="22"/>
        </w:rPr>
        <w:t xml:space="preserve">Co-Xeter </w:t>
      </w:r>
      <w:r w:rsidR="00787249" w:rsidRPr="007677AC">
        <w:rPr>
          <w:rFonts w:cs="Times New Roman"/>
          <w:sz w:val="22"/>
        </w:rPr>
        <w:t>4</w:t>
      </w:r>
      <w:r w:rsidR="00787249" w:rsidRPr="007677AC">
        <w:rPr>
          <w:rFonts w:cs="Times New Roman"/>
          <w:noProof/>
          <w:sz w:val="22"/>
        </w:rPr>
        <w:t>0 mg/10 mg filmtabletta</w:t>
      </w:r>
      <w:r w:rsidR="00787249" w:rsidRPr="007677AC">
        <w:rPr>
          <w:rFonts w:cs="Times New Roman"/>
          <w:sz w:val="22"/>
        </w:rPr>
        <w:t xml:space="preserve"> </w:t>
      </w:r>
      <w:r w:rsidR="00120F83" w:rsidRPr="007677AC">
        <w:rPr>
          <w:rFonts w:cs="Times New Roman"/>
          <w:sz w:val="22"/>
        </w:rPr>
        <w:t>adása ellenjavallt (lásd 4.3</w:t>
      </w:r>
      <w:r w:rsidR="00EB0EA9" w:rsidRPr="007677AC">
        <w:rPr>
          <w:rFonts w:cs="Times New Roman"/>
          <w:sz w:val="22"/>
        </w:rPr>
        <w:t xml:space="preserve"> és 5.2 pont</w:t>
      </w:r>
      <w:r w:rsidR="00120F83" w:rsidRPr="007677AC">
        <w:rPr>
          <w:rFonts w:cs="Times New Roman"/>
          <w:sz w:val="22"/>
        </w:rPr>
        <w:t>).</w:t>
      </w:r>
    </w:p>
    <w:p w14:paraId="7318666B" w14:textId="77777777" w:rsidR="00120F83" w:rsidRPr="007677AC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A1E05FE" w14:textId="77777777" w:rsidR="00120F83" w:rsidRPr="007677AC" w:rsidRDefault="00C37EFF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7677AC">
        <w:rPr>
          <w:rFonts w:cs="Times New Roman"/>
          <w:bCs/>
          <w:i/>
          <w:sz w:val="22"/>
        </w:rPr>
        <w:t>M</w:t>
      </w:r>
      <w:r w:rsidR="00120F83" w:rsidRPr="007677AC">
        <w:rPr>
          <w:rFonts w:cs="Times New Roman"/>
          <w:bCs/>
          <w:i/>
          <w:sz w:val="22"/>
        </w:rPr>
        <w:t>ájkárosodás</w:t>
      </w:r>
    </w:p>
    <w:p w14:paraId="3CD8A323" w14:textId="77777777" w:rsidR="00120F83" w:rsidRPr="007677AC" w:rsidRDefault="004A66D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7677AC">
        <w:rPr>
          <w:rFonts w:cs="Times New Roman"/>
          <w:sz w:val="22"/>
        </w:rPr>
        <w:t>Enyhe májkárosodásban (Child-Pugh osztályozás szerinti pontszám:</w:t>
      </w:r>
      <w:r w:rsidR="00483B62" w:rsidRPr="007677AC">
        <w:rPr>
          <w:rFonts w:cs="Times New Roman"/>
          <w:sz w:val="22"/>
        </w:rPr>
        <w:t xml:space="preserve"> </w:t>
      </w:r>
      <w:r w:rsidRPr="007677AC">
        <w:rPr>
          <w:rFonts w:cs="Times New Roman"/>
          <w:sz w:val="22"/>
        </w:rPr>
        <w:t>5</w:t>
      </w:r>
      <w:r w:rsidRPr="007677AC">
        <w:rPr>
          <w:rFonts w:cs="Times New Roman"/>
          <w:sz w:val="22"/>
        </w:rPr>
        <w:noBreakHyphen/>
        <w:t xml:space="preserve">6) a dózist nem kell módosítani. A </w:t>
      </w:r>
      <w:r w:rsidR="00097117" w:rsidRPr="007677AC">
        <w:rPr>
          <w:rFonts w:cs="Times New Roman"/>
          <w:sz w:val="22"/>
        </w:rPr>
        <w:t>Co-Xeter</w:t>
      </w:r>
      <w:r w:rsidR="00D50AC0">
        <w:rPr>
          <w:rFonts w:cs="Times New Roman"/>
          <w:sz w:val="22"/>
        </w:rPr>
        <w:t>-</w:t>
      </w:r>
      <w:r w:rsidRPr="007677AC">
        <w:rPr>
          <w:rFonts w:cs="Times New Roman"/>
          <w:sz w:val="22"/>
        </w:rPr>
        <w:t xml:space="preserve">kezelés nem </w:t>
      </w:r>
      <w:r w:rsidR="00097117" w:rsidRPr="007677AC">
        <w:rPr>
          <w:rFonts w:cs="Times New Roman"/>
          <w:sz w:val="22"/>
        </w:rPr>
        <w:t xml:space="preserve">javasolt </w:t>
      </w:r>
      <w:r w:rsidRPr="007677AC">
        <w:rPr>
          <w:rFonts w:cs="Times New Roman"/>
          <w:sz w:val="22"/>
        </w:rPr>
        <w:t>a máj közepesen súlyos (Child-Pugh osztályozás szerinti pontszám: 7</w:t>
      </w:r>
      <w:r w:rsidRPr="007677AC">
        <w:rPr>
          <w:rFonts w:cs="Times New Roman"/>
          <w:sz w:val="22"/>
        </w:rPr>
        <w:noBreakHyphen/>
        <w:t>9), illetve súlyos (Child-Pugh osztályozás szerinti pontszám:</w:t>
      </w:r>
      <w:r w:rsidR="002C70D4" w:rsidRPr="007677AC">
        <w:rPr>
          <w:rFonts w:cs="Times New Roman"/>
          <w:sz w:val="22"/>
        </w:rPr>
        <w:t xml:space="preserve"> </w:t>
      </w:r>
      <w:r w:rsidRPr="007677AC">
        <w:rPr>
          <w:rFonts w:cs="Times New Roman"/>
          <w:sz w:val="22"/>
        </w:rPr>
        <w:t>&gt;</w:t>
      </w:r>
      <w:r w:rsidR="002C70D4" w:rsidRPr="007677AC">
        <w:rPr>
          <w:rFonts w:cs="Times New Roman"/>
          <w:sz w:val="22"/>
        </w:rPr>
        <w:t> </w:t>
      </w:r>
      <w:r w:rsidRPr="007677AC">
        <w:rPr>
          <w:rFonts w:cs="Times New Roman"/>
          <w:sz w:val="22"/>
        </w:rPr>
        <w:t xml:space="preserve">9) </w:t>
      </w:r>
      <w:r w:rsidR="004413FE" w:rsidRPr="007677AC">
        <w:rPr>
          <w:rFonts w:cs="Times New Roman"/>
          <w:sz w:val="22"/>
        </w:rPr>
        <w:t>máj</w:t>
      </w:r>
      <w:r w:rsidRPr="007677AC">
        <w:rPr>
          <w:rFonts w:cs="Times New Roman"/>
          <w:sz w:val="22"/>
        </w:rPr>
        <w:t>funkcióromlás esetén (lásd 4.4 és 5.2</w:t>
      </w:r>
      <w:r w:rsidR="001E5A19" w:rsidRPr="007677AC">
        <w:rPr>
          <w:rFonts w:cs="Times New Roman"/>
          <w:sz w:val="22"/>
        </w:rPr>
        <w:t xml:space="preserve"> </w:t>
      </w:r>
      <w:r w:rsidRPr="007677AC">
        <w:rPr>
          <w:rFonts w:cs="Times New Roman"/>
          <w:sz w:val="22"/>
        </w:rPr>
        <w:t>pont)</w:t>
      </w:r>
      <w:r w:rsidR="001E5A19" w:rsidRPr="007677AC">
        <w:rPr>
          <w:rFonts w:cs="Times New Roman"/>
          <w:sz w:val="22"/>
        </w:rPr>
        <w:t>.</w:t>
      </w:r>
      <w:r w:rsidR="007471C7" w:rsidRPr="007677AC">
        <w:rPr>
          <w:rFonts w:cs="Times New Roman"/>
          <w:sz w:val="22"/>
        </w:rPr>
        <w:t xml:space="preserve"> </w:t>
      </w:r>
      <w:r w:rsidR="00120F83" w:rsidRPr="007677AC">
        <w:rPr>
          <w:rFonts w:cs="Times New Roman"/>
          <w:sz w:val="22"/>
        </w:rPr>
        <w:t xml:space="preserve">Aktív májbetegségben a </w:t>
      </w:r>
      <w:r w:rsidR="00097117" w:rsidRPr="007677AC">
        <w:rPr>
          <w:rFonts w:cs="Times New Roman"/>
          <w:sz w:val="22"/>
        </w:rPr>
        <w:t xml:space="preserve">Co-Xeter </w:t>
      </w:r>
      <w:r w:rsidR="00120F83" w:rsidRPr="007677AC">
        <w:rPr>
          <w:rFonts w:cs="Times New Roman"/>
          <w:sz w:val="22"/>
        </w:rPr>
        <w:t>adása ellenjavallt (lásd 4.3 pont).</w:t>
      </w:r>
    </w:p>
    <w:p w14:paraId="5DF74297" w14:textId="77777777" w:rsidR="00120F83" w:rsidRPr="007677AC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71C282A1" w14:textId="77777777" w:rsidR="00120F83" w:rsidRPr="007677AC" w:rsidRDefault="00C37EFF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7677AC">
        <w:rPr>
          <w:rFonts w:cs="Times New Roman"/>
          <w:bCs/>
          <w:i/>
          <w:sz w:val="22"/>
        </w:rPr>
        <w:t>Rassz</w:t>
      </w:r>
    </w:p>
    <w:p w14:paraId="4E1A4A48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7677AC">
        <w:rPr>
          <w:rFonts w:cs="Times New Roman"/>
          <w:sz w:val="22"/>
        </w:rPr>
        <w:t xml:space="preserve">Fokozott szisztémás expozíciót tapasztaltak ázsiai </w:t>
      </w:r>
      <w:r w:rsidR="001C3530" w:rsidRPr="007677AC">
        <w:rPr>
          <w:rFonts w:cs="Times New Roman"/>
          <w:sz w:val="22"/>
        </w:rPr>
        <w:t xml:space="preserve">személyeknél </w:t>
      </w:r>
      <w:r w:rsidRPr="007677AC">
        <w:rPr>
          <w:rFonts w:cs="Times New Roman"/>
          <w:sz w:val="22"/>
        </w:rPr>
        <w:t>(lásd</w:t>
      </w:r>
      <w:r w:rsidR="004A66D3" w:rsidRPr="007677AC">
        <w:rPr>
          <w:rFonts w:cs="Times New Roman"/>
          <w:sz w:val="22"/>
        </w:rPr>
        <w:t xml:space="preserve"> </w:t>
      </w:r>
      <w:r w:rsidRPr="007677AC">
        <w:rPr>
          <w:rFonts w:cs="Times New Roman"/>
          <w:sz w:val="22"/>
        </w:rPr>
        <w:t xml:space="preserve">4.4 és 5.2 pont). Ázsiai származású betegek esetében </w:t>
      </w:r>
      <w:r w:rsidR="004A66D3" w:rsidRPr="007677AC">
        <w:rPr>
          <w:rFonts w:cs="Times New Roman"/>
          <w:sz w:val="22"/>
        </w:rPr>
        <w:t>a ro</w:t>
      </w:r>
      <w:r w:rsidR="00A73EFC" w:rsidRPr="007677AC">
        <w:rPr>
          <w:rFonts w:cs="Times New Roman"/>
          <w:sz w:val="22"/>
        </w:rPr>
        <w:t>z</w:t>
      </w:r>
      <w:r w:rsidR="004A66D3" w:rsidRPr="007677AC">
        <w:rPr>
          <w:rFonts w:cs="Times New Roman"/>
          <w:sz w:val="22"/>
        </w:rPr>
        <w:t>uvas</w:t>
      </w:r>
      <w:r w:rsidR="00A73EFC" w:rsidRPr="007677AC">
        <w:rPr>
          <w:rFonts w:cs="Times New Roman"/>
          <w:sz w:val="22"/>
        </w:rPr>
        <w:t>z</w:t>
      </w:r>
      <w:r w:rsidR="004A66D3" w:rsidRPr="007677AC">
        <w:rPr>
          <w:rFonts w:cs="Times New Roman"/>
          <w:sz w:val="22"/>
        </w:rPr>
        <w:t xml:space="preserve">tatin </w:t>
      </w:r>
      <w:r w:rsidRPr="007677AC">
        <w:rPr>
          <w:rFonts w:cs="Times New Roman"/>
          <w:sz w:val="22"/>
        </w:rPr>
        <w:t>ajánlott kezdő d</w:t>
      </w:r>
      <w:r w:rsidR="00D50AC0">
        <w:rPr>
          <w:rFonts w:cs="Times New Roman"/>
          <w:sz w:val="22"/>
        </w:rPr>
        <w:t>ózis</w:t>
      </w:r>
      <w:r w:rsidR="004A66D3" w:rsidRPr="007677AC">
        <w:rPr>
          <w:rFonts w:cs="Times New Roman"/>
          <w:sz w:val="22"/>
        </w:rPr>
        <w:t>a</w:t>
      </w:r>
      <w:r w:rsidRPr="007677AC">
        <w:rPr>
          <w:rFonts w:cs="Times New Roman"/>
          <w:sz w:val="22"/>
        </w:rPr>
        <w:t xml:space="preserve"> 5</w:t>
      </w:r>
      <w:r w:rsidR="001C3530" w:rsidRPr="007677AC">
        <w:rPr>
          <w:rFonts w:cs="Times New Roman"/>
          <w:sz w:val="22"/>
        </w:rPr>
        <w:t> </w:t>
      </w:r>
      <w:r w:rsidRPr="007677AC">
        <w:rPr>
          <w:rFonts w:cs="Times New Roman"/>
          <w:sz w:val="22"/>
        </w:rPr>
        <w:t>mg.</w:t>
      </w:r>
      <w:r w:rsidR="00DC6E0C" w:rsidRPr="007677AC">
        <w:rPr>
          <w:rFonts w:cs="Times New Roman"/>
          <w:sz w:val="22"/>
        </w:rPr>
        <w:t xml:space="preserve"> A fix dózis</w:t>
      </w:r>
      <w:r w:rsidR="00C63CCB" w:rsidRPr="007677AC">
        <w:rPr>
          <w:rFonts w:cs="Times New Roman"/>
          <w:sz w:val="22"/>
        </w:rPr>
        <w:t>k</w:t>
      </w:r>
      <w:r w:rsidR="00DC6E0C" w:rsidRPr="007677AC">
        <w:rPr>
          <w:rFonts w:cs="Times New Roman"/>
          <w:sz w:val="22"/>
        </w:rPr>
        <w:t>ombináció nem alkalmas kezdő terápiára.</w:t>
      </w:r>
      <w:r w:rsidR="007471C7" w:rsidRPr="007677AC">
        <w:rPr>
          <w:rFonts w:cs="Times New Roman"/>
          <w:sz w:val="22"/>
        </w:rPr>
        <w:t xml:space="preserve"> </w:t>
      </w:r>
      <w:r w:rsidR="00B604CE" w:rsidRPr="007677AC">
        <w:rPr>
          <w:rFonts w:cs="Times New Roman"/>
          <w:sz w:val="22"/>
        </w:rPr>
        <w:t>A kezelés elkezdésére, illetve a dózis titrálására monokomponensű készítményeket kell használni</w:t>
      </w:r>
      <w:r w:rsidR="007471C7" w:rsidRPr="007677AC">
        <w:rPr>
          <w:rFonts w:cs="Times New Roman"/>
          <w:sz w:val="22"/>
        </w:rPr>
        <w:t>.</w:t>
      </w:r>
    </w:p>
    <w:p w14:paraId="61A0864B" w14:textId="77777777" w:rsidR="00120F83" w:rsidRPr="00AA3F64" w:rsidRDefault="009C3230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sz w:val="22"/>
        </w:rPr>
        <w:t>A Co-Xeter</w:t>
      </w:r>
      <w:r w:rsidR="00D50AC0">
        <w:rPr>
          <w:rFonts w:cs="Times New Roman"/>
          <w:bCs/>
          <w:sz w:val="22"/>
        </w:rPr>
        <w:t xml:space="preserve"> </w:t>
      </w:r>
      <w:r w:rsidR="00787249" w:rsidRPr="00AA3F64">
        <w:rPr>
          <w:rFonts w:cs="Times New Roman"/>
          <w:sz w:val="22"/>
        </w:rPr>
        <w:t>4</w:t>
      </w:r>
      <w:r w:rsidR="00787249" w:rsidRPr="00AA3F64">
        <w:rPr>
          <w:rFonts w:cs="Times New Roman"/>
          <w:noProof/>
          <w:sz w:val="22"/>
        </w:rPr>
        <w:t>0 mg/10 mg filmtabletta</w:t>
      </w:r>
      <w:r w:rsidRPr="00AA3F64">
        <w:rPr>
          <w:rFonts w:cs="Times New Roman"/>
          <w:bCs/>
          <w:sz w:val="22"/>
        </w:rPr>
        <w:t xml:space="preserve"> ezeknél a betegeknél ellenjavallt (lásd 4.3 és 5.2 pont).</w:t>
      </w:r>
    </w:p>
    <w:p w14:paraId="664CD8CA" w14:textId="77777777" w:rsidR="009C3230" w:rsidRPr="00AA3F64" w:rsidRDefault="009C3230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D25ACA7" w14:textId="77777777" w:rsidR="00C97CF9" w:rsidRPr="00AA3F64" w:rsidRDefault="00C97CF9" w:rsidP="00AA3F64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i/>
          <w:sz w:val="22"/>
        </w:rPr>
        <w:t>Genetikai polimorfizmusok</w:t>
      </w:r>
    </w:p>
    <w:p w14:paraId="195D5265" w14:textId="1734E9DA" w:rsidR="00C97CF9" w:rsidRPr="00AA3F64" w:rsidRDefault="00354C16" w:rsidP="00AA3F64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8B2EEF">
        <w:rPr>
          <w:rFonts w:cs="Times New Roman"/>
          <w:bCs/>
          <w:sz w:val="22"/>
        </w:rPr>
        <w:t>Az SLCO1B1 (OATP1B1) c.521CC és az ABCG2 (BCRP) c.421AA genotípusai összefüggést mutattak a ro</w:t>
      </w:r>
      <w:r>
        <w:rPr>
          <w:rFonts w:cs="Times New Roman"/>
          <w:bCs/>
          <w:sz w:val="22"/>
        </w:rPr>
        <w:t>z</w:t>
      </w:r>
      <w:r w:rsidRPr="008B2EEF">
        <w:rPr>
          <w:rFonts w:cs="Times New Roman"/>
          <w:bCs/>
          <w:sz w:val="22"/>
        </w:rPr>
        <w:t>uvas</w:t>
      </w:r>
      <w:r>
        <w:rPr>
          <w:rFonts w:cs="Times New Roman"/>
          <w:bCs/>
          <w:sz w:val="22"/>
        </w:rPr>
        <w:t>z</w:t>
      </w:r>
      <w:r w:rsidRPr="008B2EEF">
        <w:rPr>
          <w:rFonts w:cs="Times New Roman"/>
          <w:bCs/>
          <w:sz w:val="22"/>
        </w:rPr>
        <w:t>tatin-expozíció</w:t>
      </w:r>
      <w:r>
        <w:rPr>
          <w:rFonts w:cs="Times New Roman"/>
          <w:bCs/>
          <w:sz w:val="22"/>
        </w:rPr>
        <w:t xml:space="preserve"> (AUC)</w:t>
      </w:r>
      <w:r w:rsidRPr="008B2EEF">
        <w:rPr>
          <w:rFonts w:cs="Times New Roman"/>
          <w:bCs/>
          <w:sz w:val="22"/>
        </w:rPr>
        <w:t xml:space="preserve"> növekedésével. Azon betegek esetében, akiknél ismert a c.521CC vagy c.421AA genotípus, az általában ajánlott adag fele, és legfeljebb napi egyszeri 20</w:t>
      </w:r>
      <w:r>
        <w:rPr>
          <w:rFonts w:cs="Times New Roman"/>
          <w:bCs/>
          <w:sz w:val="22"/>
        </w:rPr>
        <w:t> </w:t>
      </w:r>
      <w:r w:rsidRPr="008B2EEF">
        <w:rPr>
          <w:rFonts w:cs="Times New Roman"/>
          <w:bCs/>
          <w:sz w:val="22"/>
        </w:rPr>
        <w:t>mg ro</w:t>
      </w:r>
      <w:r>
        <w:rPr>
          <w:rFonts w:cs="Times New Roman"/>
          <w:bCs/>
          <w:sz w:val="22"/>
        </w:rPr>
        <w:t>z</w:t>
      </w:r>
      <w:r w:rsidRPr="008B2EEF">
        <w:rPr>
          <w:rFonts w:cs="Times New Roman"/>
          <w:bCs/>
          <w:sz w:val="22"/>
        </w:rPr>
        <w:t>uvas</w:t>
      </w:r>
      <w:r>
        <w:rPr>
          <w:rFonts w:cs="Times New Roman"/>
          <w:bCs/>
          <w:sz w:val="22"/>
        </w:rPr>
        <w:t>z</w:t>
      </w:r>
      <w:r w:rsidRPr="008B2EEF">
        <w:rPr>
          <w:rFonts w:cs="Times New Roman"/>
          <w:bCs/>
          <w:sz w:val="22"/>
        </w:rPr>
        <w:t xml:space="preserve">tatin adag ajánlott (lásd a 4.4, 4.5 és 5.2 </w:t>
      </w:r>
      <w:r>
        <w:rPr>
          <w:rFonts w:cs="Times New Roman"/>
          <w:bCs/>
          <w:sz w:val="22"/>
        </w:rPr>
        <w:t>pont</w:t>
      </w:r>
      <w:r w:rsidRPr="008B2EEF">
        <w:rPr>
          <w:rFonts w:cs="Times New Roman"/>
          <w:bCs/>
          <w:sz w:val="22"/>
        </w:rPr>
        <w:t>)</w:t>
      </w:r>
      <w:r w:rsidR="00C97CF9" w:rsidRPr="00AA3F64">
        <w:rPr>
          <w:rFonts w:cs="Times New Roman"/>
          <w:bCs/>
          <w:sz w:val="22"/>
        </w:rPr>
        <w:t>.</w:t>
      </w:r>
    </w:p>
    <w:p w14:paraId="2C2EAA5C" w14:textId="77777777" w:rsidR="00C97CF9" w:rsidRPr="00AA3F64" w:rsidRDefault="00C97CF9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54A51B5" w14:textId="77777777" w:rsidR="00120F83" w:rsidRPr="007E2051" w:rsidRDefault="00C37EFF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7677AC">
        <w:rPr>
          <w:rFonts w:cs="Times New Roman"/>
          <w:bCs/>
          <w:i/>
          <w:sz w:val="22"/>
        </w:rPr>
        <w:t>M</w:t>
      </w:r>
      <w:r w:rsidR="00120F83" w:rsidRPr="007677AC">
        <w:rPr>
          <w:rFonts w:cs="Times New Roman"/>
          <w:bCs/>
          <w:i/>
          <w:sz w:val="22"/>
        </w:rPr>
        <w:t>yopathia kialakulására hajlamosító tényez</w:t>
      </w:r>
      <w:r w:rsidR="00120F83" w:rsidRPr="007677AC">
        <w:rPr>
          <w:rFonts w:cs="Times New Roman"/>
          <w:i/>
          <w:sz w:val="22"/>
        </w:rPr>
        <w:t>ő</w:t>
      </w:r>
      <w:r w:rsidR="00120F83" w:rsidRPr="007E2051">
        <w:rPr>
          <w:rFonts w:cs="Times New Roman"/>
          <w:bCs/>
          <w:i/>
          <w:sz w:val="22"/>
        </w:rPr>
        <w:t>k</w:t>
      </w:r>
    </w:p>
    <w:p w14:paraId="5F2D4EC4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730E1B">
        <w:rPr>
          <w:rFonts w:cs="Times New Roman"/>
          <w:sz w:val="22"/>
        </w:rPr>
        <w:t>A</w:t>
      </w:r>
      <w:r w:rsidR="00A73EFC" w:rsidRPr="003A7C5B">
        <w:rPr>
          <w:rFonts w:cs="Times New Roman"/>
          <w:bCs/>
          <w:sz w:val="22"/>
        </w:rPr>
        <w:t xml:space="preserve"> rozuvasztatin</w:t>
      </w:r>
      <w:r w:rsidRPr="003A7C5B">
        <w:rPr>
          <w:rFonts w:cs="Times New Roman"/>
          <w:sz w:val="22"/>
        </w:rPr>
        <w:t xml:space="preserve"> ajánlott kezdő dózis</w:t>
      </w:r>
      <w:r w:rsidR="00A73EFC" w:rsidRPr="003A7C5B">
        <w:rPr>
          <w:rFonts w:cs="Times New Roman"/>
          <w:sz w:val="22"/>
        </w:rPr>
        <w:t>a</w:t>
      </w:r>
      <w:r w:rsidRPr="0061434C">
        <w:rPr>
          <w:rFonts w:cs="Times New Roman"/>
          <w:sz w:val="22"/>
        </w:rPr>
        <w:t xml:space="preserve"> 5</w:t>
      </w:r>
      <w:r w:rsidR="00B00EAE" w:rsidRPr="0061434C">
        <w:rPr>
          <w:rFonts w:cs="Times New Roman"/>
          <w:sz w:val="22"/>
        </w:rPr>
        <w:t> </w:t>
      </w:r>
      <w:r w:rsidRPr="0061434C">
        <w:rPr>
          <w:rFonts w:cs="Times New Roman"/>
          <w:sz w:val="22"/>
        </w:rPr>
        <w:t>mg azon betegeknek, akiknél myopathia kialakulására hajlamosító tényezők állnak fenn (lásd 4.4 pont).</w:t>
      </w:r>
      <w:r w:rsidR="00DC6E0C" w:rsidRPr="0061434C">
        <w:rPr>
          <w:rFonts w:cs="Times New Roman"/>
          <w:sz w:val="22"/>
        </w:rPr>
        <w:t xml:space="preserve"> A f</w:t>
      </w:r>
      <w:r w:rsidR="00DC6E0C" w:rsidRPr="00D50AC0">
        <w:rPr>
          <w:rFonts w:cs="Times New Roman"/>
          <w:sz w:val="22"/>
        </w:rPr>
        <w:t>ix dóz</w:t>
      </w:r>
      <w:r w:rsidR="005E73D9">
        <w:rPr>
          <w:rFonts w:cs="Times New Roman"/>
          <w:sz w:val="22"/>
        </w:rPr>
        <w:t>is</w:t>
      </w:r>
      <w:r w:rsidR="00DC6E0C" w:rsidRPr="00D50AC0">
        <w:rPr>
          <w:rFonts w:cs="Times New Roman"/>
          <w:sz w:val="22"/>
        </w:rPr>
        <w:t>kombináció nem alkalmas kezdő terápiára.</w:t>
      </w:r>
      <w:r w:rsidR="00C63CCB" w:rsidRPr="00D50AC0">
        <w:rPr>
          <w:rFonts w:cs="Times New Roman"/>
          <w:sz w:val="22"/>
        </w:rPr>
        <w:t xml:space="preserve"> A kezelés elkezdésére, illetve a dózis titrálására monokomponensű készítményeket kell használni.</w:t>
      </w:r>
    </w:p>
    <w:p w14:paraId="68339004" w14:textId="77777777" w:rsidR="009C3230" w:rsidRPr="00AA3F64" w:rsidRDefault="009C3230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sz w:val="22"/>
        </w:rPr>
        <w:t xml:space="preserve">A Co-Xeter </w:t>
      </w:r>
      <w:r w:rsidR="00787249" w:rsidRPr="00AA3F64">
        <w:rPr>
          <w:rFonts w:cs="Times New Roman"/>
          <w:sz w:val="22"/>
        </w:rPr>
        <w:t>4</w:t>
      </w:r>
      <w:r w:rsidR="00787249" w:rsidRPr="00AA3F64">
        <w:rPr>
          <w:rFonts w:cs="Times New Roman"/>
          <w:noProof/>
          <w:sz w:val="22"/>
        </w:rPr>
        <w:t>0 mg/10 mg filmtabletta</w:t>
      </w:r>
      <w:r w:rsidR="00787249" w:rsidRPr="00AA3F64">
        <w:rPr>
          <w:rFonts w:cs="Times New Roman"/>
          <w:bCs/>
          <w:sz w:val="22"/>
        </w:rPr>
        <w:t xml:space="preserve"> </w:t>
      </w:r>
      <w:r w:rsidR="007678D2" w:rsidRPr="007678D2">
        <w:rPr>
          <w:rFonts w:cs="Times New Roman"/>
          <w:bCs/>
          <w:sz w:val="22"/>
        </w:rPr>
        <w:t xml:space="preserve">ezek közül néhány betegnél </w:t>
      </w:r>
      <w:r w:rsidRPr="00AA3F64">
        <w:rPr>
          <w:rFonts w:cs="Times New Roman"/>
          <w:bCs/>
          <w:sz w:val="22"/>
        </w:rPr>
        <w:t>ellenjavallt (lásd 4.3 és 5.2 pont).</w:t>
      </w:r>
    </w:p>
    <w:p w14:paraId="1D28C8FD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40B35C17" w14:textId="77777777" w:rsidR="00C97CF9" w:rsidRPr="00AA3F64" w:rsidRDefault="00C97CF9" w:rsidP="00AA3F64">
      <w:pPr>
        <w:widowControl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</w:rPr>
        <w:t>Egyidejű terápia</w:t>
      </w:r>
    </w:p>
    <w:p w14:paraId="3BE0B174" w14:textId="77777777" w:rsidR="00A73EFC" w:rsidRPr="00AA3F64" w:rsidRDefault="00C97CF9" w:rsidP="00AA3F64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rozuvasztatin különböző transzportfehérjék szubsztrátja (</w:t>
      </w:r>
      <w:r w:rsidR="00DB0AD7" w:rsidRPr="00AA3F64">
        <w:rPr>
          <w:rFonts w:cs="Times New Roman"/>
          <w:sz w:val="22"/>
        </w:rPr>
        <w:t>például</w:t>
      </w:r>
      <w:r w:rsidRPr="00AA3F64">
        <w:rPr>
          <w:rFonts w:cs="Times New Roman"/>
          <w:sz w:val="22"/>
        </w:rPr>
        <w:t xml:space="preserve"> OATP1B1 és BCRP). A myopathia (beleértve a rhabdomyolysist is) kockázata fokozódik, amikor a</w:t>
      </w:r>
      <w:r w:rsidR="00097117" w:rsidRPr="00AA3F64">
        <w:rPr>
          <w:rFonts w:cs="Times New Roman"/>
          <w:sz w:val="22"/>
        </w:rPr>
        <w:t xml:space="preserve"> Co-Xeter</w:t>
      </w:r>
      <w:r w:rsidR="00A73EFC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t egyidejűleg alkalmazzák bizonyos olyan gyógyszerekkel, amelyek megnövelhetik a rozuvasztatin plazmakoncentrációját ezekkel a transzportfehérjékkel történő interakció következtében (</w:t>
      </w:r>
      <w:r w:rsidR="00DB0AD7" w:rsidRPr="00AA3F64">
        <w:rPr>
          <w:rFonts w:cs="Times New Roman"/>
          <w:sz w:val="22"/>
        </w:rPr>
        <w:t>például</w:t>
      </w:r>
      <w:r w:rsidRPr="00AA3F64">
        <w:rPr>
          <w:rFonts w:cs="Times New Roman"/>
          <w:sz w:val="22"/>
        </w:rPr>
        <w:t xml:space="preserve"> ciklosporin és bizonyos proteázinhibitorok, beleértve a ritonavir kombinációját atazanavirrel, lopinavirrel és/vagy tipran</w:t>
      </w:r>
      <w:r w:rsidR="00A73EFC" w:rsidRPr="00AA3F64">
        <w:rPr>
          <w:rFonts w:cs="Times New Roman"/>
          <w:sz w:val="22"/>
        </w:rPr>
        <w:t xml:space="preserve">avirrel; lásd </w:t>
      </w:r>
      <w:r w:rsidR="00406A82" w:rsidRPr="00AA3F64">
        <w:rPr>
          <w:rFonts w:cs="Times New Roman"/>
          <w:sz w:val="22"/>
        </w:rPr>
        <w:t xml:space="preserve">4.3, </w:t>
      </w:r>
      <w:r w:rsidR="00A73EFC" w:rsidRPr="00AA3F64">
        <w:rPr>
          <w:rFonts w:cs="Times New Roman"/>
          <w:sz w:val="22"/>
        </w:rPr>
        <w:t>4.4</w:t>
      </w:r>
      <w:r w:rsidR="00DB36AE" w:rsidRPr="00AA3F64">
        <w:rPr>
          <w:rFonts w:cs="Times New Roman"/>
          <w:sz w:val="22"/>
        </w:rPr>
        <w:t xml:space="preserve"> </w:t>
      </w:r>
      <w:r w:rsidR="00A73EFC" w:rsidRPr="00AA3F64">
        <w:rPr>
          <w:rFonts w:cs="Times New Roman"/>
          <w:sz w:val="22"/>
        </w:rPr>
        <w:t>és 4.5</w:t>
      </w:r>
      <w:r w:rsidR="00DB36AE" w:rsidRPr="00AA3F64">
        <w:rPr>
          <w:rFonts w:cs="Times New Roman"/>
          <w:sz w:val="22"/>
        </w:rPr>
        <w:t xml:space="preserve"> </w:t>
      </w:r>
      <w:r w:rsidR="00A73EFC" w:rsidRPr="00AA3F64">
        <w:rPr>
          <w:rFonts w:cs="Times New Roman"/>
          <w:sz w:val="22"/>
        </w:rPr>
        <w:t>pont).</w:t>
      </w:r>
    </w:p>
    <w:p w14:paraId="3604737A" w14:textId="77777777" w:rsidR="00C97CF9" w:rsidRPr="00AA3F64" w:rsidRDefault="00C97CF9" w:rsidP="00AA3F64">
      <w:pPr>
        <w:widowControl w:val="0"/>
        <w:rPr>
          <w:rFonts w:cs="Times New Roman"/>
          <w:bCs/>
          <w:sz w:val="22"/>
        </w:rPr>
      </w:pPr>
      <w:r w:rsidRPr="00AA3F64">
        <w:rPr>
          <w:rFonts w:cs="Times New Roman"/>
          <w:sz w:val="22"/>
        </w:rPr>
        <w:t>Amikor lehetséges, alternatív gyógykezelést kell megfontolni, és ha szükséges, mérlegel</w:t>
      </w:r>
      <w:r w:rsidR="00DB0AD7" w:rsidRPr="00AA3F64">
        <w:rPr>
          <w:rFonts w:cs="Times New Roman"/>
          <w:sz w:val="22"/>
        </w:rPr>
        <w:t>ni kell</w:t>
      </w:r>
      <w:r w:rsidRPr="00AA3F64">
        <w:rPr>
          <w:rFonts w:cs="Times New Roman"/>
          <w:sz w:val="22"/>
        </w:rPr>
        <w:t xml:space="preserve"> a </w:t>
      </w:r>
      <w:r w:rsidR="00097117" w:rsidRPr="00AA3F64">
        <w:rPr>
          <w:rFonts w:cs="Times New Roman"/>
          <w:sz w:val="22"/>
        </w:rPr>
        <w:t>Co</w:t>
      </w:r>
      <w:r w:rsidR="002C70D4" w:rsidRPr="00AA3F64">
        <w:rPr>
          <w:rFonts w:cs="Times New Roman"/>
          <w:sz w:val="22"/>
        </w:rPr>
        <w:noBreakHyphen/>
      </w:r>
      <w:r w:rsidR="00086DE9" w:rsidRPr="00AA3F64">
        <w:rPr>
          <w:rFonts w:cs="Times New Roman"/>
          <w:sz w:val="22"/>
        </w:rPr>
        <w:t>Xeter-</w:t>
      </w:r>
      <w:r w:rsidRPr="00AA3F64">
        <w:rPr>
          <w:rFonts w:cs="Times New Roman"/>
          <w:sz w:val="22"/>
        </w:rPr>
        <w:t xml:space="preserve">terápia átmeneti felfüggesztését. Azokban az esetekben, amikor ezeknek a gyógyszereknek </w:t>
      </w:r>
      <w:r w:rsidR="00A73EFC" w:rsidRPr="00AA3F64">
        <w:rPr>
          <w:rFonts w:cs="Times New Roman"/>
          <w:sz w:val="22"/>
        </w:rPr>
        <w:t xml:space="preserve">a </w:t>
      </w:r>
      <w:r w:rsidR="00097117" w:rsidRPr="00AA3F64">
        <w:rPr>
          <w:rFonts w:cs="Times New Roman"/>
          <w:sz w:val="22"/>
        </w:rPr>
        <w:t>Co</w:t>
      </w:r>
      <w:r w:rsidR="002C70D4" w:rsidRPr="00AA3F64">
        <w:rPr>
          <w:rFonts w:cs="Times New Roman"/>
          <w:sz w:val="22"/>
        </w:rPr>
        <w:noBreakHyphen/>
      </w:r>
      <w:r w:rsidR="00097117" w:rsidRPr="00AA3F64">
        <w:rPr>
          <w:rFonts w:cs="Times New Roman"/>
          <w:sz w:val="22"/>
        </w:rPr>
        <w:t>Xeter</w:t>
      </w:r>
      <w:r w:rsidR="00D50AC0">
        <w:rPr>
          <w:rFonts w:cs="Times New Roman"/>
          <w:sz w:val="22"/>
        </w:rPr>
        <w:t>-</w:t>
      </w:r>
      <w:r w:rsidR="00E008A4" w:rsidRPr="00AA3F64">
        <w:rPr>
          <w:rFonts w:cs="Times New Roman"/>
          <w:sz w:val="22"/>
        </w:rPr>
        <w:t>rel</w:t>
      </w:r>
      <w:r w:rsidR="00A73EFC" w:rsidRPr="00AA3F64">
        <w:rPr>
          <w:rFonts w:cs="Times New Roman"/>
          <w:sz w:val="22"/>
        </w:rPr>
        <w:t xml:space="preserve"> való</w:t>
      </w:r>
      <w:r w:rsidRPr="00AA3F64">
        <w:rPr>
          <w:rFonts w:cs="Times New Roman"/>
          <w:sz w:val="22"/>
        </w:rPr>
        <w:t xml:space="preserve"> együttes alkalmazása elkerülhetetlen, az egyidejű kezelésnek és a </w:t>
      </w:r>
      <w:r w:rsidR="00086DE9" w:rsidRPr="00AA3F64">
        <w:rPr>
          <w:rFonts w:cs="Times New Roman"/>
          <w:sz w:val="22"/>
        </w:rPr>
        <w:t>rozuvasztatin-</w:t>
      </w:r>
      <w:r w:rsidRPr="00AA3F64">
        <w:rPr>
          <w:rFonts w:cs="Times New Roman"/>
          <w:sz w:val="22"/>
        </w:rPr>
        <w:t>adagolás módosításának előnyét és kockázatát kell gondosan mérlegelni (lásd 4.5</w:t>
      </w:r>
      <w:r w:rsidR="00C26E6A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pont).</w:t>
      </w:r>
    </w:p>
    <w:p w14:paraId="63CEDBF8" w14:textId="77777777" w:rsidR="00C97CF9" w:rsidRDefault="00C97CF9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1D9B255" w14:textId="77777777" w:rsidR="00C2051B" w:rsidRPr="000C679A" w:rsidRDefault="00C2051B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0C679A">
        <w:rPr>
          <w:rFonts w:cs="Times New Roman"/>
          <w:bCs/>
          <w:i/>
          <w:sz w:val="22"/>
        </w:rPr>
        <w:t xml:space="preserve">Együttadás epesavkötő </w:t>
      </w:r>
      <w:r>
        <w:rPr>
          <w:rFonts w:cs="Times New Roman"/>
          <w:bCs/>
          <w:i/>
          <w:sz w:val="22"/>
        </w:rPr>
        <w:t>gyantákkal</w:t>
      </w:r>
    </w:p>
    <w:p w14:paraId="679B164E" w14:textId="77777777" w:rsidR="00C2051B" w:rsidRDefault="00C2051B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C2051B">
        <w:rPr>
          <w:rFonts w:cs="Times New Roman"/>
          <w:bCs/>
          <w:sz w:val="22"/>
        </w:rPr>
        <w:t>A Co-Xeter az epesavkötő gyanták adása előtt legalább 2 órával korábban vagy azok adása után legalább 4 órával később adandó.</w:t>
      </w:r>
    </w:p>
    <w:p w14:paraId="43B3ADB7" w14:textId="77777777" w:rsidR="00C2051B" w:rsidRPr="00AA3F64" w:rsidRDefault="00C2051B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5F1C173A" w14:textId="77777777" w:rsidR="00BC5E96" w:rsidRPr="00AA3F64" w:rsidRDefault="00BC5E96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Az alkalmazás módja</w:t>
      </w:r>
    </w:p>
    <w:p w14:paraId="53B3EC6D" w14:textId="77777777" w:rsidR="009C3230" w:rsidRPr="00AA3F64" w:rsidRDefault="009C3230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38820211" w14:textId="77777777" w:rsidR="008002D6" w:rsidRPr="00AA3F64" w:rsidRDefault="00A73EFC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Szájon át történő alkalmazásra.</w:t>
      </w:r>
    </w:p>
    <w:p w14:paraId="6E96124D" w14:textId="77777777" w:rsidR="00FB4CA0" w:rsidRPr="00AA3F64" w:rsidRDefault="00BC5E96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</w:t>
      </w:r>
      <w:r w:rsidR="00097117" w:rsidRPr="00AA3F64">
        <w:rPr>
          <w:rFonts w:cs="Times New Roman"/>
          <w:sz w:val="22"/>
        </w:rPr>
        <w:t xml:space="preserve">Co-Xeter </w:t>
      </w:r>
      <w:r w:rsidR="00FB4CA0" w:rsidRPr="00AA3F64">
        <w:rPr>
          <w:rFonts w:cs="Times New Roman"/>
          <w:sz w:val="22"/>
        </w:rPr>
        <w:t>naponta egyszer, mindig ugyanabban az időszakban</w:t>
      </w:r>
      <w:r w:rsidRPr="00AA3F64">
        <w:rPr>
          <w:rFonts w:cs="Times New Roman"/>
          <w:sz w:val="22"/>
        </w:rPr>
        <w:t xml:space="preserve">, </w:t>
      </w:r>
      <w:r w:rsidR="00FB4CA0" w:rsidRPr="00AA3F64">
        <w:rPr>
          <w:rFonts w:cs="Times New Roman"/>
          <w:sz w:val="22"/>
        </w:rPr>
        <w:t>étkezés közben vagy attól függetlenül is bevehető.</w:t>
      </w:r>
      <w:r w:rsidR="003E3EEF" w:rsidRPr="00AA3F64">
        <w:rPr>
          <w:rFonts w:cs="Times New Roman"/>
          <w:sz w:val="22"/>
        </w:rPr>
        <w:t xml:space="preserve"> </w:t>
      </w:r>
      <w:r w:rsidR="00FB4CA0" w:rsidRPr="00AA3F64">
        <w:rPr>
          <w:rFonts w:cs="Times New Roman"/>
          <w:sz w:val="22"/>
        </w:rPr>
        <w:t>A tablettát egészben, kevés vízzel kell lenyelni.</w:t>
      </w:r>
    </w:p>
    <w:p w14:paraId="0E4902CC" w14:textId="77777777" w:rsidR="00BC5E96" w:rsidRPr="00AA3F64" w:rsidRDefault="00BC5E96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1FCF21A" w14:textId="77777777" w:rsidR="00120F83" w:rsidRPr="00AA3F64" w:rsidRDefault="00120F83" w:rsidP="001D62CA">
      <w:pPr>
        <w:keepNext/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lastRenderedPageBreak/>
        <w:t>4.3</w:t>
      </w:r>
      <w:r w:rsidRPr="00AA3F64">
        <w:rPr>
          <w:rFonts w:cs="Times New Roman"/>
          <w:b/>
          <w:bCs/>
          <w:sz w:val="22"/>
        </w:rPr>
        <w:tab/>
        <w:t>Ellenjavallatok</w:t>
      </w:r>
    </w:p>
    <w:p w14:paraId="7FE08670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63928353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</w:t>
      </w:r>
      <w:r w:rsidR="00097117" w:rsidRPr="00AA3F64">
        <w:rPr>
          <w:rFonts w:cs="Times New Roman"/>
          <w:sz w:val="22"/>
        </w:rPr>
        <w:t xml:space="preserve">Co-Xeter </w:t>
      </w:r>
      <w:bookmarkStart w:id="1" w:name="_Hlk130572695"/>
      <w:r w:rsidR="00165A62" w:rsidRPr="00BA2F61">
        <w:rPr>
          <w:rFonts w:cs="Times New Roman"/>
          <w:sz w:val="22"/>
        </w:rPr>
        <w:t>a 40</w:t>
      </w:r>
      <w:r w:rsidR="009322F6" w:rsidRPr="00BA2F61">
        <w:rPr>
          <w:rFonts w:cs="Times New Roman"/>
          <w:sz w:val="22"/>
        </w:rPr>
        <w:t> </w:t>
      </w:r>
      <w:r w:rsidR="00165A62" w:rsidRPr="00BA2F61">
        <w:rPr>
          <w:rFonts w:cs="Times New Roman"/>
          <w:sz w:val="22"/>
        </w:rPr>
        <w:t>mg/10</w:t>
      </w:r>
      <w:r w:rsidR="009322F6" w:rsidRPr="00BA2F61">
        <w:rPr>
          <w:rFonts w:cs="Times New Roman"/>
          <w:sz w:val="22"/>
        </w:rPr>
        <w:t> </w:t>
      </w:r>
      <w:r w:rsidR="00165A62" w:rsidRPr="00BA2F61">
        <w:rPr>
          <w:rFonts w:cs="Times New Roman"/>
          <w:sz w:val="22"/>
        </w:rPr>
        <w:t>mg-os dózis</w:t>
      </w:r>
      <w:bookmarkEnd w:id="1"/>
      <w:r w:rsidR="00165A62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ellenjavallt:</w:t>
      </w:r>
    </w:p>
    <w:p w14:paraId="06C5051C" w14:textId="77777777" w:rsidR="00120F83" w:rsidRPr="00AA3F64" w:rsidRDefault="00071B3A" w:rsidP="00AA3F64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készítmény hatóanyag</w:t>
      </w:r>
      <w:r w:rsidR="00FB4CA0" w:rsidRPr="00AA3F64">
        <w:rPr>
          <w:rFonts w:cs="Times New Roman"/>
          <w:sz w:val="22"/>
        </w:rPr>
        <w:t>ai</w:t>
      </w:r>
      <w:r w:rsidRPr="00AA3F64">
        <w:rPr>
          <w:rFonts w:cs="Times New Roman"/>
          <w:sz w:val="22"/>
        </w:rPr>
        <w:t xml:space="preserve">val vagy </w:t>
      </w:r>
      <w:r w:rsidR="00BC5E96" w:rsidRPr="00AA3F64">
        <w:rPr>
          <w:rFonts w:eastAsia="Times New Roman" w:cs="Times New Roman"/>
          <w:noProof/>
          <w:sz w:val="22"/>
        </w:rPr>
        <w:t xml:space="preserve">a 6.1 pontban felsorolt </w:t>
      </w:r>
      <w:r w:rsidRPr="00AA3F64">
        <w:rPr>
          <w:rFonts w:cs="Times New Roman"/>
          <w:sz w:val="22"/>
        </w:rPr>
        <w:t>bármely segédanyagával</w:t>
      </w:r>
      <w:r w:rsidR="00120F83" w:rsidRPr="00AA3F64">
        <w:rPr>
          <w:rFonts w:cs="Times New Roman"/>
          <w:sz w:val="22"/>
        </w:rPr>
        <w:t xml:space="preserve"> szembeni túlérzékenység</w:t>
      </w:r>
      <w:r w:rsidRPr="00AA3F64">
        <w:rPr>
          <w:rFonts w:cs="Times New Roman"/>
          <w:sz w:val="22"/>
        </w:rPr>
        <w:t xml:space="preserve"> esetén</w:t>
      </w:r>
      <w:r w:rsidR="00120F83" w:rsidRPr="00AA3F64">
        <w:rPr>
          <w:rFonts w:cs="Times New Roman"/>
          <w:sz w:val="22"/>
        </w:rPr>
        <w:t>.</w:t>
      </w:r>
    </w:p>
    <w:p w14:paraId="4F61C39C" w14:textId="77777777" w:rsidR="00120F83" w:rsidRPr="00AA3F64" w:rsidRDefault="00120F83" w:rsidP="00AA3F64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aktív májbetegség</w:t>
      </w:r>
      <w:r w:rsidR="00071B3A" w:rsidRPr="00AA3F64">
        <w:rPr>
          <w:rFonts w:cs="Times New Roman"/>
          <w:sz w:val="22"/>
        </w:rPr>
        <w:t>ben szenvedő beteg</w:t>
      </w:r>
      <w:r w:rsidR="00D77FEE" w:rsidRPr="00AA3F64">
        <w:rPr>
          <w:rFonts w:cs="Times New Roman"/>
          <w:sz w:val="22"/>
        </w:rPr>
        <w:t>ek</w:t>
      </w:r>
      <w:r w:rsidR="00071B3A" w:rsidRPr="00AA3F64">
        <w:rPr>
          <w:rFonts w:cs="Times New Roman"/>
          <w:sz w:val="22"/>
        </w:rPr>
        <w:t>nél</w:t>
      </w:r>
      <w:r w:rsidRPr="00AA3F64">
        <w:rPr>
          <w:rFonts w:cs="Times New Roman"/>
          <w:sz w:val="22"/>
        </w:rPr>
        <w:t>, beleértve a tartós, ismeretlen eredetű szérum transzaminázszint</w:t>
      </w:r>
      <w:r w:rsidR="00D77FEE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emelkedést, valamint bármilyen szérum transzaminázszint</w:t>
      </w:r>
      <w:r w:rsidR="00306818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emelkedést, amennyiben az a nor</w:t>
      </w:r>
      <w:r w:rsidR="00C10751" w:rsidRPr="00AA3F64">
        <w:rPr>
          <w:rFonts w:cs="Times New Roman"/>
          <w:sz w:val="22"/>
        </w:rPr>
        <w:t>málért</w:t>
      </w:r>
      <w:r w:rsidRPr="00AA3F64">
        <w:rPr>
          <w:rFonts w:cs="Times New Roman"/>
          <w:sz w:val="22"/>
        </w:rPr>
        <w:t>ék felső határának (</w:t>
      </w:r>
      <w:r w:rsidR="00EB0EA9" w:rsidRPr="00AA3F64">
        <w:rPr>
          <w:rFonts w:cs="Times New Roman"/>
          <w:sz w:val="22"/>
        </w:rPr>
        <w:t>Upper L</w:t>
      </w:r>
      <w:r w:rsidR="00171BD7" w:rsidRPr="00AA3F64">
        <w:rPr>
          <w:rFonts w:cs="Times New Roman"/>
          <w:sz w:val="22"/>
        </w:rPr>
        <w:t>imit</w:t>
      </w:r>
      <w:r w:rsidR="00EB0EA9" w:rsidRPr="00AA3F64">
        <w:rPr>
          <w:rFonts w:cs="Times New Roman"/>
          <w:sz w:val="22"/>
        </w:rPr>
        <w:t xml:space="preserve"> of Normal</w:t>
      </w:r>
      <w:r w:rsidR="00475552" w:rsidRPr="00AA3F64">
        <w:rPr>
          <w:rFonts w:cs="Times New Roman"/>
          <w:sz w:val="22"/>
        </w:rPr>
        <w:t>, ULN</w:t>
      </w:r>
      <w:r w:rsidRPr="00AA3F64">
        <w:rPr>
          <w:rFonts w:cs="Times New Roman"/>
          <w:sz w:val="22"/>
        </w:rPr>
        <w:t>) háromszorosát meghaladja.</w:t>
      </w:r>
    </w:p>
    <w:p w14:paraId="749A199A" w14:textId="77777777" w:rsidR="00120F83" w:rsidRPr="00AA3F64" w:rsidRDefault="00120F83" w:rsidP="00AA3F64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terhesség és szoptatás ideje alatt, illetve, ha a fogamzóképes nő nem védekezik megfelelő fogamzásgátló módszerrel.</w:t>
      </w:r>
    </w:p>
    <w:p w14:paraId="56D5124B" w14:textId="77777777" w:rsidR="00FB4CA0" w:rsidRPr="00AA3F64" w:rsidRDefault="009C3230" w:rsidP="00AA3F64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közepesen súlyos és </w:t>
      </w:r>
      <w:r w:rsidR="00FB4CA0" w:rsidRPr="00AA3F64">
        <w:rPr>
          <w:rFonts w:cs="Times New Roman"/>
          <w:sz w:val="22"/>
        </w:rPr>
        <w:t>súlyos vesekárosodás esetén (</w:t>
      </w:r>
      <w:r w:rsidR="00086DE9" w:rsidRPr="00AA3F64">
        <w:rPr>
          <w:rFonts w:cs="Times New Roman"/>
          <w:sz w:val="22"/>
        </w:rPr>
        <w:t>kreatinin-</w:t>
      </w:r>
      <w:r w:rsidR="00FB4CA0" w:rsidRPr="00AA3F64">
        <w:rPr>
          <w:rFonts w:cs="Times New Roman"/>
          <w:sz w:val="22"/>
        </w:rPr>
        <w:t>clearance &lt;</w:t>
      </w:r>
      <w:r w:rsidRPr="00AA3F64">
        <w:rPr>
          <w:rFonts w:cs="Times New Roman"/>
          <w:sz w:val="22"/>
        </w:rPr>
        <w:t>6</w:t>
      </w:r>
      <w:r w:rsidR="00FB4CA0" w:rsidRPr="00AA3F64">
        <w:rPr>
          <w:rFonts w:cs="Times New Roman"/>
          <w:sz w:val="22"/>
        </w:rPr>
        <w:t>0 ml/perc).</w:t>
      </w:r>
    </w:p>
    <w:p w14:paraId="472BB012" w14:textId="77777777" w:rsidR="00FB4CA0" w:rsidRPr="00AA3F64" w:rsidRDefault="00FB4CA0" w:rsidP="00AA3F64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myopathiában szenvedő betegeknél.</w:t>
      </w:r>
    </w:p>
    <w:p w14:paraId="720E80CC" w14:textId="77777777" w:rsidR="00FB4CA0" w:rsidRPr="00AA3F64" w:rsidRDefault="00FB4CA0" w:rsidP="00AA3F64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ciklosporin egyidejű adásakor (lásd 4.4, 4.5 és</w:t>
      </w:r>
      <w:r w:rsidRPr="00AA3F64">
        <w:rPr>
          <w:rFonts w:cs="Times New Roman"/>
          <w:spacing w:val="-7"/>
          <w:sz w:val="22"/>
        </w:rPr>
        <w:t xml:space="preserve"> </w:t>
      </w:r>
      <w:r w:rsidRPr="00AA3F64">
        <w:rPr>
          <w:rFonts w:cs="Times New Roman"/>
          <w:sz w:val="22"/>
        </w:rPr>
        <w:t>5.2 pont).</w:t>
      </w:r>
    </w:p>
    <w:p w14:paraId="316FFF48" w14:textId="77777777" w:rsidR="00C63CCB" w:rsidRPr="007677AC" w:rsidRDefault="00C63CCB" w:rsidP="00AA3F64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olyan betegeknél, akiket egyidejűleg szofoszbuvir/velpataszvir/voxilaprevir kombinációjával </w:t>
      </w:r>
      <w:r w:rsidRPr="007677AC">
        <w:rPr>
          <w:rFonts w:cs="Times New Roman"/>
          <w:sz w:val="22"/>
        </w:rPr>
        <w:t>kezelnek (lásd 4.5 pont).</w:t>
      </w:r>
    </w:p>
    <w:p w14:paraId="30A139A9" w14:textId="77777777" w:rsidR="00B604CE" w:rsidRPr="007677AC" w:rsidRDefault="00B604CE" w:rsidP="000C679A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7677AC">
        <w:rPr>
          <w:rFonts w:cs="Times New Roman"/>
          <w:sz w:val="22"/>
        </w:rPr>
        <w:t>azon betegeknek, akiknél myopathia/rhabdomyolysis kialakulására hajlamosító tényezők állnak fenn, úgymint:</w:t>
      </w:r>
    </w:p>
    <w:p w14:paraId="342DCD54" w14:textId="77777777" w:rsidR="00B604CE" w:rsidRPr="00730E1B" w:rsidRDefault="00B604CE" w:rsidP="00AA3F64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1134" w:hanging="567"/>
        <w:rPr>
          <w:rFonts w:cs="Times New Roman"/>
          <w:sz w:val="22"/>
        </w:rPr>
      </w:pPr>
      <w:r w:rsidRPr="00730E1B">
        <w:rPr>
          <w:rFonts w:cs="Times New Roman"/>
          <w:sz w:val="22"/>
        </w:rPr>
        <w:t>hypothyreosis</w:t>
      </w:r>
    </w:p>
    <w:p w14:paraId="5C2AED8D" w14:textId="77777777" w:rsidR="00B604CE" w:rsidRPr="003A7C5B" w:rsidRDefault="00B604CE" w:rsidP="00AA3F64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1134" w:hanging="567"/>
        <w:rPr>
          <w:rFonts w:cs="Times New Roman"/>
          <w:sz w:val="22"/>
        </w:rPr>
      </w:pPr>
      <w:r w:rsidRPr="003A7C5B">
        <w:rPr>
          <w:rFonts w:cs="Times New Roman"/>
          <w:sz w:val="22"/>
        </w:rPr>
        <w:t>örökletes izombetegség egyéni megjelenése, vagy családi halmozódása</w:t>
      </w:r>
    </w:p>
    <w:p w14:paraId="75E8127C" w14:textId="77777777" w:rsidR="00B604CE" w:rsidRPr="0061434C" w:rsidRDefault="00B604CE" w:rsidP="00AA3F64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1134" w:hanging="567"/>
        <w:rPr>
          <w:rFonts w:cs="Times New Roman"/>
          <w:sz w:val="22"/>
        </w:rPr>
      </w:pPr>
      <w:r w:rsidRPr="0061434C">
        <w:rPr>
          <w:rFonts w:cs="Times New Roman"/>
          <w:sz w:val="22"/>
        </w:rPr>
        <w:t>az anamnézisben egyéb HMG-CoA-reduktáz-inhibitor vagy fibrát alkalmazása mellett kialakult izomkárosodás</w:t>
      </w:r>
    </w:p>
    <w:p w14:paraId="631A1E33" w14:textId="77777777" w:rsidR="00B604CE" w:rsidRPr="0061434C" w:rsidRDefault="00B604CE" w:rsidP="00AA3F64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1134" w:hanging="567"/>
        <w:rPr>
          <w:rFonts w:cs="Times New Roman"/>
          <w:sz w:val="22"/>
        </w:rPr>
      </w:pPr>
      <w:r w:rsidRPr="0061434C">
        <w:rPr>
          <w:rFonts w:cs="Times New Roman"/>
          <w:sz w:val="22"/>
        </w:rPr>
        <w:t>alkoholabúzus</w:t>
      </w:r>
    </w:p>
    <w:p w14:paraId="7C056DCE" w14:textId="77777777" w:rsidR="00B604CE" w:rsidRPr="00D50AC0" w:rsidRDefault="00B604CE" w:rsidP="00AA3F64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1134" w:hanging="567"/>
        <w:rPr>
          <w:rFonts w:cs="Times New Roman"/>
          <w:sz w:val="22"/>
        </w:rPr>
      </w:pPr>
      <w:r w:rsidRPr="00D50AC0">
        <w:rPr>
          <w:rFonts w:cs="Times New Roman"/>
          <w:sz w:val="22"/>
        </w:rPr>
        <w:t>olyan esetek, amikor a rozuvasztatin plazmakoncentrációjának emelkedése fordulhat elő</w:t>
      </w:r>
    </w:p>
    <w:p w14:paraId="77526B86" w14:textId="77777777" w:rsidR="00B604CE" w:rsidRPr="00391072" w:rsidRDefault="00B604CE" w:rsidP="00AA3F64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1134" w:hanging="567"/>
        <w:rPr>
          <w:rFonts w:cs="Times New Roman"/>
          <w:sz w:val="22"/>
        </w:rPr>
      </w:pPr>
      <w:r w:rsidRPr="00391072">
        <w:rPr>
          <w:rFonts w:cs="Times New Roman"/>
          <w:sz w:val="22"/>
        </w:rPr>
        <w:t xml:space="preserve">ázsiai </w:t>
      </w:r>
      <w:r w:rsidR="00787249" w:rsidRPr="00391072">
        <w:rPr>
          <w:rFonts w:cs="Times New Roman"/>
          <w:sz w:val="22"/>
        </w:rPr>
        <w:t>származás</w:t>
      </w:r>
    </w:p>
    <w:p w14:paraId="2FF3DEE7" w14:textId="77777777" w:rsidR="00B604CE" w:rsidRPr="00391072" w:rsidRDefault="00B604CE" w:rsidP="00AA3F64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1134" w:hanging="567"/>
        <w:rPr>
          <w:rFonts w:cs="Times New Roman"/>
          <w:sz w:val="22"/>
        </w:rPr>
      </w:pPr>
      <w:r w:rsidRPr="00391072">
        <w:rPr>
          <w:rFonts w:cs="Times New Roman"/>
          <w:sz w:val="22"/>
        </w:rPr>
        <w:t>fibrátok egyidejű alkalmazása.</w:t>
      </w:r>
    </w:p>
    <w:p w14:paraId="39BB1B0F" w14:textId="77777777" w:rsidR="00B604CE" w:rsidRPr="00AA3F64" w:rsidRDefault="00B604CE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391072">
        <w:rPr>
          <w:rFonts w:cs="Times New Roman"/>
          <w:sz w:val="22"/>
        </w:rPr>
        <w:t>(Lásd 4.4, 4.5 és 5.2 pont</w:t>
      </w:r>
      <w:r w:rsidR="00787249" w:rsidRPr="00391072">
        <w:rPr>
          <w:rFonts w:cs="Times New Roman"/>
          <w:sz w:val="22"/>
        </w:rPr>
        <w:t>.</w:t>
      </w:r>
      <w:r w:rsidRPr="00391072">
        <w:rPr>
          <w:rFonts w:cs="Times New Roman"/>
          <w:sz w:val="22"/>
        </w:rPr>
        <w:t>)</w:t>
      </w:r>
    </w:p>
    <w:p w14:paraId="5A09F1CE" w14:textId="77777777" w:rsidR="009C3230" w:rsidRPr="00AA3F64" w:rsidRDefault="009C3230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4A8E4021" w14:textId="77777777" w:rsidR="00120F83" w:rsidRPr="00AA3F64" w:rsidRDefault="00120F83" w:rsidP="00E008A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4.4</w:t>
      </w:r>
      <w:r w:rsidRPr="00AA3F64">
        <w:rPr>
          <w:rFonts w:cs="Times New Roman"/>
          <w:b/>
          <w:bCs/>
          <w:sz w:val="22"/>
        </w:rPr>
        <w:tab/>
        <w:t>Különleges figyelmeztetések és az alkalmazással kapcsolatos óvintézkedések</w:t>
      </w:r>
    </w:p>
    <w:p w14:paraId="4E3F1917" w14:textId="77777777" w:rsidR="00120F83" w:rsidRPr="00AA3F64" w:rsidRDefault="00120F83" w:rsidP="001749CE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</w:p>
    <w:p w14:paraId="65B25ECB" w14:textId="77777777" w:rsidR="003E236B" w:rsidRPr="00AA3F64" w:rsidRDefault="003E236B" w:rsidP="001749CE">
      <w:pPr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Súlyos, bőrt érintő mellékhatások</w:t>
      </w:r>
    </w:p>
    <w:p w14:paraId="06EB90FA" w14:textId="77777777" w:rsidR="003E236B" w:rsidRPr="00AA3F64" w:rsidRDefault="003E236B" w:rsidP="000037AE">
      <w:pPr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rozuvasztatin</w:t>
      </w:r>
      <w:r w:rsidR="00787249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kezeléssel kapcsolatban súlyos, bőrt érintő mellékhatásokat jelentettek, beleértve a Stevens–Johnson-szindrómát (SJS) és az eosinoph</w:t>
      </w:r>
      <w:r w:rsidR="004C69D1" w:rsidRPr="00AA3F64">
        <w:rPr>
          <w:rFonts w:cs="Times New Roman"/>
          <w:sz w:val="22"/>
        </w:rPr>
        <w:t>i</w:t>
      </w:r>
      <w:r w:rsidRPr="00AA3F64">
        <w:rPr>
          <w:rFonts w:cs="Times New Roman"/>
          <w:sz w:val="22"/>
        </w:rPr>
        <w:t>liával és szisztémás tünetekkel járó gyógyszerreakciót (drug reaction with eosinophilia and systemic symptoms DRESS) is, amely</w:t>
      </w:r>
      <w:r w:rsidR="00787249" w:rsidRPr="00AA3F64">
        <w:rPr>
          <w:rFonts w:cs="Times New Roman"/>
          <w:sz w:val="22"/>
        </w:rPr>
        <w:t>ek</w:t>
      </w:r>
      <w:r w:rsidRPr="00AA3F64">
        <w:rPr>
          <w:rFonts w:cs="Times New Roman"/>
          <w:sz w:val="22"/>
        </w:rPr>
        <w:t xml:space="preserve"> </w:t>
      </w:r>
      <w:r w:rsidR="00787249" w:rsidRPr="00AA3F64">
        <w:rPr>
          <w:rFonts w:cs="Times New Roman"/>
          <w:sz w:val="22"/>
        </w:rPr>
        <w:t xml:space="preserve">akár </w:t>
      </w:r>
      <w:r w:rsidRPr="00AA3F64">
        <w:rPr>
          <w:rFonts w:cs="Times New Roman"/>
          <w:sz w:val="22"/>
        </w:rPr>
        <w:t>életveszélyes</w:t>
      </w:r>
      <w:r w:rsidR="00787249" w:rsidRPr="00AA3F64">
        <w:rPr>
          <w:rFonts w:cs="Times New Roman"/>
          <w:sz w:val="22"/>
        </w:rPr>
        <w:t>ek</w:t>
      </w:r>
      <w:r w:rsidRPr="00AA3F64">
        <w:rPr>
          <w:rFonts w:cs="Times New Roman"/>
          <w:sz w:val="22"/>
        </w:rPr>
        <w:t xml:space="preserve"> vagy halálos kimenetű</w:t>
      </w:r>
      <w:r w:rsidR="00787249" w:rsidRPr="00AA3F64">
        <w:rPr>
          <w:rFonts w:cs="Times New Roman"/>
          <w:sz w:val="22"/>
        </w:rPr>
        <w:t>ek</w:t>
      </w:r>
      <w:r w:rsidRPr="00AA3F64">
        <w:rPr>
          <w:rFonts w:cs="Times New Roman"/>
          <w:sz w:val="22"/>
        </w:rPr>
        <w:t xml:space="preserve"> is lehet</w:t>
      </w:r>
      <w:r w:rsidR="00787249" w:rsidRPr="00AA3F64">
        <w:rPr>
          <w:rFonts w:cs="Times New Roman"/>
          <w:sz w:val="22"/>
        </w:rPr>
        <w:t>nek</w:t>
      </w:r>
      <w:r w:rsidRPr="00AA3F64">
        <w:rPr>
          <w:rFonts w:cs="Times New Roman"/>
          <w:sz w:val="22"/>
        </w:rPr>
        <w:t>. A beteget a gyógyszer rendelésekor tájékoztatni kell a súlyos bőrreakciók jeleiről és tüneteiről, továbbá szoros felügyelet szükséges. Amennyiben ezen reakciókra utaló jelek és tünetek jelentkeznek</w:t>
      </w:r>
      <w:r w:rsidR="00787249" w:rsidRPr="00AA3F64">
        <w:rPr>
          <w:rFonts w:cs="Times New Roman"/>
          <w:sz w:val="22"/>
        </w:rPr>
        <w:t>,</w:t>
      </w:r>
      <w:r w:rsidRPr="00AA3F64">
        <w:rPr>
          <w:rFonts w:cs="Times New Roman"/>
          <w:sz w:val="22"/>
        </w:rPr>
        <w:t xml:space="preserve"> a Co-Xeter alkalmazását azonnal fel kell függeszteni, és más kezelés lehetőségét kell megfontolni.</w:t>
      </w:r>
    </w:p>
    <w:p w14:paraId="16258AA2" w14:textId="77777777" w:rsidR="003E236B" w:rsidRPr="00AA3F64" w:rsidRDefault="003E236B" w:rsidP="00927D34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Ha a betegnél súlyos mellékhatás – például SJS vagy DRESS – jelentkezik a Co-Xeter alkalmazása során, akkor ezeknél a betegnél a Co-Xeter</w:t>
      </w:r>
      <w:r w:rsidR="00787249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kezelés újrakezdése a későbbiekben is tilos.</w:t>
      </w:r>
    </w:p>
    <w:p w14:paraId="39442B17" w14:textId="77777777" w:rsidR="003E236B" w:rsidRPr="00AA3F64" w:rsidRDefault="003E236B" w:rsidP="004413F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</w:p>
    <w:p w14:paraId="0735DAB7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A vázizomzatra kifejtett hatások</w:t>
      </w:r>
    </w:p>
    <w:p w14:paraId="38144B4A" w14:textId="77777777" w:rsidR="0067353F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vázizmok érintettségéről </w:t>
      </w:r>
      <w:r w:rsidR="00C16EAB" w:rsidRPr="00AA3F64">
        <w:rPr>
          <w:rFonts w:cs="Times New Roman"/>
          <w:sz w:val="22"/>
        </w:rPr>
        <w:t>–</w:t>
      </w:r>
      <w:r w:rsidRPr="00AA3F64">
        <w:rPr>
          <w:rFonts w:cs="Times New Roman"/>
          <w:sz w:val="22"/>
        </w:rPr>
        <w:t xml:space="preserve"> mint </w:t>
      </w:r>
      <w:r w:rsidR="00DB0AD7" w:rsidRPr="00AA3F64">
        <w:rPr>
          <w:rFonts w:cs="Times New Roman"/>
          <w:sz w:val="22"/>
        </w:rPr>
        <w:t>például</w:t>
      </w:r>
      <w:r w:rsidRPr="00AA3F64">
        <w:rPr>
          <w:rFonts w:cs="Times New Roman"/>
          <w:sz w:val="22"/>
        </w:rPr>
        <w:t xml:space="preserve"> myalgia, myopathia és ritkán rhabdomyol</w:t>
      </w:r>
      <w:r w:rsidR="0010015E" w:rsidRPr="00AA3F64">
        <w:rPr>
          <w:rFonts w:cs="Times New Roman"/>
          <w:sz w:val="22"/>
        </w:rPr>
        <w:t>y</w:t>
      </w:r>
      <w:r w:rsidRPr="00AA3F64">
        <w:rPr>
          <w:rFonts w:cs="Times New Roman"/>
          <w:sz w:val="22"/>
        </w:rPr>
        <w:t xml:space="preserve">sis </w:t>
      </w:r>
      <w:r w:rsidR="00C16EAB" w:rsidRPr="00AA3F64">
        <w:rPr>
          <w:rFonts w:cs="Times New Roman"/>
          <w:sz w:val="22"/>
        </w:rPr>
        <w:t>–</w:t>
      </w:r>
      <w:r w:rsidRPr="00AA3F64">
        <w:rPr>
          <w:rFonts w:cs="Times New Roman"/>
          <w:sz w:val="22"/>
        </w:rPr>
        <w:t xml:space="preserve"> számoltak be a </w:t>
      </w:r>
      <w:r w:rsidR="00F5561A" w:rsidRPr="00AA3F64">
        <w:rPr>
          <w:rFonts w:cs="Times New Roman"/>
          <w:sz w:val="22"/>
        </w:rPr>
        <w:t xml:space="preserve">rozuvasztatinnal </w:t>
      </w:r>
      <w:r w:rsidRPr="00AA3F64">
        <w:rPr>
          <w:rFonts w:cs="Times New Roman"/>
          <w:sz w:val="22"/>
        </w:rPr>
        <w:t xml:space="preserve">kezelt betegek esetében, </w:t>
      </w:r>
      <w:r w:rsidR="0010015E" w:rsidRPr="00AA3F64">
        <w:rPr>
          <w:rFonts w:cs="Times New Roman"/>
          <w:sz w:val="22"/>
        </w:rPr>
        <w:t xml:space="preserve">az összes </w:t>
      </w:r>
      <w:r w:rsidRPr="00AA3F64">
        <w:rPr>
          <w:rFonts w:cs="Times New Roman"/>
          <w:sz w:val="22"/>
        </w:rPr>
        <w:t>dózis, de különösen 20</w:t>
      </w:r>
      <w:r w:rsidR="0010015E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mg-n</w:t>
      </w:r>
      <w:r w:rsidR="0067353F" w:rsidRPr="00AA3F64">
        <w:rPr>
          <w:rFonts w:cs="Times New Roman"/>
          <w:sz w:val="22"/>
        </w:rPr>
        <w:t>ál nagyobb d</w:t>
      </w:r>
      <w:r w:rsidR="00D50AC0">
        <w:rPr>
          <w:rFonts w:cs="Times New Roman"/>
          <w:sz w:val="22"/>
        </w:rPr>
        <w:t>ózis</w:t>
      </w:r>
      <w:r w:rsidR="00787249" w:rsidRPr="00AA3F64">
        <w:rPr>
          <w:rFonts w:cs="Times New Roman"/>
          <w:sz w:val="22"/>
        </w:rPr>
        <w:t>ok</w:t>
      </w:r>
      <w:r w:rsidR="0067353F" w:rsidRPr="00AA3F64">
        <w:rPr>
          <w:rFonts w:cs="Times New Roman"/>
          <w:sz w:val="22"/>
        </w:rPr>
        <w:t xml:space="preserve"> alkalmazásakor.</w:t>
      </w:r>
    </w:p>
    <w:p w14:paraId="7D99212F" w14:textId="77777777" w:rsidR="001F6669" w:rsidRPr="00AA3F64" w:rsidRDefault="001F6669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Az ezetimib forgalomba hozatalát követően beszámoltak myopathiáról és rhabdomyolysisről. </w:t>
      </w:r>
      <w:r w:rsidR="00086DE9" w:rsidRPr="00AA3F64">
        <w:rPr>
          <w:rFonts w:cs="Times New Roman"/>
          <w:sz w:val="22"/>
        </w:rPr>
        <w:t>R</w:t>
      </w:r>
      <w:r w:rsidRPr="00AA3F64">
        <w:rPr>
          <w:rFonts w:cs="Times New Roman"/>
          <w:sz w:val="22"/>
        </w:rPr>
        <w:t xml:space="preserve">habdomyolysisről </w:t>
      </w:r>
      <w:r w:rsidR="00086DE9" w:rsidRPr="00AA3F64">
        <w:rPr>
          <w:rFonts w:cs="Times New Roman"/>
          <w:sz w:val="22"/>
        </w:rPr>
        <w:t xml:space="preserve">azonban </w:t>
      </w:r>
      <w:r w:rsidRPr="00AA3F64">
        <w:rPr>
          <w:rFonts w:cs="Times New Roman"/>
          <w:sz w:val="22"/>
        </w:rPr>
        <w:t>csak nagyon ritkán számoltak be ezetimibet önmagában adva, és nagyon ritkán az ezetimibet olyan szerekkel együtt alkalmazva, amelyeknél a rhabdomyolysis kialakulásának fokozott a kockázata.</w:t>
      </w:r>
      <w:r w:rsidR="00AF5347" w:rsidRPr="00AF5347">
        <w:rPr>
          <w:rFonts w:cs="Times New Roman"/>
          <w:sz w:val="22"/>
        </w:rPr>
        <w:t xml:space="preserve"> Rhabdomyolysis nagyon ritka eseteit jelentették ezetimib és HMG CoA reduktáz-gátlók kombinációjának alkalmazásakor. A farmakodinámiás interakció lehetősége nem zárható ki (lásd 4.5 pont).</w:t>
      </w:r>
    </w:p>
    <w:p w14:paraId="769AF6F7" w14:textId="77777777" w:rsidR="00097117" w:rsidRPr="00AA3F64" w:rsidRDefault="00097117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Ha myopathia gyanúja áll fenn az izomtünetek alapján, illetve bizonyított a kreatin-kináz szintje alapján, azonnal fel kell függeszteni az ezetimib, bármely sztatin, vagy bármely más említett </w:t>
      </w:r>
      <w:r w:rsidR="00787249" w:rsidRPr="00AA3F64">
        <w:rPr>
          <w:rFonts w:cs="Times New Roman"/>
          <w:sz w:val="22"/>
        </w:rPr>
        <w:t>gyógy</w:t>
      </w:r>
      <w:r w:rsidRPr="00AA3F64">
        <w:rPr>
          <w:rFonts w:cs="Times New Roman"/>
          <w:sz w:val="22"/>
        </w:rPr>
        <w:t xml:space="preserve">szer alkalmazását, melyeket a beteg egyidejűleg szed. Minden beteget fel kell világosítani a myopathia veszélyéről, és meg kell kérni, hogy azonnal számoljon be bármilyen megmagyarázhatatlan izomfájdalomról, </w:t>
      </w:r>
      <w:r w:rsidR="00086DE9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érzékenységről és izomgyengeségről (lásd 4.8 pont).</w:t>
      </w:r>
    </w:p>
    <w:p w14:paraId="32015B57" w14:textId="77777777" w:rsidR="00337595" w:rsidRDefault="00337595" w:rsidP="003F44A6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lastRenderedPageBreak/>
        <w:t>Más HMG-CoA-reduktáz-gátlókhoz hasonlóan, a forgalomba hozatal utánai használat során jelentett, a rozuvasztatinnal összefüggő rhabdomyolysis aránya a 40 mg-os dózis es</w:t>
      </w:r>
      <w:r w:rsidR="005E73D9">
        <w:rPr>
          <w:rFonts w:cs="Times New Roman"/>
          <w:sz w:val="22"/>
        </w:rPr>
        <w:t>e</w:t>
      </w:r>
      <w:r w:rsidRPr="00AA3F64">
        <w:rPr>
          <w:rFonts w:cs="Times New Roman"/>
          <w:sz w:val="22"/>
        </w:rPr>
        <w:t>tében magasabb.</w:t>
      </w:r>
    </w:p>
    <w:p w14:paraId="7919EAF3" w14:textId="77777777" w:rsidR="004703BE" w:rsidRDefault="004703BE" w:rsidP="003F44A6">
      <w:pPr>
        <w:widowControl w:val="0"/>
        <w:rPr>
          <w:rFonts w:cs="Times New Roman"/>
          <w:sz w:val="22"/>
        </w:rPr>
      </w:pPr>
    </w:p>
    <w:p w14:paraId="72575E04" w14:textId="77777777" w:rsidR="004703BE" w:rsidRPr="004703BE" w:rsidRDefault="004703BE" w:rsidP="004703BE">
      <w:pPr>
        <w:widowControl w:val="0"/>
        <w:rPr>
          <w:rFonts w:cs="Times New Roman"/>
          <w:sz w:val="22"/>
          <w:u w:val="single"/>
        </w:rPr>
      </w:pPr>
      <w:r w:rsidRPr="004703BE">
        <w:rPr>
          <w:rFonts w:cs="Times New Roman"/>
          <w:sz w:val="22"/>
          <w:u w:val="single"/>
        </w:rPr>
        <w:t>Neuromuszkuláris hatások</w:t>
      </w:r>
    </w:p>
    <w:p w14:paraId="1CBEB578" w14:textId="77777777" w:rsidR="004703BE" w:rsidRPr="00AA3F64" w:rsidRDefault="004703BE" w:rsidP="004703BE">
      <w:pPr>
        <w:widowControl w:val="0"/>
        <w:rPr>
          <w:rFonts w:cs="Times New Roman"/>
          <w:sz w:val="22"/>
        </w:rPr>
      </w:pPr>
      <w:r w:rsidRPr="004703BE">
        <w:rPr>
          <w:rFonts w:cs="Times New Roman"/>
          <w:sz w:val="22"/>
        </w:rPr>
        <w:t xml:space="preserve">Néhány esetben beszámoltak arról, hogy a sztatinok </w:t>
      </w:r>
      <w:r w:rsidRPr="004703BE">
        <w:rPr>
          <w:rFonts w:cs="Times New Roman"/>
          <w:i/>
          <w:iCs/>
          <w:sz w:val="22"/>
        </w:rPr>
        <w:t>de novo</w:t>
      </w:r>
      <w:r w:rsidRPr="004703BE">
        <w:rPr>
          <w:rFonts w:cs="Times New Roman"/>
          <w:sz w:val="22"/>
        </w:rPr>
        <w:t xml:space="preserve"> myasthenia gravist vagy ocularis myastheniát okoztak, illetve súlyosbították ezeket, ha már korábban is fennálltak (lásd 4.8 pont). A Co-Xeter alkalmazását le kell állítani, ha a tünetek súlyosbodnak. Beszámoltak a tünetek kiújulásáról, miután a beteg (ismét) alkalmazni kezdte ugyanazt vagy egy másik sztatint.</w:t>
      </w:r>
    </w:p>
    <w:p w14:paraId="5B44735D" w14:textId="77777777" w:rsidR="00C63CCB" w:rsidRPr="00AA3F64" w:rsidRDefault="00C63CCB" w:rsidP="00AA3F64">
      <w:pPr>
        <w:widowControl w:val="0"/>
        <w:rPr>
          <w:rFonts w:cs="Times New Roman"/>
          <w:sz w:val="22"/>
        </w:rPr>
      </w:pPr>
    </w:p>
    <w:p w14:paraId="6C0AAE85" w14:textId="77777777" w:rsidR="00C63CCB" w:rsidRPr="00AA3F64" w:rsidRDefault="00C63CCB" w:rsidP="00C63CCB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Májra gyakorolt hatások</w:t>
      </w:r>
    </w:p>
    <w:p w14:paraId="70D60831" w14:textId="77777777" w:rsidR="00C63CCB" w:rsidRPr="00AA3F64" w:rsidRDefault="00C63CCB" w:rsidP="00AA3F64">
      <w:pPr>
        <w:widowControl w:val="0"/>
        <w:rPr>
          <w:sz w:val="22"/>
        </w:rPr>
      </w:pPr>
      <w:r w:rsidRPr="00AA3F64">
        <w:rPr>
          <w:rFonts w:cs="Times New Roman"/>
          <w:sz w:val="22"/>
        </w:rPr>
        <w:t>Az ezetimib és valamely sztatin kombinációs alkalmazásával végzett kontrollos klinikai vizsgálatokban ismételt (a normál</w:t>
      </w:r>
      <w:r w:rsidR="00D50AC0">
        <w:rPr>
          <w:rFonts w:cs="Times New Roman"/>
          <w:sz w:val="22"/>
        </w:rPr>
        <w:t>érték</w:t>
      </w:r>
      <w:r w:rsidRPr="00AA3F64">
        <w:rPr>
          <w:rFonts w:cs="Times New Roman"/>
          <w:sz w:val="22"/>
        </w:rPr>
        <w:t xml:space="preserve"> felső határának – (Upper Limit of Normal, ULN) – háromszorosát elérő, illetve meghaladó) transzaminázszint-emelkedést észleltek. </w:t>
      </w:r>
      <w:r w:rsidRPr="00AA3F64">
        <w:rPr>
          <w:sz w:val="22"/>
        </w:rPr>
        <w:t>Posztmarketing tapasztalatok során a májat érintő, súlyos (főleg emelkedett transzaminázszintek formájában jelentkező) események gyakorisága a 40 mg-os rozuvasztatin dózis alkalmazása mellett magasabb.</w:t>
      </w:r>
    </w:p>
    <w:p w14:paraId="5E0544F2" w14:textId="77777777" w:rsidR="00C63CCB" w:rsidRPr="00AA3F64" w:rsidRDefault="00C63CCB" w:rsidP="00C63CCB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Májfunkciós vizsgálatok elvégzése javasolt a Co-Xeter alkalmazását megelőzően, illetve a kezelés kezdetétől számított 3 hónap múlva. A Co-Xeter alkalmazását abba kell hagyni vagy a d</w:t>
      </w:r>
      <w:r w:rsidR="00D50AC0">
        <w:rPr>
          <w:rFonts w:cs="Times New Roman"/>
          <w:sz w:val="22"/>
        </w:rPr>
        <w:t>ózis</w:t>
      </w:r>
      <w:r w:rsidRPr="00AA3F64">
        <w:rPr>
          <w:rFonts w:cs="Times New Roman"/>
          <w:sz w:val="22"/>
        </w:rPr>
        <w:t>t csökkenteni kell, amennyiben a szérum</w:t>
      </w:r>
      <w:r w:rsidR="00D50AC0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transzaminázszintek a normálérték felső határának háromszorosát meghaladják.</w:t>
      </w:r>
    </w:p>
    <w:p w14:paraId="0B32EF94" w14:textId="77777777" w:rsidR="00C63CCB" w:rsidRPr="00AA3F64" w:rsidRDefault="00C63CCB" w:rsidP="00C63CCB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Azoknál a betegeknél, akiknél hypothyreosis vagy nephrosis-szindróma következtében szekunder hypercholesterinaemia alakul ki, a Co-Xeter-terápia megkezdése előtt az alapbetegség kezelése szükséges.</w:t>
      </w:r>
    </w:p>
    <w:p w14:paraId="3C1DB750" w14:textId="77777777" w:rsidR="00C63CCB" w:rsidRPr="00AA3F64" w:rsidRDefault="00C63CCB" w:rsidP="00C63CCB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Mivel a közepesen súlyos és súlyos májkárosodásban a megnövekedett ezetimib-expozíció hatásai nem ismertek, a Co-Xeter alkalmazása ilyen betegekn</w:t>
      </w:r>
      <w:r w:rsidR="00D50AC0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nem ajánlott (lásd 5.2 pont).</w:t>
      </w:r>
    </w:p>
    <w:p w14:paraId="5B0E5AE4" w14:textId="77777777" w:rsidR="00C63CCB" w:rsidRPr="00AA3F64" w:rsidRDefault="00C63CCB" w:rsidP="00C63CCB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50C1CD12" w14:textId="77777777" w:rsidR="00C63CCB" w:rsidRPr="00AA3F64" w:rsidRDefault="00C63CCB" w:rsidP="00C63CCB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Vesére gyakorolt hatások</w:t>
      </w:r>
    </w:p>
    <w:p w14:paraId="35E50920" w14:textId="77777777" w:rsidR="00C63CCB" w:rsidRPr="00AA3F64" w:rsidRDefault="00D50AC0" w:rsidP="00C63CCB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>
        <w:rPr>
          <w:rFonts w:cs="Times New Roman"/>
          <w:sz w:val="22"/>
        </w:rPr>
        <w:t>Nagyo</w:t>
      </w:r>
      <w:r w:rsidRPr="00AA3F64">
        <w:rPr>
          <w:rFonts w:cs="Times New Roman"/>
          <w:sz w:val="22"/>
        </w:rPr>
        <w:t xml:space="preserve">bb </w:t>
      </w:r>
      <w:r w:rsidR="00C63CCB" w:rsidRPr="00AA3F64">
        <w:rPr>
          <w:rFonts w:cs="Times New Roman"/>
          <w:sz w:val="22"/>
        </w:rPr>
        <w:t>rozuvasztatin</w:t>
      </w:r>
      <w:r w:rsidR="007D6352" w:rsidRPr="00AA3F64">
        <w:rPr>
          <w:rFonts w:cs="Times New Roman"/>
          <w:sz w:val="22"/>
        </w:rPr>
        <w:t>-</w:t>
      </w:r>
      <w:r w:rsidR="00C63CCB" w:rsidRPr="00AA3F64">
        <w:rPr>
          <w:rFonts w:cs="Times New Roman"/>
          <w:sz w:val="22"/>
        </w:rPr>
        <w:t>dózissal, különösen a 40 mg-os d</w:t>
      </w:r>
      <w:r>
        <w:rPr>
          <w:rFonts w:cs="Times New Roman"/>
          <w:sz w:val="22"/>
        </w:rPr>
        <w:t>óziss</w:t>
      </w:r>
      <w:r w:rsidR="00C63CCB" w:rsidRPr="00AA3F64">
        <w:rPr>
          <w:rFonts w:cs="Times New Roman"/>
          <w:sz w:val="22"/>
        </w:rPr>
        <w:t>al kezelt betegeknél tesztcsíkvizsgálattal kimutatott, főleg tubul</w:t>
      </w:r>
      <w:r w:rsidR="00555320">
        <w:rPr>
          <w:rFonts w:cs="Times New Roman"/>
          <w:sz w:val="22"/>
        </w:rPr>
        <w:t>a</w:t>
      </w:r>
      <w:r w:rsidR="00C63CCB" w:rsidRPr="00AA3F64">
        <w:rPr>
          <w:rFonts w:cs="Times New Roman"/>
          <w:sz w:val="22"/>
        </w:rPr>
        <w:t>ris eredetű proteinuriát figyeltek meg, ami a legtöbb esetben átmeneti volt, vagy csak időszakosan jelentkezett. A proteinuria nem feltétlenül jelzi akut vagy súlyosbodó vesebetegség kialakulását (lásd 4.8 pont).</w:t>
      </w:r>
    </w:p>
    <w:p w14:paraId="2E9BE572" w14:textId="77777777" w:rsidR="00C63CCB" w:rsidRPr="00AA3F64" w:rsidRDefault="00555320" w:rsidP="00C63CCB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565853">
        <w:rPr>
          <w:rFonts w:cs="Times New Roman"/>
          <w:sz w:val="22"/>
        </w:rPr>
        <w:t>Forgalomba hozatalt követő</w:t>
      </w:r>
      <w:r w:rsidR="00C63CCB" w:rsidRPr="00AA3F64">
        <w:rPr>
          <w:rFonts w:cs="Times New Roman"/>
          <w:sz w:val="22"/>
        </w:rPr>
        <w:t xml:space="preserve"> tapasztalatok során a vesét érintő, súlyos események jelentési gyakorisága magasabb a 40 mg-os dózis alkalmazása mellett. A 40 mg-os dózissal kezelt betegek rutin követése során, a vesefunkciót rendszeresen (legalább 3 havonta) ellenőrizni kell.</w:t>
      </w:r>
    </w:p>
    <w:p w14:paraId="2DBE1192" w14:textId="77777777" w:rsidR="00337595" w:rsidRPr="00AA3F64" w:rsidRDefault="00337595" w:rsidP="003F44A6">
      <w:pPr>
        <w:widowControl w:val="0"/>
        <w:rPr>
          <w:rFonts w:cs="Times New Roman"/>
          <w:sz w:val="22"/>
        </w:rPr>
      </w:pPr>
    </w:p>
    <w:p w14:paraId="6FB4C8A1" w14:textId="77777777" w:rsidR="00120F83" w:rsidRPr="00AA3F64" w:rsidRDefault="00120F83" w:rsidP="003F44A6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Kreatin</w:t>
      </w:r>
      <w:r w:rsidR="00F05F45" w:rsidRPr="00AA3F64">
        <w:rPr>
          <w:rFonts w:cs="Times New Roman"/>
          <w:sz w:val="22"/>
          <w:u w:val="single"/>
        </w:rPr>
        <w:t>-</w:t>
      </w:r>
      <w:r w:rsidR="00086DE9" w:rsidRPr="00AA3F64">
        <w:rPr>
          <w:rFonts w:cs="Times New Roman"/>
          <w:sz w:val="22"/>
          <w:u w:val="single"/>
        </w:rPr>
        <w:t>kináz-</w:t>
      </w:r>
      <w:r w:rsidRPr="00AA3F64">
        <w:rPr>
          <w:rFonts w:cs="Times New Roman"/>
          <w:sz w:val="22"/>
          <w:u w:val="single"/>
        </w:rPr>
        <w:t>szint ellenőrzése</w:t>
      </w:r>
    </w:p>
    <w:p w14:paraId="0581CA58" w14:textId="77777777" w:rsidR="00120F83" w:rsidRPr="00AA3F64" w:rsidRDefault="00BE452B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kreatin</w:t>
      </w:r>
      <w:r w:rsidR="00F01B89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kináz-</w:t>
      </w:r>
      <w:r w:rsidR="00555320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(CK)</w:t>
      </w:r>
      <w:r w:rsidR="00555320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szint ellenőrzése kimerítő edzést követően</w:t>
      </w:r>
      <w:r w:rsidR="00086DE9" w:rsidRPr="00AA3F64">
        <w:rPr>
          <w:rFonts w:cs="Times New Roman"/>
          <w:sz w:val="22"/>
        </w:rPr>
        <w:t>,</w:t>
      </w:r>
      <w:r w:rsidRPr="00AA3F64">
        <w:rPr>
          <w:rFonts w:cs="Times New Roman"/>
          <w:sz w:val="22"/>
        </w:rPr>
        <w:t xml:space="preserve"> vagy a CK-szint növekedésének egyéb kézenfekvő oka esetén nem javasolt, mert a mérési eredmény értékelésében félrevezető lehet.</w:t>
      </w:r>
    </w:p>
    <w:p w14:paraId="5F3C3D33" w14:textId="77777777" w:rsidR="00120F83" w:rsidRPr="00AA3F64" w:rsidRDefault="00120F83" w:rsidP="001749C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Amennyiben a </w:t>
      </w:r>
      <w:r w:rsidR="007C5FEA" w:rsidRPr="00AA3F64">
        <w:rPr>
          <w:rFonts w:cs="Times New Roman"/>
          <w:sz w:val="22"/>
        </w:rPr>
        <w:t xml:space="preserve">kiindulási </w:t>
      </w:r>
      <w:r w:rsidRPr="00AA3F64">
        <w:rPr>
          <w:rFonts w:cs="Times New Roman"/>
          <w:sz w:val="22"/>
        </w:rPr>
        <w:t>CK</w:t>
      </w:r>
      <w:r w:rsidR="007C5FEA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szint szignifikánsan emelkedett (&gt;5</w:t>
      </w:r>
      <w:r w:rsidR="00086DE9" w:rsidRPr="00AA3F64">
        <w:rPr>
          <w:rFonts w:cs="Times New Roman"/>
          <w:sz w:val="22"/>
        </w:rPr>
        <w:t>×</w:t>
      </w:r>
      <w:r w:rsidRPr="00AA3F64">
        <w:rPr>
          <w:rFonts w:cs="Times New Roman"/>
          <w:sz w:val="22"/>
        </w:rPr>
        <w:t>ULN), 5-7</w:t>
      </w:r>
      <w:r w:rsidR="002C70D4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napon belül kontroll tesztet kell végezni. Ha a megismételt mérés a CK</w:t>
      </w:r>
      <w:r w:rsidR="007C5FEA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szint &gt;5</w:t>
      </w:r>
      <w:r w:rsidR="00086DE9" w:rsidRPr="00AA3F64">
        <w:rPr>
          <w:rFonts w:cs="Times New Roman"/>
          <w:sz w:val="22"/>
        </w:rPr>
        <w:t>×</w:t>
      </w:r>
      <w:r w:rsidRPr="00AA3F64">
        <w:rPr>
          <w:rFonts w:cs="Times New Roman"/>
          <w:sz w:val="22"/>
        </w:rPr>
        <w:t>ULN értékét erősíti meg, a kezelést nem szabad elkezdeni.</w:t>
      </w:r>
    </w:p>
    <w:p w14:paraId="2504C650" w14:textId="77777777" w:rsidR="00120F83" w:rsidRPr="00AA3F64" w:rsidRDefault="00120F83" w:rsidP="001749C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4338BD69" w14:textId="77777777" w:rsidR="00120F83" w:rsidRPr="00AA3F64" w:rsidRDefault="00120F83" w:rsidP="000037A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iCs/>
          <w:sz w:val="22"/>
          <w:u w:val="single"/>
        </w:rPr>
      </w:pPr>
      <w:r w:rsidRPr="00AA3F64">
        <w:rPr>
          <w:rFonts w:cs="Times New Roman"/>
          <w:i/>
          <w:iCs/>
          <w:sz w:val="22"/>
          <w:u w:val="single"/>
        </w:rPr>
        <w:t>A kezelés megkezdése előtt</w:t>
      </w:r>
    </w:p>
    <w:p w14:paraId="72C73085" w14:textId="77777777" w:rsidR="00120F83" w:rsidRPr="00AA3F64" w:rsidRDefault="00120F83" w:rsidP="00927D3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</w:t>
      </w:r>
      <w:r w:rsidR="00097117" w:rsidRPr="00AA3F64">
        <w:rPr>
          <w:rFonts w:cs="Times New Roman"/>
          <w:sz w:val="22"/>
        </w:rPr>
        <w:t xml:space="preserve"> </w:t>
      </w:r>
      <w:r w:rsidR="001064A9" w:rsidRPr="001064A9">
        <w:rPr>
          <w:rFonts w:cs="Times New Roman"/>
          <w:sz w:val="22"/>
        </w:rPr>
        <w:t>rozuvasztatin-ezetimib kombináció</w:t>
      </w:r>
      <w:r w:rsidR="001064A9">
        <w:rPr>
          <w:rFonts w:cs="Times New Roman"/>
          <w:sz w:val="22"/>
        </w:rPr>
        <w:t>t</w:t>
      </w:r>
      <w:r w:rsidRPr="00AA3F64">
        <w:rPr>
          <w:rFonts w:cs="Times New Roman"/>
          <w:sz w:val="22"/>
        </w:rPr>
        <w:t xml:space="preserve"> csakúgy, mint </w:t>
      </w:r>
      <w:r w:rsidR="00DF0048" w:rsidRPr="00AA3F64">
        <w:rPr>
          <w:rFonts w:cs="Times New Roman"/>
          <w:sz w:val="22"/>
        </w:rPr>
        <w:t xml:space="preserve">a többi </w:t>
      </w:r>
      <w:r w:rsidRPr="00AA3F64">
        <w:rPr>
          <w:rFonts w:cs="Times New Roman"/>
          <w:sz w:val="22"/>
        </w:rPr>
        <w:t>HMG</w:t>
      </w:r>
      <w:r w:rsidR="001165BB" w:rsidRPr="00AA3F64">
        <w:rPr>
          <w:rFonts w:cs="Times New Roman"/>
          <w:sz w:val="22"/>
        </w:rPr>
        <w:noBreakHyphen/>
        <w:t>CoA</w:t>
      </w:r>
      <w:r w:rsidR="001165BB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reduktáz</w:t>
      </w:r>
      <w:r w:rsidR="00901B08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gátlót csak elővigyázatossággal lehet felírni olyan betegeknek, akiknél myopathia/rhabdomyolysis kialakulására hajlamosító tényezők állnak fenn</w:t>
      </w:r>
      <w:r w:rsidR="007C5FEA" w:rsidRPr="00AA3F64">
        <w:rPr>
          <w:rFonts w:cs="Times New Roman"/>
          <w:sz w:val="22"/>
        </w:rPr>
        <w:t>. Ezek a tényezők</w:t>
      </w:r>
      <w:r w:rsidRPr="00AA3F64">
        <w:rPr>
          <w:rFonts w:cs="Times New Roman"/>
          <w:sz w:val="22"/>
        </w:rPr>
        <w:t>:</w:t>
      </w:r>
    </w:p>
    <w:p w14:paraId="5E9D542D" w14:textId="77777777" w:rsidR="00120F83" w:rsidRPr="00AA3F64" w:rsidRDefault="00707A46" w:rsidP="00927D3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ab/>
      </w:r>
      <w:r w:rsidR="00120F83" w:rsidRPr="00AA3F64">
        <w:rPr>
          <w:rFonts w:cs="Times New Roman"/>
          <w:sz w:val="22"/>
        </w:rPr>
        <w:t>vesekárosodás</w:t>
      </w:r>
    </w:p>
    <w:p w14:paraId="54B337E9" w14:textId="77777777" w:rsidR="00120F83" w:rsidRPr="00AA3F64" w:rsidRDefault="00707A46" w:rsidP="004413FE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ab/>
      </w:r>
      <w:r w:rsidR="00120F83" w:rsidRPr="00AA3F64">
        <w:rPr>
          <w:rFonts w:cs="Times New Roman"/>
          <w:sz w:val="22"/>
        </w:rPr>
        <w:t>hypothyreosis</w:t>
      </w:r>
    </w:p>
    <w:p w14:paraId="7A74BF41" w14:textId="77777777" w:rsidR="00120F83" w:rsidRPr="00AA3F64" w:rsidRDefault="00707A46" w:rsidP="00BF22C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ab/>
      </w:r>
      <w:r w:rsidR="00120F83" w:rsidRPr="00AA3F64">
        <w:rPr>
          <w:rFonts w:cs="Times New Roman"/>
          <w:sz w:val="22"/>
        </w:rPr>
        <w:t>örökletes izombetegség az egyéni vagy családi anamnézisben</w:t>
      </w:r>
    </w:p>
    <w:p w14:paraId="6BDA2A1B" w14:textId="77777777" w:rsidR="00120F83" w:rsidRPr="00AA3F64" w:rsidRDefault="00707A46" w:rsidP="00BF22C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ab/>
      </w:r>
      <w:r w:rsidR="001165BB" w:rsidRPr="00AA3F64">
        <w:rPr>
          <w:rFonts w:cs="Times New Roman"/>
          <w:sz w:val="22"/>
        </w:rPr>
        <w:t>egyéb HMG</w:t>
      </w:r>
      <w:r w:rsidR="001165BB" w:rsidRPr="00AA3F64">
        <w:rPr>
          <w:rFonts w:cs="Times New Roman"/>
          <w:sz w:val="22"/>
        </w:rPr>
        <w:noBreakHyphen/>
        <w:t>CoA</w:t>
      </w:r>
      <w:r w:rsidR="001165BB" w:rsidRPr="00AA3F64">
        <w:rPr>
          <w:rFonts w:cs="Times New Roman"/>
          <w:sz w:val="22"/>
        </w:rPr>
        <w:noBreakHyphen/>
      </w:r>
      <w:r w:rsidR="00120F83" w:rsidRPr="00AA3F64">
        <w:rPr>
          <w:rFonts w:cs="Times New Roman"/>
          <w:sz w:val="22"/>
        </w:rPr>
        <w:t>reduktáz</w:t>
      </w:r>
      <w:r w:rsidR="00DF0048" w:rsidRPr="00AA3F64">
        <w:rPr>
          <w:rFonts w:cs="Times New Roman"/>
          <w:sz w:val="22"/>
        </w:rPr>
        <w:t>-</w:t>
      </w:r>
      <w:r w:rsidR="00120F83" w:rsidRPr="00AA3F64">
        <w:rPr>
          <w:rFonts w:cs="Times New Roman"/>
          <w:sz w:val="22"/>
        </w:rPr>
        <w:t>inhibitor</w:t>
      </w:r>
      <w:r w:rsidR="00086DE9" w:rsidRPr="00AA3F64">
        <w:rPr>
          <w:rFonts w:cs="Times New Roman"/>
          <w:sz w:val="22"/>
        </w:rPr>
        <w:t>-</w:t>
      </w:r>
      <w:r w:rsidR="00120F83" w:rsidRPr="00AA3F64">
        <w:rPr>
          <w:rFonts w:cs="Times New Roman"/>
          <w:sz w:val="22"/>
        </w:rPr>
        <w:t xml:space="preserve"> vagy fibrát</w:t>
      </w:r>
      <w:r w:rsidR="0062090C" w:rsidRPr="00AA3F64">
        <w:rPr>
          <w:rFonts w:cs="Times New Roman"/>
          <w:sz w:val="22"/>
        </w:rPr>
        <w:t>-</w:t>
      </w:r>
      <w:r w:rsidR="00120F83" w:rsidRPr="00AA3F64">
        <w:rPr>
          <w:rFonts w:cs="Times New Roman"/>
          <w:sz w:val="22"/>
        </w:rPr>
        <w:t>kezelés hatására kialakult izomkárosodás előfordulása az anamnézisben</w:t>
      </w:r>
    </w:p>
    <w:p w14:paraId="2B8E33A3" w14:textId="77777777" w:rsidR="00120F83" w:rsidRPr="00AA3F64" w:rsidRDefault="00707A46" w:rsidP="0063040C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ab/>
      </w:r>
      <w:r w:rsidR="00120F83" w:rsidRPr="00AA3F64">
        <w:rPr>
          <w:rFonts w:cs="Times New Roman"/>
          <w:sz w:val="22"/>
        </w:rPr>
        <w:t>alkoholabúzus</w:t>
      </w:r>
    </w:p>
    <w:p w14:paraId="095FC85D" w14:textId="77777777" w:rsidR="00120F83" w:rsidRPr="00AA3F64" w:rsidRDefault="00707A46" w:rsidP="0063040C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ab/>
      </w:r>
      <w:r w:rsidR="00120F83" w:rsidRPr="00AA3F64">
        <w:rPr>
          <w:rFonts w:cs="Times New Roman"/>
          <w:sz w:val="22"/>
        </w:rPr>
        <w:t>70</w:t>
      </w:r>
      <w:r w:rsidR="007C5FEA" w:rsidRPr="00AA3F64">
        <w:rPr>
          <w:rFonts w:cs="Times New Roman"/>
          <w:sz w:val="22"/>
        </w:rPr>
        <w:t> </w:t>
      </w:r>
      <w:r w:rsidR="00120F83" w:rsidRPr="00AA3F64">
        <w:rPr>
          <w:rFonts w:cs="Times New Roman"/>
          <w:sz w:val="22"/>
        </w:rPr>
        <w:t>év feletti életkor</w:t>
      </w:r>
    </w:p>
    <w:p w14:paraId="3A964A96" w14:textId="77777777" w:rsidR="00120F83" w:rsidRPr="00AA3F64" w:rsidRDefault="00707A46" w:rsidP="0063040C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ab/>
      </w:r>
      <w:r w:rsidR="00120F83" w:rsidRPr="00AA3F64">
        <w:rPr>
          <w:rFonts w:cs="Times New Roman"/>
          <w:sz w:val="22"/>
        </w:rPr>
        <w:t xml:space="preserve">olyan esetek, amikor a </w:t>
      </w:r>
      <w:r w:rsidR="005B31BE" w:rsidRPr="00AA3F64">
        <w:rPr>
          <w:rFonts w:cs="Times New Roman"/>
          <w:sz w:val="22"/>
        </w:rPr>
        <w:t xml:space="preserve">rozuvasztatin </w:t>
      </w:r>
      <w:r w:rsidR="00120F83" w:rsidRPr="00AA3F64">
        <w:rPr>
          <w:rFonts w:cs="Times New Roman"/>
          <w:sz w:val="22"/>
        </w:rPr>
        <w:t>plazmakoncentráció</w:t>
      </w:r>
      <w:r w:rsidR="00086DE9" w:rsidRPr="00AA3F64">
        <w:rPr>
          <w:rFonts w:cs="Times New Roman"/>
          <w:sz w:val="22"/>
        </w:rPr>
        <w:t>jának</w:t>
      </w:r>
      <w:r w:rsidR="00120F83" w:rsidRPr="00AA3F64">
        <w:rPr>
          <w:rFonts w:cs="Times New Roman"/>
          <w:sz w:val="22"/>
        </w:rPr>
        <w:t xml:space="preserve"> emelkedése fordulhat elő (lásd 5.2 pont)</w:t>
      </w:r>
    </w:p>
    <w:p w14:paraId="32B83C2D" w14:textId="77777777" w:rsidR="00120F83" w:rsidRPr="00AA3F64" w:rsidRDefault="00707A46" w:rsidP="0063040C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ab/>
      </w:r>
      <w:r w:rsidR="00120F83" w:rsidRPr="00AA3F64">
        <w:rPr>
          <w:rFonts w:cs="Times New Roman"/>
          <w:sz w:val="22"/>
        </w:rPr>
        <w:t>fibrátok egyidejű alkalmazása.</w:t>
      </w:r>
    </w:p>
    <w:p w14:paraId="60E96276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74733A15" w14:textId="0AC7EA4C" w:rsidR="00120F83" w:rsidRDefault="00120F83" w:rsidP="001D62CA">
      <w:pPr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lastRenderedPageBreak/>
        <w:t>Ezek</w:t>
      </w:r>
      <w:r w:rsidR="007C5FEA" w:rsidRPr="00AA3F64">
        <w:rPr>
          <w:rFonts w:cs="Times New Roman"/>
          <w:sz w:val="22"/>
        </w:rPr>
        <w:t>nél</w:t>
      </w:r>
      <w:r w:rsidRPr="00AA3F64">
        <w:rPr>
          <w:rFonts w:cs="Times New Roman"/>
          <w:sz w:val="22"/>
        </w:rPr>
        <w:t xml:space="preserve"> a betegek</w:t>
      </w:r>
      <w:r w:rsidR="007C5FEA" w:rsidRPr="00AA3F64">
        <w:rPr>
          <w:rFonts w:cs="Times New Roman"/>
          <w:sz w:val="22"/>
        </w:rPr>
        <w:t>nél</w:t>
      </w:r>
      <w:r w:rsidRPr="00AA3F64">
        <w:rPr>
          <w:rFonts w:cs="Times New Roman"/>
          <w:sz w:val="22"/>
        </w:rPr>
        <w:t xml:space="preserve"> a kezeléssel járó kockázatot kell mérlegelni a terápia lehetséges előnyével szemben, továbbá ajánlott a betegek klinikai </w:t>
      </w:r>
      <w:r w:rsidR="00DC189B" w:rsidRPr="00AA3F64">
        <w:rPr>
          <w:rFonts w:cs="Times New Roman"/>
          <w:sz w:val="22"/>
        </w:rPr>
        <w:t>monitorozása</w:t>
      </w:r>
      <w:r w:rsidRPr="00AA3F64">
        <w:rPr>
          <w:rFonts w:cs="Times New Roman"/>
          <w:sz w:val="22"/>
        </w:rPr>
        <w:t>.</w:t>
      </w:r>
      <w:r w:rsidR="001252BA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 xml:space="preserve">Szignifikánsan magasabb </w:t>
      </w:r>
      <w:r w:rsidR="007C5FEA" w:rsidRPr="00AA3F64">
        <w:rPr>
          <w:rFonts w:cs="Times New Roman"/>
          <w:sz w:val="22"/>
        </w:rPr>
        <w:t xml:space="preserve">kiindulási </w:t>
      </w:r>
      <w:r w:rsidRPr="00AA3F64">
        <w:rPr>
          <w:rFonts w:cs="Times New Roman"/>
          <w:sz w:val="22"/>
        </w:rPr>
        <w:t>CK</w:t>
      </w:r>
      <w:r w:rsidR="0062090C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szint esetén (&gt;</w:t>
      </w:r>
      <w:r w:rsidR="008C3C0F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5</w:t>
      </w:r>
      <w:r w:rsidR="00086DE9" w:rsidRPr="00AA3F64">
        <w:rPr>
          <w:rFonts w:cs="Times New Roman"/>
          <w:sz w:val="22"/>
        </w:rPr>
        <w:t>×</w:t>
      </w:r>
      <w:r w:rsidRPr="00AA3F64">
        <w:rPr>
          <w:rFonts w:cs="Times New Roman"/>
          <w:sz w:val="22"/>
        </w:rPr>
        <w:t>ULN) a kezelést nem szabad elkezdeni.</w:t>
      </w:r>
    </w:p>
    <w:p w14:paraId="03882315" w14:textId="77777777" w:rsidR="006B7AE7" w:rsidRDefault="006B7AE7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18B67C07" w14:textId="77777777" w:rsidR="006B7AE7" w:rsidRPr="00AA3F64" w:rsidRDefault="006B7AE7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1B0501">
        <w:rPr>
          <w:rFonts w:cs="Times New Roman"/>
          <w:sz w:val="22"/>
        </w:rPr>
        <w:t>A 40 mg/10mg-os dózis ellenjavallt azon betegeknek, akiknél myopathia/rhabdomyolysis kialakulására hajlamosító tényezők állnak fenn (lásd 4.3 pont).</w:t>
      </w:r>
    </w:p>
    <w:p w14:paraId="2BC0D024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Cs/>
          <w:sz w:val="22"/>
        </w:rPr>
      </w:pPr>
    </w:p>
    <w:p w14:paraId="1EFDC661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  <w:u w:val="single"/>
        </w:rPr>
      </w:pPr>
      <w:r w:rsidRPr="00AA3F64">
        <w:rPr>
          <w:rFonts w:cs="Times New Roman"/>
          <w:i/>
          <w:sz w:val="22"/>
          <w:u w:val="single"/>
        </w:rPr>
        <w:t>A kezelés ideje alatt</w:t>
      </w:r>
    </w:p>
    <w:p w14:paraId="08B02DCA" w14:textId="686C1A40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beteget meg kell kérni, hogy ismeretlen eredetű izomfájdalom, -gyengeség vagy -görcs jelentkezéséről haladéktalanul számoljon be, főleg</w:t>
      </w:r>
      <w:r w:rsidR="00A91087" w:rsidRPr="00AA3F64">
        <w:rPr>
          <w:rFonts w:cs="Times New Roman"/>
          <w:sz w:val="22"/>
        </w:rPr>
        <w:t>,</w:t>
      </w:r>
      <w:r w:rsidRPr="00AA3F64">
        <w:rPr>
          <w:rFonts w:cs="Times New Roman"/>
          <w:sz w:val="22"/>
        </w:rPr>
        <w:t xml:space="preserve"> ha azt rossz közérzet vagy láz kíséri. </w:t>
      </w:r>
      <w:r w:rsidR="006D0C35" w:rsidRPr="00AA3F64">
        <w:rPr>
          <w:rFonts w:cs="Times New Roman"/>
          <w:sz w:val="22"/>
        </w:rPr>
        <w:t>Ezeknél a betegeknél</w:t>
      </w:r>
      <w:r w:rsidRPr="00AA3F64">
        <w:rPr>
          <w:rFonts w:cs="Times New Roman"/>
          <w:sz w:val="22"/>
        </w:rPr>
        <w:t xml:space="preserve"> a kreatin</w:t>
      </w:r>
      <w:r w:rsidR="0062090C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kináz-</w:t>
      </w:r>
      <w:r w:rsidR="0062090C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(CK)</w:t>
      </w:r>
      <w:r w:rsidR="0062090C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szint ellenőrzése szükséges. A terápiát fel kell függeszteni, amennyiben a CK</w:t>
      </w:r>
      <w:r w:rsidR="006D0C35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szint jelentősen megemelked</w:t>
      </w:r>
      <w:r w:rsidR="00AF0831" w:rsidRPr="00AA3F64">
        <w:rPr>
          <w:rFonts w:cs="Times New Roman"/>
          <w:sz w:val="22"/>
        </w:rPr>
        <w:t>tek</w:t>
      </w:r>
      <w:r w:rsidRPr="00AA3F64">
        <w:rPr>
          <w:rFonts w:cs="Times New Roman"/>
          <w:sz w:val="22"/>
        </w:rPr>
        <w:t xml:space="preserve"> (&gt;5</w:t>
      </w:r>
      <w:r w:rsidR="00086DE9" w:rsidRPr="00AA3F64">
        <w:rPr>
          <w:rFonts w:cs="Times New Roman"/>
          <w:sz w:val="22"/>
        </w:rPr>
        <w:t>×</w:t>
      </w:r>
      <w:r w:rsidRPr="00AA3F64">
        <w:rPr>
          <w:rFonts w:cs="Times New Roman"/>
          <w:sz w:val="22"/>
        </w:rPr>
        <w:t>ULN), vagy az izomtünetek súlyossá válnak</w:t>
      </w:r>
      <w:r w:rsidR="00A91087" w:rsidRPr="00AA3F64">
        <w:rPr>
          <w:rFonts w:cs="Times New Roman"/>
          <w:sz w:val="22"/>
        </w:rPr>
        <w:t>,</w:t>
      </w:r>
      <w:r w:rsidRPr="00AA3F64">
        <w:rPr>
          <w:rFonts w:cs="Times New Roman"/>
          <w:sz w:val="22"/>
        </w:rPr>
        <w:t xml:space="preserve"> és a mindennapi tevékenység során panaszokat okoznak (akkor is, ha a CK</w:t>
      </w:r>
      <w:r w:rsidR="006D0C35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 xml:space="preserve">szint </w:t>
      </w:r>
      <w:bookmarkStart w:id="2" w:name="_Hlk106015006"/>
      <w:r w:rsidRPr="00AA3F64">
        <w:rPr>
          <w:rFonts w:cs="Times New Roman"/>
          <w:sz w:val="22"/>
        </w:rPr>
        <w:t>≤</w:t>
      </w:r>
      <w:bookmarkEnd w:id="2"/>
      <w:r w:rsidR="008C3C0F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5</w:t>
      </w:r>
      <w:r w:rsidR="00086DE9" w:rsidRPr="00AA3F64">
        <w:rPr>
          <w:rFonts w:cs="Times New Roman"/>
          <w:sz w:val="22"/>
        </w:rPr>
        <w:t>×</w:t>
      </w:r>
      <w:r w:rsidRPr="00AA3F64">
        <w:rPr>
          <w:rFonts w:cs="Times New Roman"/>
          <w:sz w:val="22"/>
        </w:rPr>
        <w:t>ULN).</w:t>
      </w:r>
    </w:p>
    <w:p w14:paraId="69D95AD9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Tünetmentes betegek</w:t>
      </w:r>
      <w:r w:rsidR="00DC189B" w:rsidRPr="00AA3F64">
        <w:rPr>
          <w:rFonts w:cs="Times New Roman"/>
          <w:sz w:val="22"/>
        </w:rPr>
        <w:t xml:space="preserve">nél a </w:t>
      </w:r>
      <w:r w:rsidRPr="00AA3F64">
        <w:rPr>
          <w:rFonts w:cs="Times New Roman"/>
          <w:sz w:val="22"/>
        </w:rPr>
        <w:t>CK</w:t>
      </w:r>
      <w:r w:rsidR="006D0C35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szint ellenőrzése nem indokolt.</w:t>
      </w:r>
    </w:p>
    <w:p w14:paraId="527F2713" w14:textId="77777777" w:rsidR="00824587" w:rsidRPr="00AA3F64" w:rsidRDefault="00824587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730AE17C" w14:textId="77777777" w:rsidR="0094347C" w:rsidRPr="00AA3F64" w:rsidRDefault="0094347C" w:rsidP="00AA3F64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 w:rsidRPr="00AA3F64">
        <w:rPr>
          <w:color w:val="auto"/>
          <w:sz w:val="22"/>
          <w:szCs w:val="22"/>
        </w:rPr>
        <w:t>Nagyon ritkán beszámoltak immunmediált ne</w:t>
      </w:r>
      <w:r w:rsidR="0062090C" w:rsidRPr="00AA3F64">
        <w:rPr>
          <w:color w:val="auto"/>
          <w:sz w:val="22"/>
          <w:szCs w:val="22"/>
        </w:rPr>
        <w:t>k</w:t>
      </w:r>
      <w:r w:rsidRPr="00AA3F64">
        <w:rPr>
          <w:color w:val="auto"/>
          <w:sz w:val="22"/>
          <w:szCs w:val="22"/>
        </w:rPr>
        <w:t>rotizáló myopathiáról</w:t>
      </w:r>
      <w:r w:rsidR="00C97CF9" w:rsidRPr="00AA3F64">
        <w:rPr>
          <w:color w:val="auto"/>
          <w:sz w:val="22"/>
          <w:szCs w:val="22"/>
        </w:rPr>
        <w:t xml:space="preserve"> (IMNM) sztatin</w:t>
      </w:r>
      <w:r w:rsidR="00C97CF9" w:rsidRPr="00AA3F64">
        <w:rPr>
          <w:color w:val="auto"/>
          <w:sz w:val="22"/>
          <w:szCs w:val="22"/>
        </w:rPr>
        <w:noBreakHyphen/>
        <w:t xml:space="preserve">kezelés </w:t>
      </w:r>
      <w:r w:rsidR="00C16EAB" w:rsidRPr="00AA3F64">
        <w:rPr>
          <w:color w:val="auto"/>
          <w:sz w:val="22"/>
          <w:szCs w:val="22"/>
        </w:rPr>
        <w:t>–</w:t>
      </w:r>
      <w:r w:rsidR="00C97CF9" w:rsidRPr="00AA3F64">
        <w:rPr>
          <w:color w:val="auto"/>
          <w:sz w:val="22"/>
          <w:szCs w:val="22"/>
        </w:rPr>
        <w:t xml:space="preserve"> beleértve a rozuvasztatint is </w:t>
      </w:r>
      <w:r w:rsidR="00C16EAB" w:rsidRPr="00AA3F64">
        <w:rPr>
          <w:color w:val="auto"/>
          <w:sz w:val="22"/>
          <w:szCs w:val="22"/>
        </w:rPr>
        <w:t>–</w:t>
      </w:r>
      <w:r w:rsidR="00C97CF9" w:rsidRPr="00AA3F64">
        <w:rPr>
          <w:color w:val="auto"/>
          <w:sz w:val="22"/>
          <w:szCs w:val="22"/>
        </w:rPr>
        <w:t xml:space="preserve"> alatt vagy annak megszakítását követően.</w:t>
      </w:r>
      <w:r w:rsidRPr="00AA3F64">
        <w:rPr>
          <w:color w:val="auto"/>
          <w:sz w:val="22"/>
          <w:szCs w:val="22"/>
        </w:rPr>
        <w:t xml:space="preserve"> </w:t>
      </w:r>
      <w:r w:rsidR="00C97CF9" w:rsidRPr="00AA3F64">
        <w:rPr>
          <w:color w:val="auto"/>
          <w:sz w:val="22"/>
          <w:szCs w:val="22"/>
        </w:rPr>
        <w:t xml:space="preserve">Az IMNM-t </w:t>
      </w:r>
      <w:r w:rsidRPr="00AA3F64">
        <w:rPr>
          <w:color w:val="auto"/>
          <w:sz w:val="22"/>
          <w:szCs w:val="22"/>
        </w:rPr>
        <w:t xml:space="preserve">proximalis izomgyengeség és </w:t>
      </w:r>
      <w:r w:rsidR="00555320">
        <w:rPr>
          <w:color w:val="auto"/>
          <w:sz w:val="22"/>
          <w:szCs w:val="22"/>
        </w:rPr>
        <w:t xml:space="preserve">a szérum </w:t>
      </w:r>
      <w:r w:rsidRPr="00AA3F64">
        <w:rPr>
          <w:color w:val="auto"/>
          <w:sz w:val="22"/>
          <w:szCs w:val="22"/>
        </w:rPr>
        <w:t>emelkedett kreatin</w:t>
      </w:r>
      <w:r w:rsidR="00086DE9" w:rsidRPr="00AA3F64">
        <w:rPr>
          <w:color w:val="auto"/>
          <w:sz w:val="22"/>
          <w:szCs w:val="22"/>
        </w:rPr>
        <w:t>-</w:t>
      </w:r>
      <w:r w:rsidRPr="00AA3F64">
        <w:rPr>
          <w:color w:val="auto"/>
          <w:sz w:val="22"/>
          <w:szCs w:val="22"/>
        </w:rPr>
        <w:t>kináz</w:t>
      </w:r>
      <w:r w:rsidR="00086DE9" w:rsidRPr="00AA3F64">
        <w:rPr>
          <w:color w:val="auto"/>
          <w:sz w:val="22"/>
          <w:szCs w:val="22"/>
        </w:rPr>
        <w:t>-szint</w:t>
      </w:r>
      <w:r w:rsidR="00555320">
        <w:rPr>
          <w:color w:val="auto"/>
          <w:sz w:val="22"/>
          <w:szCs w:val="22"/>
        </w:rPr>
        <w:t>je</w:t>
      </w:r>
      <w:r w:rsidRPr="00AA3F64">
        <w:rPr>
          <w:color w:val="auto"/>
          <w:sz w:val="22"/>
          <w:szCs w:val="22"/>
        </w:rPr>
        <w:t xml:space="preserve"> jellemz</w:t>
      </w:r>
      <w:r w:rsidR="00080929" w:rsidRPr="00AA3F64">
        <w:rPr>
          <w:color w:val="auto"/>
          <w:sz w:val="22"/>
          <w:szCs w:val="22"/>
        </w:rPr>
        <w:t>i</w:t>
      </w:r>
      <w:r w:rsidRPr="00AA3F64">
        <w:rPr>
          <w:color w:val="auto"/>
          <w:sz w:val="22"/>
          <w:szCs w:val="22"/>
        </w:rPr>
        <w:t xml:space="preserve"> </w:t>
      </w:r>
      <w:r w:rsidR="00DE41E5" w:rsidRPr="00AA3F64">
        <w:rPr>
          <w:color w:val="auto"/>
          <w:sz w:val="22"/>
          <w:szCs w:val="22"/>
        </w:rPr>
        <w:t xml:space="preserve">klinikailag, ami </w:t>
      </w:r>
      <w:r w:rsidRPr="00AA3F64">
        <w:rPr>
          <w:color w:val="auto"/>
          <w:sz w:val="22"/>
          <w:szCs w:val="22"/>
        </w:rPr>
        <w:t xml:space="preserve">a </w:t>
      </w:r>
      <w:r w:rsidR="00DE41E5" w:rsidRPr="00AA3F64">
        <w:rPr>
          <w:color w:val="auto"/>
          <w:sz w:val="22"/>
          <w:szCs w:val="22"/>
        </w:rPr>
        <w:t>sztatin</w:t>
      </w:r>
      <w:r w:rsidR="00080929" w:rsidRPr="00AA3F64">
        <w:rPr>
          <w:color w:val="auto"/>
          <w:sz w:val="22"/>
          <w:szCs w:val="22"/>
        </w:rPr>
        <w:t>-</w:t>
      </w:r>
      <w:r w:rsidRPr="00AA3F64">
        <w:rPr>
          <w:color w:val="auto"/>
          <w:sz w:val="22"/>
          <w:szCs w:val="22"/>
        </w:rPr>
        <w:t>kezelés megszakítás</w:t>
      </w:r>
      <w:r w:rsidR="00DE41E5" w:rsidRPr="00AA3F64">
        <w:rPr>
          <w:color w:val="auto"/>
          <w:sz w:val="22"/>
          <w:szCs w:val="22"/>
        </w:rPr>
        <w:t>a ellenére is fennmarad</w:t>
      </w:r>
      <w:r w:rsidRPr="00AA3F64">
        <w:rPr>
          <w:color w:val="auto"/>
          <w:sz w:val="22"/>
          <w:szCs w:val="22"/>
        </w:rPr>
        <w:t>.</w:t>
      </w:r>
    </w:p>
    <w:p w14:paraId="03794D3C" w14:textId="77777777" w:rsidR="00824587" w:rsidRPr="00AA3F64" w:rsidRDefault="00824587" w:rsidP="00AA3F64">
      <w:pPr>
        <w:pStyle w:val="Szvegtrzs"/>
        <w:suppressAutoHyphens w:val="0"/>
        <w:spacing w:after="0"/>
        <w:rPr>
          <w:color w:val="auto"/>
          <w:sz w:val="22"/>
          <w:szCs w:val="22"/>
        </w:rPr>
      </w:pPr>
    </w:p>
    <w:p w14:paraId="5F949B96" w14:textId="77777777" w:rsidR="00120F83" w:rsidRPr="00AA3F64" w:rsidRDefault="00291482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Kis létszámú betegcsoportban </w:t>
      </w:r>
      <w:r w:rsidR="00120F83" w:rsidRPr="00AA3F64">
        <w:rPr>
          <w:rFonts w:cs="Times New Roman"/>
          <w:sz w:val="22"/>
        </w:rPr>
        <w:t xml:space="preserve">végzett klinikai vizsgálatokban a rozuvasztatin kombinációs terápiában </w:t>
      </w:r>
      <w:r w:rsidR="00086DE9" w:rsidRPr="00AA3F64">
        <w:rPr>
          <w:rFonts w:cs="Times New Roman"/>
          <w:sz w:val="22"/>
        </w:rPr>
        <w:t>történő</w:t>
      </w:r>
      <w:r w:rsidR="00120F83" w:rsidRPr="00AA3F64">
        <w:rPr>
          <w:rFonts w:cs="Times New Roman"/>
          <w:sz w:val="22"/>
        </w:rPr>
        <w:t xml:space="preserve"> adagolásakor nem volt bizonyított a vázizmokat érintő mellékhatások növekedése.</w:t>
      </w:r>
    </w:p>
    <w:p w14:paraId="6321AA73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Ugyanakkor egyéb HMG</w:t>
      </w:r>
      <w:r w:rsidR="006D0C35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CoA</w:t>
      </w:r>
      <w:r w:rsidR="006D0C35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reduktáz</w:t>
      </w:r>
      <w:r w:rsidR="00D5645C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inhibitor és fibrát</w:t>
      </w:r>
      <w:r w:rsidR="00D5645C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származékok, mint </w:t>
      </w:r>
      <w:r w:rsidR="00DB0AD7" w:rsidRPr="00AA3F64">
        <w:rPr>
          <w:rFonts w:cs="Times New Roman"/>
          <w:sz w:val="22"/>
        </w:rPr>
        <w:t>például</w:t>
      </w:r>
      <w:r w:rsidRPr="00AA3F64">
        <w:rPr>
          <w:rFonts w:cs="Times New Roman"/>
          <w:sz w:val="22"/>
        </w:rPr>
        <w:t xml:space="preserve"> gemfibrozil, ciklosporin, nikotinsav, azol</w:t>
      </w:r>
      <w:r w:rsidR="006D0C35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típusú antimikotikumok, proteázinhib</w:t>
      </w:r>
      <w:r w:rsidR="00F66368" w:rsidRPr="00AA3F64">
        <w:rPr>
          <w:rFonts w:cs="Times New Roman"/>
          <w:sz w:val="22"/>
        </w:rPr>
        <w:t>i</w:t>
      </w:r>
      <w:r w:rsidRPr="00AA3F64">
        <w:rPr>
          <w:rFonts w:cs="Times New Roman"/>
          <w:sz w:val="22"/>
        </w:rPr>
        <w:t xml:space="preserve">torok és makrolid antibiotikumok együttadásakor </w:t>
      </w:r>
      <w:r w:rsidR="00086DE9" w:rsidRPr="00AA3F64">
        <w:rPr>
          <w:rFonts w:cs="Times New Roman"/>
          <w:sz w:val="22"/>
        </w:rPr>
        <w:t xml:space="preserve">a </w:t>
      </w:r>
      <w:r w:rsidRPr="00AA3F64">
        <w:rPr>
          <w:rFonts w:cs="Times New Roman"/>
          <w:sz w:val="22"/>
        </w:rPr>
        <w:t>myositis és myopathia incidenciájának növekedését figyelték meg.</w:t>
      </w:r>
      <w:r w:rsidR="00717971" w:rsidRPr="00AA3F64">
        <w:rPr>
          <w:rFonts w:cs="Times New Roman"/>
          <w:sz w:val="22"/>
        </w:rPr>
        <w:t xml:space="preserve"> </w:t>
      </w:r>
      <w:r w:rsidR="00A95E12" w:rsidRPr="00AA3F64">
        <w:rPr>
          <w:rFonts w:cs="Times New Roman"/>
          <w:sz w:val="22"/>
        </w:rPr>
        <w:t>A gemfibrozil némelyik HMG</w:t>
      </w:r>
      <w:r w:rsidR="00A95E12" w:rsidRPr="00AA3F64">
        <w:rPr>
          <w:rFonts w:cs="Times New Roman"/>
          <w:sz w:val="22"/>
        </w:rPr>
        <w:noBreakHyphen/>
        <w:t>CoA</w:t>
      </w:r>
      <w:r w:rsidR="00A95E12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reduktáz</w:t>
      </w:r>
      <w:r w:rsidR="00DD0FE9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inhib</w:t>
      </w:r>
      <w:r w:rsidR="00F66368" w:rsidRPr="00AA3F64">
        <w:rPr>
          <w:rFonts w:cs="Times New Roman"/>
          <w:sz w:val="22"/>
        </w:rPr>
        <w:t>i</w:t>
      </w:r>
      <w:r w:rsidRPr="00AA3F64">
        <w:rPr>
          <w:rFonts w:cs="Times New Roman"/>
          <w:sz w:val="22"/>
        </w:rPr>
        <w:t xml:space="preserve">torral együttadva növeli a myopathia kockázatát, ezért a </w:t>
      </w:r>
      <w:r w:rsidR="00DD0FE9" w:rsidRPr="00AA3F64">
        <w:rPr>
          <w:rFonts w:cs="Times New Roman"/>
          <w:sz w:val="22"/>
        </w:rPr>
        <w:t xml:space="preserve">rozuvasztatin </w:t>
      </w:r>
      <w:r w:rsidRPr="00AA3F64">
        <w:rPr>
          <w:rFonts w:cs="Times New Roman"/>
          <w:sz w:val="22"/>
        </w:rPr>
        <w:t xml:space="preserve">és a gemfibrozil kombinációja nem ajánlott. A </w:t>
      </w:r>
      <w:r w:rsidR="00DD0FE9" w:rsidRPr="00AA3F64">
        <w:rPr>
          <w:rFonts w:cs="Times New Roman"/>
          <w:sz w:val="22"/>
        </w:rPr>
        <w:t xml:space="preserve">rozuvasztatin </w:t>
      </w:r>
      <w:r w:rsidRPr="00AA3F64">
        <w:rPr>
          <w:rFonts w:cs="Times New Roman"/>
          <w:sz w:val="22"/>
        </w:rPr>
        <w:t xml:space="preserve">fibrátokkal vagy niacinnal kombinált alkalmazásakor gondosan mérlegelni kell a további lipidszint-változás előnyével szemben </w:t>
      </w:r>
      <w:r w:rsidR="00086DE9" w:rsidRPr="00AA3F64">
        <w:rPr>
          <w:rFonts w:cs="Times New Roman"/>
          <w:sz w:val="22"/>
        </w:rPr>
        <w:t xml:space="preserve">az </w:t>
      </w:r>
      <w:r w:rsidRPr="00AA3F64">
        <w:rPr>
          <w:rFonts w:cs="Times New Roman"/>
          <w:sz w:val="22"/>
        </w:rPr>
        <w:t>ezen kombinációk alkalma</w:t>
      </w:r>
      <w:r w:rsidR="00AF3408" w:rsidRPr="00AA3F64">
        <w:rPr>
          <w:rFonts w:cs="Times New Roman"/>
          <w:sz w:val="22"/>
        </w:rPr>
        <w:t xml:space="preserve">zásának </w:t>
      </w:r>
      <w:r w:rsidR="00AF3408" w:rsidRPr="001B0501">
        <w:rPr>
          <w:rFonts w:cs="Times New Roman"/>
          <w:sz w:val="22"/>
        </w:rPr>
        <w:t>potenciális kockázatát</w:t>
      </w:r>
      <w:r w:rsidR="00544453" w:rsidRPr="001B0501">
        <w:rPr>
          <w:rFonts w:cs="Times New Roman"/>
          <w:sz w:val="22"/>
        </w:rPr>
        <w:t>.</w:t>
      </w:r>
      <w:r w:rsidR="00544453" w:rsidRPr="000C679A">
        <w:rPr>
          <w:rFonts w:cs="Times New Roman"/>
          <w:sz w:val="22"/>
        </w:rPr>
        <w:t xml:space="preserve"> A rozuvasztatin 40 mg-os dózis alkalmazása ellenjavallt fibrátok egyid</w:t>
      </w:r>
      <w:r w:rsidR="00AA722E" w:rsidRPr="000C679A">
        <w:rPr>
          <w:rFonts w:cs="Times New Roman"/>
          <w:sz w:val="22"/>
        </w:rPr>
        <w:t xml:space="preserve">ejű </w:t>
      </w:r>
      <w:r w:rsidR="00544453" w:rsidRPr="001B0501">
        <w:rPr>
          <w:rFonts w:cs="Times New Roman"/>
          <w:sz w:val="22"/>
        </w:rPr>
        <w:t>alkalmazásakor</w:t>
      </w:r>
      <w:r w:rsidR="00BB1011" w:rsidRPr="001B0501">
        <w:rPr>
          <w:rFonts w:cs="Times New Roman"/>
          <w:sz w:val="22"/>
        </w:rPr>
        <w:t xml:space="preserve"> </w:t>
      </w:r>
      <w:r w:rsidR="007272A7" w:rsidRPr="001B0501">
        <w:rPr>
          <w:rFonts w:cs="Times New Roman"/>
          <w:sz w:val="22"/>
        </w:rPr>
        <w:t xml:space="preserve">(lásd </w:t>
      </w:r>
      <w:r w:rsidR="00544453" w:rsidRPr="000C679A">
        <w:rPr>
          <w:rFonts w:cs="Times New Roman"/>
          <w:sz w:val="22"/>
        </w:rPr>
        <w:t>4.3</w:t>
      </w:r>
      <w:r w:rsidR="00544453" w:rsidRPr="001B0501">
        <w:rPr>
          <w:rFonts w:cs="Times New Roman"/>
          <w:sz w:val="22"/>
        </w:rPr>
        <w:t>,</w:t>
      </w:r>
      <w:r w:rsidR="007272A7" w:rsidRPr="001B0501">
        <w:rPr>
          <w:rFonts w:cs="Times New Roman"/>
          <w:sz w:val="22"/>
        </w:rPr>
        <w:t>4.5 és 4.8 pont)</w:t>
      </w:r>
      <w:r w:rsidR="00AF3408" w:rsidRPr="000C679A">
        <w:rPr>
          <w:rFonts w:cs="Times New Roman"/>
          <w:sz w:val="22"/>
        </w:rPr>
        <w:t>.</w:t>
      </w:r>
    </w:p>
    <w:p w14:paraId="1D94D944" w14:textId="77777777" w:rsidR="00FE2B4D" w:rsidRPr="00AA3F64" w:rsidRDefault="00FE2B4D" w:rsidP="00AA3F64">
      <w:pPr>
        <w:widowControl w:val="0"/>
        <w:rPr>
          <w:rFonts w:cs="Times New Roman"/>
          <w:sz w:val="22"/>
        </w:rPr>
      </w:pPr>
    </w:p>
    <w:p w14:paraId="725FD739" w14:textId="77777777" w:rsidR="00717971" w:rsidRPr="00AA3F64" w:rsidRDefault="00717971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Co-Xeter</w:t>
      </w:r>
      <w:r w:rsidR="00555320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t nem szabad súlyos, akut állapotban alkalmazni, amikor myopathia gyanúja merül fel, vagy amikor a rhabdomyolysis miatt kialakuló szekunder veseelégtelenség veszélye áll fenn (például sepsis, hypotonia, nagyobb műtéti beavatkozás, trauma, súlyos metabolikus és endokrin rendellenességek, az elektrolit-háztartás zavara, kezeletlen görcsök).</w:t>
      </w:r>
    </w:p>
    <w:p w14:paraId="61D09785" w14:textId="77777777" w:rsidR="00717971" w:rsidRPr="00AA3F64" w:rsidRDefault="00717971" w:rsidP="00AA3F64">
      <w:pPr>
        <w:widowControl w:val="0"/>
        <w:rPr>
          <w:rFonts w:cs="Times New Roman"/>
          <w:sz w:val="22"/>
        </w:rPr>
      </w:pPr>
    </w:p>
    <w:p w14:paraId="1A51C639" w14:textId="77777777" w:rsidR="00AF3408" w:rsidRPr="00AA3F64" w:rsidRDefault="00AF3408" w:rsidP="00AA3F64">
      <w:pPr>
        <w:widowControl w:val="0"/>
        <w:rPr>
          <w:rFonts w:cs="Times New Roman"/>
          <w:iCs/>
          <w:sz w:val="22"/>
          <w:u w:val="single"/>
        </w:rPr>
      </w:pPr>
      <w:r w:rsidRPr="00AA3F64">
        <w:rPr>
          <w:rFonts w:cs="Times New Roman"/>
          <w:iCs/>
          <w:sz w:val="22"/>
          <w:u w:val="single"/>
        </w:rPr>
        <w:t>Fuzidinsav</w:t>
      </w:r>
    </w:p>
    <w:p w14:paraId="4E2E4AAE" w14:textId="77777777" w:rsidR="00C62EBF" w:rsidRPr="00AA3F64" w:rsidRDefault="00C62EBF" w:rsidP="00AA3F64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</w:t>
      </w:r>
      <w:r w:rsidR="007272A7" w:rsidRPr="00AA3F64">
        <w:rPr>
          <w:rFonts w:cs="Times New Roman"/>
          <w:sz w:val="22"/>
        </w:rPr>
        <w:t xml:space="preserve">Co-Xeter </w:t>
      </w:r>
      <w:r w:rsidRPr="00AA3F64">
        <w:rPr>
          <w:rFonts w:cs="Times New Roman"/>
          <w:sz w:val="22"/>
        </w:rPr>
        <w:t xml:space="preserve">nem adható </w:t>
      </w:r>
      <w:r w:rsidR="003D1EE8" w:rsidRPr="00AA3F64">
        <w:rPr>
          <w:rFonts w:cs="Times New Roman"/>
          <w:sz w:val="22"/>
        </w:rPr>
        <w:t xml:space="preserve">a </w:t>
      </w:r>
      <w:r w:rsidRPr="00AA3F64">
        <w:rPr>
          <w:rFonts w:cs="Times New Roman"/>
          <w:sz w:val="22"/>
        </w:rPr>
        <w:t>szisztémás fuzidinsav készítménnyel</w:t>
      </w:r>
      <w:r w:rsidR="003D1EE8" w:rsidRPr="00AA3F64">
        <w:rPr>
          <w:rFonts w:cs="Times New Roman"/>
          <w:sz w:val="22"/>
        </w:rPr>
        <w:t xml:space="preserve"> egyidejűleg</w:t>
      </w:r>
      <w:r w:rsidRPr="00AA3F64">
        <w:rPr>
          <w:rFonts w:cs="Times New Roman"/>
          <w:sz w:val="22"/>
        </w:rPr>
        <w:t xml:space="preserve"> és a fuzidinsav</w:t>
      </w:r>
      <w:r w:rsidR="0062090C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kezelést követő</w:t>
      </w:r>
      <w:r w:rsidR="00086DE9" w:rsidRPr="00AA3F64">
        <w:rPr>
          <w:rFonts w:cs="Times New Roman"/>
          <w:sz w:val="22"/>
        </w:rPr>
        <w:t xml:space="preserve"> 7</w:t>
      </w:r>
      <w:r w:rsidR="007D6352" w:rsidRPr="00AA3F64">
        <w:rPr>
          <w:rFonts w:cs="Times New Roman"/>
          <w:sz w:val="22"/>
        </w:rPr>
        <w:t> </w:t>
      </w:r>
      <w:r w:rsidR="00086DE9" w:rsidRPr="00AA3F64">
        <w:rPr>
          <w:rFonts w:cs="Times New Roman"/>
          <w:sz w:val="22"/>
        </w:rPr>
        <w:t>napon belül</w:t>
      </w:r>
      <w:r w:rsidRPr="00AA3F64">
        <w:rPr>
          <w:rFonts w:cs="Times New Roman"/>
          <w:sz w:val="22"/>
        </w:rPr>
        <w:t>. Azoknál a betegeknél, akiknél a szisztémás fuzidinsav</w:t>
      </w:r>
      <w:r w:rsidR="0062090C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kezelés elengedhetetlen, a sztatin</w:t>
      </w:r>
      <w:r w:rsidR="003928C3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kezelést szüneteltetni kell a </w:t>
      </w:r>
      <w:r w:rsidR="00086DE9" w:rsidRPr="00AA3F64">
        <w:rPr>
          <w:rFonts w:cs="Times New Roman"/>
          <w:sz w:val="22"/>
        </w:rPr>
        <w:t>fuzidinsav-</w:t>
      </w:r>
      <w:r w:rsidRPr="00AA3F64">
        <w:rPr>
          <w:rFonts w:cs="Times New Roman"/>
          <w:sz w:val="22"/>
        </w:rPr>
        <w:t>kezelés teljes időtartama alatt.</w:t>
      </w:r>
      <w:r w:rsidR="00717971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Olyan betegeknél, akik fuzidinsavat és sz</w:t>
      </w:r>
      <w:r w:rsidR="006E4163" w:rsidRPr="00AA3F64">
        <w:rPr>
          <w:rFonts w:cs="Times New Roman"/>
          <w:sz w:val="22"/>
        </w:rPr>
        <w:t>t</w:t>
      </w:r>
      <w:r w:rsidRPr="00AA3F64">
        <w:rPr>
          <w:rFonts w:cs="Times New Roman"/>
          <w:sz w:val="22"/>
        </w:rPr>
        <w:t>atint kaptak egyidejűleg</w:t>
      </w:r>
      <w:r w:rsidR="003928C3" w:rsidRPr="00AA3F64">
        <w:rPr>
          <w:rFonts w:cs="Times New Roman"/>
          <w:sz w:val="22"/>
        </w:rPr>
        <w:t>,</w:t>
      </w:r>
      <w:r w:rsidRPr="00AA3F64">
        <w:rPr>
          <w:rFonts w:cs="Times New Roman"/>
          <w:sz w:val="22"/>
        </w:rPr>
        <w:t xml:space="preserve"> rhabdomyolysis előfordulását jelentették (köztük néhány halálos esetet) (lásd 4.5 pont). A beteg figyelmét fel kell hívni arra, hogy azonnal forduljon orvoshoz, ha izomgyengeséget, izomfájdalmat vagy </w:t>
      </w:r>
      <w:r w:rsidR="007272A7" w:rsidRPr="00AA3F64">
        <w:rPr>
          <w:rFonts w:cs="Times New Roman"/>
          <w:sz w:val="22"/>
        </w:rPr>
        <w:t>izom</w:t>
      </w:r>
      <w:r w:rsidRPr="00AA3F64">
        <w:rPr>
          <w:rFonts w:cs="Times New Roman"/>
          <w:sz w:val="22"/>
        </w:rPr>
        <w:t>érzékenységet tapasztal.</w:t>
      </w:r>
    </w:p>
    <w:p w14:paraId="60F3C41C" w14:textId="77777777" w:rsidR="00C62EBF" w:rsidRPr="00AA3F64" w:rsidRDefault="00C62EBF" w:rsidP="00AA3F64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sztatin</w:t>
      </w:r>
      <w:r w:rsidR="003928C3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kezelés csak </w:t>
      </w:r>
      <w:r w:rsidR="00086DE9" w:rsidRPr="00AA3F64">
        <w:rPr>
          <w:rFonts w:cs="Times New Roman"/>
          <w:sz w:val="22"/>
        </w:rPr>
        <w:t>7</w:t>
      </w:r>
      <w:r w:rsidR="007D6352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nappal az utolsó adag fuzidinsav beadása után kezdhető újra.</w:t>
      </w:r>
    </w:p>
    <w:p w14:paraId="02B74A48" w14:textId="77777777" w:rsidR="00C62EBF" w:rsidRPr="00AA3F64" w:rsidRDefault="00C62EBF" w:rsidP="003F44A6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Kivételes körülmények között, amennyiben elhúzódó szisztémás fuzidinsav</w:t>
      </w:r>
      <w:r w:rsidR="000F270F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kezelésre van szükség, például súlyos fertőzések kezelése</w:t>
      </w:r>
      <w:r w:rsidR="007D6352" w:rsidRPr="00AA3F64">
        <w:rPr>
          <w:rFonts w:cs="Times New Roman"/>
          <w:sz w:val="22"/>
        </w:rPr>
        <w:t xml:space="preserve"> esetén</w:t>
      </w:r>
      <w:r w:rsidRPr="00AA3F64">
        <w:rPr>
          <w:rFonts w:cs="Times New Roman"/>
          <w:sz w:val="22"/>
        </w:rPr>
        <w:t xml:space="preserve">, a </w:t>
      </w:r>
      <w:r w:rsidR="007272A7" w:rsidRPr="00AA3F64">
        <w:rPr>
          <w:rFonts w:cs="Times New Roman"/>
          <w:sz w:val="22"/>
        </w:rPr>
        <w:t xml:space="preserve">Co-Xeter </w:t>
      </w:r>
      <w:r w:rsidRPr="00AA3F64">
        <w:rPr>
          <w:rFonts w:cs="Times New Roman"/>
          <w:sz w:val="22"/>
        </w:rPr>
        <w:t>és a fuzidinsav együttes adás</w:t>
      </w:r>
      <w:r w:rsidR="003928C3" w:rsidRPr="00AA3F64">
        <w:rPr>
          <w:rFonts w:cs="Times New Roman"/>
          <w:sz w:val="22"/>
        </w:rPr>
        <w:t>a</w:t>
      </w:r>
      <w:r w:rsidRPr="00AA3F64">
        <w:rPr>
          <w:rFonts w:cs="Times New Roman"/>
          <w:sz w:val="22"/>
        </w:rPr>
        <w:t xml:space="preserve"> csak eseti alapon és szigorú orvosi felügyelet mellett lehetséges.</w:t>
      </w:r>
    </w:p>
    <w:p w14:paraId="4CA9530B" w14:textId="77777777" w:rsidR="00E008A4" w:rsidRPr="00AA3F64" w:rsidRDefault="00E008A4" w:rsidP="001749CE">
      <w:pPr>
        <w:widowControl w:val="0"/>
        <w:rPr>
          <w:rFonts w:cs="Times New Roman"/>
          <w:sz w:val="22"/>
        </w:rPr>
      </w:pPr>
    </w:p>
    <w:p w14:paraId="16E3B141" w14:textId="77777777" w:rsidR="00120F83" w:rsidRPr="00AA3F64" w:rsidRDefault="00120F83" w:rsidP="004413F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Etnikai szempontok</w:t>
      </w:r>
    </w:p>
    <w:p w14:paraId="3813D671" w14:textId="77777777" w:rsidR="00120F83" w:rsidRPr="00AA3F64" w:rsidRDefault="00120F83" w:rsidP="004413F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Farmakokinetikai vizsgálatokban ázsiai </w:t>
      </w:r>
      <w:r w:rsidR="007A6DD4" w:rsidRPr="00AA3F64">
        <w:rPr>
          <w:rFonts w:cs="Times New Roman"/>
          <w:sz w:val="22"/>
        </w:rPr>
        <w:t xml:space="preserve">személyeknél </w:t>
      </w:r>
      <w:r w:rsidR="00086DE9" w:rsidRPr="00AA3F64">
        <w:rPr>
          <w:rFonts w:cs="Times New Roman"/>
          <w:sz w:val="22"/>
        </w:rPr>
        <w:t>magasabb</w:t>
      </w:r>
      <w:r w:rsidRPr="00AA3F64">
        <w:rPr>
          <w:rFonts w:cs="Times New Roman"/>
          <w:sz w:val="22"/>
        </w:rPr>
        <w:t xml:space="preserve"> </w:t>
      </w:r>
      <w:r w:rsidR="00086DE9" w:rsidRPr="00AA3F64">
        <w:rPr>
          <w:rFonts w:cs="Times New Roman"/>
          <w:sz w:val="22"/>
        </w:rPr>
        <w:t>rozuvasztatin-</w:t>
      </w:r>
      <w:r w:rsidRPr="00AA3F64">
        <w:rPr>
          <w:rFonts w:cs="Times New Roman"/>
          <w:sz w:val="22"/>
        </w:rPr>
        <w:t>expozíciót tapasztaltak</w:t>
      </w:r>
      <w:r w:rsidR="007D6352" w:rsidRPr="00AA3F64">
        <w:rPr>
          <w:rFonts w:cs="Times New Roman"/>
          <w:sz w:val="22"/>
        </w:rPr>
        <w:t xml:space="preserve">, mint a </w:t>
      </w:r>
      <w:bookmarkStart w:id="3" w:name="OLE_LINK1"/>
      <w:r w:rsidR="007D6352" w:rsidRPr="00AA3F64">
        <w:rPr>
          <w:rFonts w:cs="Times New Roman"/>
          <w:sz w:val="22"/>
        </w:rPr>
        <w:t xml:space="preserve">kaukázusiaknál </w:t>
      </w:r>
      <w:r w:rsidRPr="00AA3F64">
        <w:rPr>
          <w:rFonts w:cs="Times New Roman"/>
          <w:sz w:val="22"/>
        </w:rPr>
        <w:t>(lásd 4.2</w:t>
      </w:r>
      <w:bookmarkEnd w:id="3"/>
      <w:r w:rsidR="009350D0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és 5.2 pont).</w:t>
      </w:r>
    </w:p>
    <w:p w14:paraId="6C167FFE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6393666" w14:textId="77777777" w:rsidR="0009718B" w:rsidRPr="00AA3F64" w:rsidRDefault="00086DE9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  <w:u w:val="single"/>
        </w:rPr>
        <w:t>Proteáz</w:t>
      </w:r>
      <w:r w:rsidR="00120F83" w:rsidRPr="00AA3F64">
        <w:rPr>
          <w:rFonts w:cs="Times New Roman"/>
          <w:sz w:val="22"/>
          <w:u w:val="single"/>
        </w:rPr>
        <w:t>gátlók</w:t>
      </w:r>
    </w:p>
    <w:p w14:paraId="4BE8BC19" w14:textId="77777777" w:rsidR="00120F83" w:rsidRPr="00AA3F64" w:rsidRDefault="00DE41E5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rozuvasztatin megnövekedett szisztémás expozícióját figyelték meg azoknál az alanyoknál, akik egyidejűleg </w:t>
      </w:r>
      <w:r w:rsidR="007D6352" w:rsidRPr="00AA3F64">
        <w:rPr>
          <w:rFonts w:cs="Times New Roman"/>
          <w:sz w:val="22"/>
        </w:rPr>
        <w:t xml:space="preserve">kaptak rozuvasztatint </w:t>
      </w:r>
      <w:r w:rsidRPr="00AA3F64">
        <w:rPr>
          <w:rFonts w:cs="Times New Roman"/>
          <w:sz w:val="22"/>
        </w:rPr>
        <w:t xml:space="preserve">különböző proteázgátlók és ritonavir kombinációjával. </w:t>
      </w:r>
      <w:r w:rsidR="00D81FDE" w:rsidRPr="00AA3F64">
        <w:rPr>
          <w:rFonts w:cs="Times New Roman"/>
          <w:sz w:val="22"/>
        </w:rPr>
        <w:t>A proteáz</w:t>
      </w:r>
      <w:r w:rsidRPr="00AA3F64">
        <w:rPr>
          <w:rFonts w:cs="Times New Roman"/>
          <w:sz w:val="22"/>
        </w:rPr>
        <w:t>gátlókat kapó HIV</w:t>
      </w:r>
      <w:r w:rsidR="007D6352" w:rsidRPr="00AA3F64">
        <w:rPr>
          <w:rFonts w:cs="Times New Roman"/>
          <w:sz w:val="22"/>
        </w:rPr>
        <w:t xml:space="preserve">-fertőzöttek </w:t>
      </w:r>
      <w:r w:rsidRPr="00AA3F64">
        <w:rPr>
          <w:rFonts w:cs="Times New Roman"/>
          <w:sz w:val="22"/>
        </w:rPr>
        <w:t xml:space="preserve">a </w:t>
      </w:r>
      <w:r w:rsidR="007272A7" w:rsidRPr="00AA3F64">
        <w:rPr>
          <w:rFonts w:cs="Times New Roman"/>
          <w:sz w:val="22"/>
        </w:rPr>
        <w:t xml:space="preserve">Co-Xeter </w:t>
      </w:r>
      <w:r w:rsidR="001D6A52" w:rsidRPr="00AA3F64">
        <w:rPr>
          <w:rFonts w:cs="Times New Roman"/>
          <w:sz w:val="22"/>
        </w:rPr>
        <w:t>alkalmazása</w:t>
      </w:r>
      <w:r w:rsidRPr="00AA3F64">
        <w:rPr>
          <w:rFonts w:cs="Times New Roman"/>
          <w:sz w:val="22"/>
        </w:rPr>
        <w:t xml:space="preserve"> </w:t>
      </w:r>
      <w:r w:rsidR="00D81FDE" w:rsidRPr="00AA3F64">
        <w:rPr>
          <w:rFonts w:cs="Times New Roman"/>
          <w:sz w:val="22"/>
        </w:rPr>
        <w:t>esetén</w:t>
      </w:r>
      <w:r w:rsidRPr="00AA3F64">
        <w:rPr>
          <w:rFonts w:cs="Times New Roman"/>
          <w:sz w:val="22"/>
        </w:rPr>
        <w:t xml:space="preserve"> </w:t>
      </w:r>
      <w:r w:rsidR="00D81FDE" w:rsidRPr="00AA3F64">
        <w:rPr>
          <w:rFonts w:cs="Times New Roman"/>
          <w:sz w:val="22"/>
        </w:rPr>
        <w:t xml:space="preserve">figyelembe kell venni </w:t>
      </w:r>
      <w:r w:rsidRPr="00AA3F64">
        <w:rPr>
          <w:rFonts w:cs="Times New Roman"/>
          <w:sz w:val="22"/>
        </w:rPr>
        <w:t xml:space="preserve">mind a lipidcsökkenés előnyét, mind a </w:t>
      </w:r>
      <w:r w:rsidR="00D81FDE" w:rsidRPr="00AA3F64">
        <w:rPr>
          <w:rFonts w:cs="Times New Roman"/>
          <w:sz w:val="22"/>
        </w:rPr>
        <w:t>megnövekedett</w:t>
      </w:r>
      <w:r w:rsidRPr="00AA3F64">
        <w:rPr>
          <w:rFonts w:cs="Times New Roman"/>
          <w:sz w:val="22"/>
        </w:rPr>
        <w:t xml:space="preserve"> </w:t>
      </w:r>
      <w:r w:rsidR="00D81FDE" w:rsidRPr="00AA3F64">
        <w:rPr>
          <w:rFonts w:cs="Times New Roman"/>
          <w:sz w:val="22"/>
        </w:rPr>
        <w:t>rozuvasztatin-</w:t>
      </w:r>
      <w:r w:rsidRPr="00AA3F64">
        <w:rPr>
          <w:rFonts w:cs="Times New Roman"/>
          <w:sz w:val="22"/>
        </w:rPr>
        <w:t>plazmakoncentráció lehetőségét</w:t>
      </w:r>
      <w:r w:rsidR="00D81FDE" w:rsidRPr="00AA3F64">
        <w:rPr>
          <w:rFonts w:cs="Times New Roman"/>
          <w:sz w:val="22"/>
        </w:rPr>
        <w:t xml:space="preserve">, a </w:t>
      </w:r>
      <w:r w:rsidR="00D81FDE" w:rsidRPr="00AA3F64">
        <w:rPr>
          <w:rFonts w:cs="Times New Roman"/>
          <w:sz w:val="22"/>
        </w:rPr>
        <w:lastRenderedPageBreak/>
        <w:t>prot</w:t>
      </w:r>
      <w:r w:rsidR="00C10751" w:rsidRPr="00AA3F64">
        <w:rPr>
          <w:rFonts w:cs="Times New Roman"/>
          <w:sz w:val="22"/>
        </w:rPr>
        <w:t>e</w:t>
      </w:r>
      <w:r w:rsidR="00D81FDE" w:rsidRPr="00AA3F64">
        <w:rPr>
          <w:rFonts w:cs="Times New Roman"/>
          <w:sz w:val="22"/>
        </w:rPr>
        <w:t>ázgátlókkal kezelt betegeknél</w:t>
      </w:r>
      <w:r w:rsidRPr="00AA3F64">
        <w:rPr>
          <w:rFonts w:cs="Times New Roman"/>
          <w:sz w:val="22"/>
        </w:rPr>
        <w:t xml:space="preserve"> </w:t>
      </w:r>
      <w:r w:rsidR="001D6A52" w:rsidRPr="00AA3F64">
        <w:rPr>
          <w:rFonts w:cs="Times New Roman"/>
          <w:sz w:val="22"/>
        </w:rPr>
        <w:t>a rozuvasztatin</w:t>
      </w:r>
      <w:r w:rsidR="00D81FDE" w:rsidRPr="00AA3F64">
        <w:rPr>
          <w:rFonts w:cs="Times New Roman"/>
          <w:sz w:val="22"/>
        </w:rPr>
        <w:t>-</w:t>
      </w:r>
      <w:r w:rsidR="001D6A52" w:rsidRPr="00AA3F64">
        <w:rPr>
          <w:rFonts w:cs="Times New Roman"/>
          <w:sz w:val="22"/>
        </w:rPr>
        <w:t>adagolás kezdetén, valamint a dózis emelésekor</w:t>
      </w:r>
      <w:r w:rsidR="00D81FDE" w:rsidRPr="00AA3F64">
        <w:rPr>
          <w:rFonts w:cs="Times New Roman"/>
          <w:sz w:val="22"/>
        </w:rPr>
        <w:t xml:space="preserve"> is</w:t>
      </w:r>
      <w:r w:rsidRPr="00AA3F64">
        <w:rPr>
          <w:rFonts w:cs="Times New Roman"/>
          <w:sz w:val="22"/>
        </w:rPr>
        <w:t xml:space="preserve">. </w:t>
      </w:r>
      <w:r w:rsidR="00120F83" w:rsidRPr="00AA3F64">
        <w:rPr>
          <w:rFonts w:cs="Times New Roman"/>
          <w:sz w:val="22"/>
        </w:rPr>
        <w:t xml:space="preserve">Az egyidejű </w:t>
      </w:r>
      <w:r w:rsidR="001D6A52" w:rsidRPr="00AA3F64">
        <w:rPr>
          <w:rFonts w:cs="Times New Roman"/>
          <w:sz w:val="22"/>
        </w:rPr>
        <w:t>alkalmazás</w:t>
      </w:r>
      <w:r w:rsidR="008845A5" w:rsidRPr="00AA3F64">
        <w:rPr>
          <w:rFonts w:cs="Times New Roman"/>
          <w:sz w:val="22"/>
        </w:rPr>
        <w:t xml:space="preserve"> bizonyos</w:t>
      </w:r>
      <w:r w:rsidR="00120F83" w:rsidRPr="00AA3F64">
        <w:rPr>
          <w:rFonts w:cs="Times New Roman"/>
          <w:sz w:val="22"/>
        </w:rPr>
        <w:t xml:space="preserve"> </w:t>
      </w:r>
      <w:r w:rsidR="00D81FDE" w:rsidRPr="00AA3F64">
        <w:rPr>
          <w:rFonts w:cs="Times New Roman"/>
          <w:sz w:val="22"/>
        </w:rPr>
        <w:t>proteáz</w:t>
      </w:r>
      <w:r w:rsidR="00120F83" w:rsidRPr="00AA3F64">
        <w:rPr>
          <w:rFonts w:cs="Times New Roman"/>
          <w:sz w:val="22"/>
        </w:rPr>
        <w:t>gátlókkal nem ajánlott</w:t>
      </w:r>
      <w:r w:rsidRPr="00AA3F64">
        <w:rPr>
          <w:rFonts w:cs="Times New Roman"/>
          <w:sz w:val="22"/>
        </w:rPr>
        <w:t>,</w:t>
      </w:r>
      <w:r w:rsidR="00120F83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 xml:space="preserve">kivéve, ha a </w:t>
      </w:r>
      <w:r w:rsidR="007272A7" w:rsidRPr="00AA3F64">
        <w:rPr>
          <w:rFonts w:cs="Times New Roman"/>
          <w:sz w:val="22"/>
        </w:rPr>
        <w:t xml:space="preserve">rozuvasztatin </w:t>
      </w:r>
      <w:r w:rsidRPr="00AA3F64">
        <w:rPr>
          <w:rFonts w:cs="Times New Roman"/>
          <w:sz w:val="22"/>
        </w:rPr>
        <w:t>d</w:t>
      </w:r>
      <w:r w:rsidR="00555320">
        <w:rPr>
          <w:rFonts w:cs="Times New Roman"/>
          <w:sz w:val="22"/>
        </w:rPr>
        <w:t>ózis</w:t>
      </w:r>
      <w:r w:rsidRPr="00AA3F64">
        <w:rPr>
          <w:rFonts w:cs="Times New Roman"/>
          <w:sz w:val="22"/>
        </w:rPr>
        <w:t xml:space="preserve">át </w:t>
      </w:r>
      <w:r w:rsidR="002F4A7E" w:rsidRPr="00AA3F64">
        <w:rPr>
          <w:rFonts w:cs="Times New Roman"/>
          <w:sz w:val="22"/>
        </w:rPr>
        <w:t xml:space="preserve">is </w:t>
      </w:r>
      <w:r w:rsidRPr="00AA3F64">
        <w:rPr>
          <w:rFonts w:cs="Times New Roman"/>
          <w:sz w:val="22"/>
        </w:rPr>
        <w:t xml:space="preserve">módosítják </w:t>
      </w:r>
      <w:r w:rsidR="00120F83" w:rsidRPr="00AA3F64">
        <w:rPr>
          <w:rFonts w:cs="Times New Roman"/>
          <w:sz w:val="22"/>
        </w:rPr>
        <w:t xml:space="preserve">(lásd </w:t>
      </w:r>
      <w:r w:rsidRPr="00AA3F64">
        <w:rPr>
          <w:rFonts w:cs="Times New Roman"/>
          <w:sz w:val="22"/>
        </w:rPr>
        <w:t xml:space="preserve">4.2 és </w:t>
      </w:r>
      <w:r w:rsidR="00120F83" w:rsidRPr="00AA3F64">
        <w:rPr>
          <w:rFonts w:cs="Times New Roman"/>
          <w:sz w:val="22"/>
        </w:rPr>
        <w:t>4.5 pont).</w:t>
      </w:r>
    </w:p>
    <w:p w14:paraId="3A84EB24" w14:textId="77777777" w:rsidR="007A6DD4" w:rsidRPr="00AA3F64" w:rsidRDefault="007A6DD4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183D98AD" w14:textId="77777777" w:rsidR="00DA3E4C" w:rsidRPr="00AA3F64" w:rsidRDefault="00120F83" w:rsidP="00AA3F64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r w:rsidRPr="00AA3F64">
        <w:rPr>
          <w:color w:val="auto"/>
          <w:sz w:val="22"/>
          <w:szCs w:val="22"/>
          <w:u w:val="single"/>
          <w:lang w:val="hu-HU"/>
        </w:rPr>
        <w:t>Interstitialis tüdőbetegség</w:t>
      </w:r>
    </w:p>
    <w:p w14:paraId="0E16DB19" w14:textId="77777777" w:rsidR="00120F83" w:rsidRPr="00AA3F64" w:rsidRDefault="00120F83" w:rsidP="00AA3F64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r w:rsidRPr="00AA3F64">
        <w:rPr>
          <w:color w:val="auto"/>
          <w:sz w:val="22"/>
          <w:szCs w:val="22"/>
          <w:lang w:val="hu-HU"/>
        </w:rPr>
        <w:t xml:space="preserve">Interstitialis tüdőbetegség kivételes eseteit jelentették néhány sztatinnal kapcsolatban, különösen hosszú távú alkalmazáskor (lásd 4.8 pont). A betegség kialakulását jelezhetik a dyspnoe, </w:t>
      </w:r>
      <w:r w:rsidR="007A787E" w:rsidRPr="00AA3F64">
        <w:rPr>
          <w:color w:val="auto"/>
          <w:sz w:val="22"/>
          <w:szCs w:val="22"/>
          <w:lang w:val="hu-HU"/>
        </w:rPr>
        <w:t xml:space="preserve">az </w:t>
      </w:r>
      <w:r w:rsidRPr="00AA3F64">
        <w:rPr>
          <w:color w:val="auto"/>
          <w:sz w:val="22"/>
          <w:szCs w:val="22"/>
          <w:lang w:val="hu-HU"/>
        </w:rPr>
        <w:t>improdu</w:t>
      </w:r>
      <w:r w:rsidR="00D81FDE" w:rsidRPr="00AA3F64">
        <w:rPr>
          <w:color w:val="auto"/>
          <w:sz w:val="22"/>
          <w:szCs w:val="22"/>
          <w:lang w:val="hu-HU"/>
        </w:rPr>
        <w:t>k</w:t>
      </w:r>
      <w:r w:rsidRPr="00AA3F64">
        <w:rPr>
          <w:color w:val="auto"/>
          <w:sz w:val="22"/>
          <w:szCs w:val="22"/>
          <w:lang w:val="hu-HU"/>
        </w:rPr>
        <w:t>t</w:t>
      </w:r>
      <w:r w:rsidR="00D81FDE" w:rsidRPr="00AA3F64">
        <w:rPr>
          <w:color w:val="auto"/>
          <w:sz w:val="22"/>
          <w:szCs w:val="22"/>
          <w:lang w:val="hu-HU"/>
        </w:rPr>
        <w:t>í</w:t>
      </w:r>
      <w:r w:rsidRPr="00AA3F64">
        <w:rPr>
          <w:color w:val="auto"/>
          <w:sz w:val="22"/>
          <w:szCs w:val="22"/>
          <w:lang w:val="hu-HU"/>
        </w:rPr>
        <w:t xml:space="preserve">v köhögés és </w:t>
      </w:r>
      <w:r w:rsidR="007A787E" w:rsidRPr="00AA3F64">
        <w:rPr>
          <w:color w:val="auto"/>
          <w:sz w:val="22"/>
          <w:szCs w:val="22"/>
          <w:lang w:val="hu-HU"/>
        </w:rPr>
        <w:t xml:space="preserve">az </w:t>
      </w:r>
      <w:r w:rsidRPr="00AA3F64">
        <w:rPr>
          <w:color w:val="auto"/>
          <w:sz w:val="22"/>
          <w:szCs w:val="22"/>
          <w:lang w:val="hu-HU"/>
        </w:rPr>
        <w:t xml:space="preserve">általános állapotromlás (kimerültség, fogyás, láz). Ha gyanítható, hogy a betegnél interstitialis tüdőbetegség alakult ki, a </w:t>
      </w:r>
      <w:r w:rsidR="00BE452B" w:rsidRPr="00AA3F64">
        <w:rPr>
          <w:color w:val="auto"/>
          <w:sz w:val="22"/>
          <w:szCs w:val="22"/>
          <w:lang w:val="hu-HU"/>
        </w:rPr>
        <w:t>sztatin</w:t>
      </w:r>
      <w:r w:rsidR="00D81FDE" w:rsidRPr="00AA3F64">
        <w:rPr>
          <w:color w:val="auto"/>
          <w:sz w:val="22"/>
          <w:szCs w:val="22"/>
          <w:lang w:val="hu-HU"/>
        </w:rPr>
        <w:t>-</w:t>
      </w:r>
      <w:r w:rsidR="00BE452B" w:rsidRPr="00AA3F64">
        <w:rPr>
          <w:color w:val="auto"/>
          <w:sz w:val="22"/>
          <w:szCs w:val="22"/>
          <w:lang w:val="hu-HU"/>
        </w:rPr>
        <w:t>kezelést</w:t>
      </w:r>
      <w:r w:rsidRPr="00AA3F64">
        <w:rPr>
          <w:color w:val="auto"/>
          <w:sz w:val="22"/>
          <w:szCs w:val="22"/>
          <w:lang w:val="hu-HU"/>
        </w:rPr>
        <w:t xml:space="preserve"> abba kell hagyni.</w:t>
      </w:r>
    </w:p>
    <w:p w14:paraId="1DE0150B" w14:textId="77777777" w:rsidR="00120F83" w:rsidRPr="00AA3F64" w:rsidRDefault="00120F83" w:rsidP="00AA3F64">
      <w:pPr>
        <w:widowControl w:val="0"/>
        <w:tabs>
          <w:tab w:val="left" w:pos="567"/>
        </w:tabs>
        <w:rPr>
          <w:rFonts w:cs="Times New Roman"/>
          <w:sz w:val="22"/>
        </w:rPr>
      </w:pPr>
    </w:p>
    <w:p w14:paraId="3893FAFF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Cs/>
          <w:sz w:val="22"/>
          <w:u w:val="single"/>
          <w:lang w:eastAsia="hu-HU"/>
        </w:rPr>
      </w:pPr>
      <w:r w:rsidRPr="00AA3F64">
        <w:rPr>
          <w:rFonts w:cs="Times New Roman"/>
          <w:iCs/>
          <w:sz w:val="22"/>
          <w:u w:val="single"/>
          <w:lang w:eastAsia="hu-HU"/>
        </w:rPr>
        <w:t>Diabetes mellitus</w:t>
      </w:r>
    </w:p>
    <w:p w14:paraId="2010E4BA" w14:textId="77777777" w:rsidR="00B01B13" w:rsidRPr="00AA3F64" w:rsidRDefault="00B01B1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 w:cs="Times New Roman"/>
          <w:sz w:val="22"/>
          <w:lang w:eastAsia="hu-HU"/>
        </w:rPr>
      </w:pPr>
      <w:r w:rsidRPr="00AA3F64">
        <w:rPr>
          <w:rFonts w:eastAsia="Times New Roman" w:cs="Times New Roman"/>
          <w:sz w:val="22"/>
          <w:lang w:eastAsia="hu-HU"/>
        </w:rPr>
        <w:t>A rendelkezésre álló információk alapján a sztatinok megnövelik a vércukorszintet, valamint azok</w:t>
      </w:r>
      <w:r w:rsidR="00A73098" w:rsidRPr="00AA3F64">
        <w:rPr>
          <w:rFonts w:eastAsia="Times New Roman" w:cs="Times New Roman"/>
          <w:sz w:val="22"/>
          <w:lang w:eastAsia="hu-HU"/>
        </w:rPr>
        <w:t>nál</w:t>
      </w:r>
      <w:r w:rsidRPr="00AA3F64">
        <w:rPr>
          <w:rFonts w:eastAsia="Times New Roman" w:cs="Times New Roman"/>
          <w:sz w:val="22"/>
          <w:lang w:eastAsia="hu-HU"/>
        </w:rPr>
        <w:t xml:space="preserve"> a betegek</w:t>
      </w:r>
      <w:r w:rsidR="00A73098" w:rsidRPr="00AA3F64">
        <w:rPr>
          <w:rFonts w:eastAsia="Times New Roman" w:cs="Times New Roman"/>
          <w:sz w:val="22"/>
          <w:lang w:eastAsia="hu-HU"/>
        </w:rPr>
        <w:t>nél</w:t>
      </w:r>
      <w:r w:rsidRPr="00AA3F64">
        <w:rPr>
          <w:rFonts w:eastAsia="Times New Roman" w:cs="Times New Roman"/>
          <w:sz w:val="22"/>
          <w:lang w:eastAsia="hu-HU"/>
        </w:rPr>
        <w:t>, akik a későbbi diabetes kialakulása szempontjából nagy kockázatnak vannak kitéve, h</w:t>
      </w:r>
      <w:r w:rsidR="009B546E" w:rsidRPr="00AA3F64">
        <w:rPr>
          <w:rFonts w:eastAsia="Times New Roman" w:cs="Times New Roman"/>
          <w:sz w:val="22"/>
          <w:lang w:eastAsia="hu-HU"/>
        </w:rPr>
        <w:t>y</w:t>
      </w:r>
      <w:r w:rsidRPr="00AA3F64">
        <w:rPr>
          <w:rFonts w:eastAsia="Times New Roman" w:cs="Times New Roman"/>
          <w:sz w:val="22"/>
          <w:lang w:eastAsia="hu-HU"/>
        </w:rPr>
        <w:t>pergl</w:t>
      </w:r>
      <w:r w:rsidR="00761EFD" w:rsidRPr="00AA3F64">
        <w:rPr>
          <w:rFonts w:eastAsia="Times New Roman" w:cs="Times New Roman"/>
          <w:sz w:val="22"/>
          <w:lang w:eastAsia="hu-HU"/>
        </w:rPr>
        <w:t>y</w:t>
      </w:r>
      <w:r w:rsidR="00A73098" w:rsidRPr="00AA3F64">
        <w:rPr>
          <w:rFonts w:eastAsia="Times New Roman" w:cs="Times New Roman"/>
          <w:sz w:val="22"/>
          <w:lang w:eastAsia="hu-HU"/>
        </w:rPr>
        <w:t>k</w:t>
      </w:r>
      <w:r w:rsidR="009B546E" w:rsidRPr="00AA3F64">
        <w:rPr>
          <w:rFonts w:eastAsia="Times New Roman" w:cs="Times New Roman"/>
          <w:sz w:val="22"/>
          <w:lang w:eastAsia="hu-HU"/>
        </w:rPr>
        <w:t>ae</w:t>
      </w:r>
      <w:r w:rsidRPr="00AA3F64">
        <w:rPr>
          <w:rFonts w:eastAsia="Times New Roman" w:cs="Times New Roman"/>
          <w:sz w:val="22"/>
          <w:lang w:eastAsia="hu-HU"/>
        </w:rPr>
        <w:t>miát okozhatnak, antidiabeti</w:t>
      </w:r>
      <w:r w:rsidR="00761EFD" w:rsidRPr="00AA3F64">
        <w:rPr>
          <w:rFonts w:eastAsia="Times New Roman" w:cs="Times New Roman"/>
          <w:sz w:val="22"/>
          <w:lang w:eastAsia="hu-HU"/>
        </w:rPr>
        <w:t>k</w:t>
      </w:r>
      <w:r w:rsidRPr="00AA3F64">
        <w:rPr>
          <w:rFonts w:eastAsia="Times New Roman" w:cs="Times New Roman"/>
          <w:sz w:val="22"/>
          <w:lang w:eastAsia="hu-HU"/>
        </w:rPr>
        <w:t>us kezelést téve szükségessé. A sztatinokkal való kezelés leállítása azonban nem indokolt, mivel a sztatinok vas</w:t>
      </w:r>
      <w:r w:rsidR="009B546E" w:rsidRPr="00AA3F64">
        <w:rPr>
          <w:rFonts w:eastAsia="Times New Roman" w:cs="Times New Roman"/>
          <w:sz w:val="22"/>
          <w:lang w:eastAsia="hu-HU"/>
        </w:rPr>
        <w:t>c</w:t>
      </w:r>
      <w:r w:rsidRPr="00AA3F64">
        <w:rPr>
          <w:rFonts w:eastAsia="Times New Roman" w:cs="Times New Roman"/>
          <w:sz w:val="22"/>
          <w:lang w:eastAsia="hu-HU"/>
        </w:rPr>
        <w:t>ul</w:t>
      </w:r>
      <w:r w:rsidR="009B546E" w:rsidRPr="00AA3F64">
        <w:rPr>
          <w:rFonts w:eastAsia="Times New Roman" w:cs="Times New Roman"/>
          <w:sz w:val="22"/>
          <w:lang w:eastAsia="hu-HU"/>
        </w:rPr>
        <w:t>a</w:t>
      </w:r>
      <w:r w:rsidRPr="00AA3F64">
        <w:rPr>
          <w:rFonts w:eastAsia="Times New Roman" w:cs="Times New Roman"/>
          <w:sz w:val="22"/>
          <w:lang w:eastAsia="hu-HU"/>
        </w:rPr>
        <w:t xml:space="preserve">ris betegségek kockázatainak csökkentéséből származó előny meghaladja a </w:t>
      </w:r>
      <w:r w:rsidR="00BE452B" w:rsidRPr="00AA3F64">
        <w:rPr>
          <w:rFonts w:eastAsia="Times New Roman" w:cs="Times New Roman"/>
          <w:sz w:val="22"/>
          <w:lang w:eastAsia="hu-HU"/>
        </w:rPr>
        <w:t>hypergly</w:t>
      </w:r>
      <w:r w:rsidR="00526E62" w:rsidRPr="00AA3F64">
        <w:rPr>
          <w:rFonts w:eastAsia="Times New Roman" w:cs="Times New Roman"/>
          <w:sz w:val="22"/>
          <w:lang w:eastAsia="hu-HU"/>
        </w:rPr>
        <w:t>k</w:t>
      </w:r>
      <w:r w:rsidR="00BE452B" w:rsidRPr="00AA3F64">
        <w:rPr>
          <w:rFonts w:eastAsia="Times New Roman" w:cs="Times New Roman"/>
          <w:sz w:val="22"/>
          <w:lang w:eastAsia="hu-HU"/>
        </w:rPr>
        <w:t>aemia</w:t>
      </w:r>
      <w:r w:rsidRPr="00AA3F64">
        <w:rPr>
          <w:rFonts w:eastAsia="Times New Roman" w:cs="Times New Roman"/>
          <w:sz w:val="22"/>
          <w:lang w:eastAsia="hu-HU"/>
        </w:rPr>
        <w:t xml:space="preserve"> kialakulásának kockázatát. A </w:t>
      </w:r>
      <w:r w:rsidR="00BE452B" w:rsidRPr="00AA3F64">
        <w:rPr>
          <w:rFonts w:eastAsia="Times New Roman" w:cs="Times New Roman"/>
          <w:sz w:val="22"/>
          <w:lang w:eastAsia="hu-HU"/>
        </w:rPr>
        <w:t>hypergly</w:t>
      </w:r>
      <w:r w:rsidR="00526E62" w:rsidRPr="00AA3F64">
        <w:rPr>
          <w:rFonts w:eastAsia="Times New Roman" w:cs="Times New Roman"/>
          <w:sz w:val="22"/>
          <w:lang w:eastAsia="hu-HU"/>
        </w:rPr>
        <w:t>k</w:t>
      </w:r>
      <w:r w:rsidR="00BE452B" w:rsidRPr="00AA3F64">
        <w:rPr>
          <w:rFonts w:eastAsia="Times New Roman" w:cs="Times New Roman"/>
          <w:sz w:val="22"/>
          <w:lang w:eastAsia="hu-HU"/>
        </w:rPr>
        <w:t>aemia</w:t>
      </w:r>
      <w:r w:rsidR="00EE5B93" w:rsidRPr="00AA3F64">
        <w:rPr>
          <w:rFonts w:eastAsia="Times New Roman" w:cs="Times New Roman"/>
          <w:sz w:val="22"/>
          <w:lang w:eastAsia="hu-HU"/>
        </w:rPr>
        <w:t xml:space="preserve"> </w:t>
      </w:r>
      <w:r w:rsidRPr="00AA3F64">
        <w:rPr>
          <w:rFonts w:eastAsia="Times New Roman" w:cs="Times New Roman"/>
          <w:sz w:val="22"/>
          <w:lang w:eastAsia="hu-HU"/>
        </w:rPr>
        <w:t>kockázat</w:t>
      </w:r>
      <w:r w:rsidR="00EE5B93" w:rsidRPr="00AA3F64">
        <w:rPr>
          <w:rFonts w:eastAsia="Times New Roman" w:cs="Times New Roman"/>
          <w:sz w:val="22"/>
          <w:lang w:eastAsia="hu-HU"/>
        </w:rPr>
        <w:t>á</w:t>
      </w:r>
      <w:r w:rsidRPr="00AA3F64">
        <w:rPr>
          <w:rFonts w:eastAsia="Times New Roman" w:cs="Times New Roman"/>
          <w:sz w:val="22"/>
          <w:lang w:eastAsia="hu-HU"/>
        </w:rPr>
        <w:t>nak kitett beteget (éhomi glükóz</w:t>
      </w:r>
      <w:r w:rsidR="00D81FDE" w:rsidRPr="00AA3F64">
        <w:rPr>
          <w:rFonts w:eastAsia="Times New Roman" w:cs="Times New Roman"/>
          <w:sz w:val="22"/>
          <w:lang w:eastAsia="hu-HU"/>
        </w:rPr>
        <w:t>:</w:t>
      </w:r>
      <w:r w:rsidRPr="00AA3F64">
        <w:rPr>
          <w:rFonts w:eastAsia="Times New Roman" w:cs="Times New Roman"/>
          <w:sz w:val="22"/>
          <w:lang w:eastAsia="hu-HU"/>
        </w:rPr>
        <w:t xml:space="preserve"> 5,6-6,9 mmol/l, BMI</w:t>
      </w:r>
      <w:r w:rsidR="00D81FDE" w:rsidRPr="00AA3F64">
        <w:rPr>
          <w:rFonts w:eastAsia="Times New Roman" w:cs="Times New Roman"/>
          <w:sz w:val="22"/>
          <w:lang w:eastAsia="hu-HU"/>
        </w:rPr>
        <w:t>:</w:t>
      </w:r>
      <w:r w:rsidR="009B546E" w:rsidRPr="00AA3F64">
        <w:rPr>
          <w:rFonts w:eastAsia="Times New Roman" w:cs="Times New Roman"/>
          <w:sz w:val="22"/>
          <w:lang w:eastAsia="hu-HU"/>
        </w:rPr>
        <w:t xml:space="preserve"> </w:t>
      </w:r>
      <w:r w:rsidRPr="00AA3F64">
        <w:rPr>
          <w:rFonts w:eastAsia="Times New Roman" w:cs="Times New Roman"/>
          <w:sz w:val="22"/>
          <w:lang w:eastAsia="hu-HU"/>
        </w:rPr>
        <w:t>&gt;30 kg/m</w:t>
      </w:r>
      <w:r w:rsidRPr="00AA3F64">
        <w:rPr>
          <w:rFonts w:eastAsia="Times New Roman" w:cs="Times New Roman"/>
          <w:sz w:val="22"/>
          <w:vertAlign w:val="superscript"/>
          <w:lang w:eastAsia="hu-HU"/>
        </w:rPr>
        <w:t>2</w:t>
      </w:r>
      <w:r w:rsidRPr="00AA3F64">
        <w:rPr>
          <w:rFonts w:eastAsia="Times New Roman" w:cs="Times New Roman"/>
          <w:sz w:val="22"/>
          <w:lang w:eastAsia="hu-HU"/>
        </w:rPr>
        <w:t>, megnövekedett trigliceridszint, h</w:t>
      </w:r>
      <w:r w:rsidR="009B546E" w:rsidRPr="00AA3F64">
        <w:rPr>
          <w:rFonts w:eastAsia="Times New Roman" w:cs="Times New Roman"/>
          <w:sz w:val="22"/>
          <w:lang w:eastAsia="hu-HU"/>
        </w:rPr>
        <w:t>y</w:t>
      </w:r>
      <w:r w:rsidRPr="00AA3F64">
        <w:rPr>
          <w:rFonts w:eastAsia="Times New Roman" w:cs="Times New Roman"/>
          <w:sz w:val="22"/>
          <w:lang w:eastAsia="hu-HU"/>
        </w:rPr>
        <w:t>pert</w:t>
      </w:r>
      <w:r w:rsidR="009B546E" w:rsidRPr="00AA3F64">
        <w:rPr>
          <w:rFonts w:eastAsia="Times New Roman" w:cs="Times New Roman"/>
          <w:sz w:val="22"/>
          <w:lang w:eastAsia="hu-HU"/>
        </w:rPr>
        <w:t>o</w:t>
      </w:r>
      <w:r w:rsidRPr="00AA3F64">
        <w:rPr>
          <w:rFonts w:eastAsia="Times New Roman" w:cs="Times New Roman"/>
          <w:sz w:val="22"/>
          <w:lang w:eastAsia="hu-HU"/>
        </w:rPr>
        <w:t>nia) a nemzeti irányelveknek megfelelően klinikai és biokémiai szempontból monitorozni kell.</w:t>
      </w:r>
    </w:p>
    <w:p w14:paraId="4323701D" w14:textId="77777777" w:rsidR="00B01B13" w:rsidRPr="00AA3F64" w:rsidRDefault="00B01B1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lang w:eastAsia="hu-HU"/>
        </w:rPr>
      </w:pPr>
      <w:r w:rsidRPr="00AA3F64">
        <w:rPr>
          <w:rFonts w:eastAsia="Times New Roman" w:cs="Times New Roman"/>
          <w:sz w:val="22"/>
          <w:lang w:eastAsia="hu-HU"/>
        </w:rPr>
        <w:t>A JUPITER vizsgálatban a</w:t>
      </w:r>
      <w:r w:rsidR="00526E62" w:rsidRPr="00AA3F64">
        <w:rPr>
          <w:rFonts w:eastAsia="Times New Roman" w:cs="Times New Roman"/>
          <w:sz w:val="22"/>
          <w:lang w:eastAsia="hu-HU"/>
        </w:rPr>
        <w:t xml:space="preserve"> </w:t>
      </w:r>
      <w:r w:rsidRPr="00AA3F64">
        <w:rPr>
          <w:rFonts w:eastAsia="Times New Roman" w:cs="Times New Roman"/>
          <w:sz w:val="22"/>
          <w:lang w:eastAsia="hu-HU"/>
        </w:rPr>
        <w:t xml:space="preserve">jelentett diabetes mellitus esetek </w:t>
      </w:r>
      <w:r w:rsidR="00BE452B" w:rsidRPr="00AA3F64">
        <w:rPr>
          <w:rFonts w:eastAsia="Times New Roman" w:cs="Times New Roman"/>
          <w:sz w:val="22"/>
          <w:lang w:eastAsia="hu-HU"/>
        </w:rPr>
        <w:t>össz</w:t>
      </w:r>
      <w:r w:rsidR="00526E62" w:rsidRPr="00AA3F64">
        <w:rPr>
          <w:rFonts w:eastAsia="Times New Roman" w:cs="Times New Roman"/>
          <w:sz w:val="22"/>
          <w:lang w:eastAsia="hu-HU"/>
        </w:rPr>
        <w:t>esített</w:t>
      </w:r>
      <w:r w:rsidR="00BE452B" w:rsidRPr="00AA3F64">
        <w:rPr>
          <w:rFonts w:eastAsia="Times New Roman" w:cs="Times New Roman"/>
          <w:sz w:val="22"/>
          <w:lang w:eastAsia="hu-HU"/>
        </w:rPr>
        <w:t xml:space="preserve"> gyakorisága</w:t>
      </w:r>
      <w:r w:rsidRPr="00AA3F64">
        <w:rPr>
          <w:rFonts w:eastAsia="Times New Roman" w:cs="Times New Roman"/>
          <w:sz w:val="22"/>
          <w:lang w:eastAsia="hu-HU"/>
        </w:rPr>
        <w:t xml:space="preserve"> 2,8% volt rozuvasztatin és 2,3% placebo esetén, legfőképpen azoknál a betegeknél, akiknek az éhomi glükóz szintje 5,6</w:t>
      </w:r>
      <w:r w:rsidR="00717971" w:rsidRPr="00AA3F64">
        <w:rPr>
          <w:rFonts w:eastAsia="Times New Roman" w:cs="Times New Roman"/>
          <w:sz w:val="22"/>
          <w:lang w:eastAsia="hu-HU"/>
        </w:rPr>
        <w:noBreakHyphen/>
      </w:r>
      <w:r w:rsidRPr="00AA3F64">
        <w:rPr>
          <w:rFonts w:eastAsia="Times New Roman" w:cs="Times New Roman"/>
          <w:sz w:val="22"/>
          <w:lang w:eastAsia="hu-HU"/>
        </w:rPr>
        <w:t>6,9 mmol/l volt.</w:t>
      </w:r>
    </w:p>
    <w:p w14:paraId="4190D962" w14:textId="77777777" w:rsidR="00120F83" w:rsidRPr="00AA3F64" w:rsidRDefault="00120F83" w:rsidP="00AA3F64">
      <w:pPr>
        <w:widowControl w:val="0"/>
        <w:tabs>
          <w:tab w:val="left" w:pos="567"/>
        </w:tabs>
        <w:rPr>
          <w:rFonts w:cs="Times New Roman"/>
          <w:sz w:val="22"/>
        </w:rPr>
      </w:pPr>
    </w:p>
    <w:p w14:paraId="6CF05E10" w14:textId="77777777" w:rsidR="00E603AF" w:rsidRPr="00AA3F64" w:rsidRDefault="00E603AF" w:rsidP="00AA3F64">
      <w:pPr>
        <w:widowControl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Fibrátok</w:t>
      </w:r>
    </w:p>
    <w:p w14:paraId="5C55875E" w14:textId="77777777" w:rsidR="00E603AF" w:rsidRPr="00AA3F64" w:rsidRDefault="00E603AF" w:rsidP="00AA3F64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ezetimib biztonságosságát és hatásosságát a fibrátokkal való együttes alkalmazás esetén nem állapították meg.</w:t>
      </w:r>
    </w:p>
    <w:p w14:paraId="58370F38" w14:textId="77777777" w:rsidR="00E603AF" w:rsidRPr="00AA3F64" w:rsidRDefault="00E603AF" w:rsidP="00AA3F64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</w:t>
      </w:r>
      <w:r w:rsidR="007272A7" w:rsidRPr="00AA3F64">
        <w:rPr>
          <w:rFonts w:cs="Times New Roman"/>
          <w:sz w:val="22"/>
        </w:rPr>
        <w:t xml:space="preserve"> Co-Xeter</w:t>
      </w:r>
      <w:r w:rsidRPr="00AA3F64">
        <w:rPr>
          <w:rFonts w:cs="Times New Roman"/>
          <w:sz w:val="22"/>
        </w:rPr>
        <w:t>-t és fenofibrátot együtt szedő betegeknél felmerülő cholelithiasis gyanúja esetén epehólyag</w:t>
      </w:r>
      <w:r w:rsidRPr="00AA3F64">
        <w:rPr>
          <w:rFonts w:cs="Times New Roman"/>
          <w:sz w:val="22"/>
        </w:rPr>
        <w:noBreakHyphen/>
        <w:t>vizsgálatokra van szükség és a terápiát meg kell szakítani (lásd</w:t>
      </w:r>
      <w:r w:rsidR="00447E91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4.5</w:t>
      </w:r>
      <w:r w:rsidR="00447E91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és 4.8 pont).</w:t>
      </w:r>
    </w:p>
    <w:p w14:paraId="534FAAAA" w14:textId="77777777" w:rsidR="00E603AF" w:rsidRPr="00AA3F64" w:rsidRDefault="00E603AF" w:rsidP="00AA3F64">
      <w:pPr>
        <w:widowControl w:val="0"/>
        <w:tabs>
          <w:tab w:val="left" w:pos="567"/>
        </w:tabs>
        <w:rPr>
          <w:rFonts w:cs="Times New Roman"/>
          <w:sz w:val="22"/>
        </w:rPr>
      </w:pPr>
    </w:p>
    <w:p w14:paraId="32531500" w14:textId="77777777" w:rsidR="00E603AF" w:rsidRPr="00AA3F64" w:rsidRDefault="00E603AF" w:rsidP="00AA3F64">
      <w:pPr>
        <w:widowControl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Antikoagulánsok</w:t>
      </w:r>
    </w:p>
    <w:p w14:paraId="3859614A" w14:textId="77777777" w:rsidR="00E603AF" w:rsidRPr="00AA3F64" w:rsidRDefault="00E603AF" w:rsidP="00AA3F64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Ha a</w:t>
      </w:r>
      <w:r w:rsidR="007272A7" w:rsidRPr="00AA3F64">
        <w:rPr>
          <w:rFonts w:cs="Times New Roman"/>
          <w:sz w:val="22"/>
        </w:rPr>
        <w:t xml:space="preserve"> Co-Xeter</w:t>
      </w:r>
      <w:r w:rsidRPr="00AA3F64">
        <w:rPr>
          <w:rFonts w:cs="Times New Roman"/>
          <w:sz w:val="22"/>
        </w:rPr>
        <w:t xml:space="preserve">-t warfarinnal, egyéb </w:t>
      </w:r>
      <w:r w:rsidR="00D81FDE" w:rsidRPr="00AA3F64">
        <w:rPr>
          <w:rFonts w:cs="Times New Roman"/>
          <w:sz w:val="22"/>
        </w:rPr>
        <w:t>kumarin-</w:t>
      </w:r>
      <w:r w:rsidRPr="00AA3F64">
        <w:rPr>
          <w:rFonts w:cs="Times New Roman"/>
          <w:sz w:val="22"/>
        </w:rPr>
        <w:t>típusú véralvadásgátlóval vagy fluindionnal adjuk, a nemzetközi normalizált arányt (</w:t>
      </w:r>
      <w:r w:rsidR="00FD5B1F" w:rsidRPr="00AA3F64">
        <w:rPr>
          <w:rFonts w:cs="Times New Roman"/>
          <w:sz w:val="22"/>
        </w:rPr>
        <w:t xml:space="preserve">International Normalized Ratio - </w:t>
      </w:r>
      <w:r w:rsidRPr="00AA3F64">
        <w:rPr>
          <w:rFonts w:cs="Times New Roman"/>
          <w:sz w:val="22"/>
        </w:rPr>
        <w:t>INR) megfelelően ellenőrizni kell (lásd 4.5</w:t>
      </w:r>
      <w:r w:rsidR="00F03F92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pont).</w:t>
      </w:r>
    </w:p>
    <w:p w14:paraId="57F627E0" w14:textId="77777777" w:rsidR="00E603AF" w:rsidRPr="00AA3F64" w:rsidRDefault="00E603AF" w:rsidP="00AA3F64">
      <w:pPr>
        <w:widowControl w:val="0"/>
        <w:tabs>
          <w:tab w:val="left" w:pos="567"/>
        </w:tabs>
        <w:rPr>
          <w:rFonts w:cs="Times New Roman"/>
          <w:sz w:val="22"/>
        </w:rPr>
      </w:pPr>
    </w:p>
    <w:p w14:paraId="1964ADF8" w14:textId="77777777" w:rsidR="00717971" w:rsidRPr="00AA3F64" w:rsidRDefault="00717971" w:rsidP="00AA3F64">
      <w:pPr>
        <w:widowControl w:val="0"/>
        <w:tabs>
          <w:tab w:val="left" w:pos="567"/>
        </w:tabs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Ci</w:t>
      </w:r>
      <w:r w:rsidR="00555320">
        <w:rPr>
          <w:rFonts w:cs="Times New Roman"/>
          <w:sz w:val="22"/>
          <w:u w:val="single"/>
        </w:rPr>
        <w:t>k</w:t>
      </w:r>
      <w:r w:rsidRPr="00AA3F64">
        <w:rPr>
          <w:rFonts w:cs="Times New Roman"/>
          <w:sz w:val="22"/>
          <w:u w:val="single"/>
        </w:rPr>
        <w:t>losporin</w:t>
      </w:r>
    </w:p>
    <w:p w14:paraId="4672C4A8" w14:textId="77777777" w:rsidR="00717971" w:rsidRPr="00AA3F64" w:rsidRDefault="00717971" w:rsidP="00AA3F64">
      <w:pPr>
        <w:widowControl w:val="0"/>
        <w:tabs>
          <w:tab w:val="left" w:pos="567"/>
        </w:tabs>
        <w:rPr>
          <w:rFonts w:cs="Times New Roman"/>
          <w:sz w:val="22"/>
        </w:rPr>
      </w:pPr>
      <w:r w:rsidRPr="00AA3F64">
        <w:rPr>
          <w:rFonts w:cs="Times New Roman"/>
          <w:sz w:val="22"/>
        </w:rPr>
        <w:t>Lásd 4.3 és 4.5 pont.</w:t>
      </w:r>
    </w:p>
    <w:p w14:paraId="3BEF3866" w14:textId="77777777" w:rsidR="00717971" w:rsidRPr="00AA3F64" w:rsidRDefault="00717971" w:rsidP="00AA3F64">
      <w:pPr>
        <w:widowControl w:val="0"/>
        <w:tabs>
          <w:tab w:val="left" w:pos="567"/>
        </w:tabs>
        <w:rPr>
          <w:rFonts w:cs="Times New Roman"/>
          <w:sz w:val="22"/>
        </w:rPr>
      </w:pPr>
    </w:p>
    <w:p w14:paraId="635372F3" w14:textId="77777777" w:rsidR="00073C80" w:rsidRPr="00AA3F64" w:rsidRDefault="00073C80" w:rsidP="00AA3F64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u w:val="single"/>
          <w:lang w:val="hu-HU"/>
        </w:rPr>
      </w:pPr>
      <w:bookmarkStart w:id="4" w:name="INTERACTIONS"/>
      <w:bookmarkEnd w:id="4"/>
      <w:r w:rsidRPr="00AA3F64">
        <w:rPr>
          <w:color w:val="auto"/>
          <w:sz w:val="22"/>
          <w:szCs w:val="22"/>
          <w:u w:val="single"/>
          <w:lang w:val="hu-HU"/>
        </w:rPr>
        <w:t>Gyermek</w:t>
      </w:r>
      <w:r w:rsidR="00B01B13" w:rsidRPr="00AA3F64">
        <w:rPr>
          <w:color w:val="auto"/>
          <w:sz w:val="22"/>
          <w:szCs w:val="22"/>
          <w:u w:val="single"/>
          <w:lang w:val="hu-HU"/>
        </w:rPr>
        <w:t>ek</w:t>
      </w:r>
      <w:r w:rsidR="007C3783" w:rsidRPr="00AA3F64">
        <w:rPr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136DC293" w14:textId="77777777" w:rsidR="00E603AF" w:rsidRPr="00AA3F64" w:rsidRDefault="00E603AF" w:rsidP="00AA3F64">
      <w:pPr>
        <w:widowControl w:val="0"/>
        <w:rPr>
          <w:rFonts w:cs="Times New Roman"/>
          <w:bCs/>
          <w:iCs/>
          <w:sz w:val="22"/>
        </w:rPr>
      </w:pPr>
      <w:r w:rsidRPr="00AA3F64">
        <w:rPr>
          <w:rFonts w:cs="Times New Roman"/>
          <w:bCs/>
          <w:iCs/>
          <w:sz w:val="22"/>
        </w:rPr>
        <w:t xml:space="preserve">A </w:t>
      </w:r>
      <w:r w:rsidR="007272A7" w:rsidRPr="00AA3F64">
        <w:rPr>
          <w:rFonts w:cs="Times New Roman"/>
          <w:sz w:val="22"/>
        </w:rPr>
        <w:t xml:space="preserve">Co-Xeter </w:t>
      </w:r>
      <w:r w:rsidRPr="00AA3F64">
        <w:rPr>
          <w:rFonts w:cs="Times New Roman"/>
          <w:bCs/>
          <w:iCs/>
          <w:sz w:val="22"/>
        </w:rPr>
        <w:t>biztonságosságát és hatásosságát 18</w:t>
      </w:r>
      <w:r w:rsidR="007A787E" w:rsidRPr="00AA3F64">
        <w:rPr>
          <w:rFonts w:cs="Times New Roman"/>
          <w:bCs/>
          <w:iCs/>
          <w:sz w:val="22"/>
        </w:rPr>
        <w:t>.</w:t>
      </w:r>
      <w:r w:rsidRPr="00AA3F64">
        <w:rPr>
          <w:rFonts w:cs="Times New Roman"/>
          <w:bCs/>
          <w:iCs/>
          <w:sz w:val="22"/>
        </w:rPr>
        <w:t> </w:t>
      </w:r>
      <w:r w:rsidR="007A787E" w:rsidRPr="00AA3F64">
        <w:rPr>
          <w:rFonts w:cs="Times New Roman"/>
          <w:bCs/>
          <w:iCs/>
          <w:sz w:val="22"/>
        </w:rPr>
        <w:t>élet</w:t>
      </w:r>
      <w:r w:rsidRPr="00AA3F64">
        <w:rPr>
          <w:rFonts w:cs="Times New Roman"/>
          <w:bCs/>
          <w:iCs/>
          <w:sz w:val="22"/>
        </w:rPr>
        <w:t>év</w:t>
      </w:r>
      <w:r w:rsidR="007A787E" w:rsidRPr="00AA3F64">
        <w:rPr>
          <w:rFonts w:cs="Times New Roman"/>
          <w:bCs/>
          <w:iCs/>
          <w:sz w:val="22"/>
        </w:rPr>
        <w:t>üket még be nem töltött</w:t>
      </w:r>
      <w:r w:rsidRPr="00AA3F64">
        <w:rPr>
          <w:rFonts w:cs="Times New Roman"/>
          <w:bCs/>
          <w:iCs/>
          <w:sz w:val="22"/>
        </w:rPr>
        <w:t xml:space="preserve"> gyermek</w:t>
      </w:r>
      <w:r w:rsidR="00CF39C5" w:rsidRPr="00AA3F64">
        <w:rPr>
          <w:rFonts w:cs="Times New Roman"/>
          <w:bCs/>
          <w:iCs/>
          <w:sz w:val="22"/>
        </w:rPr>
        <w:t>ek</w:t>
      </w:r>
      <w:r w:rsidRPr="00AA3F64">
        <w:rPr>
          <w:rFonts w:cs="Times New Roman"/>
          <w:bCs/>
          <w:iCs/>
          <w:sz w:val="22"/>
        </w:rPr>
        <w:t xml:space="preserve">nél </w:t>
      </w:r>
      <w:r w:rsidR="00555320">
        <w:rPr>
          <w:rFonts w:cs="Times New Roman"/>
          <w:bCs/>
          <w:iCs/>
          <w:sz w:val="22"/>
        </w:rPr>
        <w:t xml:space="preserve">és serdülőknél </w:t>
      </w:r>
      <w:r w:rsidRPr="00AA3F64">
        <w:rPr>
          <w:rFonts w:cs="Times New Roman"/>
          <w:bCs/>
          <w:iCs/>
          <w:sz w:val="22"/>
        </w:rPr>
        <w:t>nem igazolták, ezért ebben a korcsoportban</w:t>
      </w:r>
      <w:r w:rsidR="006A196F" w:rsidRPr="00AA3F64">
        <w:rPr>
          <w:rFonts w:cs="Times New Roman"/>
          <w:bCs/>
          <w:iCs/>
          <w:sz w:val="22"/>
        </w:rPr>
        <w:t xml:space="preserve"> a </w:t>
      </w:r>
      <w:r w:rsidR="00B55A1E" w:rsidRPr="00AA3F64">
        <w:rPr>
          <w:rFonts w:cs="Times New Roman"/>
          <w:sz w:val="22"/>
        </w:rPr>
        <w:t>Co-Xeter</w:t>
      </w:r>
      <w:r w:rsidR="00990F04" w:rsidRPr="00AA3F64">
        <w:rPr>
          <w:rFonts w:cs="Times New Roman"/>
          <w:sz w:val="22"/>
        </w:rPr>
        <w:t xml:space="preserve"> </w:t>
      </w:r>
      <w:r w:rsidR="006A196F" w:rsidRPr="00AA3F64">
        <w:rPr>
          <w:rFonts w:cs="Times New Roman"/>
          <w:sz w:val="22"/>
        </w:rPr>
        <w:t>alkalmazása nem ajánlott</w:t>
      </w:r>
      <w:r w:rsidR="006A196F" w:rsidRPr="00AA3F64">
        <w:rPr>
          <w:rFonts w:cs="Times New Roman"/>
          <w:bCs/>
          <w:iCs/>
          <w:sz w:val="22"/>
        </w:rPr>
        <w:t>.</w:t>
      </w:r>
    </w:p>
    <w:p w14:paraId="74CE4343" w14:textId="77777777" w:rsidR="00073C80" w:rsidRPr="00AA3F64" w:rsidRDefault="00073C80" w:rsidP="00AA3F64">
      <w:pPr>
        <w:widowControl w:val="0"/>
        <w:tabs>
          <w:tab w:val="left" w:pos="567"/>
        </w:tabs>
        <w:rPr>
          <w:rFonts w:cs="Times New Roman"/>
          <w:bCs/>
          <w:sz w:val="22"/>
        </w:rPr>
      </w:pPr>
    </w:p>
    <w:p w14:paraId="27F75495" w14:textId="77777777" w:rsidR="0089417B" w:rsidRPr="00AA3F64" w:rsidRDefault="0089417B" w:rsidP="00AA3F64">
      <w:pPr>
        <w:widowControl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Májbetegség és a</w:t>
      </w:r>
      <w:r w:rsidR="005E73D9">
        <w:rPr>
          <w:rFonts w:cs="Times New Roman"/>
          <w:sz w:val="22"/>
          <w:u w:val="single"/>
        </w:rPr>
        <w:t>l</w:t>
      </w:r>
      <w:r w:rsidRPr="00AA3F64">
        <w:rPr>
          <w:rFonts w:cs="Times New Roman"/>
          <w:sz w:val="22"/>
          <w:u w:val="single"/>
        </w:rPr>
        <w:t>kohol</w:t>
      </w:r>
    </w:p>
    <w:p w14:paraId="567499B1" w14:textId="77777777" w:rsidR="0089417B" w:rsidRPr="00AA3F64" w:rsidRDefault="0089417B" w:rsidP="00AA3F64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Co-Xeter alkalmazása óvatosságot igényel nagy mennyiségű alkoholt fogyasztó betegeknél és/vagy amennyiben az anamnézisben valamely májbetegség szerepel.</w:t>
      </w:r>
    </w:p>
    <w:p w14:paraId="5238F2AB" w14:textId="77777777" w:rsidR="0089417B" w:rsidRPr="00AA3F64" w:rsidRDefault="0089417B" w:rsidP="00AA3F64">
      <w:pPr>
        <w:widowControl w:val="0"/>
        <w:tabs>
          <w:tab w:val="left" w:pos="567"/>
        </w:tabs>
        <w:rPr>
          <w:rFonts w:cs="Times New Roman"/>
          <w:bCs/>
          <w:sz w:val="22"/>
        </w:rPr>
      </w:pPr>
    </w:p>
    <w:p w14:paraId="6DC25C04" w14:textId="77777777" w:rsidR="002F4A7E" w:rsidRPr="00AA3F64" w:rsidRDefault="0089417B" w:rsidP="00AA3F64">
      <w:pPr>
        <w:widowControl w:val="0"/>
        <w:tabs>
          <w:tab w:val="left" w:pos="567"/>
        </w:tabs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Segédanyagok</w:t>
      </w:r>
    </w:p>
    <w:p w14:paraId="5450F3BF" w14:textId="77777777" w:rsidR="002F4A7E" w:rsidRPr="00AA3F64" w:rsidRDefault="002F4A7E" w:rsidP="00AA3F64">
      <w:pPr>
        <w:widowControl w:val="0"/>
        <w:numPr>
          <w:ilvl w:val="12"/>
          <w:numId w:val="0"/>
        </w:numPr>
        <w:tabs>
          <w:tab w:val="left" w:pos="567"/>
        </w:tabs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Ez a gyógyszer laktózt tartalmaz. </w:t>
      </w:r>
      <w:r w:rsidRPr="00AA3F64">
        <w:rPr>
          <w:rFonts w:cs="Times New Roman"/>
          <w:bCs/>
          <w:sz w:val="22"/>
        </w:rPr>
        <w:t xml:space="preserve">Ritkán előforduló, </w:t>
      </w:r>
      <w:r w:rsidRPr="00AA3F64">
        <w:rPr>
          <w:rFonts w:cs="Times New Roman"/>
          <w:sz w:val="22"/>
        </w:rPr>
        <w:t xml:space="preserve">örökletes galaktózintoleranciában, </w:t>
      </w:r>
      <w:r w:rsidR="0005408B" w:rsidRPr="00AA3F64">
        <w:rPr>
          <w:rFonts w:cs="Times New Roman"/>
          <w:sz w:val="22"/>
        </w:rPr>
        <w:t xml:space="preserve">teljes laktázhiányban </w:t>
      </w:r>
      <w:r w:rsidRPr="00AA3F64">
        <w:rPr>
          <w:rFonts w:cs="Times New Roman"/>
          <w:sz w:val="22"/>
        </w:rPr>
        <w:t>vagy glükóz</w:t>
      </w:r>
      <w:r w:rsidRPr="00AA3F64">
        <w:rPr>
          <w:rFonts w:cs="Times New Roman"/>
          <w:sz w:val="22"/>
        </w:rPr>
        <w:noBreakHyphen/>
        <w:t>galaktóz malabszorpcióban a készítmény nem szedhető.</w:t>
      </w:r>
    </w:p>
    <w:p w14:paraId="40A3CE9D" w14:textId="77777777" w:rsidR="0089417B" w:rsidRPr="00AA3F64" w:rsidRDefault="0089417B" w:rsidP="00AA3F64">
      <w:pPr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készítmény kevesebb mint 1 mmol (23 mg) nátriumot tartalmaz </w:t>
      </w:r>
      <w:r w:rsidR="00555320">
        <w:rPr>
          <w:rFonts w:cs="Times New Roman"/>
          <w:sz w:val="22"/>
        </w:rPr>
        <w:t>film</w:t>
      </w:r>
      <w:r w:rsidRPr="00AA3F64">
        <w:rPr>
          <w:rFonts w:cs="Times New Roman"/>
          <w:sz w:val="22"/>
        </w:rPr>
        <w:t>tablettánként, azaz gyakorlatilag „nátriummentes”.</w:t>
      </w:r>
    </w:p>
    <w:p w14:paraId="673A29E9" w14:textId="77777777" w:rsidR="002F4A7E" w:rsidRPr="00AA3F64" w:rsidRDefault="002F4A7E" w:rsidP="00AA3F64">
      <w:pPr>
        <w:widowControl w:val="0"/>
        <w:tabs>
          <w:tab w:val="left" w:pos="567"/>
        </w:tabs>
        <w:rPr>
          <w:rFonts w:cs="Times New Roman"/>
          <w:bCs/>
          <w:sz w:val="22"/>
        </w:rPr>
      </w:pPr>
    </w:p>
    <w:p w14:paraId="3D66B76C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4.5</w:t>
      </w:r>
      <w:r w:rsidRPr="00AA3F64">
        <w:rPr>
          <w:rFonts w:cs="Times New Roman"/>
          <w:b/>
          <w:bCs/>
          <w:sz w:val="22"/>
        </w:rPr>
        <w:tab/>
        <w:t>Gyógyszerkölcsönhatások és egyéb interakciók</w:t>
      </w:r>
    </w:p>
    <w:p w14:paraId="289773AA" w14:textId="77777777" w:rsidR="00DE41E5" w:rsidRPr="00AA3F64" w:rsidRDefault="00DE41E5" w:rsidP="00AA3F64">
      <w:pPr>
        <w:widowControl w:val="0"/>
        <w:autoSpaceDE w:val="0"/>
        <w:autoSpaceDN w:val="0"/>
        <w:adjustRightInd w:val="0"/>
        <w:ind w:left="567" w:hanging="567"/>
        <w:rPr>
          <w:rFonts w:cs="Times New Roman"/>
          <w:bCs/>
          <w:iCs/>
          <w:sz w:val="22"/>
        </w:rPr>
      </w:pPr>
    </w:p>
    <w:p w14:paraId="553D1AE5" w14:textId="77777777" w:rsidR="00DE41E5" w:rsidRPr="00AA3F64" w:rsidRDefault="003C673E" w:rsidP="00AA3F64">
      <w:pPr>
        <w:widowControl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Kontraindikált kombinációk</w:t>
      </w:r>
    </w:p>
    <w:p w14:paraId="243DB0BD" w14:textId="77777777" w:rsidR="0089417B" w:rsidRPr="00AA3F64" w:rsidRDefault="0089417B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/>
          <w:iCs/>
          <w:sz w:val="22"/>
          <w:u w:val="single"/>
        </w:rPr>
      </w:pPr>
    </w:p>
    <w:p w14:paraId="6DB20B90" w14:textId="77777777" w:rsidR="003C673E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bCs/>
          <w:i/>
          <w:iCs/>
          <w:sz w:val="22"/>
          <w:u w:val="single"/>
        </w:rPr>
        <w:t>Ciklosporin</w:t>
      </w:r>
      <w:r w:rsidRPr="00AA3F64">
        <w:rPr>
          <w:rFonts w:cs="Times New Roman"/>
          <w:bCs/>
          <w:i/>
          <w:iCs/>
          <w:sz w:val="22"/>
        </w:rPr>
        <w:t>:</w:t>
      </w:r>
      <w:r w:rsidRPr="00AA3F64">
        <w:rPr>
          <w:rFonts w:cs="Times New Roman"/>
          <w:sz w:val="22"/>
        </w:rPr>
        <w:t xml:space="preserve"> Ciklosporin és a rozuvasztatin egyidejű alkalmazásakor a rozuvasztatin </w:t>
      </w:r>
      <w:r w:rsidR="00D81FDE" w:rsidRPr="00AA3F64">
        <w:rPr>
          <w:rFonts w:cs="Times New Roman"/>
          <w:sz w:val="22"/>
        </w:rPr>
        <w:t>AUC-</w:t>
      </w:r>
      <w:r w:rsidRPr="00AA3F64">
        <w:rPr>
          <w:rFonts w:cs="Times New Roman"/>
          <w:sz w:val="22"/>
        </w:rPr>
        <w:t>értéke átlagosan hétszer magasabb volt az egészséges önkéntesek</w:t>
      </w:r>
      <w:r w:rsidR="002302C7" w:rsidRPr="00AA3F64">
        <w:rPr>
          <w:rFonts w:cs="Times New Roman"/>
          <w:sz w:val="22"/>
        </w:rPr>
        <w:t>nél</w:t>
      </w:r>
      <w:r w:rsidRPr="00AA3F64">
        <w:rPr>
          <w:rFonts w:cs="Times New Roman"/>
          <w:sz w:val="22"/>
        </w:rPr>
        <w:t xml:space="preserve"> mért értékekhez képest</w:t>
      </w:r>
      <w:r w:rsidR="0005408B" w:rsidRPr="00AA3F64">
        <w:rPr>
          <w:rFonts w:cs="Times New Roman"/>
          <w:sz w:val="22"/>
        </w:rPr>
        <w:t xml:space="preserve">. </w:t>
      </w:r>
      <w:r w:rsidR="003C673E" w:rsidRPr="00AA3F64">
        <w:rPr>
          <w:rFonts w:cs="Times New Roman"/>
          <w:sz w:val="22"/>
        </w:rPr>
        <w:t>A</w:t>
      </w:r>
      <w:r w:rsidR="00614D5D" w:rsidRPr="00AA3F64">
        <w:rPr>
          <w:rFonts w:cs="Times New Roman"/>
          <w:sz w:val="22"/>
        </w:rPr>
        <w:t xml:space="preserve"> rozuvasztatin </w:t>
      </w:r>
      <w:r w:rsidR="00614D5D" w:rsidRPr="00AA3F64">
        <w:rPr>
          <w:rFonts w:cs="Times New Roman"/>
          <w:sz w:val="22"/>
        </w:rPr>
        <w:lastRenderedPageBreak/>
        <w:t>és a ciklosporin</w:t>
      </w:r>
      <w:r w:rsidR="003C673E" w:rsidRPr="00AA3F64">
        <w:rPr>
          <w:rFonts w:cs="Times New Roman"/>
          <w:sz w:val="22"/>
        </w:rPr>
        <w:t xml:space="preserve"> egyidejű alkalmazás</w:t>
      </w:r>
      <w:r w:rsidR="00614D5D" w:rsidRPr="00AA3F64">
        <w:rPr>
          <w:rFonts w:cs="Times New Roman"/>
          <w:sz w:val="22"/>
        </w:rPr>
        <w:t>a</w:t>
      </w:r>
      <w:r w:rsidR="003C673E" w:rsidRPr="00AA3F64">
        <w:rPr>
          <w:rFonts w:cs="Times New Roman"/>
          <w:sz w:val="22"/>
        </w:rPr>
        <w:t xml:space="preserve"> nem befolyásolta a ciklosporin plazmakoncentrációját.</w:t>
      </w:r>
    </w:p>
    <w:p w14:paraId="62728966" w14:textId="77777777" w:rsidR="00B604CE" w:rsidRPr="00AA3F64" w:rsidRDefault="0089417B" w:rsidP="00AA3F64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Co-Xeter </w:t>
      </w:r>
      <w:r w:rsidR="00B604CE" w:rsidRPr="00AA3F64">
        <w:rPr>
          <w:rFonts w:cs="Times New Roman"/>
          <w:sz w:val="22"/>
        </w:rPr>
        <w:t xml:space="preserve">és </w:t>
      </w:r>
      <w:r w:rsidR="00B604CE" w:rsidRPr="00AA3F64">
        <w:rPr>
          <w:rFonts w:cs="Times New Roman"/>
          <w:color w:val="000000"/>
          <w:sz w:val="22"/>
        </w:rPr>
        <w:t>ciklosporin egyidejű alkalmazása ellenjavallt</w:t>
      </w:r>
      <w:r w:rsidR="00B604CE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(lásd 4.3 pont).</w:t>
      </w:r>
    </w:p>
    <w:p w14:paraId="5F0DF215" w14:textId="77777777" w:rsidR="0058197A" w:rsidRPr="00AA3F64" w:rsidRDefault="00D81FDE" w:rsidP="00AA3F64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Nyolc</w:t>
      </w:r>
      <w:r w:rsidR="0058197A" w:rsidRPr="00AA3F64">
        <w:rPr>
          <w:rFonts w:cs="Times New Roman"/>
          <w:sz w:val="22"/>
        </w:rPr>
        <w:t>, veseátültetés</w:t>
      </w:r>
      <w:r w:rsidR="00BF22C9" w:rsidRPr="00AA3F64">
        <w:rPr>
          <w:rFonts w:cs="Times New Roman"/>
          <w:sz w:val="22"/>
        </w:rPr>
        <w:t>en átesett</w:t>
      </w:r>
      <w:r w:rsidR="0058197A" w:rsidRPr="00AA3F64">
        <w:rPr>
          <w:rFonts w:cs="Times New Roman"/>
          <w:sz w:val="22"/>
        </w:rPr>
        <w:t>, állandó dózisú ciklosporinnal kezelt betegekkel (kreatitin</w:t>
      </w:r>
      <w:r w:rsidR="0058197A" w:rsidRPr="00AA3F64">
        <w:rPr>
          <w:rFonts w:cs="Times New Roman"/>
          <w:sz w:val="22"/>
        </w:rPr>
        <w:noBreakHyphen/>
        <w:t>clearance </w:t>
      </w:r>
      <w:r w:rsidR="0058197A" w:rsidRPr="00AA3F64">
        <w:rPr>
          <w:rFonts w:cs="Times New Roman"/>
          <w:sz w:val="22"/>
        </w:rPr>
        <w:sym w:font="Symbol" w:char="F03E"/>
      </w:r>
      <w:r w:rsidR="00B146F4" w:rsidRPr="00AA3F64">
        <w:rPr>
          <w:rFonts w:cs="Times New Roman"/>
          <w:sz w:val="22"/>
        </w:rPr>
        <w:t> </w:t>
      </w:r>
      <w:r w:rsidR="0058197A" w:rsidRPr="00AA3F64">
        <w:rPr>
          <w:rFonts w:cs="Times New Roman"/>
          <w:sz w:val="22"/>
        </w:rPr>
        <w:t>50 ml/perc) végzett vizsgálatban, az ezetimib 10 mg-os dózisának egyszeri alkalmazását követően az összezetimibre vonatkozó görbe alatti terület (AUC) átlaga mintegy 3,4</w:t>
      </w:r>
      <w:r w:rsidR="0058197A" w:rsidRPr="00AA3F64">
        <w:rPr>
          <w:rFonts w:cs="Times New Roman"/>
          <w:sz w:val="22"/>
        </w:rPr>
        <w:noBreakHyphen/>
        <w:t>szer (2,3</w:t>
      </w:r>
      <w:r w:rsidR="0058197A" w:rsidRPr="00AA3F64">
        <w:rPr>
          <w:rFonts w:cs="Times New Roman"/>
          <w:sz w:val="22"/>
        </w:rPr>
        <w:noBreakHyphen/>
        <w:t>7,9</w:t>
      </w:r>
      <w:r w:rsidR="0058197A" w:rsidRPr="00AA3F64">
        <w:rPr>
          <w:rFonts w:cs="Times New Roman"/>
          <w:sz w:val="22"/>
        </w:rPr>
        <w:noBreakHyphen/>
        <w:t>szeres tartományban) nagyobb volt, mint egy másik vizsgálatban lévő egészséges egyénekben, akik csak ezetimibet kaptak (n</w:t>
      </w:r>
      <w:r w:rsidR="00720334" w:rsidRPr="00AA3F64">
        <w:rPr>
          <w:rFonts w:cs="Times New Roman"/>
          <w:sz w:val="22"/>
        </w:rPr>
        <w:t> </w:t>
      </w:r>
      <w:r w:rsidR="0058197A" w:rsidRPr="00AA3F64">
        <w:rPr>
          <w:rFonts w:cs="Times New Roman"/>
          <w:sz w:val="22"/>
        </w:rPr>
        <w:t>=</w:t>
      </w:r>
      <w:r w:rsidR="00720334" w:rsidRPr="00AA3F64">
        <w:rPr>
          <w:rFonts w:cs="Times New Roman"/>
          <w:sz w:val="22"/>
        </w:rPr>
        <w:t> </w:t>
      </w:r>
      <w:r w:rsidR="0058197A" w:rsidRPr="00AA3F64">
        <w:rPr>
          <w:rFonts w:cs="Times New Roman"/>
          <w:sz w:val="22"/>
        </w:rPr>
        <w:t>17). Egy másik vizsgálatban veseátültetés</w:t>
      </w:r>
      <w:r w:rsidR="007A787E" w:rsidRPr="00AA3F64">
        <w:rPr>
          <w:rFonts w:cs="Times New Roman"/>
          <w:sz w:val="22"/>
        </w:rPr>
        <w:t>en átasett</w:t>
      </w:r>
      <w:r w:rsidR="0058197A" w:rsidRPr="00AA3F64">
        <w:rPr>
          <w:rFonts w:cs="Times New Roman"/>
          <w:sz w:val="22"/>
        </w:rPr>
        <w:t>, súlyos vesekárosodásban szenvedő, több gyógyszerrel, egyebek mellett ciklosporinnal is kezelt beteg össz</w:t>
      </w:r>
      <w:r w:rsidRPr="00AA3F64">
        <w:rPr>
          <w:rFonts w:cs="Times New Roman"/>
          <w:sz w:val="22"/>
        </w:rPr>
        <w:t>ezetimib-</w:t>
      </w:r>
      <w:r w:rsidR="0058197A" w:rsidRPr="00AA3F64">
        <w:rPr>
          <w:rFonts w:cs="Times New Roman"/>
          <w:sz w:val="22"/>
        </w:rPr>
        <w:t>expozíciója 12-szeresre nőtt a csak ezetimibbel kezelt párhuzamos kontrollokhoz képest. Egy kétrészes kereszt</w:t>
      </w:r>
      <w:r w:rsidR="00555320">
        <w:rPr>
          <w:rFonts w:cs="Times New Roman"/>
          <w:sz w:val="22"/>
        </w:rPr>
        <w:t xml:space="preserve">ezett </w:t>
      </w:r>
      <w:r w:rsidR="0058197A" w:rsidRPr="00AA3F64">
        <w:rPr>
          <w:rFonts w:cs="Times New Roman"/>
          <w:sz w:val="22"/>
        </w:rPr>
        <w:t>vizsgálatban 12</w:t>
      </w:r>
      <w:r w:rsidR="00C253FB" w:rsidRPr="00AA3F64">
        <w:rPr>
          <w:rFonts w:cs="Times New Roman"/>
          <w:sz w:val="22"/>
        </w:rPr>
        <w:t xml:space="preserve"> </w:t>
      </w:r>
      <w:r w:rsidR="0058197A" w:rsidRPr="00AA3F64">
        <w:rPr>
          <w:rFonts w:cs="Times New Roman"/>
          <w:sz w:val="22"/>
        </w:rPr>
        <w:t>egészséges alany 8 napon át napi 20 mg ezetimibet kapott, a 7. napon pedig egyszeri 100 mg ciklosporint. A vizsgálat során a ciklosporin AUC átlag 15%-os növekedését figyelték meg (a 10%-os csökkenés és 51%-os növekedés tartományban) a kizárólag egyszeri 100 mg ciklosporin alkalmazásával összehasonlítva. Vesetranszplantált betegek esetében az ezetimibbel együttesen alkalmazott ciklosporin expozíciójának hatásáról kontrollos vizsgálatot nem végeztek.</w:t>
      </w:r>
    </w:p>
    <w:p w14:paraId="350CFC47" w14:textId="77777777" w:rsidR="0058197A" w:rsidRPr="00AA3F64" w:rsidRDefault="0058197A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4E36F1CE" w14:textId="77777777" w:rsidR="0089417B" w:rsidRPr="00AA3F64" w:rsidRDefault="0089417B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bCs/>
          <w:i/>
          <w:sz w:val="22"/>
          <w:u w:val="single"/>
        </w:rPr>
        <w:t>Gemfibrozil és egyéb lipidszintcsökkentő</w:t>
      </w:r>
      <w:r w:rsidRPr="00AA3F64">
        <w:rPr>
          <w:rFonts w:cs="Times New Roman"/>
          <w:i/>
          <w:sz w:val="22"/>
          <w:u w:val="single"/>
        </w:rPr>
        <w:t xml:space="preserve"> </w:t>
      </w:r>
      <w:r w:rsidRPr="00AA3F64">
        <w:rPr>
          <w:rFonts w:cs="Times New Roman"/>
          <w:bCs/>
          <w:i/>
          <w:sz w:val="22"/>
          <w:u w:val="single"/>
        </w:rPr>
        <w:t>készítmények:</w:t>
      </w:r>
      <w:r w:rsidRPr="00AA3F64">
        <w:rPr>
          <w:rFonts w:cs="Times New Roman"/>
          <w:bCs/>
          <w:sz w:val="22"/>
        </w:rPr>
        <w:t xml:space="preserve"> </w:t>
      </w:r>
      <w:r w:rsidRPr="00AA3F64">
        <w:rPr>
          <w:rFonts w:cs="Times New Roman"/>
          <w:sz w:val="22"/>
        </w:rPr>
        <w:t>A rozuvasztatin és gemfibrozil egyidejű alkalmazásakor a rozuvasztatin C</w:t>
      </w:r>
      <w:r w:rsidRPr="00AA3F64">
        <w:rPr>
          <w:rFonts w:cs="Times New Roman"/>
          <w:sz w:val="22"/>
          <w:vertAlign w:val="subscript"/>
        </w:rPr>
        <w:t>max</w:t>
      </w:r>
      <w:r w:rsidRPr="00AA3F64">
        <w:rPr>
          <w:rFonts w:cs="Times New Roman"/>
          <w:sz w:val="22"/>
        </w:rPr>
        <w:t xml:space="preserve"> és AUC értékei kétszeresére növekedtek (lásd 4.4 pont).</w:t>
      </w:r>
    </w:p>
    <w:p w14:paraId="2CE746A7" w14:textId="77777777" w:rsidR="0089417B" w:rsidRPr="00AA3F64" w:rsidRDefault="0089417B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Specifikus gyógyszerkölcsönhatás-vizsgálatok során nyert adatok alapján fenofibráttal releváns farmakokinetikai interakció nem várható, bár farmakodinámiás interakció kialakulhat.</w:t>
      </w:r>
    </w:p>
    <w:p w14:paraId="3F8E2DD7" w14:textId="77777777" w:rsidR="0089417B" w:rsidRPr="00AA3F64" w:rsidRDefault="0089417B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gemfibrozil, a fenofibrát, illetve egyéb fibrátok vagy a niacin (nikotinsav) lipidcsökkentő dózisai (≥ 1 g/nap) HMG</w:t>
      </w:r>
      <w:r w:rsidRPr="00AA3F64">
        <w:rPr>
          <w:rFonts w:cs="Times New Roman"/>
          <w:sz w:val="22"/>
        </w:rPr>
        <w:noBreakHyphen/>
        <w:t>CoA</w:t>
      </w:r>
      <w:r w:rsidRPr="00AA3F64">
        <w:rPr>
          <w:rFonts w:cs="Times New Roman"/>
          <w:sz w:val="22"/>
        </w:rPr>
        <w:noBreakHyphen/>
        <w:t>reduktáz-inhibitorokkal együttadva növelik a myopathia kockázatát. Ennek valószínű oka az, hogy ezek a készítmények monoterápiában alkalmazva is myopathiát okozhatnak.</w:t>
      </w:r>
    </w:p>
    <w:p w14:paraId="4C815B49" w14:textId="77777777" w:rsidR="0089417B" w:rsidRPr="00AA3F64" w:rsidRDefault="0089417B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997D29E" w14:textId="77777777" w:rsidR="0089417B" w:rsidRPr="001B0501" w:rsidRDefault="0089417B" w:rsidP="00AA3F64">
      <w:pPr>
        <w:widowControl w:val="0"/>
        <w:rPr>
          <w:rFonts w:cs="Times New Roman"/>
          <w:sz w:val="22"/>
        </w:rPr>
      </w:pPr>
      <w:r w:rsidRPr="005E1F1F">
        <w:rPr>
          <w:rFonts w:cs="Times New Roman"/>
          <w:sz w:val="22"/>
        </w:rPr>
        <w:t>Ezetimibet fenofibráttal egyidejűleg alkalmazva az orvosnak gondolnia kell a cholelithiasis és az epebetegség kialakulásának vesz</w:t>
      </w:r>
      <w:r w:rsidRPr="009302C2">
        <w:rPr>
          <w:rFonts w:cs="Times New Roman"/>
          <w:sz w:val="22"/>
        </w:rPr>
        <w:t>élyére (lásd 4.4 és 4.8 pont). Ezetimibet és fenofibrátot egyidejűleg szedő betegeknél felmerülő cholelithiasis gyanúja esetén epehólyag</w:t>
      </w:r>
      <w:r w:rsidRPr="009302C2">
        <w:rPr>
          <w:rFonts w:cs="Times New Roman"/>
          <w:sz w:val="22"/>
        </w:rPr>
        <w:noBreakHyphen/>
        <w:t>vizsgálatokra van szükség és a terápiát meg kell szakítani (lásd 4.8 pont). A fenofibrát, valamint a gemfibrozil egyidejű alkalmazása enyhén megemelte az össz-ezetimib koncentrációt (kb. 1,5-szeresére fenofibrát, és kb. 1,7-szeresére gemfibrozil esetén). Az ezetimib más fibrátokkal való együttadását nem vizsgálták. A fibrátok fokozhatják a koleszterin epével történő kivála</w:t>
      </w:r>
      <w:r w:rsidRPr="002E71BD">
        <w:rPr>
          <w:rFonts w:cs="Times New Roman"/>
          <w:sz w:val="22"/>
        </w:rPr>
        <w:t>sztását, ami cholelithiasishoz vezethet. Állatok</w:t>
      </w:r>
      <w:r w:rsidR="00C5075A" w:rsidRPr="00526B96">
        <w:rPr>
          <w:rFonts w:cs="Times New Roman"/>
          <w:sz w:val="22"/>
        </w:rPr>
        <w:t>kal</w:t>
      </w:r>
      <w:r w:rsidRPr="007C672F">
        <w:rPr>
          <w:rFonts w:cs="Times New Roman"/>
          <w:sz w:val="22"/>
        </w:rPr>
        <w:t xml:space="preserve"> végzett vizsgálatokban az ezetimib fokozta az epehólyagban lévő epe koleszterintartalmát, de nem minden fajnál (lásd 5.3 pont). Az ezetimib terápiás használatával összefüggő litogén kockázat nem </w:t>
      </w:r>
      <w:r w:rsidRPr="001B0501">
        <w:rPr>
          <w:rFonts w:cs="Times New Roman"/>
          <w:sz w:val="22"/>
        </w:rPr>
        <w:t>kizárható.</w:t>
      </w:r>
    </w:p>
    <w:p w14:paraId="7077BBBB" w14:textId="77777777" w:rsidR="0089417B" w:rsidRPr="00AA3F64" w:rsidRDefault="0089417B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1B0501">
        <w:rPr>
          <w:rFonts w:cs="Times New Roman"/>
          <w:bCs/>
          <w:sz w:val="22"/>
        </w:rPr>
        <w:t xml:space="preserve">A Co-Xeter </w:t>
      </w:r>
      <w:r w:rsidR="008E1B73" w:rsidRPr="000C679A">
        <w:rPr>
          <w:rFonts w:cs="Times New Roman"/>
          <w:bCs/>
          <w:sz w:val="22"/>
        </w:rPr>
        <w:t>40</w:t>
      </w:r>
      <w:r w:rsidR="005E1F1F" w:rsidRPr="000C679A">
        <w:rPr>
          <w:rFonts w:cs="Times New Roman"/>
          <w:bCs/>
          <w:sz w:val="22"/>
        </w:rPr>
        <w:t> </w:t>
      </w:r>
      <w:r w:rsidR="008E1B73" w:rsidRPr="000C679A">
        <w:rPr>
          <w:rFonts w:cs="Times New Roman"/>
          <w:bCs/>
          <w:sz w:val="22"/>
        </w:rPr>
        <w:t>mg/10</w:t>
      </w:r>
      <w:r w:rsidR="005E1F1F" w:rsidRPr="000C679A">
        <w:rPr>
          <w:rFonts w:cs="Times New Roman"/>
          <w:bCs/>
          <w:sz w:val="22"/>
        </w:rPr>
        <w:t> </w:t>
      </w:r>
      <w:r w:rsidR="008E1B73" w:rsidRPr="000C679A">
        <w:rPr>
          <w:rFonts w:cs="Times New Roman"/>
          <w:bCs/>
          <w:sz w:val="22"/>
        </w:rPr>
        <w:t xml:space="preserve">mg-os dózis </w:t>
      </w:r>
      <w:r w:rsidRPr="000C679A">
        <w:rPr>
          <w:rFonts w:cs="Times New Roman"/>
          <w:bCs/>
          <w:sz w:val="22"/>
        </w:rPr>
        <w:t>ellenjavallt fibrát egyidejű alkalmazása esetén (lásd 4.3 és 4.4 pont).</w:t>
      </w:r>
    </w:p>
    <w:p w14:paraId="3C69E7F3" w14:textId="77777777" w:rsidR="0089417B" w:rsidRPr="00AA3F64" w:rsidRDefault="0089417B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45F42839" w14:textId="77777777" w:rsidR="00DE41E5" w:rsidRPr="00AA3F64" w:rsidRDefault="0058197A" w:rsidP="003F44A6">
      <w:pPr>
        <w:keepNext/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  <w:u w:val="single"/>
        </w:rPr>
      </w:pPr>
      <w:r w:rsidRPr="00AA3F64">
        <w:rPr>
          <w:rFonts w:cs="Times New Roman"/>
          <w:bCs/>
          <w:iCs/>
          <w:sz w:val="22"/>
          <w:u w:val="single"/>
        </w:rPr>
        <w:t>Nem javasolt kombinációk</w:t>
      </w:r>
    </w:p>
    <w:p w14:paraId="42B7EF78" w14:textId="77777777" w:rsidR="00C5075A" w:rsidRPr="00AA3F64" w:rsidRDefault="00C5075A" w:rsidP="00BF22C9">
      <w:pPr>
        <w:keepNext/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256AA37D" w14:textId="77777777" w:rsidR="00DE41E5" w:rsidRPr="00AA3F64" w:rsidRDefault="00D81FDE" w:rsidP="00BF22C9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  <w:r w:rsidRPr="00AA3F64">
        <w:rPr>
          <w:rFonts w:cs="Times New Roman"/>
          <w:bCs/>
          <w:i/>
          <w:sz w:val="22"/>
          <w:u w:val="single"/>
        </w:rPr>
        <w:t>Proteáz</w:t>
      </w:r>
      <w:r w:rsidR="00DE41E5" w:rsidRPr="00AA3F64">
        <w:rPr>
          <w:rFonts w:cs="Times New Roman"/>
          <w:bCs/>
          <w:i/>
          <w:sz w:val="22"/>
          <w:u w:val="single"/>
        </w:rPr>
        <w:t>gátlók</w:t>
      </w:r>
      <w:r w:rsidR="00DE41E5" w:rsidRPr="00AA3F64">
        <w:rPr>
          <w:rFonts w:cs="Times New Roman"/>
          <w:sz w:val="22"/>
        </w:rPr>
        <w:t xml:space="preserve">: Habár a kölcsönhatás pontos mechanizmusa nem ismert, </w:t>
      </w:r>
      <w:r w:rsidRPr="00AA3F64">
        <w:rPr>
          <w:rFonts w:cs="Times New Roman"/>
          <w:sz w:val="22"/>
        </w:rPr>
        <w:t>proteáz</w:t>
      </w:r>
      <w:r w:rsidR="00DE41E5" w:rsidRPr="00AA3F64">
        <w:rPr>
          <w:rFonts w:cs="Times New Roman"/>
          <w:sz w:val="22"/>
        </w:rPr>
        <w:t xml:space="preserve">inhibitor egyidejű </w:t>
      </w:r>
      <w:r w:rsidR="00DF4625" w:rsidRPr="00AA3F64">
        <w:rPr>
          <w:rFonts w:cs="Times New Roman"/>
          <w:sz w:val="22"/>
        </w:rPr>
        <w:t>alkalmazása</w:t>
      </w:r>
      <w:r w:rsidR="00DE41E5" w:rsidRPr="00AA3F64">
        <w:rPr>
          <w:rFonts w:cs="Times New Roman"/>
          <w:sz w:val="22"/>
        </w:rPr>
        <w:t xml:space="preserve"> erőteljesen növeli a rozuvasztatin expozícióját (lásd </w:t>
      </w:r>
      <w:r w:rsidR="00C5075A" w:rsidRPr="00AA3F64">
        <w:rPr>
          <w:rFonts w:cs="Times New Roman"/>
          <w:sz w:val="22"/>
        </w:rPr>
        <w:t xml:space="preserve">4.5 pont </w:t>
      </w:r>
      <w:r w:rsidR="00DE41E5" w:rsidRPr="00AA3F64">
        <w:rPr>
          <w:rFonts w:cs="Times New Roman"/>
          <w:sz w:val="22"/>
        </w:rPr>
        <w:t>1.</w:t>
      </w:r>
      <w:r w:rsidR="00C27F2B" w:rsidRPr="00AA3F64">
        <w:rPr>
          <w:rFonts w:cs="Times New Roman"/>
          <w:sz w:val="22"/>
        </w:rPr>
        <w:t xml:space="preserve"> </w:t>
      </w:r>
      <w:r w:rsidR="00DE41E5" w:rsidRPr="00AA3F64">
        <w:rPr>
          <w:rFonts w:cs="Times New Roman"/>
          <w:sz w:val="22"/>
        </w:rPr>
        <w:t>táblázat). Például egy</w:t>
      </w:r>
      <w:r w:rsidR="00C5075A" w:rsidRPr="00AA3F64">
        <w:rPr>
          <w:rFonts w:cs="Times New Roman"/>
          <w:sz w:val="22"/>
        </w:rPr>
        <w:t>,</w:t>
      </w:r>
      <w:r w:rsidR="00DE41E5" w:rsidRPr="00AA3F64">
        <w:rPr>
          <w:rFonts w:cs="Times New Roman"/>
          <w:sz w:val="22"/>
        </w:rPr>
        <w:t xml:space="preserve"> egészséges önkénteseken végzett farmakokinetikai vizsgálatban 10 mg rozuvasztatin és két </w:t>
      </w:r>
      <w:r w:rsidRPr="00AA3F64">
        <w:rPr>
          <w:rFonts w:cs="Times New Roman"/>
          <w:sz w:val="22"/>
        </w:rPr>
        <w:t>proteáz</w:t>
      </w:r>
      <w:r w:rsidR="00DE41E5" w:rsidRPr="00AA3F64">
        <w:rPr>
          <w:rFonts w:cs="Times New Roman"/>
          <w:sz w:val="22"/>
        </w:rPr>
        <w:t xml:space="preserve">inhibitort tartalmazó kombinált készítmény (300 mg atazanavir/100 mg ritonavir) együttadása a rozuvasztatin </w:t>
      </w:r>
      <w:r w:rsidRPr="00AA3F64">
        <w:rPr>
          <w:rFonts w:cs="Times New Roman"/>
          <w:sz w:val="22"/>
        </w:rPr>
        <w:t>AUC-</w:t>
      </w:r>
      <w:r w:rsidR="00DE41E5" w:rsidRPr="00AA3F64">
        <w:rPr>
          <w:rFonts w:cs="Times New Roman"/>
          <w:sz w:val="22"/>
        </w:rPr>
        <w:t xml:space="preserve">értékének </w:t>
      </w:r>
      <w:r w:rsidR="00555320" w:rsidRPr="00AA3F64">
        <w:rPr>
          <w:rFonts w:cs="Times New Roman"/>
          <w:sz w:val="22"/>
        </w:rPr>
        <w:t xml:space="preserve">kb. 3-szoros </w:t>
      </w:r>
      <w:r w:rsidR="00DE41E5" w:rsidRPr="00AA3F64">
        <w:rPr>
          <w:rFonts w:cs="Times New Roman"/>
          <w:sz w:val="22"/>
        </w:rPr>
        <w:t xml:space="preserve">és </w:t>
      </w:r>
      <w:r w:rsidRPr="00AA3F64">
        <w:rPr>
          <w:rFonts w:cs="Times New Roman"/>
          <w:sz w:val="22"/>
        </w:rPr>
        <w:t>C</w:t>
      </w:r>
      <w:r w:rsidRPr="00AA3F64">
        <w:rPr>
          <w:rFonts w:cs="Times New Roman"/>
          <w:sz w:val="22"/>
          <w:vertAlign w:val="subscript"/>
        </w:rPr>
        <w:t>max</w:t>
      </w:r>
      <w:r w:rsidRPr="00AA3F64">
        <w:rPr>
          <w:rFonts w:cs="Times New Roman"/>
          <w:sz w:val="22"/>
        </w:rPr>
        <w:t>-</w:t>
      </w:r>
      <w:r w:rsidR="00DE41E5" w:rsidRPr="00AA3F64">
        <w:rPr>
          <w:rFonts w:cs="Times New Roman"/>
          <w:sz w:val="22"/>
        </w:rPr>
        <w:t>értékének</w:t>
      </w:r>
      <w:r w:rsidR="00555320">
        <w:rPr>
          <w:rFonts w:cs="Times New Roman"/>
          <w:sz w:val="22"/>
        </w:rPr>
        <w:t xml:space="preserve"> kb.</w:t>
      </w:r>
      <w:r w:rsidR="00DE41E5" w:rsidRPr="00AA3F64">
        <w:rPr>
          <w:rFonts w:cs="Times New Roman"/>
          <w:sz w:val="22"/>
        </w:rPr>
        <w:t xml:space="preserve"> 7-szeres emelkedését </w:t>
      </w:r>
      <w:r w:rsidR="00555320">
        <w:rPr>
          <w:rFonts w:cs="Times New Roman"/>
          <w:sz w:val="22"/>
        </w:rPr>
        <w:t>okozta</w:t>
      </w:r>
      <w:r w:rsidR="00DE41E5" w:rsidRPr="00AA3F64">
        <w:rPr>
          <w:rFonts w:cs="Times New Roman"/>
          <w:sz w:val="22"/>
        </w:rPr>
        <w:t xml:space="preserve">. A rozuvasztatin és néhány </w:t>
      </w:r>
      <w:r w:rsidRPr="00AA3F64">
        <w:rPr>
          <w:rFonts w:cs="Times New Roman"/>
          <w:sz w:val="22"/>
        </w:rPr>
        <w:t>proteáz</w:t>
      </w:r>
      <w:r w:rsidR="00DE41E5" w:rsidRPr="00AA3F64">
        <w:rPr>
          <w:rFonts w:cs="Times New Roman"/>
          <w:sz w:val="22"/>
        </w:rPr>
        <w:t xml:space="preserve">inhibitor kombinációjának egyidejű alkalmazása megfontolható a rozuvasztatin dózismódosítás gondos mérlegelése után, mely a </w:t>
      </w:r>
      <w:r w:rsidRPr="00AA3F64">
        <w:rPr>
          <w:rFonts w:cs="Times New Roman"/>
          <w:sz w:val="22"/>
        </w:rPr>
        <w:t>rozuvasztatin-</w:t>
      </w:r>
      <w:r w:rsidR="00DE41E5" w:rsidRPr="00AA3F64">
        <w:rPr>
          <w:rFonts w:cs="Times New Roman"/>
          <w:sz w:val="22"/>
        </w:rPr>
        <w:t>expozíció várható megnövekedésén alapul (lásd 4.2, 4.4</w:t>
      </w:r>
      <w:r w:rsidR="00296AD8" w:rsidRPr="00AA3F64">
        <w:rPr>
          <w:rFonts w:cs="Times New Roman"/>
          <w:sz w:val="22"/>
        </w:rPr>
        <w:t xml:space="preserve"> </w:t>
      </w:r>
      <w:r w:rsidR="00DE41E5" w:rsidRPr="00AA3F64">
        <w:rPr>
          <w:rFonts w:cs="Times New Roman"/>
          <w:sz w:val="22"/>
        </w:rPr>
        <w:t>pont, valamint 4.5</w:t>
      </w:r>
      <w:r w:rsidR="00296AD8" w:rsidRPr="00AA3F64">
        <w:rPr>
          <w:rFonts w:cs="Times New Roman"/>
          <w:sz w:val="22"/>
        </w:rPr>
        <w:t xml:space="preserve"> </w:t>
      </w:r>
      <w:r w:rsidR="00DE41E5" w:rsidRPr="00AA3F64">
        <w:rPr>
          <w:rFonts w:cs="Times New Roman"/>
          <w:sz w:val="22"/>
        </w:rPr>
        <w:t>pont 1.</w:t>
      </w:r>
      <w:r w:rsidR="00296AD8" w:rsidRPr="00AA3F64">
        <w:rPr>
          <w:rFonts w:cs="Times New Roman"/>
          <w:sz w:val="22"/>
        </w:rPr>
        <w:t xml:space="preserve"> </w:t>
      </w:r>
      <w:r w:rsidR="00DE41E5" w:rsidRPr="00AA3F64">
        <w:rPr>
          <w:rFonts w:cs="Times New Roman"/>
          <w:sz w:val="22"/>
        </w:rPr>
        <w:t>táblázat).</w:t>
      </w:r>
      <w:r w:rsidR="0005408B" w:rsidRPr="00AA3F64">
        <w:rPr>
          <w:rFonts w:cs="Times New Roman"/>
          <w:sz w:val="22"/>
        </w:rPr>
        <w:t xml:space="preserve"> A </w:t>
      </w:r>
      <w:r w:rsidR="00C5075A" w:rsidRPr="00AA3F64">
        <w:rPr>
          <w:rFonts w:cs="Times New Roman"/>
          <w:sz w:val="22"/>
        </w:rPr>
        <w:t xml:space="preserve">kezelés megkezdése és az esetleg </w:t>
      </w:r>
      <w:r w:rsidR="0005408B" w:rsidRPr="00AA3F64">
        <w:rPr>
          <w:rFonts w:cs="Times New Roman"/>
          <w:sz w:val="22"/>
        </w:rPr>
        <w:t>szükséges dózismódosítás csak a monokomponensű készítményekkel végezhető el és a megfelelő dózisok beállítása után lehet a fix dózisú kombináció megfelelő hatáserősségére váltani.</w:t>
      </w:r>
    </w:p>
    <w:p w14:paraId="070EC489" w14:textId="77777777" w:rsidR="0058197A" w:rsidRDefault="0058197A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3B89C027" w14:textId="63FC16C7" w:rsidR="00FE37A1" w:rsidRDefault="00FE37A1" w:rsidP="00FE37A1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  <w:r w:rsidRPr="009A455E">
        <w:rPr>
          <w:rFonts w:cs="Times New Roman"/>
          <w:i/>
          <w:sz w:val="22"/>
          <w:u w:val="single"/>
        </w:rPr>
        <w:t>Ti</w:t>
      </w:r>
      <w:r>
        <w:rPr>
          <w:rFonts w:cs="Times New Roman"/>
          <w:i/>
          <w:sz w:val="22"/>
          <w:u w:val="single"/>
        </w:rPr>
        <w:t>k</w:t>
      </w:r>
      <w:r w:rsidRPr="009A455E">
        <w:rPr>
          <w:rFonts w:cs="Times New Roman"/>
          <w:i/>
          <w:sz w:val="22"/>
          <w:u w:val="single"/>
        </w:rPr>
        <w:t>agrelor</w:t>
      </w:r>
      <w:r w:rsidRPr="00DC270E">
        <w:rPr>
          <w:rFonts w:cs="Times New Roman"/>
          <w:i/>
          <w:sz w:val="22"/>
        </w:rPr>
        <w:t>:</w:t>
      </w:r>
      <w:r w:rsidRPr="00067AA7">
        <w:rPr>
          <w:rFonts w:cs="Times New Roman"/>
          <w:bCs/>
          <w:iCs/>
          <w:sz w:val="22"/>
        </w:rPr>
        <w:t xml:space="preserve"> A ti</w:t>
      </w:r>
      <w:r>
        <w:rPr>
          <w:rFonts w:cs="Times New Roman"/>
          <w:bCs/>
          <w:iCs/>
          <w:sz w:val="22"/>
        </w:rPr>
        <w:t>k</w:t>
      </w:r>
      <w:r w:rsidRPr="00067AA7">
        <w:rPr>
          <w:rFonts w:cs="Times New Roman"/>
          <w:bCs/>
          <w:iCs/>
          <w:sz w:val="22"/>
        </w:rPr>
        <w:t>agrelor gátolja a BCRP</w:t>
      </w:r>
      <w:r w:rsidR="008C3C0F">
        <w:rPr>
          <w:rFonts w:cs="Times New Roman"/>
          <w:bCs/>
          <w:iCs/>
          <w:sz w:val="22"/>
        </w:rPr>
        <w:t>-</w:t>
      </w:r>
      <w:r w:rsidRPr="00067AA7">
        <w:rPr>
          <w:rFonts w:cs="Times New Roman"/>
          <w:bCs/>
          <w:iCs/>
          <w:sz w:val="22"/>
        </w:rPr>
        <w:t>transzportert, ami a ro</w:t>
      </w:r>
      <w:r>
        <w:rPr>
          <w:rFonts w:cs="Times New Roman"/>
          <w:bCs/>
          <w:iCs/>
          <w:sz w:val="22"/>
        </w:rPr>
        <w:t>z</w:t>
      </w:r>
      <w:r w:rsidRPr="00067AA7">
        <w:rPr>
          <w:rFonts w:cs="Times New Roman"/>
          <w:bCs/>
          <w:iCs/>
          <w:sz w:val="22"/>
        </w:rPr>
        <w:t>uvas</w:t>
      </w:r>
      <w:r>
        <w:rPr>
          <w:rFonts w:cs="Times New Roman"/>
          <w:bCs/>
          <w:iCs/>
          <w:sz w:val="22"/>
        </w:rPr>
        <w:t>z</w:t>
      </w:r>
      <w:r w:rsidRPr="00067AA7">
        <w:rPr>
          <w:rFonts w:cs="Times New Roman"/>
          <w:bCs/>
          <w:iCs/>
          <w:sz w:val="22"/>
        </w:rPr>
        <w:t xml:space="preserve">tatin AUC 2,6-szoros növekedését okozza, és ez fokozhatja a myopathia kockázatát. </w:t>
      </w:r>
      <w:r w:rsidRPr="00291CE5">
        <w:rPr>
          <w:rFonts w:cs="Times New Roman"/>
          <w:bCs/>
          <w:iCs/>
          <w:sz w:val="22"/>
        </w:rPr>
        <w:t>Figyelembe kell venni a ro</w:t>
      </w:r>
      <w:r>
        <w:rPr>
          <w:rFonts w:cs="Times New Roman"/>
          <w:bCs/>
          <w:iCs/>
          <w:sz w:val="22"/>
        </w:rPr>
        <w:t>z</w:t>
      </w:r>
      <w:r w:rsidRPr="00291CE5">
        <w:rPr>
          <w:rFonts w:cs="Times New Roman"/>
          <w:bCs/>
          <w:iCs/>
          <w:sz w:val="22"/>
        </w:rPr>
        <w:t>uvas</w:t>
      </w:r>
      <w:r>
        <w:rPr>
          <w:rFonts w:cs="Times New Roman"/>
          <w:bCs/>
          <w:iCs/>
          <w:sz w:val="22"/>
        </w:rPr>
        <w:t>z</w:t>
      </w:r>
      <w:r w:rsidRPr="00291CE5">
        <w:rPr>
          <w:rFonts w:cs="Times New Roman"/>
          <w:bCs/>
          <w:iCs/>
          <w:sz w:val="22"/>
        </w:rPr>
        <w:t>tatin alkalmazásával elérhető, súlyos kardiovaszkuláris események megelőzésének előnyeit és a ro</w:t>
      </w:r>
      <w:r>
        <w:rPr>
          <w:rFonts w:cs="Times New Roman"/>
          <w:bCs/>
          <w:iCs/>
          <w:sz w:val="22"/>
        </w:rPr>
        <w:t>z</w:t>
      </w:r>
      <w:r w:rsidRPr="00291CE5">
        <w:rPr>
          <w:rFonts w:cs="Times New Roman"/>
          <w:bCs/>
          <w:iCs/>
          <w:sz w:val="22"/>
        </w:rPr>
        <w:t>uvas</w:t>
      </w:r>
      <w:r>
        <w:rPr>
          <w:rFonts w:cs="Times New Roman"/>
          <w:bCs/>
          <w:iCs/>
          <w:sz w:val="22"/>
        </w:rPr>
        <w:t>z</w:t>
      </w:r>
      <w:r w:rsidRPr="00291CE5">
        <w:rPr>
          <w:rFonts w:cs="Times New Roman"/>
          <w:bCs/>
          <w:iCs/>
          <w:sz w:val="22"/>
        </w:rPr>
        <w:t>tatin plazmakoncentrációjának emelkedésével járó kockázatokat</w:t>
      </w:r>
      <w:r w:rsidRPr="00067AA7">
        <w:rPr>
          <w:rFonts w:cs="Times New Roman"/>
          <w:bCs/>
          <w:iCs/>
          <w:sz w:val="22"/>
        </w:rPr>
        <w:t>.</w:t>
      </w:r>
    </w:p>
    <w:p w14:paraId="0E4EEBC0" w14:textId="77777777" w:rsidR="00FE37A1" w:rsidRPr="00AA3F64" w:rsidRDefault="00FE37A1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5C96723E" w14:textId="77777777" w:rsidR="0058197A" w:rsidRPr="00AA3F64" w:rsidRDefault="0058197A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i/>
          <w:sz w:val="22"/>
          <w:u w:val="single"/>
        </w:rPr>
        <w:t>Transzportfehérje</w:t>
      </w:r>
      <w:r w:rsidRPr="00AA3F64">
        <w:rPr>
          <w:rFonts w:cs="Times New Roman"/>
          <w:i/>
          <w:sz w:val="22"/>
          <w:u w:val="single"/>
        </w:rPr>
        <w:noBreakHyphen/>
        <w:t>gátlók</w:t>
      </w:r>
      <w:r w:rsidRPr="00AA3F64">
        <w:rPr>
          <w:rFonts w:cs="Times New Roman"/>
          <w:i/>
          <w:sz w:val="22"/>
        </w:rPr>
        <w:t>:</w:t>
      </w:r>
      <w:r w:rsidRPr="00AA3F64">
        <w:rPr>
          <w:rFonts w:cs="Times New Roman"/>
          <w:sz w:val="22"/>
        </w:rPr>
        <w:t xml:space="preserve"> A rozuvasztatin bizonyos transzportfehérjék szubsztrátja, beleértve a hepaticus uptake transzporter OATP1B1</w:t>
      </w:r>
      <w:r w:rsidRPr="00AA3F64">
        <w:rPr>
          <w:rFonts w:cs="Times New Roman"/>
          <w:sz w:val="22"/>
        </w:rPr>
        <w:noBreakHyphen/>
        <w:t>et és efflux transzporter BCRP</w:t>
      </w:r>
      <w:r w:rsidRPr="00AA3F64">
        <w:rPr>
          <w:rFonts w:cs="Times New Roman"/>
          <w:sz w:val="22"/>
        </w:rPr>
        <w:noBreakHyphen/>
        <w:t xml:space="preserve">t. A </w:t>
      </w:r>
      <w:r w:rsidR="0005408B" w:rsidRPr="00AA3F64">
        <w:rPr>
          <w:rFonts w:cs="Times New Roman"/>
          <w:sz w:val="22"/>
        </w:rPr>
        <w:t xml:space="preserve">Co-Xeter </w:t>
      </w:r>
      <w:r w:rsidRPr="00AA3F64">
        <w:rPr>
          <w:rFonts w:cs="Times New Roman"/>
          <w:sz w:val="22"/>
        </w:rPr>
        <w:t xml:space="preserve">egyidejű </w:t>
      </w:r>
      <w:r w:rsidRPr="00AA3F64">
        <w:rPr>
          <w:rFonts w:cs="Times New Roman"/>
          <w:sz w:val="22"/>
        </w:rPr>
        <w:lastRenderedPageBreak/>
        <w:t xml:space="preserve">alkalmazása az olyan gyógyszerekkel, amelyek inhibitorai ezeknek a transzportfehérjéknek, a rozuvasztatin fokozott plazmakoncentrációját és a myopathia megnövekedett kockázatát </w:t>
      </w:r>
      <w:r w:rsidR="00555320">
        <w:rPr>
          <w:rFonts w:cs="Times New Roman"/>
          <w:sz w:val="22"/>
        </w:rPr>
        <w:t>okozhatja</w:t>
      </w:r>
      <w:r w:rsidR="00555320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(lásd 4.2, 4.4</w:t>
      </w:r>
      <w:r w:rsidR="0022443B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pont, valamint 4.5</w:t>
      </w:r>
      <w:r w:rsidR="0022443B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pont 1.</w:t>
      </w:r>
      <w:r w:rsidR="0022443B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táblázat).</w:t>
      </w:r>
    </w:p>
    <w:p w14:paraId="12A99063" w14:textId="77777777" w:rsidR="0058197A" w:rsidRPr="00AA3F64" w:rsidRDefault="0058197A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0E14F3F8" w14:textId="77777777" w:rsidR="00F35D2A" w:rsidRPr="00AA3F64" w:rsidRDefault="00F35D2A" w:rsidP="00AA3F64">
      <w:pPr>
        <w:widowControl w:val="0"/>
        <w:rPr>
          <w:rFonts w:eastAsia="HG Mincho Light J" w:cs="Times New Roman"/>
          <w:sz w:val="22"/>
        </w:rPr>
      </w:pPr>
      <w:r w:rsidRPr="00AA3F64">
        <w:rPr>
          <w:rFonts w:cs="Times New Roman"/>
          <w:i/>
          <w:sz w:val="22"/>
          <w:u w:val="single"/>
        </w:rPr>
        <w:t>Fuzidinsav:</w:t>
      </w:r>
      <w:r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  <w:lang w:eastAsia="hu-HU"/>
        </w:rPr>
        <w:t>S</w:t>
      </w:r>
      <w:r w:rsidRPr="00AA3F64">
        <w:rPr>
          <w:rFonts w:eastAsia="HG Mincho Light J" w:cs="Times New Roman"/>
          <w:sz w:val="22"/>
        </w:rPr>
        <w:t xml:space="preserve">zisztémás fuzidinsav és sztatinok egyidejű alkalmazása növelheti a myopathia kockázatát, beleértve a rhabdomyolysist is. A kölcsönhatás mechanizmusa (akár farmakodinámiás akár farmakokinetikai, vagy mindkettő) nem ismert. </w:t>
      </w:r>
      <w:r w:rsidRPr="00AA3F64">
        <w:rPr>
          <w:rFonts w:cs="Times New Roman"/>
          <w:sz w:val="22"/>
        </w:rPr>
        <w:t>Olyan betegeknél, akik ezt a kombinációt kapták, rhabdomyolysis előfordulását jelentették (köztük néhány halálos esetet).</w:t>
      </w:r>
    </w:p>
    <w:p w14:paraId="54E027F1" w14:textId="77777777" w:rsidR="00F35D2A" w:rsidRPr="00AA3F64" w:rsidRDefault="00F35D2A" w:rsidP="00AA3F64">
      <w:pPr>
        <w:widowControl w:val="0"/>
        <w:rPr>
          <w:rFonts w:cs="Times New Roman"/>
          <w:sz w:val="22"/>
        </w:rPr>
      </w:pPr>
      <w:r w:rsidRPr="00AA3F64">
        <w:rPr>
          <w:rFonts w:eastAsia="HG Mincho Light J" w:cs="Times New Roman"/>
          <w:sz w:val="22"/>
        </w:rPr>
        <w:t>Ha szisztémás fuzidinsav-kezelés szükséges, a rozuvasztatin-kezelést szüneteltetni kell a fuzidinsav</w:t>
      </w:r>
      <w:r w:rsidR="006E0EFD" w:rsidRPr="00AA3F64">
        <w:rPr>
          <w:rFonts w:eastAsia="HG Mincho Light J" w:cs="Times New Roman"/>
          <w:sz w:val="22"/>
        </w:rPr>
        <w:noBreakHyphen/>
      </w:r>
      <w:r w:rsidRPr="00AA3F64">
        <w:rPr>
          <w:rFonts w:eastAsia="HG Mincho Light J" w:cs="Times New Roman"/>
          <w:sz w:val="22"/>
        </w:rPr>
        <w:t xml:space="preserve">kezelés teljes időtartama alatt. </w:t>
      </w:r>
      <w:r w:rsidRPr="001D62CA">
        <w:rPr>
          <w:rFonts w:eastAsia="HG Mincho Light J" w:cs="Times New Roman"/>
          <w:b/>
          <w:bCs/>
          <w:sz w:val="22"/>
        </w:rPr>
        <w:t>Lásd még 4.4 pont</w:t>
      </w:r>
      <w:r w:rsidRPr="00AA3F64">
        <w:rPr>
          <w:rFonts w:eastAsia="HG Mincho Light J" w:cs="Times New Roman"/>
          <w:sz w:val="22"/>
        </w:rPr>
        <w:t>.</w:t>
      </w:r>
    </w:p>
    <w:p w14:paraId="366920E4" w14:textId="77777777" w:rsidR="00F35D2A" w:rsidRPr="00AA3F64" w:rsidRDefault="00F35D2A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7A1FAA95" w14:textId="77777777" w:rsidR="00F35D2A" w:rsidRPr="00AA3F64" w:rsidRDefault="00F35D2A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AA3F64">
        <w:rPr>
          <w:rFonts w:cs="Times New Roman"/>
          <w:bCs/>
          <w:sz w:val="22"/>
          <w:u w:val="single"/>
        </w:rPr>
        <w:t>Egyéb interakciók</w:t>
      </w:r>
    </w:p>
    <w:p w14:paraId="2BE01B94" w14:textId="77777777" w:rsidR="00FD5B1F" w:rsidRPr="00AA3F64" w:rsidRDefault="00FD5B1F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4F8EC392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bCs/>
          <w:i/>
          <w:iCs/>
          <w:sz w:val="22"/>
          <w:u w:val="single"/>
        </w:rPr>
        <w:t>Antacid</w:t>
      </w:r>
      <w:r w:rsidR="007363B3" w:rsidRPr="00AA3F64">
        <w:rPr>
          <w:rFonts w:cs="Times New Roman"/>
          <w:bCs/>
          <w:i/>
          <w:iCs/>
          <w:sz w:val="22"/>
          <w:u w:val="single"/>
        </w:rPr>
        <w:t>ok</w:t>
      </w:r>
      <w:r w:rsidRPr="00AA3F64">
        <w:rPr>
          <w:rFonts w:cs="Times New Roman"/>
          <w:bCs/>
          <w:i/>
          <w:iCs/>
          <w:sz w:val="22"/>
          <w:u w:val="single"/>
        </w:rPr>
        <w:t>:</w:t>
      </w:r>
      <w:r w:rsidRPr="00AA3F64">
        <w:rPr>
          <w:rFonts w:cs="Times New Roman"/>
          <w:bCs/>
          <w:iCs/>
          <w:sz w:val="22"/>
        </w:rPr>
        <w:t xml:space="preserve"> </w:t>
      </w:r>
      <w:r w:rsidR="00FD5B1F" w:rsidRPr="00AA3F64">
        <w:rPr>
          <w:rFonts w:cs="Times New Roman"/>
          <w:sz w:val="22"/>
        </w:rPr>
        <w:t xml:space="preserve">Az </w:t>
      </w:r>
      <w:r w:rsidRPr="00AA3F64">
        <w:rPr>
          <w:rFonts w:cs="Times New Roman"/>
          <w:sz w:val="22"/>
        </w:rPr>
        <w:t>alumínium- és magnézium-</w:t>
      </w:r>
      <w:r w:rsidR="00D81FDE" w:rsidRPr="00AA3F64">
        <w:rPr>
          <w:rFonts w:cs="Times New Roman"/>
          <w:sz w:val="22"/>
        </w:rPr>
        <w:t>hidroxid-</w:t>
      </w:r>
      <w:r w:rsidRPr="00AA3F64">
        <w:rPr>
          <w:rFonts w:cs="Times New Roman"/>
          <w:sz w:val="22"/>
        </w:rPr>
        <w:t xml:space="preserve">tartalmú antacid szuszpenzió és rozuvasztatin együttadása a </w:t>
      </w:r>
      <w:r w:rsidR="00BE452B" w:rsidRPr="00AA3F64">
        <w:rPr>
          <w:rFonts w:cs="Times New Roman"/>
          <w:sz w:val="22"/>
        </w:rPr>
        <w:t>rozuvasztatin</w:t>
      </w:r>
      <w:r w:rsidRPr="00AA3F64">
        <w:rPr>
          <w:rFonts w:cs="Times New Roman"/>
          <w:sz w:val="22"/>
        </w:rPr>
        <w:t xml:space="preserve"> plazmakoncentráció megközelítőleg 50%-os csökkenését eredményezte. Ez a hatás mérséklődött, amikor az antacidumot a rozuvasztatin bevétele után 2</w:t>
      </w:r>
      <w:r w:rsidR="00FD5B1F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órával alkalmazták. Ennek a kölcsönhatásnak a klinikai jelentőségét nem vizsgálták.</w:t>
      </w:r>
    </w:p>
    <w:p w14:paraId="32F1AAD5" w14:textId="77777777" w:rsidR="00F35D2A" w:rsidRPr="00AA3F64" w:rsidRDefault="00F35D2A" w:rsidP="0063040C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Antacidokkal együtt adva az ezetimib felszívódásának üteme lassúbb, azonban az ezetimib biohasznosíthatósága nem változik. A felszívódási sebesség csökkenésének feltehetően nincs klinikai jelentősége.</w:t>
      </w:r>
    </w:p>
    <w:p w14:paraId="7C336B57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5BA9F120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bCs/>
          <w:i/>
          <w:iCs/>
          <w:sz w:val="22"/>
          <w:u w:val="single"/>
        </w:rPr>
        <w:t>Eritromicin:</w:t>
      </w:r>
      <w:r w:rsidRPr="000C679A">
        <w:rPr>
          <w:rFonts w:cs="Times New Roman"/>
          <w:bCs/>
          <w:iCs/>
          <w:sz w:val="22"/>
        </w:rPr>
        <w:t xml:space="preserve"> </w:t>
      </w:r>
      <w:r w:rsidRPr="00AA3F64">
        <w:rPr>
          <w:rFonts w:cs="Times New Roman"/>
          <w:sz w:val="22"/>
        </w:rPr>
        <w:t>Rozuvasztatin és eritromicin együttes adásakor a rozuvasztatin AUC</w:t>
      </w:r>
      <w:r w:rsidRPr="00AA3F64">
        <w:rPr>
          <w:rFonts w:cs="Times New Roman"/>
          <w:sz w:val="22"/>
          <w:vertAlign w:val="subscript"/>
        </w:rPr>
        <w:t>(0-t)</w:t>
      </w:r>
      <w:r w:rsidRPr="00AA3F64">
        <w:rPr>
          <w:rFonts w:cs="Times New Roman"/>
          <w:sz w:val="22"/>
        </w:rPr>
        <w:t xml:space="preserve"> értéke 20%-kal, C</w:t>
      </w:r>
      <w:r w:rsidRPr="00AA3F64">
        <w:rPr>
          <w:rFonts w:cs="Times New Roman"/>
          <w:sz w:val="22"/>
          <w:vertAlign w:val="subscript"/>
        </w:rPr>
        <w:t>max</w:t>
      </w:r>
      <w:r w:rsidRPr="00AA3F64">
        <w:rPr>
          <w:rFonts w:cs="Times New Roman"/>
          <w:sz w:val="22"/>
        </w:rPr>
        <w:t xml:space="preserve"> értéke 30%-kal csökkent. Az interakció az eritromicin által kiváltott fokozott béltraktus</w:t>
      </w:r>
      <w:r w:rsidR="00FD5B1F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mo</w:t>
      </w:r>
      <w:r w:rsidR="00FD5B1F" w:rsidRPr="00AA3F64">
        <w:rPr>
          <w:rFonts w:cs="Times New Roman"/>
          <w:sz w:val="22"/>
        </w:rPr>
        <w:t>tilit</w:t>
      </w:r>
      <w:r w:rsidRPr="00AA3F64">
        <w:rPr>
          <w:rFonts w:cs="Times New Roman"/>
          <w:sz w:val="22"/>
        </w:rPr>
        <w:t xml:space="preserve">ás </w:t>
      </w:r>
      <w:r w:rsidR="00EC3A44">
        <w:rPr>
          <w:rFonts w:cs="Times New Roman"/>
          <w:sz w:val="22"/>
        </w:rPr>
        <w:t>következménye</w:t>
      </w:r>
      <w:r w:rsidR="00EC3A44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lehet.</w:t>
      </w:r>
    </w:p>
    <w:p w14:paraId="219430AB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4D1BD401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bCs/>
          <w:i/>
          <w:iCs/>
          <w:sz w:val="22"/>
          <w:u w:val="single"/>
        </w:rPr>
        <w:t>Citokróm-P450 enzimek</w:t>
      </w:r>
      <w:r w:rsidRPr="00AA3F64">
        <w:rPr>
          <w:rFonts w:cs="Times New Roman"/>
          <w:bCs/>
          <w:i/>
          <w:iCs/>
          <w:sz w:val="22"/>
        </w:rPr>
        <w:t>:</w:t>
      </w:r>
      <w:r w:rsidRPr="00AA3F64">
        <w:rPr>
          <w:rFonts w:cs="Times New Roman"/>
          <w:bCs/>
          <w:iCs/>
          <w:sz w:val="22"/>
        </w:rPr>
        <w:t xml:space="preserve"> </w:t>
      </w:r>
      <w:r w:rsidRPr="00AA3F64">
        <w:rPr>
          <w:rFonts w:cs="Times New Roman"/>
          <w:i/>
          <w:iCs/>
          <w:sz w:val="22"/>
        </w:rPr>
        <w:t>In vitro</w:t>
      </w:r>
      <w:r w:rsidRPr="00AA3F64">
        <w:rPr>
          <w:rFonts w:cs="Times New Roman"/>
          <w:iCs/>
          <w:sz w:val="22"/>
        </w:rPr>
        <w:t xml:space="preserve"> </w:t>
      </w:r>
      <w:r w:rsidRPr="00AA3F64">
        <w:rPr>
          <w:rFonts w:cs="Times New Roman"/>
          <w:sz w:val="22"/>
        </w:rPr>
        <w:t xml:space="preserve">és </w:t>
      </w:r>
      <w:r w:rsidRPr="00AA3F64">
        <w:rPr>
          <w:rFonts w:cs="Times New Roman"/>
          <w:i/>
          <w:iCs/>
          <w:sz w:val="22"/>
        </w:rPr>
        <w:t xml:space="preserve">in vivo </w:t>
      </w:r>
      <w:r w:rsidRPr="00AA3F64">
        <w:rPr>
          <w:rFonts w:cs="Times New Roman"/>
          <w:sz w:val="22"/>
        </w:rPr>
        <w:t xml:space="preserve">vizsgálatokból származó eredmények azt mutatták, hogy a rozuvasztatin a citokróm-P450 izoenzimeknek sem nem inhibitora, sem nem induktora. </w:t>
      </w:r>
      <w:r w:rsidR="0090357A" w:rsidRPr="00AA3F64">
        <w:rPr>
          <w:rFonts w:cs="Times New Roman"/>
          <w:sz w:val="22"/>
        </w:rPr>
        <w:t xml:space="preserve">Ráadásul </w:t>
      </w:r>
      <w:r w:rsidRPr="00AA3F64">
        <w:rPr>
          <w:rFonts w:cs="Times New Roman"/>
          <w:sz w:val="22"/>
        </w:rPr>
        <w:t xml:space="preserve">a rozuvasztatin ezen izoenzimek gyenge szubsztrátja. </w:t>
      </w:r>
      <w:r w:rsidR="0086477C" w:rsidRPr="00AA3F64">
        <w:rPr>
          <w:rFonts w:cs="Times New Roman"/>
          <w:sz w:val="22"/>
        </w:rPr>
        <w:t>Így a citokróm</w:t>
      </w:r>
      <w:r w:rsidR="0086477C" w:rsidRPr="00AA3F64">
        <w:rPr>
          <w:rFonts w:cs="Times New Roman"/>
          <w:sz w:val="22"/>
        </w:rPr>
        <w:noBreakHyphen/>
        <w:t xml:space="preserve">P450 által mediált metabolizmus eredményeként gyógyszerinterakciók nem várhatók. </w:t>
      </w:r>
      <w:r w:rsidRPr="00AA3F64">
        <w:rPr>
          <w:rFonts w:cs="Times New Roman"/>
          <w:sz w:val="22"/>
        </w:rPr>
        <w:t>Nem figyeltek meg klinikailag releváns interakciót rozuvasztatin és flukonazol (CYP2C9</w:t>
      </w:r>
      <w:r w:rsidR="00D81FDE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 és </w:t>
      </w:r>
      <w:r w:rsidR="00D81FDE" w:rsidRPr="00AA3F64">
        <w:rPr>
          <w:rFonts w:cs="Times New Roman"/>
          <w:sz w:val="22"/>
        </w:rPr>
        <w:t>CYP3A4-</w:t>
      </w:r>
      <w:r w:rsidRPr="00AA3F64">
        <w:rPr>
          <w:rFonts w:cs="Times New Roman"/>
          <w:sz w:val="22"/>
        </w:rPr>
        <w:t>inhibitor), vagy rozuvasztatin és ketokonazol (CYP2A6</w:t>
      </w:r>
      <w:r w:rsidR="00D81FDE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 és </w:t>
      </w:r>
      <w:r w:rsidR="00D81FDE" w:rsidRPr="00AA3F64">
        <w:rPr>
          <w:rFonts w:cs="Times New Roman"/>
          <w:sz w:val="22"/>
        </w:rPr>
        <w:t>CYP3A4-</w:t>
      </w:r>
      <w:r w:rsidRPr="00AA3F64">
        <w:rPr>
          <w:rFonts w:cs="Times New Roman"/>
          <w:sz w:val="22"/>
        </w:rPr>
        <w:t>inhibitor) között sem.</w:t>
      </w:r>
    </w:p>
    <w:p w14:paraId="3FA119EF" w14:textId="77777777" w:rsidR="009A1E36" w:rsidRPr="00AA3F64" w:rsidRDefault="009A1E36" w:rsidP="00AA3F64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Preklinikai vizsgálatokban kimutatták, hogy az ezetimib nem indukálja a citokróm P450 gyógyszermetabolizáló enzimeket. Az ezetimib és a különféle ismert, a P450, 1A2, 2D6, 2C8, 2C9, valamint a 3A4 citokróm izoenzimeken, illetve az N-acetil</w:t>
      </w:r>
      <w:r w:rsidR="00D81FDE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transzferáz enzimen keresztül metabolizálódó gyógyszerek között klinikailag szignifikáns interakciót nem észleltek.</w:t>
      </w:r>
    </w:p>
    <w:p w14:paraId="226CAB0F" w14:textId="77777777" w:rsidR="00DE41E5" w:rsidRPr="00AA3F64" w:rsidRDefault="00DE41E5" w:rsidP="00AA3F64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DEB31FF" w14:textId="77777777" w:rsidR="006C1A21" w:rsidRPr="00AA3F64" w:rsidRDefault="009A1E36" w:rsidP="003F44A6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bCs/>
          <w:i/>
          <w:iCs/>
          <w:sz w:val="22"/>
          <w:u w:val="single"/>
        </w:rPr>
        <w:t>K-</w:t>
      </w:r>
      <w:r w:rsidR="00D81FDE" w:rsidRPr="00AA3F64">
        <w:rPr>
          <w:rFonts w:cs="Times New Roman"/>
          <w:bCs/>
          <w:i/>
          <w:iCs/>
          <w:sz w:val="22"/>
          <w:u w:val="single"/>
        </w:rPr>
        <w:t>vitamin-</w:t>
      </w:r>
      <w:r w:rsidRPr="00AA3F64">
        <w:rPr>
          <w:rFonts w:cs="Times New Roman"/>
          <w:bCs/>
          <w:i/>
          <w:iCs/>
          <w:sz w:val="22"/>
          <w:u w:val="single"/>
        </w:rPr>
        <w:t>antagonisták</w:t>
      </w:r>
      <w:r w:rsidRPr="00AA3F64">
        <w:rPr>
          <w:rFonts w:cs="Times New Roman"/>
          <w:bCs/>
          <w:i/>
          <w:iCs/>
          <w:sz w:val="22"/>
        </w:rPr>
        <w:t>:</w:t>
      </w:r>
      <w:r w:rsidRPr="00AA3F64">
        <w:rPr>
          <w:rFonts w:cs="Times New Roman"/>
          <w:bCs/>
          <w:iCs/>
          <w:sz w:val="22"/>
        </w:rPr>
        <w:t xml:space="preserve"> </w:t>
      </w:r>
      <w:r w:rsidRPr="00AA3F64">
        <w:rPr>
          <w:rFonts w:cs="Times New Roman"/>
          <w:sz w:val="22"/>
        </w:rPr>
        <w:t>Hasonlóan az egyéb HMG</w:t>
      </w:r>
      <w:r w:rsidR="00711811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CoA</w:t>
      </w:r>
      <w:r w:rsidR="00711811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reduktáz-inhibitorokhoz, az egyidejűleg K</w:t>
      </w:r>
      <w:r w:rsidR="006E0EFD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vitamin-antagonistával (</w:t>
      </w:r>
      <w:r w:rsidR="00DB0AD7" w:rsidRPr="00AA3F64">
        <w:rPr>
          <w:rFonts w:cs="Times New Roman"/>
          <w:sz w:val="22"/>
        </w:rPr>
        <w:t>például</w:t>
      </w:r>
      <w:r w:rsidRPr="00AA3F64">
        <w:rPr>
          <w:rFonts w:cs="Times New Roman"/>
          <w:sz w:val="22"/>
        </w:rPr>
        <w:t xml:space="preserve"> warfarin vagy más, </w:t>
      </w:r>
      <w:r w:rsidR="000E1526" w:rsidRPr="00AA3F64">
        <w:rPr>
          <w:rFonts w:cs="Times New Roman"/>
          <w:sz w:val="22"/>
        </w:rPr>
        <w:t>kumarin-</w:t>
      </w:r>
      <w:r w:rsidRPr="00AA3F64">
        <w:rPr>
          <w:rFonts w:cs="Times New Roman"/>
          <w:sz w:val="22"/>
        </w:rPr>
        <w:t xml:space="preserve">típusú antikoaguláns) kezelt betegeknél a </w:t>
      </w:r>
      <w:r w:rsidR="000E1526" w:rsidRPr="00AA3F64">
        <w:rPr>
          <w:rFonts w:cs="Times New Roman"/>
          <w:sz w:val="22"/>
        </w:rPr>
        <w:t>rozuvasztatin-</w:t>
      </w:r>
      <w:r w:rsidRPr="00AA3F64">
        <w:rPr>
          <w:rFonts w:cs="Times New Roman"/>
          <w:sz w:val="22"/>
        </w:rPr>
        <w:t>terápia megkezdése, illetve a dózis emelése a</w:t>
      </w:r>
      <w:r w:rsidR="00FD5B1F" w:rsidRPr="00AA3F64">
        <w:rPr>
          <w:rFonts w:cs="Times New Roman"/>
          <w:sz w:val="22"/>
        </w:rPr>
        <w:t xml:space="preserve">z </w:t>
      </w:r>
      <w:r w:rsidR="00B1056C" w:rsidRPr="00AA3F64">
        <w:rPr>
          <w:rFonts w:cs="Times New Roman"/>
          <w:sz w:val="22"/>
        </w:rPr>
        <w:t>INR</w:t>
      </w:r>
      <w:r w:rsidRPr="00AA3F64">
        <w:rPr>
          <w:rFonts w:cs="Times New Roman"/>
          <w:sz w:val="22"/>
        </w:rPr>
        <w:t xml:space="preserve"> emelkedését okozhatja.</w:t>
      </w:r>
    </w:p>
    <w:p w14:paraId="02E9CB6C" w14:textId="77777777" w:rsidR="009A1E36" w:rsidRPr="00AA3F64" w:rsidRDefault="009A1E36" w:rsidP="000037AE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</w:t>
      </w:r>
      <w:r w:rsidR="000E1526" w:rsidRPr="00AA3F64">
        <w:rPr>
          <w:rFonts w:cs="Times New Roman"/>
          <w:sz w:val="22"/>
        </w:rPr>
        <w:t>rozuvasztatin-</w:t>
      </w:r>
      <w:r w:rsidRPr="00AA3F64">
        <w:rPr>
          <w:rFonts w:cs="Times New Roman"/>
          <w:sz w:val="22"/>
        </w:rPr>
        <w:t>terápia felfüggesztése vagy a d</w:t>
      </w:r>
      <w:r w:rsidR="00EC3A44">
        <w:rPr>
          <w:rFonts w:cs="Times New Roman"/>
          <w:sz w:val="22"/>
        </w:rPr>
        <w:t>ózis</w:t>
      </w:r>
      <w:r w:rsidRPr="00AA3F64">
        <w:rPr>
          <w:rFonts w:cs="Times New Roman"/>
          <w:sz w:val="22"/>
        </w:rPr>
        <w:t xml:space="preserve"> csökkentése az INR csökkenését okozhatja.</w:t>
      </w:r>
      <w:r w:rsidR="0005408B" w:rsidRPr="00AA3F64">
        <w:rPr>
          <w:rFonts w:cs="Times New Roman"/>
          <w:sz w:val="22"/>
        </w:rPr>
        <w:t xml:space="preserve"> Ilyen esetekben az INR megfelelő ellenőrzése szükséges.</w:t>
      </w:r>
    </w:p>
    <w:p w14:paraId="5E2DA228" w14:textId="77777777" w:rsidR="009A1E36" w:rsidRPr="00AA3F64" w:rsidRDefault="009A1E36" w:rsidP="004413FE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Napi egyszeri 10</w:t>
      </w:r>
      <w:r w:rsidR="00583E05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 xml:space="preserve">mg ezetimib együttes adása nem volt hatással a warfarin biohasznosíthatóságára és a </w:t>
      </w:r>
      <w:r w:rsidR="000E1526" w:rsidRPr="00AA3F64">
        <w:rPr>
          <w:rFonts w:cs="Times New Roman"/>
          <w:sz w:val="22"/>
        </w:rPr>
        <w:t>protrombin</w:t>
      </w:r>
      <w:r w:rsidRPr="00AA3F64">
        <w:rPr>
          <w:rFonts w:cs="Times New Roman"/>
          <w:sz w:val="22"/>
        </w:rPr>
        <w:t>időre egy 12 egészséges, felnőtt férfin</w:t>
      </w:r>
      <w:r w:rsidR="00EC3A44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végzett vizsgálatban. A forgalomba hozatalt követően azonban beszámoltak a</w:t>
      </w:r>
      <w:r w:rsidR="00FD5B1F" w:rsidRPr="00AA3F64">
        <w:rPr>
          <w:rFonts w:cs="Times New Roman"/>
          <w:sz w:val="22"/>
        </w:rPr>
        <w:t>z</w:t>
      </w:r>
      <w:r w:rsidRPr="00AA3F64">
        <w:rPr>
          <w:rFonts w:cs="Times New Roman"/>
          <w:sz w:val="22"/>
        </w:rPr>
        <w:t xml:space="preserve"> INR növekedéséről olyan betegek esetében, akiknél ezetimibet és warfarint, illetve fluindiont együttesen alkalmaztak. Amennyiben a </w:t>
      </w:r>
      <w:r w:rsidR="0005408B" w:rsidRPr="00AA3F64">
        <w:rPr>
          <w:rFonts w:cs="Times New Roman"/>
          <w:sz w:val="22"/>
        </w:rPr>
        <w:t>Co</w:t>
      </w:r>
      <w:r w:rsidR="00B968B3" w:rsidRPr="00AA3F64">
        <w:rPr>
          <w:rFonts w:cs="Times New Roman"/>
          <w:sz w:val="22"/>
        </w:rPr>
        <w:noBreakHyphen/>
      </w:r>
      <w:r w:rsidR="0005408B" w:rsidRPr="00AA3F64">
        <w:rPr>
          <w:rFonts w:cs="Times New Roman"/>
          <w:sz w:val="22"/>
        </w:rPr>
        <w:t>Xeter</w:t>
      </w:r>
      <w:r w:rsidRPr="00AA3F64">
        <w:rPr>
          <w:rFonts w:cs="Times New Roman"/>
          <w:sz w:val="22"/>
        </w:rPr>
        <w:t xml:space="preserve">-t wafarinnal, egyéb </w:t>
      </w:r>
      <w:r w:rsidR="000E1526" w:rsidRPr="00AA3F64">
        <w:rPr>
          <w:rFonts w:cs="Times New Roman"/>
          <w:sz w:val="22"/>
        </w:rPr>
        <w:t>kumarin-</w:t>
      </w:r>
      <w:r w:rsidRPr="00AA3F64">
        <w:rPr>
          <w:rFonts w:cs="Times New Roman"/>
          <w:sz w:val="22"/>
        </w:rPr>
        <w:t xml:space="preserve">típusú véralvadásgátlóval vagy fluindionnal alkalmazzák egyidejűleg, az </w:t>
      </w:r>
      <w:r w:rsidR="000E1526" w:rsidRPr="00AA3F64">
        <w:rPr>
          <w:rFonts w:cs="Times New Roman"/>
          <w:sz w:val="22"/>
        </w:rPr>
        <w:t>INR-</w:t>
      </w:r>
      <w:r w:rsidRPr="00AA3F64">
        <w:rPr>
          <w:rFonts w:cs="Times New Roman"/>
          <w:sz w:val="22"/>
        </w:rPr>
        <w:t>értéket megfelelően ellenőrizni kell (lásd 4.4 pont).</w:t>
      </w:r>
    </w:p>
    <w:p w14:paraId="17B2D405" w14:textId="77777777" w:rsidR="005626FC" w:rsidRPr="00AA3F64" w:rsidRDefault="005626FC" w:rsidP="00BF22C9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427C751F" w14:textId="77777777" w:rsidR="00581ACE" w:rsidRPr="00AA3F64" w:rsidRDefault="00581ACE" w:rsidP="00BF22C9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bCs/>
          <w:i/>
          <w:iCs/>
          <w:sz w:val="22"/>
          <w:u w:val="single"/>
        </w:rPr>
        <w:t>Orális fogamzásgátlók/hormonpótló kezelés (</w:t>
      </w:r>
      <w:r w:rsidR="006C1A21" w:rsidRPr="00AA3F64">
        <w:rPr>
          <w:i/>
          <w:iCs/>
          <w:sz w:val="22"/>
          <w:u w:val="single"/>
        </w:rPr>
        <w:t xml:space="preserve">hormone replacement therapy, </w:t>
      </w:r>
      <w:r w:rsidRPr="00AA3F64">
        <w:rPr>
          <w:rFonts w:cs="Times New Roman"/>
          <w:bCs/>
          <w:i/>
          <w:iCs/>
          <w:sz w:val="22"/>
          <w:u w:val="single"/>
        </w:rPr>
        <w:t>HRT)</w:t>
      </w:r>
      <w:r w:rsidRPr="00AA3F64">
        <w:rPr>
          <w:rFonts w:cs="Times New Roman"/>
          <w:bCs/>
          <w:i/>
          <w:iCs/>
          <w:sz w:val="22"/>
        </w:rPr>
        <w:t>:</w:t>
      </w:r>
      <w:r w:rsidRPr="00AA3F64">
        <w:rPr>
          <w:rFonts w:cs="Times New Roman"/>
          <w:bCs/>
          <w:iCs/>
          <w:sz w:val="22"/>
        </w:rPr>
        <w:t xml:space="preserve"> </w:t>
      </w:r>
      <w:r w:rsidRPr="00AA3F64">
        <w:rPr>
          <w:rFonts w:cs="Times New Roman"/>
          <w:sz w:val="22"/>
        </w:rPr>
        <w:t>Rozuvasztatin és orális fogamzásgátlók egyidejű alkalmazásakor az etinil</w:t>
      </w:r>
      <w:r w:rsidRPr="00AA3F64">
        <w:rPr>
          <w:rFonts w:cs="Times New Roman"/>
          <w:sz w:val="22"/>
        </w:rPr>
        <w:noBreakHyphen/>
        <w:t xml:space="preserve">ösztradiol </w:t>
      </w:r>
      <w:r w:rsidR="000E1526" w:rsidRPr="00AA3F64">
        <w:rPr>
          <w:rFonts w:cs="Times New Roman"/>
          <w:sz w:val="22"/>
        </w:rPr>
        <w:t>AUC-</w:t>
      </w:r>
      <w:r w:rsidRPr="00AA3F64">
        <w:rPr>
          <w:rFonts w:cs="Times New Roman"/>
          <w:sz w:val="22"/>
        </w:rPr>
        <w:t xml:space="preserve">értéke 26%-kal, a norgesztrel </w:t>
      </w:r>
      <w:r w:rsidR="000E1526" w:rsidRPr="00AA3F64">
        <w:rPr>
          <w:rFonts w:cs="Times New Roman"/>
          <w:sz w:val="22"/>
        </w:rPr>
        <w:t>AUC-</w:t>
      </w:r>
      <w:r w:rsidRPr="00AA3F64">
        <w:rPr>
          <w:rFonts w:cs="Times New Roman"/>
          <w:sz w:val="22"/>
        </w:rPr>
        <w:t>értéke 34%-kal emelkedett. A plazmaszint-emelkedést az orális fogamzásgátló dózisának megválasztásakor figyelembe kell venni. Nincs farmakokinetikai adat olyan betegekre vonatkozóan, akiknek hormonpótló kezelést és rozuvasztatint együtt adtak, és ezért ilyen esetekben a hasonló hatás nem zárható ki. Klinikai vizsgálatokban széles körben alkalmazták nőknél a rozuvasztatin</w:t>
      </w:r>
      <w:r w:rsidRPr="00AA3F64">
        <w:rPr>
          <w:rFonts w:cs="Times New Roman"/>
          <w:sz w:val="22"/>
        </w:rPr>
        <w:noBreakHyphen/>
        <w:t>HRT kombinációt, és azt a betegek jól tolerálták.</w:t>
      </w:r>
    </w:p>
    <w:p w14:paraId="3BA5EDAB" w14:textId="77777777" w:rsidR="00581ACE" w:rsidRPr="00AA3F64" w:rsidRDefault="00581ACE" w:rsidP="0063040C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  <w:r w:rsidRPr="00AA3F64">
        <w:rPr>
          <w:rFonts w:cs="Times New Roman"/>
          <w:bCs/>
          <w:iCs/>
          <w:sz w:val="22"/>
        </w:rPr>
        <w:t>Klinikai interakciós vizsgálatokban, együttadás esetén az ezetimib nem befolyásolta az orális fogamzásgátlók (etinil</w:t>
      </w:r>
      <w:r w:rsidR="00744F07" w:rsidRPr="00AA3F64">
        <w:rPr>
          <w:rFonts w:cs="Times New Roman"/>
          <w:bCs/>
          <w:iCs/>
          <w:sz w:val="22"/>
        </w:rPr>
        <w:noBreakHyphen/>
      </w:r>
      <w:r w:rsidRPr="00AA3F64">
        <w:rPr>
          <w:rFonts w:cs="Times New Roman"/>
          <w:bCs/>
          <w:iCs/>
          <w:sz w:val="22"/>
        </w:rPr>
        <w:t>ösztradiol és levonorgesztrel) farmakokinetikáját.</w:t>
      </w:r>
    </w:p>
    <w:p w14:paraId="679B96EE" w14:textId="77777777" w:rsidR="00581ACE" w:rsidRPr="00AA3F64" w:rsidRDefault="00581ACE" w:rsidP="0063040C">
      <w:pPr>
        <w:widowControl w:val="0"/>
        <w:rPr>
          <w:rFonts w:cs="Times New Roman"/>
          <w:sz w:val="22"/>
        </w:rPr>
      </w:pPr>
    </w:p>
    <w:p w14:paraId="56FA122F" w14:textId="77777777" w:rsidR="00A9691A" w:rsidRPr="00AA3F64" w:rsidRDefault="00A9691A" w:rsidP="00AA3F64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i/>
          <w:sz w:val="22"/>
          <w:u w:val="single"/>
        </w:rPr>
        <w:t>Kolesztiramin:</w:t>
      </w:r>
      <w:r w:rsidRPr="00AA3F64">
        <w:rPr>
          <w:rFonts w:cs="Times New Roman"/>
          <w:i/>
          <w:sz w:val="22"/>
        </w:rPr>
        <w:t xml:space="preserve"> </w:t>
      </w:r>
      <w:r w:rsidRPr="00AA3F64">
        <w:rPr>
          <w:rFonts w:cs="Times New Roman"/>
          <w:sz w:val="22"/>
        </w:rPr>
        <w:t xml:space="preserve">Kolesztiraminnal való együttes alkalmazás körülbelül 55%-kal csökkentette az összezetimib (ezetimib és ezetimib-glükuronid) AUC átlagértékét. Az ezetimib és a kolesztiramin kombinációjától várható nagyobb mértékű </w:t>
      </w:r>
      <w:r w:rsidR="00EC3A44">
        <w:rPr>
          <w:rFonts w:cs="Times New Roman"/>
          <w:sz w:val="22"/>
        </w:rPr>
        <w:t>kis</w:t>
      </w:r>
      <w:r w:rsidR="00EC3A44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denzitású lipoproteinszint</w:t>
      </w:r>
      <w:r w:rsidR="000E1526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 (LDL-C) csökkenés ezen interakció miatt csökkenhet (lásd 4.2 pont).</w:t>
      </w:r>
    </w:p>
    <w:p w14:paraId="52987A3A" w14:textId="77777777" w:rsidR="00A9691A" w:rsidRPr="00AA3F64" w:rsidRDefault="00A9691A" w:rsidP="00AA3F64">
      <w:pPr>
        <w:widowControl w:val="0"/>
        <w:rPr>
          <w:rFonts w:cs="Times New Roman"/>
          <w:sz w:val="22"/>
        </w:rPr>
      </w:pPr>
    </w:p>
    <w:p w14:paraId="3E95E527" w14:textId="77777777" w:rsidR="003F44A6" w:rsidRPr="00AA3F64" w:rsidRDefault="00BC6E78" w:rsidP="00AA3F64">
      <w:pPr>
        <w:pStyle w:val="Default"/>
        <w:rPr>
          <w:rStyle w:val="Oldalszm"/>
          <w:rFonts w:ascii="Times New Roman" w:eastAsia="Calibri" w:hAnsi="Times New Roman" w:cs="Times New Roman"/>
          <w:sz w:val="22"/>
          <w:szCs w:val="22"/>
        </w:rPr>
      </w:pPr>
      <w:r w:rsidRPr="00AA3F64">
        <w:rPr>
          <w:rFonts w:ascii="Times New Roman" w:hAnsi="Times New Roman" w:cs="Times New Roman"/>
          <w:i/>
          <w:iCs/>
          <w:color w:val="auto"/>
          <w:sz w:val="22"/>
          <w:szCs w:val="22"/>
          <w:u w:val="single"/>
        </w:rPr>
        <w:t>Ezetimib</w:t>
      </w:r>
      <w:r w:rsidR="003F44A6" w:rsidRPr="00AA3F64">
        <w:rPr>
          <w:rFonts w:ascii="Times New Roman" w:hAnsi="Times New Roman" w:cs="Times New Roman"/>
          <w:i/>
          <w:iCs/>
          <w:color w:val="auto"/>
          <w:sz w:val="22"/>
          <w:szCs w:val="22"/>
          <w:u w:val="single"/>
        </w:rPr>
        <w:t>:</w:t>
      </w:r>
      <w:r w:rsidR="003F44A6" w:rsidRPr="000C679A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="003F44A6" w:rsidRPr="00AA3F64">
        <w:rPr>
          <w:rFonts w:ascii="Times New Roman" w:hAnsi="Times New Roman" w:cs="Times New Roman"/>
          <w:sz w:val="22"/>
          <w:szCs w:val="22"/>
        </w:rPr>
        <w:t xml:space="preserve">Egyidejűleg alkalmazott 10 mg rozuvasztatin és 10 mg ezetimib 1,2-szeres AUC-növekedést </w:t>
      </w:r>
      <w:r w:rsidR="00EC3A44">
        <w:rPr>
          <w:rFonts w:ascii="Times New Roman" w:hAnsi="Times New Roman" w:cs="Times New Roman"/>
          <w:sz w:val="22"/>
          <w:szCs w:val="22"/>
        </w:rPr>
        <w:t>okozo</w:t>
      </w:r>
      <w:r w:rsidR="00EC3A44" w:rsidRPr="00AA3F64">
        <w:rPr>
          <w:rFonts w:ascii="Times New Roman" w:hAnsi="Times New Roman" w:cs="Times New Roman"/>
          <w:sz w:val="22"/>
          <w:szCs w:val="22"/>
        </w:rPr>
        <w:t xml:space="preserve">tt </w:t>
      </w:r>
      <w:r w:rsidR="003F44A6" w:rsidRPr="00AA3F64">
        <w:rPr>
          <w:rFonts w:ascii="Times New Roman" w:hAnsi="Times New Roman" w:cs="Times New Roman"/>
          <w:sz w:val="22"/>
          <w:szCs w:val="22"/>
        </w:rPr>
        <w:t>hypercholesterinaemiás betegeknél (lásd 1. tábláz</w:t>
      </w:r>
      <w:r w:rsidR="00EC3A44">
        <w:rPr>
          <w:rFonts w:ascii="Times New Roman" w:hAnsi="Times New Roman" w:cs="Times New Roman"/>
          <w:sz w:val="22"/>
          <w:szCs w:val="22"/>
        </w:rPr>
        <w:t>a</w:t>
      </w:r>
      <w:r w:rsidR="003F44A6" w:rsidRPr="00AA3F64">
        <w:rPr>
          <w:rFonts w:ascii="Times New Roman" w:hAnsi="Times New Roman" w:cs="Times New Roman"/>
          <w:sz w:val="22"/>
          <w:szCs w:val="22"/>
        </w:rPr>
        <w:t>t). M</w:t>
      </w:r>
      <w:r w:rsidR="003F44A6" w:rsidRPr="00AA3F64">
        <w:rPr>
          <w:rStyle w:val="Oldalszm"/>
          <w:rFonts w:ascii="Times New Roman" w:eastAsia="Calibri" w:hAnsi="Times New Roman" w:cs="Times New Roman"/>
          <w:sz w:val="22"/>
          <w:szCs w:val="22"/>
        </w:rPr>
        <w:t>ellékhatások tekintetében, farmakodinámiás interakciók rozuvasztatin és ezetimib között nem zárhatók ki</w:t>
      </w:r>
      <w:r w:rsidR="003F44A6" w:rsidRPr="00AA3F64">
        <w:rPr>
          <w:rStyle w:val="Oldalszm"/>
          <w:rFonts w:ascii="Times New Roman" w:hAnsi="Times New Roman" w:cs="Times New Roman"/>
          <w:sz w:val="22"/>
          <w:szCs w:val="22"/>
        </w:rPr>
        <w:t xml:space="preserve"> (lásd 4.4 pont)</w:t>
      </w:r>
      <w:r w:rsidR="003F44A6" w:rsidRPr="00AA3F64">
        <w:rPr>
          <w:rStyle w:val="Oldalszm"/>
          <w:rFonts w:ascii="Times New Roman" w:eastAsia="Calibri" w:hAnsi="Times New Roman" w:cs="Times New Roman"/>
          <w:sz w:val="22"/>
          <w:szCs w:val="22"/>
        </w:rPr>
        <w:t>.</w:t>
      </w:r>
    </w:p>
    <w:p w14:paraId="1784DA18" w14:textId="77777777" w:rsidR="00BC6E78" w:rsidRPr="00AA3F64" w:rsidRDefault="00BC6E78" w:rsidP="00AA3F64">
      <w:pPr>
        <w:widowControl w:val="0"/>
        <w:rPr>
          <w:rFonts w:cs="Times New Roman"/>
          <w:sz w:val="22"/>
        </w:rPr>
      </w:pPr>
    </w:p>
    <w:p w14:paraId="5EAF84C9" w14:textId="77777777" w:rsidR="00B604CE" w:rsidRPr="00AA3F64" w:rsidRDefault="00B604CE" w:rsidP="00AA3F64">
      <w:pPr>
        <w:rPr>
          <w:rFonts w:cs="Times New Roman"/>
          <w:color w:val="000000"/>
          <w:sz w:val="22"/>
        </w:rPr>
      </w:pPr>
      <w:r w:rsidRPr="00AA3F64">
        <w:rPr>
          <w:rFonts w:cs="Times New Roman"/>
          <w:i/>
          <w:color w:val="000000"/>
          <w:sz w:val="22"/>
          <w:u w:val="single"/>
        </w:rPr>
        <w:t>Sztatinok:</w:t>
      </w:r>
      <w:r w:rsidRPr="00AA3F64">
        <w:rPr>
          <w:rFonts w:cs="Times New Roman"/>
          <w:color w:val="000000"/>
          <w:sz w:val="22"/>
        </w:rPr>
        <w:t xml:space="preserve"> Az ezetimib és atorvasztatin, szimvasztatin, pravasztatin, lovasztatin, fluvasztatin vagy rozuvasztatin együttes alkalmazásakor klinikailag jelentős farmakokinetikai interakciót nem észleltek.</w:t>
      </w:r>
    </w:p>
    <w:p w14:paraId="47A3546C" w14:textId="77777777" w:rsidR="00BC6E78" w:rsidRPr="000C679A" w:rsidRDefault="00BC6E78" w:rsidP="00AA3F64">
      <w:pPr>
        <w:widowControl w:val="0"/>
        <w:rPr>
          <w:rFonts w:cs="Times New Roman"/>
          <w:sz w:val="22"/>
        </w:rPr>
      </w:pPr>
    </w:p>
    <w:p w14:paraId="5FEA7BFD" w14:textId="77777777" w:rsidR="00A9691A" w:rsidRPr="000C679A" w:rsidRDefault="00A9691A" w:rsidP="00AA3F64">
      <w:pPr>
        <w:widowControl w:val="0"/>
        <w:rPr>
          <w:rFonts w:cs="Times New Roman"/>
          <w:sz w:val="22"/>
        </w:rPr>
      </w:pPr>
      <w:r w:rsidRPr="000C679A">
        <w:rPr>
          <w:rFonts w:cs="Times New Roman"/>
          <w:i/>
          <w:sz w:val="22"/>
          <w:u w:val="single"/>
        </w:rPr>
        <w:t>Egyéb gyógyszerek</w:t>
      </w:r>
      <w:r w:rsidRPr="000C679A">
        <w:rPr>
          <w:rFonts w:cs="Times New Roman"/>
          <w:sz w:val="22"/>
        </w:rPr>
        <w:t>: Specifikus gyógyszerinterakciós vizsgálatok során nyert adatok alapján a rozuvasztatinnak digoxinnal klinikailag releváns interakciója nem várható.</w:t>
      </w:r>
    </w:p>
    <w:p w14:paraId="41A38110" w14:textId="77777777" w:rsidR="00C439BF" w:rsidRPr="000C679A" w:rsidRDefault="00A9691A" w:rsidP="00AA3F64">
      <w:pPr>
        <w:widowControl w:val="0"/>
        <w:rPr>
          <w:rFonts w:cs="Times New Roman"/>
          <w:sz w:val="22"/>
        </w:rPr>
      </w:pPr>
      <w:r w:rsidRPr="000C679A">
        <w:rPr>
          <w:rFonts w:cs="Times New Roman"/>
          <w:sz w:val="22"/>
        </w:rPr>
        <w:t>Klinikai interakciós vizsgálatokban, együttadás esetén az ezetimib nem befolyásolta a dapszon, a dextrometorfán, a digoxin, a glipizid, a tolbutamid vagy a midazolám farmakokinetikáját. Az ezetimibbel együtt adott cimetidin nem befolyásolta az ezetimib biohasznosíthatóságát.</w:t>
      </w:r>
    </w:p>
    <w:p w14:paraId="389B08B9" w14:textId="77777777" w:rsidR="00A9691A" w:rsidRPr="000C679A" w:rsidRDefault="00A9691A" w:rsidP="00AA3F64">
      <w:pPr>
        <w:widowControl w:val="0"/>
        <w:rPr>
          <w:rFonts w:cs="Times New Roman"/>
          <w:sz w:val="22"/>
        </w:rPr>
      </w:pPr>
    </w:p>
    <w:p w14:paraId="2EAA66BE" w14:textId="77777777" w:rsidR="00FD5B1F" w:rsidRPr="000C679A" w:rsidRDefault="00DE41E5" w:rsidP="003F44A6">
      <w:pPr>
        <w:widowControl w:val="0"/>
        <w:rPr>
          <w:rFonts w:cs="Times New Roman"/>
          <w:sz w:val="22"/>
        </w:rPr>
      </w:pPr>
      <w:r w:rsidRPr="000C679A">
        <w:rPr>
          <w:rFonts w:cs="Times New Roman"/>
          <w:sz w:val="22"/>
          <w:u w:val="single"/>
        </w:rPr>
        <w:t>A rozuvasztatin dózismódosítását igénylő interakciók (lásd még 1.</w:t>
      </w:r>
      <w:r w:rsidR="007E4226" w:rsidRPr="000C679A">
        <w:rPr>
          <w:rFonts w:cs="Times New Roman"/>
          <w:sz w:val="22"/>
          <w:u w:val="single"/>
        </w:rPr>
        <w:t xml:space="preserve"> </w:t>
      </w:r>
      <w:r w:rsidRPr="000C679A">
        <w:rPr>
          <w:rFonts w:cs="Times New Roman"/>
          <w:sz w:val="22"/>
          <w:u w:val="single"/>
        </w:rPr>
        <w:t>táblázat)</w:t>
      </w:r>
    </w:p>
    <w:p w14:paraId="5A345014" w14:textId="77777777" w:rsidR="00FD5B1F" w:rsidRPr="000C679A" w:rsidRDefault="00FD5B1F" w:rsidP="003F44A6">
      <w:pPr>
        <w:widowControl w:val="0"/>
        <w:rPr>
          <w:rFonts w:cs="Times New Roman"/>
          <w:sz w:val="22"/>
        </w:rPr>
      </w:pPr>
    </w:p>
    <w:p w14:paraId="23F0ECEE" w14:textId="77777777" w:rsidR="00DE41E5" w:rsidRPr="000C679A" w:rsidRDefault="00DE41E5" w:rsidP="00BF22C9">
      <w:pPr>
        <w:widowControl w:val="0"/>
        <w:rPr>
          <w:rFonts w:cs="Times New Roman"/>
          <w:sz w:val="22"/>
        </w:rPr>
      </w:pPr>
      <w:r w:rsidRPr="000C679A">
        <w:rPr>
          <w:rFonts w:cs="Times New Roman"/>
          <w:sz w:val="22"/>
        </w:rPr>
        <w:t xml:space="preserve">Amikor a rozuvasztatin egyidejű alkalmazása szükséges olyan egyéb gyógyszerekkel, amelyek ismerten növelik a </w:t>
      </w:r>
      <w:r w:rsidR="000E1526" w:rsidRPr="000C679A">
        <w:rPr>
          <w:rFonts w:cs="Times New Roman"/>
          <w:sz w:val="22"/>
        </w:rPr>
        <w:t>rozuvasztatin-</w:t>
      </w:r>
      <w:r w:rsidRPr="000C679A">
        <w:rPr>
          <w:rFonts w:cs="Times New Roman"/>
          <w:sz w:val="22"/>
        </w:rPr>
        <w:t>expozíciót, a rozuvasztatin</w:t>
      </w:r>
      <w:r w:rsidR="00E91426" w:rsidRPr="000C679A">
        <w:rPr>
          <w:rFonts w:cs="Times New Roman"/>
          <w:sz w:val="22"/>
        </w:rPr>
        <w:t>-</w:t>
      </w:r>
      <w:r w:rsidRPr="000C679A">
        <w:rPr>
          <w:rFonts w:cs="Times New Roman"/>
          <w:sz w:val="22"/>
        </w:rPr>
        <w:t>dózisokat módosítani kell.</w:t>
      </w:r>
      <w:r w:rsidR="00921622" w:rsidRPr="000C679A">
        <w:rPr>
          <w:rFonts w:cs="Times New Roman"/>
          <w:sz w:val="22"/>
        </w:rPr>
        <w:t xml:space="preserve"> </w:t>
      </w:r>
      <w:r w:rsidRPr="000C679A">
        <w:rPr>
          <w:rFonts w:cs="Times New Roman"/>
          <w:sz w:val="22"/>
        </w:rPr>
        <w:t>Napi egyszer 5 mg rozuvasztatin legyen a kezdő d</w:t>
      </w:r>
      <w:r w:rsidR="00EC3A44" w:rsidRPr="000C679A">
        <w:rPr>
          <w:rFonts w:cs="Times New Roman"/>
          <w:sz w:val="22"/>
        </w:rPr>
        <w:t>ózis</w:t>
      </w:r>
      <w:r w:rsidRPr="000C679A">
        <w:rPr>
          <w:rFonts w:cs="Times New Roman"/>
          <w:sz w:val="22"/>
        </w:rPr>
        <w:t>, ha az expozíció (AUC) várható növekedése kb. 2</w:t>
      </w:r>
      <w:r w:rsidRPr="000C679A">
        <w:rPr>
          <w:rFonts w:cs="Times New Roman"/>
          <w:sz w:val="22"/>
        </w:rPr>
        <w:noBreakHyphen/>
        <w:t>szeres vagy nagyobb. A rozuvasztatin maximális napi d</w:t>
      </w:r>
      <w:r w:rsidR="00EC3A44" w:rsidRPr="000C679A">
        <w:rPr>
          <w:rFonts w:cs="Times New Roman"/>
          <w:sz w:val="22"/>
        </w:rPr>
        <w:t>ózis</w:t>
      </w:r>
      <w:r w:rsidRPr="000C679A">
        <w:rPr>
          <w:rFonts w:cs="Times New Roman"/>
          <w:sz w:val="22"/>
        </w:rPr>
        <w:t xml:space="preserve">át úgy kell módosítani, hogy a várható </w:t>
      </w:r>
      <w:r w:rsidR="000E1526" w:rsidRPr="000C679A">
        <w:rPr>
          <w:rFonts w:cs="Times New Roman"/>
          <w:sz w:val="22"/>
        </w:rPr>
        <w:t>rozuvasztatin-</w:t>
      </w:r>
      <w:r w:rsidRPr="000C679A">
        <w:rPr>
          <w:rFonts w:cs="Times New Roman"/>
          <w:sz w:val="22"/>
        </w:rPr>
        <w:t>expozíció valószínűleg ne haladja meg azt az értéket, amely a napi 40 mg rozuvasztatin bevételekor alakul ki interakciót kiváltó gyógyszer nélkül, például 20 mg rozuvasztatin</w:t>
      </w:r>
      <w:r w:rsidR="00E91426" w:rsidRPr="000C679A">
        <w:rPr>
          <w:rFonts w:cs="Times New Roman"/>
          <w:sz w:val="22"/>
        </w:rPr>
        <w:t>-</w:t>
      </w:r>
      <w:r w:rsidRPr="000C679A">
        <w:rPr>
          <w:rFonts w:cs="Times New Roman"/>
          <w:sz w:val="22"/>
        </w:rPr>
        <w:t>dózis gemfibrozillel (1,9</w:t>
      </w:r>
      <w:r w:rsidRPr="000C679A">
        <w:rPr>
          <w:rFonts w:cs="Times New Roman"/>
          <w:sz w:val="22"/>
        </w:rPr>
        <w:noBreakHyphen/>
        <w:t>szeres növekedés) és 10 mg rozuvasztatin</w:t>
      </w:r>
      <w:r w:rsidR="00E91426" w:rsidRPr="000C679A">
        <w:rPr>
          <w:rFonts w:cs="Times New Roman"/>
          <w:sz w:val="22"/>
        </w:rPr>
        <w:t>-</w:t>
      </w:r>
      <w:r w:rsidRPr="000C679A">
        <w:rPr>
          <w:rFonts w:cs="Times New Roman"/>
          <w:sz w:val="22"/>
        </w:rPr>
        <w:t>dózis atazanavir/ritonavir kombinációjával (3,1</w:t>
      </w:r>
      <w:r w:rsidRPr="000C679A">
        <w:rPr>
          <w:rFonts w:cs="Times New Roman"/>
          <w:sz w:val="22"/>
        </w:rPr>
        <w:noBreakHyphen/>
        <w:t>szeres növekedés).</w:t>
      </w:r>
    </w:p>
    <w:p w14:paraId="6CBE1BE2" w14:textId="77777777" w:rsidR="00D50593" w:rsidRPr="000C679A" w:rsidRDefault="00D50593" w:rsidP="00BF22C9">
      <w:pPr>
        <w:widowControl w:val="0"/>
        <w:rPr>
          <w:rFonts w:cs="Times New Roman"/>
          <w:sz w:val="22"/>
        </w:rPr>
      </w:pP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9"/>
        <w:gridCol w:w="2977"/>
        <w:gridCol w:w="1701"/>
      </w:tblGrid>
      <w:tr w:rsidR="00DE41E5" w:rsidRPr="000C679A" w14:paraId="4D73DB78" w14:textId="77777777" w:rsidTr="001D62CA">
        <w:trPr>
          <w:cantSplit/>
          <w:trHeight w:val="57"/>
        </w:trPr>
        <w:tc>
          <w:tcPr>
            <w:tcW w:w="9327" w:type="dxa"/>
            <w:gridSpan w:val="3"/>
          </w:tcPr>
          <w:p w14:paraId="54409A7F" w14:textId="77777777" w:rsidR="00DE41E5" w:rsidRPr="000C679A" w:rsidRDefault="00DE41E5" w:rsidP="00203201">
            <w:pPr>
              <w:pStyle w:val="A-TableTitle"/>
              <w:keepNext w:val="0"/>
              <w:widowControl w:val="0"/>
              <w:tabs>
                <w:tab w:val="left" w:pos="1134"/>
              </w:tabs>
              <w:spacing w:after="0" w:line="240" w:lineRule="auto"/>
              <w:ind w:left="1134" w:hanging="1134"/>
              <w:rPr>
                <w:sz w:val="22"/>
                <w:szCs w:val="22"/>
                <w:lang w:val="hu-HU" w:eastAsia="zh-CN"/>
              </w:rPr>
            </w:pPr>
            <w:r w:rsidRPr="000C679A">
              <w:rPr>
                <w:sz w:val="22"/>
                <w:szCs w:val="22"/>
                <w:lang w:val="hu-HU"/>
              </w:rPr>
              <w:t>1.</w:t>
            </w:r>
            <w:r w:rsidR="00913A2D" w:rsidRPr="000C679A">
              <w:rPr>
                <w:sz w:val="22"/>
                <w:szCs w:val="22"/>
                <w:lang w:val="hu-HU"/>
              </w:rPr>
              <w:t xml:space="preserve"> </w:t>
            </w:r>
            <w:r w:rsidRPr="000C679A">
              <w:rPr>
                <w:sz w:val="22"/>
                <w:szCs w:val="22"/>
                <w:lang w:val="hu-HU"/>
              </w:rPr>
              <w:t>táblázat</w:t>
            </w:r>
            <w:r w:rsidR="0080726C" w:rsidRPr="000C679A">
              <w:rPr>
                <w:sz w:val="22"/>
                <w:szCs w:val="22"/>
                <w:lang w:val="hu-HU"/>
              </w:rPr>
              <w:t xml:space="preserve">: </w:t>
            </w:r>
            <w:r w:rsidR="0080726C" w:rsidRPr="000C679A">
              <w:rPr>
                <w:sz w:val="22"/>
                <w:szCs w:val="22"/>
                <w:lang w:val="hu-HU"/>
              </w:rPr>
              <w:tab/>
            </w:r>
            <w:r w:rsidRPr="000C679A">
              <w:rPr>
                <w:sz w:val="22"/>
                <w:szCs w:val="22"/>
                <w:lang w:val="hu-HU"/>
              </w:rPr>
              <w:t xml:space="preserve">Az egyidejűleg alkalmazott gyógyszerek </w:t>
            </w:r>
            <w:r w:rsidR="000E1526" w:rsidRPr="000C679A">
              <w:rPr>
                <w:sz w:val="22"/>
                <w:szCs w:val="22"/>
                <w:lang w:val="hu-HU"/>
              </w:rPr>
              <w:t>rozuvasztatin-</w:t>
            </w:r>
            <w:r w:rsidRPr="000C679A">
              <w:rPr>
                <w:sz w:val="22"/>
                <w:szCs w:val="22"/>
                <w:lang w:val="hu-HU"/>
              </w:rPr>
              <w:t>expozícióra gyakorolt hatása (AUC; csökkenő nagyságrendben) közölt klinikai vizsgálatokból</w:t>
            </w:r>
          </w:p>
        </w:tc>
      </w:tr>
      <w:tr w:rsidR="00DB0AD7" w:rsidRPr="000C679A" w14:paraId="7944F491" w14:textId="77777777" w:rsidTr="001D62CA">
        <w:trPr>
          <w:cantSplit/>
          <w:trHeight w:val="57"/>
        </w:trPr>
        <w:tc>
          <w:tcPr>
            <w:tcW w:w="9327" w:type="dxa"/>
            <w:gridSpan w:val="3"/>
          </w:tcPr>
          <w:p w14:paraId="70B7628F" w14:textId="77777777" w:rsidR="00526B96" w:rsidRPr="000C679A" w:rsidRDefault="00526B96" w:rsidP="00203201">
            <w:pPr>
              <w:pStyle w:val="A-TableTitle"/>
              <w:keepNext w:val="0"/>
              <w:widowControl w:val="0"/>
              <w:tabs>
                <w:tab w:val="left" w:pos="1134"/>
              </w:tabs>
              <w:spacing w:after="0" w:line="240" w:lineRule="auto"/>
              <w:ind w:left="1134" w:hanging="1134"/>
              <w:rPr>
                <w:sz w:val="22"/>
                <w:szCs w:val="22"/>
                <w:lang w:val="hu-HU" w:eastAsia="zh-CN"/>
              </w:rPr>
            </w:pPr>
          </w:p>
          <w:p w14:paraId="464CEB3B" w14:textId="77777777" w:rsidR="00DB0AD7" w:rsidRPr="000C679A" w:rsidRDefault="005C3E44" w:rsidP="00203201">
            <w:pPr>
              <w:pStyle w:val="A-TableTitle"/>
              <w:keepNext w:val="0"/>
              <w:widowControl w:val="0"/>
              <w:tabs>
                <w:tab w:val="left" w:pos="1134"/>
              </w:tabs>
              <w:spacing w:after="0" w:line="240" w:lineRule="auto"/>
              <w:ind w:left="1134" w:hanging="1134"/>
              <w:rPr>
                <w:sz w:val="22"/>
                <w:szCs w:val="22"/>
                <w:lang w:val="hu-HU" w:eastAsia="zh-CN"/>
              </w:rPr>
            </w:pPr>
            <w:r w:rsidRPr="000C679A">
              <w:rPr>
                <w:sz w:val="22"/>
                <w:szCs w:val="22"/>
                <w:lang w:val="hu-HU" w:eastAsia="zh-CN"/>
              </w:rPr>
              <w:t>A rozuvasztatin AUC értékének 2-szeres vagy nagyobb mértékű növekedése</w:t>
            </w:r>
          </w:p>
          <w:p w14:paraId="0FE903D6" w14:textId="77777777" w:rsidR="00526B96" w:rsidRPr="000C679A" w:rsidRDefault="00526B96" w:rsidP="00203201">
            <w:pPr>
              <w:rPr>
                <w:lang w:eastAsia="zh-CN"/>
              </w:rPr>
            </w:pPr>
          </w:p>
        </w:tc>
      </w:tr>
      <w:tr w:rsidR="00DE41E5" w:rsidRPr="000C679A" w14:paraId="119E753C" w14:textId="77777777" w:rsidTr="001D62CA">
        <w:trPr>
          <w:cantSplit/>
          <w:trHeight w:val="57"/>
        </w:trPr>
        <w:tc>
          <w:tcPr>
            <w:tcW w:w="4649" w:type="dxa"/>
          </w:tcPr>
          <w:p w14:paraId="656757FC" w14:textId="77777777" w:rsidR="00DE41E5" w:rsidRPr="000C679A" w:rsidRDefault="00DE41E5" w:rsidP="00203201">
            <w:pPr>
              <w:pStyle w:val="A-TableHeader"/>
              <w:keepNext w:val="0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0C679A">
              <w:rPr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977" w:type="dxa"/>
          </w:tcPr>
          <w:p w14:paraId="48A73B62" w14:textId="77777777" w:rsidR="00DE41E5" w:rsidRPr="000C679A" w:rsidRDefault="00DE41E5" w:rsidP="00203201">
            <w:pPr>
              <w:pStyle w:val="A-TableHeader"/>
              <w:keepNext w:val="0"/>
              <w:widowControl w:val="0"/>
              <w:spacing w:before="0" w:after="0"/>
              <w:jc w:val="center"/>
              <w:rPr>
                <w:szCs w:val="22"/>
                <w:lang w:val="hu-HU" w:eastAsia="zh-CN"/>
              </w:rPr>
            </w:pPr>
            <w:r w:rsidRPr="000C679A">
              <w:rPr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701" w:type="dxa"/>
          </w:tcPr>
          <w:p w14:paraId="529DFA76" w14:textId="77777777" w:rsidR="00DE41E5" w:rsidRPr="000C679A" w:rsidRDefault="00DE41E5" w:rsidP="00203201">
            <w:pPr>
              <w:pStyle w:val="A-TableHeader"/>
              <w:keepNext w:val="0"/>
              <w:widowControl w:val="0"/>
              <w:spacing w:before="0" w:after="0"/>
              <w:jc w:val="center"/>
              <w:rPr>
                <w:szCs w:val="22"/>
                <w:lang w:val="hu-HU" w:eastAsia="zh-CN"/>
              </w:rPr>
            </w:pPr>
            <w:r w:rsidRPr="000C679A">
              <w:rPr>
                <w:szCs w:val="22"/>
                <w:lang w:val="hu-HU" w:eastAsia="zh-CN"/>
              </w:rPr>
              <w:t>Rozuvasztatin AUC</w:t>
            </w:r>
            <w:r w:rsidRPr="000C679A">
              <w:rPr>
                <w:szCs w:val="22"/>
                <w:vertAlign w:val="superscript"/>
                <w:lang w:val="hu-HU" w:eastAsia="zh-CN"/>
              </w:rPr>
              <w:t xml:space="preserve">* </w:t>
            </w:r>
            <w:r w:rsidRPr="000C679A">
              <w:rPr>
                <w:szCs w:val="22"/>
                <w:lang w:val="hu-HU" w:eastAsia="zh-CN"/>
              </w:rPr>
              <w:t>változása</w:t>
            </w:r>
          </w:p>
        </w:tc>
      </w:tr>
      <w:tr w:rsidR="00D50593" w:rsidRPr="000C679A" w14:paraId="0CA50018" w14:textId="77777777" w:rsidTr="001D62CA">
        <w:trPr>
          <w:cantSplit/>
          <w:trHeight w:val="57"/>
        </w:trPr>
        <w:tc>
          <w:tcPr>
            <w:tcW w:w="4649" w:type="dxa"/>
          </w:tcPr>
          <w:p w14:paraId="070435A6" w14:textId="77777777" w:rsidR="00D50593" w:rsidRPr="000C679A" w:rsidRDefault="00D50593" w:rsidP="001D62C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0C679A">
              <w:rPr>
                <w:szCs w:val="22"/>
                <w:lang w:val="hu-HU" w:eastAsia="zh-CN"/>
              </w:rPr>
              <w:t>Szofoszbuvir/velpataszvir/voxilaprevir (400 mg-100 mg-100 mg) + voxilaprevir (100 mg) napi egyszer, 15 napig</w:t>
            </w:r>
          </w:p>
        </w:tc>
        <w:tc>
          <w:tcPr>
            <w:tcW w:w="2977" w:type="dxa"/>
          </w:tcPr>
          <w:p w14:paraId="478AD348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10 mg egyszeri </w:t>
            </w:r>
            <w:r w:rsidR="00EC3A44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</w:tcPr>
          <w:p w14:paraId="33D850EA" w14:textId="77777777" w:rsidR="00D50593" w:rsidRPr="001B0501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7,4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D50593" w:rsidRPr="000C679A" w14:paraId="438D4CB0" w14:textId="77777777" w:rsidTr="001D62CA">
        <w:trPr>
          <w:cantSplit/>
          <w:trHeight w:val="57"/>
        </w:trPr>
        <w:tc>
          <w:tcPr>
            <w:tcW w:w="4649" w:type="dxa"/>
          </w:tcPr>
          <w:p w14:paraId="31015F74" w14:textId="77777777" w:rsidR="00D50593" w:rsidRPr="00D76690" w:rsidRDefault="00D50593" w:rsidP="001D62C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690">
              <w:rPr>
                <w:szCs w:val="22"/>
                <w:lang w:val="hu-HU" w:eastAsia="zh-CN"/>
              </w:rPr>
              <w:t xml:space="preserve">Ciklosporin 75 mg naponta kétszer </w:t>
            </w:r>
            <w:r w:rsidRPr="00D76690">
              <w:rPr>
                <w:szCs w:val="22"/>
                <w:lang w:val="hu-HU" w:eastAsia="zh-CN"/>
              </w:rPr>
              <w:noBreakHyphen/>
              <w:t xml:space="preserve"> 200 mg naponta kétszer, 6 hónap</w:t>
            </w:r>
            <w:r w:rsidR="00EC3A44" w:rsidRPr="00D76690">
              <w:rPr>
                <w:szCs w:val="22"/>
                <w:lang w:val="hu-HU" w:eastAsia="zh-CN"/>
              </w:rPr>
              <w:t>on keresztül</w:t>
            </w:r>
          </w:p>
        </w:tc>
        <w:tc>
          <w:tcPr>
            <w:tcW w:w="2977" w:type="dxa"/>
          </w:tcPr>
          <w:p w14:paraId="1CB7AA9A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10 mg naponta egyszer, 10 nap</w:t>
            </w:r>
          </w:p>
        </w:tc>
        <w:tc>
          <w:tcPr>
            <w:tcW w:w="1701" w:type="dxa"/>
          </w:tcPr>
          <w:p w14:paraId="4D189808" w14:textId="77777777" w:rsidR="00D50593" w:rsidRPr="001B0501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7,1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D50593" w:rsidRPr="000C679A" w14:paraId="3B4B74BF" w14:textId="77777777" w:rsidTr="001D62CA">
        <w:trPr>
          <w:cantSplit/>
          <w:trHeight w:val="57"/>
        </w:trPr>
        <w:tc>
          <w:tcPr>
            <w:tcW w:w="4649" w:type="dxa"/>
          </w:tcPr>
          <w:p w14:paraId="1EC3D75A" w14:textId="77777777" w:rsidR="00D50593" w:rsidRPr="000C679A" w:rsidRDefault="00D50593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Darolutamid 600 mg napi kétszer, 5 nap</w:t>
            </w:r>
            <w:r w:rsidR="00EC3A44" w:rsidRPr="000C679A">
              <w:rPr>
                <w:szCs w:val="22"/>
                <w:lang w:val="en-US" w:eastAsia="zh-CN"/>
              </w:rPr>
              <w:t>ig</w:t>
            </w:r>
          </w:p>
        </w:tc>
        <w:tc>
          <w:tcPr>
            <w:tcW w:w="2977" w:type="dxa"/>
          </w:tcPr>
          <w:p w14:paraId="5A29623F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5 mg, egyszeri </w:t>
            </w:r>
            <w:r w:rsidR="00EC3A44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</w:tcPr>
          <w:p w14:paraId="00AB00D4" w14:textId="77777777" w:rsidR="00D50593" w:rsidRPr="001B0501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5,2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D50593" w:rsidRPr="000C679A" w14:paraId="21D79877" w14:textId="77777777" w:rsidTr="001D62CA">
        <w:trPr>
          <w:cantSplit/>
          <w:trHeight w:val="57"/>
        </w:trPr>
        <w:tc>
          <w:tcPr>
            <w:tcW w:w="4649" w:type="dxa"/>
          </w:tcPr>
          <w:p w14:paraId="58CA91E9" w14:textId="77777777" w:rsidR="00D50593" w:rsidRPr="000C679A" w:rsidRDefault="00D50593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Regorafenib 160 mg naponta egyszer, 14 nap</w:t>
            </w:r>
            <w:r w:rsidR="00EC3A44" w:rsidRPr="000C679A">
              <w:rPr>
                <w:szCs w:val="22"/>
                <w:lang w:val="en-US" w:eastAsia="zh-CN"/>
              </w:rPr>
              <w:t>ig</w:t>
            </w:r>
          </w:p>
        </w:tc>
        <w:tc>
          <w:tcPr>
            <w:tcW w:w="2977" w:type="dxa"/>
          </w:tcPr>
          <w:p w14:paraId="6E4C8ABB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5 mg, egyszeri </w:t>
            </w:r>
            <w:r w:rsidR="00EC3A44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</w:tcPr>
          <w:p w14:paraId="09732824" w14:textId="77777777" w:rsidR="00D50593" w:rsidRPr="001B0501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3,8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szoros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D50593" w:rsidRPr="000C679A" w14:paraId="5FDCA8C6" w14:textId="77777777" w:rsidTr="001D62CA">
        <w:trPr>
          <w:cantSplit/>
          <w:trHeight w:val="57"/>
        </w:trPr>
        <w:tc>
          <w:tcPr>
            <w:tcW w:w="4649" w:type="dxa"/>
          </w:tcPr>
          <w:p w14:paraId="6700C739" w14:textId="77777777" w:rsidR="00D50593" w:rsidRPr="000C679A" w:rsidRDefault="00D50593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Atazanavir 300 mg/ritonavir 100 mg naponta egyszer, 8 nap</w:t>
            </w:r>
            <w:r w:rsidR="00EC3A44" w:rsidRPr="000C679A">
              <w:rPr>
                <w:szCs w:val="22"/>
                <w:lang w:val="en-US" w:eastAsia="zh-CN"/>
              </w:rPr>
              <w:t>ig</w:t>
            </w:r>
          </w:p>
        </w:tc>
        <w:tc>
          <w:tcPr>
            <w:tcW w:w="2977" w:type="dxa"/>
          </w:tcPr>
          <w:p w14:paraId="23E7C62D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10 mg, egyszeri </w:t>
            </w:r>
            <w:r w:rsidR="00EC3A44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</w:tcPr>
          <w:p w14:paraId="0DAA787A" w14:textId="77777777" w:rsidR="00D50593" w:rsidRPr="001B0501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3,1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D10102" w:rsidRPr="000C679A" w14:paraId="76E5E5F8" w14:textId="77777777" w:rsidTr="001D62CA">
        <w:trPr>
          <w:cantSplit/>
          <w:trHeight w:val="57"/>
        </w:trPr>
        <w:tc>
          <w:tcPr>
            <w:tcW w:w="4649" w:type="dxa"/>
          </w:tcPr>
          <w:p w14:paraId="7524C91D" w14:textId="04E4A14C" w:rsidR="00D10102" w:rsidRPr="000C679A" w:rsidRDefault="00D10102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18521E">
              <w:rPr>
                <w:szCs w:val="22"/>
                <w:lang w:val="hu-HU" w:eastAsia="zh-CN"/>
              </w:rPr>
              <w:t>Roxadus</w:t>
            </w:r>
            <w:r>
              <w:rPr>
                <w:szCs w:val="22"/>
                <w:lang w:val="hu-HU" w:eastAsia="zh-CN"/>
              </w:rPr>
              <w:t>z</w:t>
            </w:r>
            <w:r w:rsidRPr="0018521E">
              <w:rPr>
                <w:szCs w:val="22"/>
                <w:lang w:val="hu-HU" w:eastAsia="zh-CN"/>
              </w:rPr>
              <w:t>t</w:t>
            </w:r>
            <w:r>
              <w:rPr>
                <w:szCs w:val="22"/>
                <w:lang w:val="hu-HU" w:eastAsia="zh-CN"/>
              </w:rPr>
              <w:t>á</w:t>
            </w:r>
            <w:r w:rsidRPr="0018521E">
              <w:rPr>
                <w:szCs w:val="22"/>
                <w:lang w:val="hu-HU" w:eastAsia="zh-CN"/>
              </w:rPr>
              <w:t>t 200</w:t>
            </w:r>
            <w:r>
              <w:rPr>
                <w:szCs w:val="22"/>
                <w:lang w:val="hu-HU" w:eastAsia="zh-CN"/>
              </w:rPr>
              <w:t> </w:t>
            </w:r>
            <w:r w:rsidRPr="0018521E">
              <w:rPr>
                <w:szCs w:val="22"/>
                <w:lang w:val="hu-HU" w:eastAsia="zh-CN"/>
              </w:rPr>
              <w:t xml:space="preserve">mg </w:t>
            </w:r>
            <w:r>
              <w:rPr>
                <w:szCs w:val="22"/>
                <w:lang w:val="hu-HU" w:eastAsia="zh-CN"/>
              </w:rPr>
              <w:t>minden második nap</w:t>
            </w:r>
          </w:p>
        </w:tc>
        <w:tc>
          <w:tcPr>
            <w:tcW w:w="2977" w:type="dxa"/>
          </w:tcPr>
          <w:p w14:paraId="1F445A85" w14:textId="520C87F2" w:rsidR="00D10102" w:rsidRPr="000C679A" w:rsidRDefault="00D10102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18521E">
              <w:rPr>
                <w:szCs w:val="22"/>
                <w:lang w:val="hu-HU" w:eastAsia="zh-CN"/>
              </w:rPr>
              <w:t>10</w:t>
            </w:r>
            <w:r>
              <w:rPr>
                <w:szCs w:val="22"/>
                <w:lang w:val="hu-HU" w:eastAsia="zh-CN"/>
              </w:rPr>
              <w:t> </w:t>
            </w:r>
            <w:r w:rsidRPr="0018521E">
              <w:rPr>
                <w:szCs w:val="22"/>
                <w:lang w:val="hu-HU" w:eastAsia="zh-CN"/>
              </w:rPr>
              <w:t xml:space="preserve">mg, </w:t>
            </w:r>
            <w:r>
              <w:rPr>
                <w:szCs w:val="22"/>
                <w:lang w:val="hu-HU" w:eastAsia="zh-CN"/>
              </w:rPr>
              <w:t>egyszeri adag</w:t>
            </w:r>
          </w:p>
        </w:tc>
        <w:tc>
          <w:tcPr>
            <w:tcW w:w="1701" w:type="dxa"/>
          </w:tcPr>
          <w:p w14:paraId="1C5152E5" w14:textId="45C8369D" w:rsidR="00D10102" w:rsidRPr="000C679A" w:rsidRDefault="00D10102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18521E">
              <w:rPr>
                <w:szCs w:val="22"/>
                <w:lang w:val="hu-HU" w:eastAsia="zh-CN"/>
              </w:rPr>
              <w:t>2</w:t>
            </w:r>
            <w:r>
              <w:rPr>
                <w:szCs w:val="22"/>
                <w:lang w:val="hu-HU" w:eastAsia="zh-CN"/>
              </w:rPr>
              <w:t>,</w:t>
            </w:r>
            <w:r w:rsidRPr="0018521E">
              <w:rPr>
                <w:szCs w:val="22"/>
                <w:lang w:val="hu-HU" w:eastAsia="zh-CN"/>
              </w:rPr>
              <w:t>9-</w:t>
            </w:r>
            <w:r>
              <w:rPr>
                <w:szCs w:val="22"/>
                <w:lang w:val="hu-HU" w:eastAsia="zh-CN"/>
              </w:rPr>
              <w:t>szeres</w:t>
            </w:r>
            <w:r w:rsidRPr="0018521E">
              <w:rPr>
                <w:szCs w:val="22"/>
                <w:lang w:val="hu-HU" w:eastAsia="zh-CN"/>
              </w:rPr>
              <w:t xml:space="preserve"> ↑</w:t>
            </w:r>
          </w:p>
        </w:tc>
      </w:tr>
      <w:tr w:rsidR="00D50593" w:rsidRPr="000C679A" w14:paraId="624B9B90" w14:textId="77777777" w:rsidTr="001D62CA">
        <w:trPr>
          <w:cantSplit/>
          <w:trHeight w:val="57"/>
        </w:trPr>
        <w:tc>
          <w:tcPr>
            <w:tcW w:w="4649" w:type="dxa"/>
          </w:tcPr>
          <w:p w14:paraId="2F43A692" w14:textId="77777777" w:rsidR="00D50593" w:rsidRPr="000C679A" w:rsidRDefault="00D50593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Velpataszvir 100 mg naponta egyszer</w:t>
            </w:r>
          </w:p>
        </w:tc>
        <w:tc>
          <w:tcPr>
            <w:tcW w:w="2977" w:type="dxa"/>
          </w:tcPr>
          <w:p w14:paraId="515A056E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10 mg, egyszeri </w:t>
            </w:r>
            <w:r w:rsidR="00EC3A44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</w:tcPr>
          <w:p w14:paraId="058F375D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2,7-szeres ↑</w:t>
            </w:r>
          </w:p>
        </w:tc>
      </w:tr>
      <w:tr w:rsidR="006F6CD9" w:rsidRPr="000C679A" w14:paraId="308B208E" w14:textId="77777777" w:rsidTr="001D62CA">
        <w:trPr>
          <w:cantSplit/>
          <w:trHeight w:val="57"/>
        </w:trPr>
        <w:tc>
          <w:tcPr>
            <w:tcW w:w="4649" w:type="dxa"/>
          </w:tcPr>
          <w:p w14:paraId="13D8F42C" w14:textId="0D9DFCF0" w:rsidR="006F6CD9" w:rsidRPr="000C679A" w:rsidRDefault="006C53D0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8A5980">
              <w:t>Momelotinib 200</w:t>
            </w:r>
            <w:r>
              <w:t> </w:t>
            </w:r>
            <w:r w:rsidRPr="008A5980">
              <w:t xml:space="preserve">mg </w:t>
            </w:r>
            <w:r>
              <w:t>naponta egyszer,</w:t>
            </w:r>
            <w:r w:rsidRPr="008A5980">
              <w:t xml:space="preserve"> 6 </w:t>
            </w:r>
            <w:r>
              <w:t>nap</w:t>
            </w:r>
          </w:p>
        </w:tc>
        <w:tc>
          <w:tcPr>
            <w:tcW w:w="2977" w:type="dxa"/>
          </w:tcPr>
          <w:p w14:paraId="051BF0D0" w14:textId="7F7DDC5A" w:rsidR="006F6CD9" w:rsidRPr="000C679A" w:rsidRDefault="00044B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10 mg, egyszeri dózis</w:t>
            </w:r>
          </w:p>
        </w:tc>
        <w:tc>
          <w:tcPr>
            <w:tcW w:w="1701" w:type="dxa"/>
          </w:tcPr>
          <w:p w14:paraId="1BF21137" w14:textId="385A128F" w:rsidR="006F6CD9" w:rsidRPr="000C679A" w:rsidRDefault="00044B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2,7-szeres ↑</w:t>
            </w:r>
          </w:p>
        </w:tc>
      </w:tr>
      <w:tr w:rsidR="006F6CD9" w:rsidRPr="000C679A" w14:paraId="5ADB1335" w14:textId="77777777" w:rsidTr="001D62CA">
        <w:trPr>
          <w:cantSplit/>
          <w:trHeight w:val="57"/>
        </w:trPr>
        <w:tc>
          <w:tcPr>
            <w:tcW w:w="4649" w:type="dxa"/>
          </w:tcPr>
          <w:p w14:paraId="60316CD2" w14:textId="21B2C786" w:rsidR="006F6CD9" w:rsidRPr="000C679A" w:rsidRDefault="00044B8A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8A5980">
              <w:t>Ti</w:t>
            </w:r>
            <w:r>
              <w:t>k</w:t>
            </w:r>
            <w:r w:rsidRPr="008A5980">
              <w:t>agrelor 90</w:t>
            </w:r>
            <w:r>
              <w:t> </w:t>
            </w:r>
            <w:r w:rsidRPr="008A5980">
              <w:t xml:space="preserve">mg </w:t>
            </w:r>
            <w:r>
              <w:t>napi kétszer</w:t>
            </w:r>
            <w:r w:rsidRPr="008A5980">
              <w:t xml:space="preserve">, 2 </w:t>
            </w:r>
            <w:r>
              <w:t>nap</w:t>
            </w:r>
          </w:p>
        </w:tc>
        <w:tc>
          <w:tcPr>
            <w:tcW w:w="2977" w:type="dxa"/>
          </w:tcPr>
          <w:p w14:paraId="632896BE" w14:textId="5A5D1162" w:rsidR="006F6CD9" w:rsidRPr="000C679A" w:rsidRDefault="00044B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10 mg, egyszeri dózis</w:t>
            </w:r>
          </w:p>
        </w:tc>
        <w:tc>
          <w:tcPr>
            <w:tcW w:w="1701" w:type="dxa"/>
          </w:tcPr>
          <w:p w14:paraId="272BEACA" w14:textId="56E5C36C" w:rsidR="006F6CD9" w:rsidRPr="000C679A" w:rsidRDefault="00044B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2,</w:t>
            </w:r>
            <w:r>
              <w:rPr>
                <w:szCs w:val="22"/>
                <w:lang w:val="en-US" w:eastAsia="zh-CN"/>
              </w:rPr>
              <w:t>6</w:t>
            </w:r>
            <w:r w:rsidRPr="000C679A">
              <w:rPr>
                <w:szCs w:val="22"/>
                <w:lang w:val="en-US" w:eastAsia="zh-CN"/>
              </w:rPr>
              <w:t>-sz</w:t>
            </w:r>
            <w:r w:rsidR="00B405CA">
              <w:rPr>
                <w:szCs w:val="22"/>
                <w:lang w:val="en-US" w:eastAsia="zh-CN"/>
              </w:rPr>
              <w:t>o</w:t>
            </w:r>
            <w:r w:rsidRPr="000C679A">
              <w:rPr>
                <w:szCs w:val="22"/>
                <w:lang w:val="en-US" w:eastAsia="zh-CN"/>
              </w:rPr>
              <w:t>r</w:t>
            </w:r>
            <w:r w:rsidR="00B405CA">
              <w:rPr>
                <w:szCs w:val="22"/>
                <w:lang w:val="en-US" w:eastAsia="zh-CN"/>
              </w:rPr>
              <w:t>o</w:t>
            </w:r>
            <w:r w:rsidRPr="000C679A">
              <w:rPr>
                <w:szCs w:val="22"/>
                <w:lang w:val="en-US" w:eastAsia="zh-CN"/>
              </w:rPr>
              <w:t>s ↑</w:t>
            </w:r>
          </w:p>
        </w:tc>
      </w:tr>
      <w:tr w:rsidR="00D50593" w:rsidRPr="000C679A" w14:paraId="0FFF2F1E" w14:textId="77777777" w:rsidTr="001D62CA">
        <w:trPr>
          <w:cantSplit/>
          <w:trHeight w:val="57"/>
        </w:trPr>
        <w:tc>
          <w:tcPr>
            <w:tcW w:w="4649" w:type="dxa"/>
          </w:tcPr>
          <w:p w14:paraId="099BC6AC" w14:textId="77777777" w:rsidR="00D50593" w:rsidRPr="00D76690" w:rsidRDefault="00D50593" w:rsidP="001D62C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690">
              <w:rPr>
                <w:szCs w:val="22"/>
                <w:lang w:val="hu-HU" w:eastAsia="zh-CN"/>
              </w:rPr>
              <w:t>Ombitaszvir 25 mg/paritaprevir 150 mg/</w:t>
            </w:r>
            <w:r w:rsidR="00E91426" w:rsidRPr="00D76690">
              <w:rPr>
                <w:szCs w:val="22"/>
                <w:lang w:val="hu-HU" w:eastAsia="zh-CN"/>
              </w:rPr>
              <w:t>r</w:t>
            </w:r>
            <w:r w:rsidRPr="00D76690">
              <w:rPr>
                <w:szCs w:val="22"/>
                <w:lang w:val="hu-HU" w:eastAsia="zh-CN"/>
              </w:rPr>
              <w:t>itonavir 100 mg naponta egyszer,</w:t>
            </w:r>
            <w:r w:rsidR="009302C2" w:rsidRPr="00D76690">
              <w:rPr>
                <w:szCs w:val="22"/>
                <w:lang w:val="hu-HU" w:eastAsia="zh-CN"/>
              </w:rPr>
              <w:t xml:space="preserve"> </w:t>
            </w:r>
            <w:r w:rsidRPr="00D76690">
              <w:rPr>
                <w:szCs w:val="22"/>
                <w:lang w:val="hu-HU" w:eastAsia="zh-CN"/>
              </w:rPr>
              <w:t>daszabuvir 400</w:t>
            </w:r>
            <w:r w:rsidR="009302C2" w:rsidRPr="00D76690">
              <w:rPr>
                <w:szCs w:val="22"/>
                <w:lang w:val="hu-HU" w:eastAsia="zh-CN"/>
              </w:rPr>
              <w:t> </w:t>
            </w:r>
            <w:r w:rsidRPr="00D76690">
              <w:rPr>
                <w:szCs w:val="22"/>
                <w:lang w:val="hu-HU" w:eastAsia="zh-CN"/>
              </w:rPr>
              <w:t>mg naponta kétszer, 14 nap</w:t>
            </w:r>
            <w:r w:rsidR="00EC3A44" w:rsidRPr="00D76690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77" w:type="dxa"/>
          </w:tcPr>
          <w:p w14:paraId="3821626B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5 mg, egyszeri </w:t>
            </w:r>
            <w:r w:rsidR="00EC3A44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</w:tcPr>
          <w:p w14:paraId="73C9639B" w14:textId="44C878B1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2,6-sz</w:t>
            </w:r>
            <w:r w:rsidR="00B405CA">
              <w:rPr>
                <w:szCs w:val="22"/>
                <w:lang w:val="en-US" w:eastAsia="zh-CN"/>
              </w:rPr>
              <w:t>o</w:t>
            </w:r>
            <w:r w:rsidRPr="000C679A">
              <w:rPr>
                <w:szCs w:val="22"/>
                <w:lang w:val="en-US" w:eastAsia="zh-CN"/>
              </w:rPr>
              <w:t>r</w:t>
            </w:r>
            <w:r w:rsidR="00B405CA">
              <w:rPr>
                <w:szCs w:val="22"/>
                <w:lang w:val="en-US" w:eastAsia="zh-CN"/>
              </w:rPr>
              <w:t>o</w:t>
            </w:r>
            <w:r w:rsidRPr="000C679A">
              <w:rPr>
                <w:szCs w:val="22"/>
                <w:lang w:val="en-US" w:eastAsia="zh-CN"/>
              </w:rPr>
              <w:t>s ↑</w:t>
            </w:r>
          </w:p>
        </w:tc>
      </w:tr>
      <w:tr w:rsidR="00691528" w:rsidRPr="000C679A" w14:paraId="45A8D40B" w14:textId="77777777" w:rsidTr="001D62CA">
        <w:trPr>
          <w:cantSplit/>
          <w:trHeight w:val="57"/>
        </w:trPr>
        <w:tc>
          <w:tcPr>
            <w:tcW w:w="4649" w:type="dxa"/>
          </w:tcPr>
          <w:p w14:paraId="4BBF447A" w14:textId="5CD87910" w:rsidR="00691528" w:rsidRPr="000C679A" w:rsidRDefault="00691528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Teriflunomid</w:t>
            </w:r>
            <w:r w:rsidR="001558D0">
              <w:rPr>
                <w:szCs w:val="22"/>
                <w:lang w:val="hu-HU" w:eastAsia="zh-CN"/>
              </w:rPr>
              <w:t>, Leflunomid</w:t>
            </w:r>
          </w:p>
        </w:tc>
        <w:tc>
          <w:tcPr>
            <w:tcW w:w="2977" w:type="dxa"/>
          </w:tcPr>
          <w:p w14:paraId="03B2C71A" w14:textId="77777777" w:rsidR="00691528" w:rsidRPr="000C679A" w:rsidRDefault="00691528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1701" w:type="dxa"/>
          </w:tcPr>
          <w:p w14:paraId="7C8CEE8F" w14:textId="59D517CD" w:rsidR="00691528" w:rsidRPr="001B0501" w:rsidRDefault="00691528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2,5</w:t>
            </w:r>
            <w:r w:rsidRPr="000C679A">
              <w:rPr>
                <w:szCs w:val="22"/>
                <w:lang w:val="hu-HU" w:eastAsia="zh-CN"/>
              </w:rPr>
              <w:noBreakHyphen/>
              <w:t>sz</w:t>
            </w:r>
            <w:r w:rsidR="00DF7A1F">
              <w:rPr>
                <w:szCs w:val="22"/>
                <w:lang w:val="hu-HU" w:eastAsia="zh-CN"/>
              </w:rPr>
              <w:t>ö</w:t>
            </w:r>
            <w:r w:rsidRPr="000C679A">
              <w:rPr>
                <w:szCs w:val="22"/>
                <w:lang w:val="hu-HU" w:eastAsia="zh-CN"/>
              </w:rPr>
              <w:t>r</w:t>
            </w:r>
            <w:r w:rsidR="00DF7A1F">
              <w:rPr>
                <w:szCs w:val="22"/>
                <w:lang w:val="hu-HU" w:eastAsia="zh-CN"/>
              </w:rPr>
              <w:t>ö</w:t>
            </w:r>
            <w:r w:rsidRPr="000C679A">
              <w:rPr>
                <w:szCs w:val="22"/>
                <w:lang w:val="hu-HU" w:eastAsia="zh-CN"/>
              </w:rPr>
              <w:t xml:space="preserve">s </w:t>
            </w:r>
            <w:r w:rsidRPr="001B0501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537308" w:rsidRPr="000C679A" w14:paraId="74FE06BE" w14:textId="77777777" w:rsidTr="001D62CA">
        <w:trPr>
          <w:cantSplit/>
          <w:trHeight w:val="57"/>
        </w:trPr>
        <w:tc>
          <w:tcPr>
            <w:tcW w:w="4649" w:type="dxa"/>
          </w:tcPr>
          <w:p w14:paraId="32533C1E" w14:textId="449E85FD" w:rsidR="00537308" w:rsidRPr="000C679A" w:rsidRDefault="00DC6C77" w:rsidP="001D62C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Vadadusztát 600</w:t>
            </w:r>
            <w:r w:rsidR="00B213C7">
              <w:rPr>
                <w:szCs w:val="22"/>
                <w:lang w:val="hu-HU" w:eastAsia="zh-CN"/>
              </w:rPr>
              <w:t> mg naponta egyszer, 8 napig</w:t>
            </w:r>
          </w:p>
        </w:tc>
        <w:tc>
          <w:tcPr>
            <w:tcW w:w="2977" w:type="dxa"/>
          </w:tcPr>
          <w:p w14:paraId="3E361813" w14:textId="15641002" w:rsidR="00537308" w:rsidRPr="000C679A" w:rsidRDefault="009A5977" w:rsidP="001D62CA">
            <w:pPr>
              <w:pStyle w:val="A-TableText"/>
              <w:spacing w:before="0" w:after="0"/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 mg, egyszeri dózis</w:t>
            </w:r>
          </w:p>
        </w:tc>
        <w:tc>
          <w:tcPr>
            <w:tcW w:w="1701" w:type="dxa"/>
          </w:tcPr>
          <w:p w14:paraId="3C466E30" w14:textId="4E734B15" w:rsidR="00537308" w:rsidRPr="000C679A" w:rsidRDefault="00185867" w:rsidP="001D62CA">
            <w:pPr>
              <w:pStyle w:val="A-TableText"/>
              <w:spacing w:before="0" w:after="0"/>
              <w:jc w:val="center"/>
              <w:rPr>
                <w:szCs w:val="22"/>
                <w:lang w:val="hu-HU" w:eastAsia="zh-CN"/>
              </w:rPr>
            </w:pPr>
            <w:r w:rsidRPr="00185867">
              <w:rPr>
                <w:szCs w:val="22"/>
                <w:lang w:val="hu-HU" w:eastAsia="zh-CN"/>
              </w:rPr>
              <w:t>2,5</w:t>
            </w:r>
            <w:r w:rsidRPr="00185867">
              <w:rPr>
                <w:szCs w:val="22"/>
                <w:lang w:val="hu-HU" w:eastAsia="zh-CN"/>
              </w:rPr>
              <w:noBreakHyphen/>
              <w:t xml:space="preserve">szörös </w:t>
            </w:r>
            <w:r w:rsidRPr="00185867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50593" w:rsidRPr="000C679A" w14:paraId="225322F2" w14:textId="77777777" w:rsidTr="001D62CA">
        <w:trPr>
          <w:cantSplit/>
          <w:trHeight w:val="57"/>
        </w:trPr>
        <w:tc>
          <w:tcPr>
            <w:tcW w:w="4649" w:type="dxa"/>
          </w:tcPr>
          <w:p w14:paraId="78DB79A4" w14:textId="77777777" w:rsidR="00D50593" w:rsidRPr="00D76690" w:rsidRDefault="00D50593" w:rsidP="001D62C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690">
              <w:rPr>
                <w:szCs w:val="22"/>
                <w:lang w:val="hu-HU" w:eastAsia="zh-CN"/>
              </w:rPr>
              <w:lastRenderedPageBreak/>
              <w:t>Grazoprevir 200 mg/elbasvir 50 mg</w:t>
            </w:r>
            <w:r w:rsidR="00E91426" w:rsidRPr="00D76690">
              <w:rPr>
                <w:szCs w:val="22"/>
                <w:lang w:val="hu-HU" w:eastAsia="zh-CN"/>
              </w:rPr>
              <w:t xml:space="preserve"> </w:t>
            </w:r>
            <w:r w:rsidRPr="00D76690">
              <w:rPr>
                <w:szCs w:val="22"/>
                <w:lang w:val="hu-HU" w:eastAsia="zh-CN"/>
              </w:rPr>
              <w:t>naponta egyszer, 11 nap</w:t>
            </w:r>
            <w:r w:rsidR="00EC3A44" w:rsidRPr="00D76690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77" w:type="dxa"/>
          </w:tcPr>
          <w:p w14:paraId="16D68C01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10 mg, egyszeri </w:t>
            </w:r>
            <w:r w:rsidR="00EC3A44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</w:tcPr>
          <w:p w14:paraId="3FC5CCEB" w14:textId="77CE461B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2,3-sz</w:t>
            </w:r>
            <w:r w:rsidR="00DF7A1F">
              <w:rPr>
                <w:szCs w:val="22"/>
                <w:lang w:val="en-US" w:eastAsia="zh-CN"/>
              </w:rPr>
              <w:t>o</w:t>
            </w:r>
            <w:r w:rsidRPr="000C679A">
              <w:rPr>
                <w:szCs w:val="22"/>
                <w:lang w:val="en-US" w:eastAsia="zh-CN"/>
              </w:rPr>
              <w:t>r</w:t>
            </w:r>
            <w:r w:rsidR="00DF7A1F">
              <w:rPr>
                <w:szCs w:val="22"/>
                <w:lang w:val="en-US" w:eastAsia="zh-CN"/>
              </w:rPr>
              <w:t>o</w:t>
            </w:r>
            <w:r w:rsidRPr="000C679A">
              <w:rPr>
                <w:szCs w:val="22"/>
                <w:lang w:val="en-US" w:eastAsia="zh-CN"/>
              </w:rPr>
              <w:t>s ↑</w:t>
            </w:r>
          </w:p>
        </w:tc>
      </w:tr>
      <w:tr w:rsidR="00D50593" w:rsidRPr="000C679A" w14:paraId="6319B04E" w14:textId="77777777" w:rsidTr="001D62CA">
        <w:trPr>
          <w:cantSplit/>
          <w:trHeight w:val="57"/>
        </w:trPr>
        <w:tc>
          <w:tcPr>
            <w:tcW w:w="4649" w:type="dxa"/>
          </w:tcPr>
          <w:p w14:paraId="6A707401" w14:textId="77777777" w:rsidR="00D50593" w:rsidRPr="00D76690" w:rsidRDefault="00D50593" w:rsidP="001D62C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690">
              <w:rPr>
                <w:szCs w:val="22"/>
                <w:lang w:val="hu-HU" w:eastAsia="zh-CN"/>
              </w:rPr>
              <w:t>Glekaprevir 400 mg/pibrentaszvir 120 mg naponta egyszer, 7 nap</w:t>
            </w:r>
            <w:r w:rsidR="00EC3A44" w:rsidRPr="00D76690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77" w:type="dxa"/>
          </w:tcPr>
          <w:p w14:paraId="771F3F40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5 mg, naponta egyszer, 7 nap</w:t>
            </w:r>
          </w:p>
        </w:tc>
        <w:tc>
          <w:tcPr>
            <w:tcW w:w="1701" w:type="dxa"/>
          </w:tcPr>
          <w:p w14:paraId="04CA61E1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2,2-szeres ↑</w:t>
            </w:r>
          </w:p>
        </w:tc>
      </w:tr>
      <w:tr w:rsidR="00D50593" w:rsidRPr="000C679A" w14:paraId="71328052" w14:textId="77777777" w:rsidTr="001D62CA">
        <w:trPr>
          <w:cantSplit/>
          <w:trHeight w:val="57"/>
        </w:trPr>
        <w:tc>
          <w:tcPr>
            <w:tcW w:w="4649" w:type="dxa"/>
          </w:tcPr>
          <w:p w14:paraId="6B8D89AF" w14:textId="77777777" w:rsidR="00D50593" w:rsidRPr="000C679A" w:rsidRDefault="00D50593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Lopinavir 400 mg/ritonavir 100 mg naponta kétszer, 17 nap</w:t>
            </w:r>
            <w:r w:rsidR="00EC3A44" w:rsidRPr="000C679A">
              <w:rPr>
                <w:szCs w:val="22"/>
                <w:lang w:val="en-US" w:eastAsia="zh-CN"/>
              </w:rPr>
              <w:t>ig</w:t>
            </w:r>
          </w:p>
        </w:tc>
        <w:tc>
          <w:tcPr>
            <w:tcW w:w="2977" w:type="dxa"/>
          </w:tcPr>
          <w:p w14:paraId="2FE7E740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20 mg naponta egyszer, 7 nap</w:t>
            </w:r>
          </w:p>
        </w:tc>
        <w:tc>
          <w:tcPr>
            <w:tcW w:w="1701" w:type="dxa"/>
          </w:tcPr>
          <w:p w14:paraId="6E9F52A5" w14:textId="77777777" w:rsidR="00D50593" w:rsidRPr="001B0501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2,1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691528" w:rsidRPr="000C679A" w14:paraId="091895FB" w14:textId="77777777" w:rsidTr="001D62CA">
        <w:trPr>
          <w:cantSplit/>
          <w:trHeight w:val="57"/>
        </w:trPr>
        <w:tc>
          <w:tcPr>
            <w:tcW w:w="4649" w:type="dxa"/>
            <w:tcBorders>
              <w:bottom w:val="single" w:sz="4" w:space="0" w:color="auto"/>
            </w:tcBorders>
          </w:tcPr>
          <w:p w14:paraId="3971B7B6" w14:textId="77777777" w:rsidR="00691528" w:rsidRPr="000C679A" w:rsidRDefault="00691528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Kapmatinib 400 mg napi kétszer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5AA18693" w14:textId="77777777" w:rsidR="00691528" w:rsidRPr="000C679A" w:rsidRDefault="00691528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10 mg, egyszeri dózis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1B49DDB" w14:textId="77777777" w:rsidR="00691528" w:rsidRPr="001B0501" w:rsidRDefault="00691528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2,1</w:t>
            </w:r>
            <w:r w:rsidRPr="000C679A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50593" w:rsidRPr="000C679A" w14:paraId="7B679B4D" w14:textId="77777777" w:rsidTr="001D62CA">
        <w:trPr>
          <w:cantSplit/>
          <w:trHeight w:val="57"/>
        </w:trPr>
        <w:tc>
          <w:tcPr>
            <w:tcW w:w="4649" w:type="dxa"/>
            <w:tcBorders>
              <w:bottom w:val="single" w:sz="4" w:space="0" w:color="auto"/>
            </w:tcBorders>
          </w:tcPr>
          <w:p w14:paraId="0F3E733D" w14:textId="77777777" w:rsidR="00D50593" w:rsidRPr="00D76690" w:rsidRDefault="00D50593" w:rsidP="001D62C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690">
              <w:rPr>
                <w:szCs w:val="22"/>
                <w:lang w:val="hu-HU" w:eastAsia="zh-CN"/>
              </w:rPr>
              <w:t>Klopidogrel 300 mg telítődózis, 75 mg-mal folytatva 24 óránként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9D7A658" w14:textId="77777777" w:rsidR="00D50593" w:rsidRPr="000C679A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20 mg, egyszeri </w:t>
            </w:r>
            <w:r w:rsidR="00EC3A44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155B98" w14:textId="77777777" w:rsidR="00D50593" w:rsidRPr="001B0501" w:rsidRDefault="00D50593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2-szeres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691528" w:rsidRPr="000C679A" w14:paraId="4B6E749F" w14:textId="77777777" w:rsidTr="001D62CA">
        <w:trPr>
          <w:cantSplit/>
          <w:trHeight w:val="57"/>
        </w:trPr>
        <w:tc>
          <w:tcPr>
            <w:tcW w:w="4649" w:type="dxa"/>
            <w:tcBorders>
              <w:bottom w:val="single" w:sz="4" w:space="0" w:color="auto"/>
            </w:tcBorders>
          </w:tcPr>
          <w:p w14:paraId="50BDC4F2" w14:textId="77777777" w:rsidR="00691528" w:rsidRPr="000C679A" w:rsidRDefault="00691528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Fosztamatinib 100 mg napi kétszer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1B394804" w14:textId="77777777" w:rsidR="00691528" w:rsidRPr="000C679A" w:rsidRDefault="00691528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20 mg, egyszeri dózis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F8C7B98" w14:textId="3F647C42" w:rsidR="00691528" w:rsidRPr="001B0501" w:rsidRDefault="00691528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2</w:t>
            </w:r>
            <w:r w:rsidRPr="000C679A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BA1F4F" w:rsidRPr="000C679A" w14:paraId="300FE090" w14:textId="77777777" w:rsidTr="001D62CA">
        <w:trPr>
          <w:cantSplit/>
          <w:trHeight w:val="57"/>
        </w:trPr>
        <w:tc>
          <w:tcPr>
            <w:tcW w:w="4649" w:type="dxa"/>
            <w:tcBorders>
              <w:bottom w:val="single" w:sz="4" w:space="0" w:color="auto"/>
            </w:tcBorders>
          </w:tcPr>
          <w:p w14:paraId="5237C8C7" w14:textId="445C1675" w:rsidR="00BA1F4F" w:rsidRPr="000C679A" w:rsidRDefault="00BA1F4F" w:rsidP="001D62C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917A52">
              <w:rPr>
                <w:szCs w:val="22"/>
                <w:lang w:val="hu-HU" w:eastAsia="zh-CN"/>
              </w:rPr>
              <w:t>Tafamidis</w:t>
            </w:r>
            <w:r>
              <w:rPr>
                <w:szCs w:val="22"/>
                <w:lang w:val="hu-HU" w:eastAsia="zh-CN"/>
              </w:rPr>
              <w:t>z</w:t>
            </w:r>
            <w:r w:rsidRPr="00917A52">
              <w:rPr>
                <w:szCs w:val="22"/>
                <w:lang w:val="hu-HU" w:eastAsia="zh-CN"/>
              </w:rPr>
              <w:t xml:space="preserve"> 61</w:t>
            </w:r>
            <w:r>
              <w:rPr>
                <w:szCs w:val="22"/>
                <w:lang w:val="hu-HU" w:eastAsia="zh-CN"/>
              </w:rPr>
              <w:t> </w:t>
            </w:r>
            <w:r w:rsidRPr="00917A52">
              <w:rPr>
                <w:szCs w:val="22"/>
                <w:lang w:val="hu-HU" w:eastAsia="zh-CN"/>
              </w:rPr>
              <w:t xml:space="preserve">mg </w:t>
            </w:r>
            <w:r w:rsidRPr="00712061">
              <w:rPr>
                <w:szCs w:val="22"/>
                <w:lang w:val="hu-HU" w:eastAsia="zh-CN"/>
              </w:rPr>
              <w:t>naponta kétszer az 1. és 2. napon, majd naponta egyszer a 3</w:t>
            </w:r>
            <w:r>
              <w:rPr>
                <w:szCs w:val="22"/>
                <w:lang w:val="hu-HU" w:eastAsia="zh-CN"/>
              </w:rPr>
              <w:noBreakHyphen/>
            </w:r>
            <w:r w:rsidRPr="00712061">
              <w:rPr>
                <w:szCs w:val="22"/>
                <w:lang w:val="hu-HU" w:eastAsia="zh-CN"/>
              </w:rPr>
              <w:t>9. napon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411E66A4" w14:textId="1BD667C4" w:rsidR="00BA1F4F" w:rsidRPr="000C679A" w:rsidRDefault="00BA1F4F" w:rsidP="001D62CA">
            <w:pPr>
              <w:pStyle w:val="A-TableText"/>
              <w:spacing w:before="0" w:after="0"/>
              <w:jc w:val="center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6546E14" w14:textId="4D4CD8D2" w:rsidR="00BA1F4F" w:rsidRPr="000C679A" w:rsidRDefault="00BA1F4F" w:rsidP="001D62CA">
            <w:pPr>
              <w:pStyle w:val="A-TableText"/>
              <w:spacing w:before="0" w:after="0"/>
              <w:jc w:val="center"/>
              <w:rPr>
                <w:szCs w:val="22"/>
                <w:lang w:val="hu-HU" w:eastAsia="zh-CN"/>
              </w:rPr>
            </w:pPr>
            <w:r w:rsidRPr="00917A52">
              <w:rPr>
                <w:szCs w:val="22"/>
                <w:lang w:val="hu-HU" w:eastAsia="zh-CN"/>
              </w:rPr>
              <w:t>2-</w:t>
            </w:r>
            <w:r>
              <w:rPr>
                <w:szCs w:val="22"/>
                <w:lang w:val="hu-HU" w:eastAsia="zh-CN"/>
              </w:rPr>
              <w:t>szeres</w:t>
            </w:r>
            <w:r w:rsidRPr="00917A52">
              <w:rPr>
                <w:szCs w:val="22"/>
                <w:lang w:val="hu-HU" w:eastAsia="zh-CN"/>
              </w:rPr>
              <w:t xml:space="preserve"> ↑</w:t>
            </w:r>
          </w:p>
        </w:tc>
      </w:tr>
      <w:tr w:rsidR="00B03C4A" w:rsidRPr="000C679A" w14:paraId="2EE09038" w14:textId="77777777" w:rsidTr="001D62CA">
        <w:trPr>
          <w:cantSplit/>
          <w:trHeight w:val="57"/>
        </w:trPr>
        <w:tc>
          <w:tcPr>
            <w:tcW w:w="93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7CE215" w14:textId="77777777" w:rsidR="00526B96" w:rsidRPr="000C679A" w:rsidRDefault="00526B96" w:rsidP="00203201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</w:p>
          <w:p w14:paraId="3CFA362A" w14:textId="77777777" w:rsidR="00B03C4A" w:rsidRPr="000C679A" w:rsidRDefault="00B03C4A" w:rsidP="00203201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 w:rsidRPr="000C679A">
              <w:rPr>
                <w:szCs w:val="22"/>
                <w:lang w:val="hu-HU" w:eastAsia="zh-CN"/>
              </w:rPr>
              <w:t>A rozuvasztatin AUC értékének kevesebb mint 2-szeres mértékű növekedése</w:t>
            </w:r>
          </w:p>
          <w:p w14:paraId="65FCD0BB" w14:textId="77777777" w:rsidR="00526B96" w:rsidRPr="000C679A" w:rsidRDefault="00526B96" w:rsidP="001D62CA">
            <w:pPr>
              <w:pStyle w:val="A-TableText"/>
              <w:spacing w:before="0" w:after="0"/>
              <w:rPr>
                <w:lang w:val="hu-HU" w:eastAsia="zh-CN"/>
              </w:rPr>
            </w:pPr>
          </w:p>
        </w:tc>
      </w:tr>
      <w:tr w:rsidR="00B03C4A" w:rsidRPr="000C679A" w14:paraId="545A3FDD" w14:textId="77777777" w:rsidTr="001D62CA">
        <w:trPr>
          <w:cantSplit/>
          <w:trHeight w:val="57"/>
        </w:trPr>
        <w:tc>
          <w:tcPr>
            <w:tcW w:w="4649" w:type="dxa"/>
            <w:tcBorders>
              <w:top w:val="single" w:sz="4" w:space="0" w:color="auto"/>
            </w:tcBorders>
          </w:tcPr>
          <w:p w14:paraId="7809789A" w14:textId="77777777" w:rsidR="00B03C4A" w:rsidRPr="000C679A" w:rsidRDefault="00B03C4A" w:rsidP="00203201">
            <w:pPr>
              <w:pStyle w:val="A-TableHeader"/>
              <w:spacing w:before="0" w:after="0"/>
              <w:rPr>
                <w:szCs w:val="22"/>
                <w:lang w:val="hu-HU" w:eastAsia="zh-CN"/>
              </w:rPr>
            </w:pPr>
            <w:r w:rsidRPr="000C679A">
              <w:rPr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1E6497FF" w14:textId="77777777" w:rsidR="00B03C4A" w:rsidRPr="000C679A" w:rsidRDefault="00B03C4A" w:rsidP="00203201">
            <w:pPr>
              <w:pStyle w:val="A-TableHeader"/>
              <w:spacing w:before="0" w:after="0"/>
              <w:jc w:val="center"/>
              <w:rPr>
                <w:szCs w:val="22"/>
                <w:lang w:val="hu-HU" w:eastAsia="zh-CN"/>
              </w:rPr>
            </w:pPr>
            <w:r w:rsidRPr="000C679A">
              <w:rPr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427C26B" w14:textId="77777777" w:rsidR="00B03C4A" w:rsidRPr="000C679A" w:rsidRDefault="00B03C4A" w:rsidP="00203201">
            <w:pPr>
              <w:pStyle w:val="A-TableHeader"/>
              <w:spacing w:before="0" w:after="0"/>
              <w:jc w:val="center"/>
              <w:rPr>
                <w:szCs w:val="22"/>
                <w:lang w:val="hu-HU" w:eastAsia="zh-CN"/>
              </w:rPr>
            </w:pPr>
            <w:r w:rsidRPr="000C679A">
              <w:rPr>
                <w:szCs w:val="22"/>
                <w:lang w:val="hu-HU" w:eastAsia="zh-CN"/>
              </w:rPr>
              <w:t>Rozuvasztatin AUC</w:t>
            </w:r>
            <w:r w:rsidRPr="000C679A">
              <w:rPr>
                <w:szCs w:val="22"/>
                <w:vertAlign w:val="superscript"/>
                <w:lang w:val="hu-HU" w:eastAsia="zh-CN"/>
              </w:rPr>
              <w:t xml:space="preserve">* </w:t>
            </w:r>
            <w:r w:rsidRPr="000C679A">
              <w:rPr>
                <w:szCs w:val="22"/>
                <w:lang w:val="hu-HU" w:eastAsia="zh-CN"/>
              </w:rPr>
              <w:t>változása</w:t>
            </w:r>
          </w:p>
        </w:tc>
      </w:tr>
      <w:tr w:rsidR="00691528" w:rsidRPr="000C679A" w14:paraId="63435438" w14:textId="77777777" w:rsidTr="001D62CA">
        <w:trPr>
          <w:cantSplit/>
          <w:trHeight w:val="57"/>
        </w:trPr>
        <w:tc>
          <w:tcPr>
            <w:tcW w:w="4649" w:type="dxa"/>
          </w:tcPr>
          <w:p w14:paraId="2550D595" w14:textId="77777777" w:rsidR="00691528" w:rsidRPr="000C679A" w:rsidRDefault="00691528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Febuxosztát 120 mg napi egyszer</w:t>
            </w:r>
          </w:p>
        </w:tc>
        <w:tc>
          <w:tcPr>
            <w:tcW w:w="2977" w:type="dxa"/>
          </w:tcPr>
          <w:p w14:paraId="291E75DE" w14:textId="77777777" w:rsidR="00691528" w:rsidRPr="000C679A" w:rsidRDefault="00691528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10 mg, egyszeri dózis</w:t>
            </w:r>
          </w:p>
        </w:tc>
        <w:tc>
          <w:tcPr>
            <w:tcW w:w="1701" w:type="dxa"/>
          </w:tcPr>
          <w:p w14:paraId="109C9D18" w14:textId="77777777" w:rsidR="00691528" w:rsidRPr="001B0501" w:rsidRDefault="00691528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hu-HU" w:eastAsia="zh-CN"/>
              </w:rPr>
              <w:t>1,9</w:t>
            </w:r>
            <w:r w:rsidRPr="000C679A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B02B9E" w:rsidRPr="000C679A" w14:paraId="5AA90ACB" w14:textId="77777777" w:rsidTr="001D62CA">
        <w:trPr>
          <w:cantSplit/>
          <w:trHeight w:val="57"/>
        </w:trPr>
        <w:tc>
          <w:tcPr>
            <w:tcW w:w="4649" w:type="dxa"/>
          </w:tcPr>
          <w:p w14:paraId="2902D285" w14:textId="77777777" w:rsidR="00B02B9E" w:rsidRPr="00D76690" w:rsidRDefault="00B02B9E" w:rsidP="001D62C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690">
              <w:rPr>
                <w:szCs w:val="22"/>
                <w:lang w:val="hu-HU" w:eastAsia="zh-CN"/>
              </w:rPr>
              <w:t>Gemfibrozil 600 mg naponta kétszer, 7 nap</w:t>
            </w:r>
            <w:r w:rsidR="00EC3A44" w:rsidRPr="00D76690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77" w:type="dxa"/>
          </w:tcPr>
          <w:p w14:paraId="6C52FA8D" w14:textId="77777777" w:rsidR="00B02B9E" w:rsidRPr="000C679A" w:rsidRDefault="00B02B9E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80 mg, egyszeri </w:t>
            </w:r>
            <w:r w:rsidR="00EC3A44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</w:tcPr>
          <w:p w14:paraId="4662E2F1" w14:textId="77777777" w:rsidR="00B02B9E" w:rsidRPr="001B0501" w:rsidRDefault="00B02B9E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1,9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47638A" w:rsidRPr="000C679A" w14:paraId="2190B4DE" w14:textId="77777777" w:rsidTr="001D62CA">
        <w:trPr>
          <w:cantSplit/>
          <w:trHeight w:val="57"/>
        </w:trPr>
        <w:tc>
          <w:tcPr>
            <w:tcW w:w="4649" w:type="dxa"/>
          </w:tcPr>
          <w:p w14:paraId="22100662" w14:textId="77777777" w:rsidR="0047638A" w:rsidRPr="000C679A" w:rsidRDefault="0047638A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Eltrombopag 75 mg naponta egyszer, 5 nap</w:t>
            </w:r>
            <w:r w:rsidR="00EC3A44" w:rsidRPr="000C679A">
              <w:rPr>
                <w:szCs w:val="22"/>
                <w:lang w:val="en-US" w:eastAsia="zh-CN"/>
              </w:rPr>
              <w:t>ig</w:t>
            </w:r>
          </w:p>
        </w:tc>
        <w:tc>
          <w:tcPr>
            <w:tcW w:w="2977" w:type="dxa"/>
          </w:tcPr>
          <w:p w14:paraId="5BD1A202" w14:textId="77777777" w:rsidR="0047638A" w:rsidRPr="000C679A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10 mg, egyszeri </w:t>
            </w:r>
            <w:r w:rsidR="00EC3A44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</w:tcPr>
          <w:p w14:paraId="144120B6" w14:textId="77777777" w:rsidR="0047638A" w:rsidRPr="001B0501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1,6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szoros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47638A" w:rsidRPr="000C679A" w14:paraId="60E0161B" w14:textId="77777777" w:rsidTr="001D62CA">
        <w:trPr>
          <w:cantSplit/>
          <w:trHeight w:val="57"/>
        </w:trPr>
        <w:tc>
          <w:tcPr>
            <w:tcW w:w="4649" w:type="dxa"/>
          </w:tcPr>
          <w:p w14:paraId="47777ED1" w14:textId="77777777" w:rsidR="0047638A" w:rsidRPr="00D76690" w:rsidRDefault="0047638A" w:rsidP="001D62CA">
            <w:pPr>
              <w:pStyle w:val="A-TableText"/>
              <w:spacing w:before="0" w:after="0"/>
              <w:rPr>
                <w:szCs w:val="22"/>
                <w:lang w:val="hu-HU" w:eastAsia="zh-CN"/>
              </w:rPr>
            </w:pPr>
            <w:r w:rsidRPr="00D76690">
              <w:rPr>
                <w:szCs w:val="22"/>
                <w:lang w:val="hu-HU" w:eastAsia="zh-CN"/>
              </w:rPr>
              <w:t>Darunavir 600 mg/ritonavir 100 mg naponta kétszer, 7 nap</w:t>
            </w:r>
            <w:r w:rsidR="00EC3A44" w:rsidRPr="00D76690"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2977" w:type="dxa"/>
          </w:tcPr>
          <w:p w14:paraId="4E48ED6B" w14:textId="77777777" w:rsidR="0047638A" w:rsidRPr="000C679A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10 mg naponta egyszer, 7 nap</w:t>
            </w:r>
            <w:r w:rsidR="00391072" w:rsidRPr="000C679A">
              <w:rPr>
                <w:szCs w:val="22"/>
                <w:lang w:val="en-US" w:eastAsia="zh-CN"/>
              </w:rPr>
              <w:t>ig</w:t>
            </w:r>
          </w:p>
        </w:tc>
        <w:tc>
          <w:tcPr>
            <w:tcW w:w="1701" w:type="dxa"/>
          </w:tcPr>
          <w:p w14:paraId="5EC90560" w14:textId="77777777" w:rsidR="0047638A" w:rsidRPr="001B0501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1,5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szörös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47638A" w:rsidRPr="000C679A" w14:paraId="7D825B6D" w14:textId="77777777" w:rsidTr="001D62CA">
        <w:trPr>
          <w:cantSplit/>
          <w:trHeight w:val="57"/>
        </w:trPr>
        <w:tc>
          <w:tcPr>
            <w:tcW w:w="4649" w:type="dxa"/>
          </w:tcPr>
          <w:p w14:paraId="0FBCE8AC" w14:textId="77777777" w:rsidR="0047638A" w:rsidRPr="00D76690" w:rsidRDefault="0047638A" w:rsidP="001D62CA">
            <w:pPr>
              <w:pStyle w:val="A-TableText"/>
              <w:spacing w:before="0" w:after="0"/>
              <w:rPr>
                <w:szCs w:val="22"/>
                <w:lang w:val="es-ES" w:eastAsia="zh-CN"/>
              </w:rPr>
            </w:pPr>
            <w:r w:rsidRPr="00D76690">
              <w:rPr>
                <w:szCs w:val="22"/>
                <w:lang w:val="es-ES" w:eastAsia="zh-CN"/>
              </w:rPr>
              <w:t>Tipranavir 500 mg/ritonavir 200 mg naponta kétszer, 11 nap</w:t>
            </w:r>
            <w:r w:rsidR="00391072" w:rsidRPr="00D76690">
              <w:rPr>
                <w:szCs w:val="22"/>
                <w:lang w:val="es-ES" w:eastAsia="zh-CN"/>
              </w:rPr>
              <w:t>ig</w:t>
            </w:r>
          </w:p>
        </w:tc>
        <w:tc>
          <w:tcPr>
            <w:tcW w:w="2977" w:type="dxa"/>
          </w:tcPr>
          <w:p w14:paraId="5D36C04F" w14:textId="77777777" w:rsidR="0047638A" w:rsidRPr="000C679A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10 mg, egyszeri </w:t>
            </w:r>
            <w:r w:rsidR="00391072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</w:tcPr>
          <w:p w14:paraId="187C8EE3" w14:textId="77777777" w:rsidR="0047638A" w:rsidRPr="001B0501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1,4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47638A" w:rsidRPr="000C679A" w14:paraId="595629CD" w14:textId="77777777" w:rsidTr="001D62CA">
        <w:trPr>
          <w:cantSplit/>
          <w:trHeight w:val="57"/>
        </w:trPr>
        <w:tc>
          <w:tcPr>
            <w:tcW w:w="4649" w:type="dxa"/>
          </w:tcPr>
          <w:p w14:paraId="0CFA50F3" w14:textId="77777777" w:rsidR="0047638A" w:rsidRPr="000C679A" w:rsidRDefault="0047638A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Dronedaron 400 mg naponta kétszer</w:t>
            </w:r>
          </w:p>
        </w:tc>
        <w:tc>
          <w:tcPr>
            <w:tcW w:w="2977" w:type="dxa"/>
          </w:tcPr>
          <w:p w14:paraId="7A002090" w14:textId="77777777" w:rsidR="0047638A" w:rsidRPr="000C679A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Nem elérhető</w:t>
            </w:r>
          </w:p>
        </w:tc>
        <w:tc>
          <w:tcPr>
            <w:tcW w:w="1701" w:type="dxa"/>
          </w:tcPr>
          <w:p w14:paraId="71EE2D8B" w14:textId="77777777" w:rsidR="0047638A" w:rsidRPr="001B0501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1,4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</w:p>
        </w:tc>
      </w:tr>
      <w:tr w:rsidR="0047638A" w:rsidRPr="000C679A" w14:paraId="3E9333DA" w14:textId="77777777" w:rsidTr="001D62CA">
        <w:trPr>
          <w:cantSplit/>
          <w:trHeight w:val="57"/>
        </w:trPr>
        <w:tc>
          <w:tcPr>
            <w:tcW w:w="4649" w:type="dxa"/>
          </w:tcPr>
          <w:p w14:paraId="598E847F" w14:textId="77777777" w:rsidR="0047638A" w:rsidRPr="000C679A" w:rsidRDefault="0047638A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Itrakonazol 200 mg naponta egyszer, 5 nap</w:t>
            </w:r>
            <w:r w:rsidR="00391072" w:rsidRPr="000C679A">
              <w:rPr>
                <w:szCs w:val="22"/>
                <w:lang w:val="en-US" w:eastAsia="zh-CN"/>
              </w:rPr>
              <w:t>ig</w:t>
            </w:r>
          </w:p>
        </w:tc>
        <w:tc>
          <w:tcPr>
            <w:tcW w:w="2977" w:type="dxa"/>
          </w:tcPr>
          <w:p w14:paraId="4B7DF2F9" w14:textId="77777777" w:rsidR="0047638A" w:rsidRPr="000C679A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10 mg, egyszeri </w:t>
            </w:r>
            <w:r w:rsidR="00391072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</w:tcPr>
          <w:p w14:paraId="39DF1772" w14:textId="77777777" w:rsidR="0047638A" w:rsidRPr="001B0501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1,4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  <w:r w:rsidRPr="001B0501">
              <w:rPr>
                <w:szCs w:val="22"/>
                <w:lang w:val="en-US" w:eastAsia="zh-CN"/>
              </w:rPr>
              <w:t>**</w:t>
            </w:r>
          </w:p>
        </w:tc>
      </w:tr>
      <w:tr w:rsidR="0047638A" w:rsidRPr="000C679A" w14:paraId="3C38896F" w14:textId="77777777" w:rsidTr="001D62CA">
        <w:trPr>
          <w:cantSplit/>
          <w:trHeight w:val="57"/>
        </w:trPr>
        <w:tc>
          <w:tcPr>
            <w:tcW w:w="4649" w:type="dxa"/>
          </w:tcPr>
          <w:p w14:paraId="3038F7F4" w14:textId="77777777" w:rsidR="0047638A" w:rsidRPr="000C679A" w:rsidRDefault="0047638A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Ezetimib 10 mg naponta egyszer, 14 nap</w:t>
            </w:r>
            <w:r w:rsidR="00391072" w:rsidRPr="000C679A">
              <w:rPr>
                <w:szCs w:val="22"/>
                <w:lang w:val="en-US" w:eastAsia="zh-CN"/>
              </w:rPr>
              <w:t>ig</w:t>
            </w:r>
          </w:p>
        </w:tc>
        <w:tc>
          <w:tcPr>
            <w:tcW w:w="2977" w:type="dxa"/>
          </w:tcPr>
          <w:p w14:paraId="148D299B" w14:textId="77777777" w:rsidR="0047638A" w:rsidRPr="000C679A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10 mg, naponta egyszer, 14 nap</w:t>
            </w:r>
            <w:r w:rsidR="00391072" w:rsidRPr="000C679A">
              <w:rPr>
                <w:szCs w:val="22"/>
                <w:lang w:val="en-US" w:eastAsia="zh-CN"/>
              </w:rPr>
              <w:t>ig</w:t>
            </w:r>
          </w:p>
        </w:tc>
        <w:tc>
          <w:tcPr>
            <w:tcW w:w="1701" w:type="dxa"/>
          </w:tcPr>
          <w:p w14:paraId="0681CA3F" w14:textId="77777777" w:rsidR="0047638A" w:rsidRPr="001B0501" w:rsidRDefault="0047638A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1,2</w:t>
            </w:r>
            <w:r w:rsidRPr="000C679A">
              <w:rPr>
                <w:szCs w:val="22"/>
                <w:lang w:val="en-US" w:eastAsia="zh-CN"/>
              </w:rPr>
              <w:noBreakHyphen/>
              <w:t xml:space="preserve">szeres </w:t>
            </w:r>
            <w:r w:rsidRPr="001B0501">
              <w:rPr>
                <w:szCs w:val="22"/>
                <w:lang w:val="en-US" w:eastAsia="zh-CN"/>
              </w:rPr>
              <w:sym w:font="Symbol" w:char="F0AD"/>
            </w:r>
            <w:r w:rsidRPr="001B0501">
              <w:rPr>
                <w:szCs w:val="22"/>
                <w:lang w:val="en-US" w:eastAsia="zh-CN"/>
              </w:rPr>
              <w:t>**</w:t>
            </w:r>
          </w:p>
        </w:tc>
      </w:tr>
      <w:tr w:rsidR="009F686F" w:rsidRPr="000C679A" w14:paraId="4A6BE9C1" w14:textId="77777777" w:rsidTr="001D62CA">
        <w:trPr>
          <w:cantSplit/>
          <w:trHeight w:val="57"/>
        </w:trPr>
        <w:tc>
          <w:tcPr>
            <w:tcW w:w="9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4A27" w14:textId="77777777" w:rsidR="00526B96" w:rsidRPr="001B0501" w:rsidRDefault="00526B96" w:rsidP="001D62CA">
            <w:pPr>
              <w:pStyle w:val="A-TableText"/>
              <w:spacing w:before="0" w:after="0"/>
              <w:rPr>
                <w:b/>
                <w:szCs w:val="22"/>
                <w:lang w:val="hu-HU" w:eastAsia="zh-CN"/>
              </w:rPr>
            </w:pPr>
          </w:p>
          <w:p w14:paraId="1312AA6A" w14:textId="77777777" w:rsidR="009F686F" w:rsidRPr="001B0501" w:rsidRDefault="009F686F" w:rsidP="001D62CA">
            <w:pPr>
              <w:pStyle w:val="A-TableText"/>
              <w:spacing w:before="0" w:after="0"/>
              <w:rPr>
                <w:b/>
                <w:szCs w:val="22"/>
                <w:lang w:val="hu-HU" w:eastAsia="zh-CN"/>
              </w:rPr>
            </w:pPr>
            <w:r w:rsidRPr="000C679A">
              <w:rPr>
                <w:b/>
                <w:szCs w:val="22"/>
                <w:lang w:val="hu-HU" w:eastAsia="zh-CN"/>
              </w:rPr>
              <w:t>A rozuvasztatin AUC értékének csökkenése</w:t>
            </w:r>
          </w:p>
          <w:p w14:paraId="4E205BBB" w14:textId="77777777" w:rsidR="00526B96" w:rsidRPr="000C679A" w:rsidRDefault="00526B96" w:rsidP="001D62CA">
            <w:pPr>
              <w:pStyle w:val="A-TableText"/>
              <w:spacing w:before="0" w:after="0"/>
              <w:rPr>
                <w:b/>
                <w:szCs w:val="22"/>
                <w:lang w:val="en-US" w:eastAsia="zh-CN"/>
              </w:rPr>
            </w:pPr>
          </w:p>
        </w:tc>
      </w:tr>
      <w:tr w:rsidR="009F686F" w:rsidRPr="000C679A" w14:paraId="5F2B8A9F" w14:textId="77777777" w:rsidTr="001D62CA">
        <w:trPr>
          <w:cantSplit/>
          <w:trHeight w:val="57"/>
        </w:trPr>
        <w:tc>
          <w:tcPr>
            <w:tcW w:w="4649" w:type="dxa"/>
            <w:tcBorders>
              <w:top w:val="single" w:sz="4" w:space="0" w:color="auto"/>
            </w:tcBorders>
          </w:tcPr>
          <w:p w14:paraId="28F35C45" w14:textId="77777777" w:rsidR="009F686F" w:rsidRPr="00D76690" w:rsidRDefault="009F686F" w:rsidP="001D62CA">
            <w:pPr>
              <w:pStyle w:val="A-TableText"/>
              <w:spacing w:before="0" w:after="0"/>
              <w:rPr>
                <w:b/>
                <w:szCs w:val="22"/>
                <w:lang w:val="es-ES" w:eastAsia="zh-CN"/>
              </w:rPr>
            </w:pPr>
            <w:r w:rsidRPr="000C679A">
              <w:rPr>
                <w:b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1B277DAA" w14:textId="77777777" w:rsidR="009F686F" w:rsidRPr="000C679A" w:rsidRDefault="009F686F" w:rsidP="001D62CA">
            <w:pPr>
              <w:pStyle w:val="A-TableText"/>
              <w:spacing w:before="0" w:after="0"/>
              <w:jc w:val="center"/>
              <w:rPr>
                <w:b/>
                <w:szCs w:val="22"/>
                <w:lang w:val="en-US" w:eastAsia="zh-CN"/>
              </w:rPr>
            </w:pPr>
            <w:r w:rsidRPr="000C679A">
              <w:rPr>
                <w:b/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50C97E2" w14:textId="77777777" w:rsidR="009F686F" w:rsidRPr="000C679A" w:rsidRDefault="009F686F" w:rsidP="001D62CA">
            <w:pPr>
              <w:pStyle w:val="A-TableText"/>
              <w:spacing w:before="0" w:after="0"/>
              <w:jc w:val="center"/>
              <w:rPr>
                <w:b/>
                <w:szCs w:val="22"/>
                <w:lang w:val="en-US" w:eastAsia="zh-CN"/>
              </w:rPr>
            </w:pPr>
            <w:r w:rsidRPr="000C679A">
              <w:rPr>
                <w:b/>
                <w:szCs w:val="22"/>
                <w:lang w:val="hu-HU" w:eastAsia="zh-CN"/>
              </w:rPr>
              <w:t>Rozuvasztatin AUC</w:t>
            </w:r>
            <w:r w:rsidRPr="000C679A">
              <w:rPr>
                <w:b/>
                <w:szCs w:val="22"/>
                <w:vertAlign w:val="superscript"/>
                <w:lang w:val="hu-HU" w:eastAsia="zh-CN"/>
              </w:rPr>
              <w:t xml:space="preserve">* </w:t>
            </w:r>
            <w:r w:rsidRPr="000C679A">
              <w:rPr>
                <w:b/>
                <w:szCs w:val="22"/>
                <w:lang w:val="hu-HU" w:eastAsia="zh-CN"/>
              </w:rPr>
              <w:t>változása</w:t>
            </w:r>
          </w:p>
        </w:tc>
      </w:tr>
      <w:tr w:rsidR="009F686F" w:rsidRPr="000C679A" w14:paraId="69E8DA7E" w14:textId="77777777" w:rsidTr="001D62CA">
        <w:trPr>
          <w:cantSplit/>
          <w:trHeight w:val="57"/>
        </w:trPr>
        <w:tc>
          <w:tcPr>
            <w:tcW w:w="4649" w:type="dxa"/>
            <w:tcBorders>
              <w:top w:val="single" w:sz="4" w:space="0" w:color="auto"/>
            </w:tcBorders>
          </w:tcPr>
          <w:p w14:paraId="2471E794" w14:textId="77777777" w:rsidR="009F686F" w:rsidRPr="000C679A" w:rsidRDefault="009F686F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Eritromicin 500 mg naponta négyszer, 7 nap</w:t>
            </w:r>
            <w:r w:rsidR="00391072" w:rsidRPr="000C679A">
              <w:rPr>
                <w:szCs w:val="22"/>
                <w:lang w:val="en-US" w:eastAsia="zh-CN"/>
              </w:rPr>
              <w:t>ig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40CDEF3C" w14:textId="77777777" w:rsidR="009F686F" w:rsidRPr="000C679A" w:rsidRDefault="009F686F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80 mg, egyszeri </w:t>
            </w:r>
            <w:r w:rsidR="00391072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75F9BCD" w14:textId="77777777" w:rsidR="009F686F" w:rsidRPr="001B0501" w:rsidRDefault="009F686F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20% </w:t>
            </w:r>
            <w:r w:rsidRPr="001B0501">
              <w:rPr>
                <w:szCs w:val="22"/>
                <w:lang w:val="en-US" w:eastAsia="zh-CN"/>
              </w:rPr>
              <w:sym w:font="Symbol" w:char="F0AF"/>
            </w:r>
          </w:p>
        </w:tc>
      </w:tr>
      <w:tr w:rsidR="009F686F" w:rsidRPr="000C679A" w14:paraId="40EEE26F" w14:textId="77777777" w:rsidTr="001D62CA">
        <w:trPr>
          <w:cantSplit/>
          <w:trHeight w:val="57"/>
        </w:trPr>
        <w:tc>
          <w:tcPr>
            <w:tcW w:w="4649" w:type="dxa"/>
            <w:tcBorders>
              <w:bottom w:val="single" w:sz="4" w:space="0" w:color="auto"/>
            </w:tcBorders>
          </w:tcPr>
          <w:p w14:paraId="2512F781" w14:textId="77777777" w:rsidR="009F686F" w:rsidRPr="000C679A" w:rsidRDefault="009F686F" w:rsidP="001D62CA">
            <w:pPr>
              <w:pStyle w:val="A-TableText"/>
              <w:spacing w:before="0" w:after="0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>Baikalin 50 mg naponta háromszor, 14 nap</w:t>
            </w:r>
            <w:r w:rsidR="00391072" w:rsidRPr="000C679A">
              <w:rPr>
                <w:szCs w:val="22"/>
                <w:lang w:val="en-US" w:eastAsia="zh-CN"/>
              </w:rPr>
              <w:t>ig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3ADE0A2" w14:textId="77777777" w:rsidR="009F686F" w:rsidRPr="000C679A" w:rsidRDefault="009F686F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20 mg, egyszeri </w:t>
            </w:r>
            <w:r w:rsidR="00391072" w:rsidRPr="000C679A">
              <w:rPr>
                <w:szCs w:val="22"/>
                <w:lang w:val="en-US" w:eastAsia="zh-CN"/>
              </w:rPr>
              <w:t>dózis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08F9FB7" w14:textId="77777777" w:rsidR="009F686F" w:rsidRPr="001B0501" w:rsidRDefault="009F686F" w:rsidP="001D62CA">
            <w:pPr>
              <w:pStyle w:val="A-TableText"/>
              <w:spacing w:before="0" w:after="0"/>
              <w:jc w:val="center"/>
              <w:rPr>
                <w:szCs w:val="22"/>
                <w:lang w:val="en-US" w:eastAsia="zh-CN"/>
              </w:rPr>
            </w:pPr>
            <w:r w:rsidRPr="000C679A">
              <w:rPr>
                <w:szCs w:val="22"/>
                <w:lang w:val="en-US" w:eastAsia="zh-CN"/>
              </w:rPr>
              <w:t xml:space="preserve">47% </w:t>
            </w:r>
            <w:r w:rsidRPr="001B0501">
              <w:rPr>
                <w:szCs w:val="22"/>
                <w:lang w:val="en-US" w:eastAsia="zh-CN"/>
              </w:rPr>
              <w:sym w:font="Symbol" w:char="F0AF"/>
            </w:r>
          </w:p>
        </w:tc>
      </w:tr>
      <w:tr w:rsidR="009F686F" w:rsidRPr="000C679A" w14:paraId="65EA2979" w14:textId="77777777" w:rsidTr="001D62CA">
        <w:trPr>
          <w:cantSplit/>
          <w:trHeight w:val="57"/>
        </w:trPr>
        <w:tc>
          <w:tcPr>
            <w:tcW w:w="9327" w:type="dxa"/>
            <w:gridSpan w:val="3"/>
            <w:tcBorders>
              <w:bottom w:val="single" w:sz="4" w:space="0" w:color="auto"/>
            </w:tcBorders>
          </w:tcPr>
          <w:p w14:paraId="27718395" w14:textId="77777777" w:rsidR="009F686F" w:rsidRPr="000C679A" w:rsidRDefault="009F686F" w:rsidP="00203201">
            <w:pPr>
              <w:widowControl w:val="0"/>
              <w:tabs>
                <w:tab w:val="left" w:pos="284"/>
              </w:tabs>
              <w:ind w:left="284" w:hanging="284"/>
              <w:rPr>
                <w:rFonts w:cs="Times New Roman"/>
                <w:sz w:val="22"/>
                <w:lang w:eastAsia="zh-CN"/>
              </w:rPr>
            </w:pPr>
            <w:r w:rsidRPr="000C679A">
              <w:rPr>
                <w:rFonts w:cs="Times New Roman"/>
                <w:sz w:val="22"/>
                <w:vertAlign w:val="superscript"/>
                <w:lang w:eastAsia="zh-CN"/>
              </w:rPr>
              <w:t>*</w:t>
            </w:r>
            <w:r w:rsidRPr="000C679A">
              <w:rPr>
                <w:rFonts w:cs="Times New Roman"/>
                <w:sz w:val="22"/>
              </w:rPr>
              <w:tab/>
            </w:r>
            <w:r w:rsidRPr="000C679A">
              <w:rPr>
                <w:rFonts w:cs="Times New Roman"/>
                <w:sz w:val="22"/>
                <w:lang w:eastAsia="zh-CN"/>
              </w:rPr>
              <w:t>Az x</w:t>
            </w:r>
            <w:r w:rsidRPr="000C679A">
              <w:rPr>
                <w:rFonts w:cs="Times New Roman"/>
                <w:sz w:val="22"/>
                <w:lang w:eastAsia="zh-CN"/>
              </w:rPr>
              <w:noBreakHyphen/>
              <w:t>szeres változásként megadott adat az egyidejű alkalmazás és a rozuvasztatin önmagában történő alkalmazása közötti egyszerű arányszámot mutatja. A %</w:t>
            </w:r>
            <w:r w:rsidRPr="000C679A">
              <w:rPr>
                <w:rFonts w:cs="Times New Roman"/>
                <w:sz w:val="22"/>
                <w:lang w:eastAsia="zh-CN"/>
              </w:rPr>
              <w:noBreakHyphen/>
              <w:t>ban kifejezett változás a rozuvasztatin önmagában történő alkalmazásához képest mért relatív %</w:t>
            </w:r>
            <w:r w:rsidRPr="000C679A">
              <w:rPr>
                <w:rFonts w:cs="Times New Roman"/>
                <w:sz w:val="22"/>
                <w:lang w:eastAsia="zh-CN"/>
              </w:rPr>
              <w:noBreakHyphen/>
              <w:t>os eltérést jelenti.</w:t>
            </w:r>
          </w:p>
          <w:p w14:paraId="48D1BB01" w14:textId="77777777" w:rsidR="009F686F" w:rsidRPr="001B0501" w:rsidRDefault="009F686F" w:rsidP="00203201">
            <w:pPr>
              <w:widowControl w:val="0"/>
              <w:tabs>
                <w:tab w:val="left" w:pos="284"/>
              </w:tabs>
              <w:ind w:left="284"/>
              <w:rPr>
                <w:rFonts w:cs="Times New Roman"/>
                <w:sz w:val="22"/>
                <w:lang w:eastAsia="zh-CN"/>
              </w:rPr>
            </w:pPr>
            <w:r w:rsidRPr="000C679A">
              <w:rPr>
                <w:rFonts w:cs="Times New Roman"/>
                <w:sz w:val="22"/>
                <w:lang w:eastAsia="zh-CN"/>
              </w:rPr>
              <w:t>Növekedés “</w:t>
            </w:r>
            <w:r w:rsidRPr="001B0501">
              <w:rPr>
                <w:rFonts w:cs="Times New Roman"/>
                <w:sz w:val="22"/>
                <w:lang w:eastAsia="zh-CN"/>
              </w:rPr>
              <w:sym w:font="Symbol" w:char="F0AD"/>
            </w:r>
            <w:r w:rsidRPr="001B0501">
              <w:rPr>
                <w:rFonts w:cs="Times New Roman"/>
                <w:sz w:val="22"/>
                <w:lang w:eastAsia="zh-CN"/>
              </w:rPr>
              <w:t>”, csökkenés “</w:t>
            </w:r>
            <w:r w:rsidRPr="001B0501">
              <w:rPr>
                <w:rFonts w:cs="Times New Roman"/>
                <w:sz w:val="22"/>
                <w:lang w:eastAsia="zh-CN"/>
              </w:rPr>
              <w:sym w:font="Symbol" w:char="F0AF"/>
            </w:r>
            <w:r w:rsidRPr="001B0501">
              <w:rPr>
                <w:rFonts w:cs="Times New Roman"/>
                <w:sz w:val="22"/>
                <w:lang w:eastAsia="zh-CN"/>
              </w:rPr>
              <w:t>” jellel mutatva.</w:t>
            </w:r>
          </w:p>
          <w:p w14:paraId="30FFE0F8" w14:textId="77777777" w:rsidR="009F686F" w:rsidRPr="000C679A" w:rsidRDefault="009F686F" w:rsidP="00203201">
            <w:pPr>
              <w:widowControl w:val="0"/>
              <w:tabs>
                <w:tab w:val="left" w:pos="284"/>
              </w:tabs>
              <w:ind w:left="284" w:hanging="284"/>
              <w:rPr>
                <w:rFonts w:cs="Times New Roman"/>
                <w:sz w:val="22"/>
                <w:lang w:eastAsia="zh-CN"/>
              </w:rPr>
            </w:pPr>
            <w:r w:rsidRPr="001B0501">
              <w:rPr>
                <w:rFonts w:cs="Times New Roman"/>
                <w:sz w:val="22"/>
                <w:vertAlign w:val="superscript"/>
                <w:lang w:eastAsia="zh-CN"/>
              </w:rPr>
              <w:t>**</w:t>
            </w:r>
            <w:r w:rsidRPr="000C679A">
              <w:rPr>
                <w:rFonts w:cs="Times New Roman"/>
                <w:sz w:val="22"/>
              </w:rPr>
              <w:tab/>
            </w:r>
            <w:r w:rsidRPr="000C679A">
              <w:rPr>
                <w:rFonts w:cs="Times New Roman"/>
                <w:sz w:val="22"/>
                <w:lang w:eastAsia="zh-CN"/>
              </w:rPr>
              <w:t>Számos interakciós vizsgálatot végeztek különböző rozuvasztatin-dózisokkal, a táblázat a legszignifikánsabb arányt mutatja.</w:t>
            </w:r>
          </w:p>
          <w:p w14:paraId="63664822" w14:textId="77777777" w:rsidR="009F686F" w:rsidRPr="000C679A" w:rsidRDefault="009F686F" w:rsidP="00203201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0C679A">
              <w:rPr>
                <w:szCs w:val="22"/>
                <w:lang w:val="hu-HU" w:eastAsia="zh-CN"/>
              </w:rPr>
              <w:t>AUC = görbe alatti terület (</w:t>
            </w:r>
            <w:r w:rsidRPr="000C679A">
              <w:rPr>
                <w:i/>
                <w:szCs w:val="22"/>
                <w:lang w:val="hu-HU" w:eastAsia="zh-CN"/>
              </w:rPr>
              <w:t xml:space="preserve">area under </w:t>
            </w:r>
            <w:r w:rsidR="00391072" w:rsidRPr="000C679A">
              <w:rPr>
                <w:i/>
                <w:szCs w:val="22"/>
                <w:lang w:val="hu-HU" w:eastAsia="zh-CN"/>
              </w:rPr>
              <w:t xml:space="preserve">the </w:t>
            </w:r>
            <w:r w:rsidRPr="000C679A">
              <w:rPr>
                <w:i/>
                <w:szCs w:val="22"/>
                <w:lang w:val="hu-HU" w:eastAsia="zh-CN"/>
              </w:rPr>
              <w:t>curve</w:t>
            </w:r>
            <w:r w:rsidRPr="000C679A">
              <w:rPr>
                <w:szCs w:val="22"/>
                <w:lang w:val="hu-HU" w:eastAsia="zh-CN"/>
              </w:rPr>
              <w:t>).</w:t>
            </w:r>
          </w:p>
        </w:tc>
      </w:tr>
    </w:tbl>
    <w:p w14:paraId="63460117" w14:textId="77777777" w:rsidR="009F686F" w:rsidRPr="000C679A" w:rsidRDefault="009F686F" w:rsidP="009F686F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FA4AC0C" w14:textId="77777777" w:rsidR="009F686F" w:rsidRPr="000C679A" w:rsidRDefault="009F686F" w:rsidP="009F686F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0C679A">
        <w:rPr>
          <w:rFonts w:cs="Times New Roman"/>
          <w:bCs/>
          <w:sz w:val="22"/>
        </w:rPr>
        <w:t xml:space="preserve">A következő gyógyszerek/kombinációk rozuvasztatinnal egyidejűleg alkalmazva nem befolyásolták klinikai szempontból szignifikánsan az AUC értékét: </w:t>
      </w:r>
    </w:p>
    <w:p w14:paraId="3B68EFEC" w14:textId="77777777" w:rsidR="00DE41E5" w:rsidRPr="000C679A" w:rsidRDefault="00391072" w:rsidP="009F686F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0C679A">
        <w:rPr>
          <w:rFonts w:cs="Times New Roman"/>
          <w:bCs/>
          <w:sz w:val="22"/>
        </w:rPr>
        <w:t>a</w:t>
      </w:r>
      <w:r w:rsidR="009F686F" w:rsidRPr="000C679A">
        <w:rPr>
          <w:rFonts w:cs="Times New Roman"/>
          <w:bCs/>
          <w:sz w:val="22"/>
        </w:rPr>
        <w:t>leglitazar 0,3</w:t>
      </w:r>
      <w:r w:rsidRPr="000C679A">
        <w:rPr>
          <w:rFonts w:cs="Times New Roman"/>
          <w:bCs/>
          <w:sz w:val="22"/>
        </w:rPr>
        <w:t> </w:t>
      </w:r>
      <w:r w:rsidR="009F686F" w:rsidRPr="000C679A">
        <w:rPr>
          <w:rFonts w:cs="Times New Roman"/>
          <w:bCs/>
          <w:sz w:val="22"/>
        </w:rPr>
        <w:t>mg, 7 napig; fenofibrát 67</w:t>
      </w:r>
      <w:r w:rsidRPr="000C679A">
        <w:rPr>
          <w:rFonts w:cs="Times New Roman"/>
          <w:bCs/>
          <w:sz w:val="22"/>
        </w:rPr>
        <w:t> </w:t>
      </w:r>
      <w:r w:rsidR="009F686F" w:rsidRPr="000C679A">
        <w:rPr>
          <w:rFonts w:cs="Times New Roman"/>
          <w:bCs/>
          <w:sz w:val="22"/>
        </w:rPr>
        <w:t>mg napi háromszor, 7 napig; flukonazol 200</w:t>
      </w:r>
      <w:r w:rsidRPr="000C679A">
        <w:rPr>
          <w:rFonts w:cs="Times New Roman"/>
          <w:bCs/>
          <w:sz w:val="22"/>
        </w:rPr>
        <w:t> </w:t>
      </w:r>
      <w:r w:rsidR="009F686F" w:rsidRPr="000C679A">
        <w:rPr>
          <w:rFonts w:cs="Times New Roman"/>
          <w:bCs/>
          <w:sz w:val="22"/>
        </w:rPr>
        <w:t>mg napi egyszer, 11 napig; fozamprenavir 700</w:t>
      </w:r>
      <w:r w:rsidRPr="000C679A">
        <w:rPr>
          <w:rFonts w:cs="Times New Roman"/>
          <w:bCs/>
          <w:sz w:val="22"/>
        </w:rPr>
        <w:t> </w:t>
      </w:r>
      <w:r w:rsidR="009F686F" w:rsidRPr="000C679A">
        <w:rPr>
          <w:rFonts w:cs="Times New Roman"/>
          <w:bCs/>
          <w:sz w:val="22"/>
        </w:rPr>
        <w:t>mg/ritonavir 100</w:t>
      </w:r>
      <w:r w:rsidRPr="000C679A">
        <w:rPr>
          <w:rFonts w:cs="Times New Roman"/>
          <w:bCs/>
          <w:sz w:val="22"/>
        </w:rPr>
        <w:t> </w:t>
      </w:r>
      <w:r w:rsidR="009F686F" w:rsidRPr="000C679A">
        <w:rPr>
          <w:rFonts w:cs="Times New Roman"/>
          <w:bCs/>
          <w:sz w:val="22"/>
        </w:rPr>
        <w:t>mg napi kétszer, 8 napig; ketokonazol 200</w:t>
      </w:r>
      <w:r w:rsidRPr="000C679A">
        <w:rPr>
          <w:rFonts w:cs="Times New Roman"/>
          <w:bCs/>
          <w:sz w:val="22"/>
        </w:rPr>
        <w:t> </w:t>
      </w:r>
      <w:r w:rsidR="009F686F" w:rsidRPr="000C679A">
        <w:rPr>
          <w:rFonts w:cs="Times New Roman"/>
          <w:bCs/>
          <w:sz w:val="22"/>
        </w:rPr>
        <w:t>mg napi kétszer, 7 napig; rifampin 450</w:t>
      </w:r>
      <w:r w:rsidRPr="000C679A">
        <w:rPr>
          <w:rFonts w:cs="Times New Roman"/>
          <w:bCs/>
          <w:sz w:val="22"/>
        </w:rPr>
        <w:t> </w:t>
      </w:r>
      <w:r w:rsidR="009F686F" w:rsidRPr="000C679A">
        <w:rPr>
          <w:rFonts w:cs="Times New Roman"/>
          <w:bCs/>
          <w:sz w:val="22"/>
        </w:rPr>
        <w:t>mg napi egyszer, 7 napig; szilimarin (máriatövis kivonat) 140</w:t>
      </w:r>
      <w:r w:rsidRPr="000C679A">
        <w:rPr>
          <w:rFonts w:cs="Times New Roman"/>
          <w:bCs/>
          <w:sz w:val="22"/>
        </w:rPr>
        <w:t> </w:t>
      </w:r>
      <w:r w:rsidR="009F686F" w:rsidRPr="000C679A">
        <w:rPr>
          <w:rFonts w:cs="Times New Roman"/>
          <w:bCs/>
          <w:sz w:val="22"/>
        </w:rPr>
        <w:t>mg napi háromszor, 5 napig.</w:t>
      </w:r>
    </w:p>
    <w:p w14:paraId="43C906FA" w14:textId="77777777" w:rsidR="009F686F" w:rsidRPr="000C679A" w:rsidRDefault="009F686F" w:rsidP="009F686F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21D8149" w14:textId="77777777" w:rsidR="00E13F3F" w:rsidRPr="000C679A" w:rsidRDefault="00E13F3F" w:rsidP="003F44A6">
      <w:pPr>
        <w:rPr>
          <w:rFonts w:cs="Times New Roman"/>
          <w:sz w:val="22"/>
        </w:rPr>
      </w:pPr>
      <w:r w:rsidRPr="000C679A">
        <w:rPr>
          <w:rFonts w:cs="Times New Roman"/>
          <w:sz w:val="22"/>
        </w:rPr>
        <w:t xml:space="preserve">A kombináció nem alkalmas kezdeti terápiára. A kezelés megkezdése vagy szükség esetén dózismódosítás csak az egykomponensű </w:t>
      </w:r>
      <w:r w:rsidR="00391072" w:rsidRPr="000C679A">
        <w:rPr>
          <w:rFonts w:cs="Times New Roman"/>
          <w:sz w:val="22"/>
        </w:rPr>
        <w:t xml:space="preserve">gyógyszerekkel </w:t>
      </w:r>
      <w:r w:rsidRPr="000C679A">
        <w:rPr>
          <w:rFonts w:cs="Times New Roman"/>
          <w:sz w:val="22"/>
        </w:rPr>
        <w:t xml:space="preserve">történhet, és a megfelelő dózisok beállítása után lehetséges az átállás a megfelelő </w:t>
      </w:r>
      <w:r w:rsidR="00391072" w:rsidRPr="000C679A">
        <w:rPr>
          <w:rFonts w:cs="Times New Roman"/>
          <w:sz w:val="22"/>
        </w:rPr>
        <w:t>hatás</w:t>
      </w:r>
      <w:r w:rsidRPr="000C679A">
        <w:rPr>
          <w:rFonts w:cs="Times New Roman"/>
          <w:sz w:val="22"/>
        </w:rPr>
        <w:t>erősségű fix dóziskombinációra.</w:t>
      </w:r>
    </w:p>
    <w:p w14:paraId="10F5868B" w14:textId="77777777" w:rsidR="00362ACD" w:rsidRPr="000C679A" w:rsidRDefault="00362ACD" w:rsidP="001749CE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6373EBD" w14:textId="77777777" w:rsidR="00615B98" w:rsidRPr="000C679A" w:rsidRDefault="00DE41E5" w:rsidP="000037AE">
      <w:pPr>
        <w:widowControl w:val="0"/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0C679A">
        <w:rPr>
          <w:rFonts w:cs="Times New Roman"/>
          <w:bCs/>
          <w:sz w:val="22"/>
          <w:u w:val="single"/>
        </w:rPr>
        <w:t>Gyermekek</w:t>
      </w:r>
      <w:r w:rsidR="008002D6" w:rsidRPr="000C679A">
        <w:rPr>
          <w:rFonts w:cs="Times New Roman"/>
          <w:bCs/>
          <w:sz w:val="22"/>
          <w:u w:val="single"/>
        </w:rPr>
        <w:t xml:space="preserve"> és serdülők</w:t>
      </w:r>
    </w:p>
    <w:p w14:paraId="006EB400" w14:textId="77777777" w:rsidR="00DE41E5" w:rsidRPr="000C679A" w:rsidRDefault="00DE41E5" w:rsidP="004413FE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0C679A">
        <w:rPr>
          <w:rFonts w:cs="Times New Roman"/>
          <w:bCs/>
          <w:sz w:val="22"/>
        </w:rPr>
        <w:t>Interakciós vizsgálatokat c</w:t>
      </w:r>
      <w:r w:rsidR="00FB7802" w:rsidRPr="000C679A">
        <w:rPr>
          <w:rFonts w:cs="Times New Roman"/>
          <w:bCs/>
          <w:sz w:val="22"/>
        </w:rPr>
        <w:t>sak felnőttek körében végeztek.</w:t>
      </w:r>
    </w:p>
    <w:p w14:paraId="31FC2796" w14:textId="77777777" w:rsidR="00DE41E5" w:rsidRPr="000C679A" w:rsidRDefault="00DE41E5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1877931" w14:textId="77777777" w:rsidR="00120F83" w:rsidRPr="000C679A" w:rsidRDefault="00120F83" w:rsidP="001D62CA">
      <w:pPr>
        <w:keepNext/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0C679A">
        <w:rPr>
          <w:rFonts w:cs="Times New Roman"/>
          <w:b/>
          <w:bCs/>
          <w:sz w:val="22"/>
        </w:rPr>
        <w:t>4.6</w:t>
      </w:r>
      <w:r w:rsidRPr="000C679A">
        <w:rPr>
          <w:rFonts w:cs="Times New Roman"/>
          <w:b/>
          <w:bCs/>
          <w:sz w:val="22"/>
        </w:rPr>
        <w:tab/>
      </w:r>
      <w:r w:rsidR="00445DDE" w:rsidRPr="000C679A">
        <w:rPr>
          <w:rFonts w:cs="Times New Roman"/>
          <w:b/>
          <w:bCs/>
          <w:sz w:val="22"/>
        </w:rPr>
        <w:t>Termékenység, t</w:t>
      </w:r>
      <w:r w:rsidRPr="000C679A">
        <w:rPr>
          <w:rFonts w:cs="Times New Roman"/>
          <w:b/>
          <w:bCs/>
          <w:sz w:val="22"/>
        </w:rPr>
        <w:t>erhesség és szoptatás</w:t>
      </w:r>
    </w:p>
    <w:p w14:paraId="354107A8" w14:textId="77777777" w:rsidR="00120F83" w:rsidRPr="000C679A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1ACF98BB" w14:textId="77777777" w:rsidR="00120F83" w:rsidRPr="000C679A" w:rsidRDefault="0005408B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0C679A">
        <w:rPr>
          <w:rFonts w:cs="Times New Roman"/>
          <w:sz w:val="22"/>
        </w:rPr>
        <w:t xml:space="preserve">Co-Xeter </w:t>
      </w:r>
      <w:r w:rsidR="009D4418" w:rsidRPr="000C679A">
        <w:rPr>
          <w:rFonts w:cs="Times New Roman"/>
          <w:sz w:val="22"/>
        </w:rPr>
        <w:t xml:space="preserve">a </w:t>
      </w:r>
      <w:r w:rsidR="00120F83" w:rsidRPr="000C679A">
        <w:rPr>
          <w:rFonts w:cs="Times New Roman"/>
          <w:sz w:val="22"/>
        </w:rPr>
        <w:t xml:space="preserve">terhesség és </w:t>
      </w:r>
      <w:r w:rsidR="009D4418" w:rsidRPr="000C679A">
        <w:rPr>
          <w:rFonts w:cs="Times New Roman"/>
          <w:sz w:val="22"/>
        </w:rPr>
        <w:t xml:space="preserve">a </w:t>
      </w:r>
      <w:r w:rsidR="00120F83" w:rsidRPr="000C679A">
        <w:rPr>
          <w:rFonts w:cs="Times New Roman"/>
          <w:sz w:val="22"/>
        </w:rPr>
        <w:t xml:space="preserve">szoptatás </w:t>
      </w:r>
      <w:r w:rsidR="009D4418" w:rsidRPr="000C679A">
        <w:rPr>
          <w:rFonts w:cs="Times New Roman"/>
          <w:sz w:val="22"/>
        </w:rPr>
        <w:t xml:space="preserve">ideje alatt </w:t>
      </w:r>
      <w:r w:rsidR="00120F83" w:rsidRPr="000C679A">
        <w:rPr>
          <w:rFonts w:cs="Times New Roman"/>
          <w:sz w:val="22"/>
        </w:rPr>
        <w:t>ellenjavallt.</w:t>
      </w:r>
    </w:p>
    <w:p w14:paraId="2922EDDA" w14:textId="77777777" w:rsidR="00120F83" w:rsidRPr="000C679A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0C679A">
        <w:rPr>
          <w:rFonts w:cs="Times New Roman"/>
          <w:sz w:val="22"/>
        </w:rPr>
        <w:t>Fogamzóképes nőknek megfelelő fogamzásgátló módszerrel kell védekezniük.</w:t>
      </w:r>
    </w:p>
    <w:p w14:paraId="3C0B90F6" w14:textId="77777777" w:rsidR="006C1A21" w:rsidRPr="000C679A" w:rsidRDefault="006C1A21" w:rsidP="006C1A21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</w:rPr>
      </w:pPr>
      <w:r w:rsidRPr="000C679A">
        <w:rPr>
          <w:rFonts w:cs="Times New Roman"/>
          <w:sz w:val="22"/>
        </w:rPr>
        <w:t>Amennyiben a terápia ideje alatt a beteg teherbe esik, a kezelést azonnal fel kell függeszteni.</w:t>
      </w:r>
    </w:p>
    <w:p w14:paraId="22C4F783" w14:textId="77777777" w:rsidR="00445DDE" w:rsidRPr="000C679A" w:rsidRDefault="00445DDE" w:rsidP="000037A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795818FB" w14:textId="77777777" w:rsidR="00445DDE" w:rsidRPr="000C679A" w:rsidRDefault="00445DDE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0C679A">
        <w:rPr>
          <w:rFonts w:cs="Times New Roman"/>
          <w:sz w:val="22"/>
          <w:u w:val="single"/>
        </w:rPr>
        <w:t>Terhesség</w:t>
      </w:r>
    </w:p>
    <w:p w14:paraId="43C33E75" w14:textId="77777777" w:rsidR="00716D57" w:rsidRPr="000C679A" w:rsidRDefault="00716D57" w:rsidP="001749C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</w:p>
    <w:p w14:paraId="343FF049" w14:textId="77777777" w:rsidR="00B87742" w:rsidRPr="000C679A" w:rsidRDefault="00B87742" w:rsidP="001749C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</w:rPr>
      </w:pPr>
      <w:r w:rsidRPr="000C679A">
        <w:rPr>
          <w:rFonts w:cs="Times New Roman"/>
          <w:i/>
          <w:sz w:val="22"/>
        </w:rPr>
        <w:t>Rozuvasztatin:</w:t>
      </w:r>
    </w:p>
    <w:p w14:paraId="13F1FBEF" w14:textId="5473802B" w:rsidR="00120F83" w:rsidRPr="000C679A" w:rsidRDefault="00120F83" w:rsidP="000037A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0C679A">
        <w:rPr>
          <w:rFonts w:cs="Times New Roman"/>
          <w:sz w:val="22"/>
        </w:rPr>
        <w:t>Mivel a koleszterin és egyéb, a koleszterin</w:t>
      </w:r>
      <w:r w:rsidR="000E1526" w:rsidRPr="000C679A">
        <w:rPr>
          <w:rFonts w:cs="Times New Roman"/>
          <w:sz w:val="22"/>
        </w:rPr>
        <w:t>-</w:t>
      </w:r>
      <w:r w:rsidRPr="000C679A">
        <w:rPr>
          <w:rFonts w:cs="Times New Roman"/>
          <w:sz w:val="22"/>
        </w:rPr>
        <w:t>bioszintézis eredményeképpen létrejövő</w:t>
      </w:r>
      <w:r w:rsidR="009D4418" w:rsidRPr="000C679A">
        <w:rPr>
          <w:rFonts w:cs="Times New Roman"/>
          <w:sz w:val="22"/>
        </w:rPr>
        <w:t xml:space="preserve"> közti</w:t>
      </w:r>
      <w:r w:rsidRPr="000C679A">
        <w:rPr>
          <w:rFonts w:cs="Times New Roman"/>
          <w:sz w:val="22"/>
        </w:rPr>
        <w:t xml:space="preserve"> termékek a magzat fejlődéséhez nélkülözhetetlenek, a HMG</w:t>
      </w:r>
      <w:r w:rsidR="006C7F7B" w:rsidRPr="000C679A">
        <w:rPr>
          <w:rFonts w:cs="Times New Roman"/>
          <w:sz w:val="22"/>
        </w:rPr>
        <w:noBreakHyphen/>
      </w:r>
      <w:r w:rsidRPr="000C679A">
        <w:rPr>
          <w:rFonts w:cs="Times New Roman"/>
          <w:sz w:val="22"/>
        </w:rPr>
        <w:t>CoA</w:t>
      </w:r>
      <w:r w:rsidR="006C7F7B" w:rsidRPr="000C679A">
        <w:rPr>
          <w:rFonts w:cs="Times New Roman"/>
          <w:sz w:val="22"/>
        </w:rPr>
        <w:noBreakHyphen/>
      </w:r>
      <w:r w:rsidRPr="000C679A">
        <w:rPr>
          <w:rFonts w:cs="Times New Roman"/>
          <w:sz w:val="22"/>
        </w:rPr>
        <w:t>reduktáz gátlásából eredő kockázat nagyobb, mint a terhesség idején alkalmazott terápiából származó előny.</w:t>
      </w:r>
      <w:r w:rsidR="00366A44">
        <w:rPr>
          <w:rFonts w:cs="Times New Roman"/>
          <w:sz w:val="22"/>
        </w:rPr>
        <w:t xml:space="preserve"> </w:t>
      </w:r>
      <w:r w:rsidR="00366A44" w:rsidRPr="000C43E4">
        <w:rPr>
          <w:sz w:val="22"/>
        </w:rPr>
        <w:t>Állatokon végzett kísérletekből korlátozott számú adat áll rendelkezésre a reproduktív toxicitásra vonatkozóan</w:t>
      </w:r>
      <w:r w:rsidR="00366A44" w:rsidRPr="007F36F1">
        <w:rPr>
          <w:rFonts w:cs="Times New Roman"/>
          <w:sz w:val="22"/>
        </w:rPr>
        <w:t xml:space="preserve"> (lásd 5.3 pont</w:t>
      </w:r>
      <w:r w:rsidR="00366A44">
        <w:rPr>
          <w:rFonts w:cs="Times New Roman"/>
          <w:sz w:val="22"/>
        </w:rPr>
        <w:t>).</w:t>
      </w:r>
    </w:p>
    <w:p w14:paraId="455ACA61" w14:textId="77777777" w:rsidR="00B87742" w:rsidRPr="00AA3F64" w:rsidRDefault="00B87742" w:rsidP="000037A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0C679A">
        <w:rPr>
          <w:rFonts w:cs="Times New Roman"/>
          <w:sz w:val="22"/>
        </w:rPr>
        <w:t>Az állatkísérletek csak korlátozott adatot szolgáltattak reproduktí</w:t>
      </w:r>
      <w:r w:rsidRPr="00AA3F64">
        <w:rPr>
          <w:rFonts w:cs="Times New Roman"/>
          <w:sz w:val="22"/>
        </w:rPr>
        <w:t>v toxicitásra vonatkozóan (lásd 5.3</w:t>
      </w:r>
      <w:r w:rsidR="0005728A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pont).</w:t>
      </w:r>
    </w:p>
    <w:p w14:paraId="4712BAD0" w14:textId="77777777" w:rsidR="00E13F3F" w:rsidRPr="00AA3F64" w:rsidRDefault="00E13F3F" w:rsidP="004413F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Cs/>
          <w:sz w:val="22"/>
        </w:rPr>
      </w:pPr>
    </w:p>
    <w:p w14:paraId="349593A8" w14:textId="77777777" w:rsidR="00445DDE" w:rsidRPr="00AA3F64" w:rsidRDefault="00B87742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</w:rPr>
        <w:t>Ezetimib:</w:t>
      </w:r>
    </w:p>
    <w:p w14:paraId="694E628E" w14:textId="77777777" w:rsidR="00E91426" w:rsidRPr="00AA3F64" w:rsidRDefault="00B87742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ezetimib terhesség idején való alkalmazásáról nem állnak rendelkezésre klinikai adatok.</w:t>
      </w:r>
    </w:p>
    <w:p w14:paraId="7F27C935" w14:textId="77777777" w:rsidR="00B87742" w:rsidRPr="00AA3F64" w:rsidRDefault="00B87742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Állatok</w:t>
      </w:r>
      <w:r w:rsidR="00E91426" w:rsidRPr="00AA3F64">
        <w:rPr>
          <w:rFonts w:cs="Times New Roman"/>
          <w:sz w:val="22"/>
        </w:rPr>
        <w:t>kal</w:t>
      </w:r>
      <w:r w:rsidRPr="00AA3F64">
        <w:rPr>
          <w:rFonts w:cs="Times New Roman"/>
          <w:sz w:val="22"/>
        </w:rPr>
        <w:t xml:space="preserve"> végzett kísérletek során a monoterápiában alkalmazott ezetimib sem közvetlen, sem közvetett módon nem gyakorolt káros hatást a terhesség lefolyására, a magzati fejlődésre, a szülésre és a születés utáni fejlődésre (lásd 5.3 pont).</w:t>
      </w:r>
    </w:p>
    <w:p w14:paraId="345EFE79" w14:textId="77777777" w:rsidR="00B87742" w:rsidRPr="00AA3F64" w:rsidRDefault="00B87742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3B554A7D" w14:textId="77777777" w:rsidR="00445DDE" w:rsidRPr="00AA3F64" w:rsidRDefault="00445DDE" w:rsidP="0063040C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Szoptatás</w:t>
      </w:r>
    </w:p>
    <w:p w14:paraId="521771C7" w14:textId="77777777" w:rsidR="006C1A21" w:rsidRPr="00AA3F64" w:rsidRDefault="006C1A21" w:rsidP="003F44A6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Cs/>
          <w:sz w:val="22"/>
        </w:rPr>
      </w:pPr>
    </w:p>
    <w:p w14:paraId="6874CD5C" w14:textId="77777777" w:rsidR="00B87742" w:rsidRPr="00AA3F64" w:rsidRDefault="00B87742" w:rsidP="000037AE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</w:rPr>
        <w:t>Rozuvasztatin:</w:t>
      </w:r>
    </w:p>
    <w:p w14:paraId="63F73C1B" w14:textId="1826C5A3" w:rsidR="00120F83" w:rsidRPr="00AA3F64" w:rsidRDefault="00424EF3" w:rsidP="004413F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>
        <w:rPr>
          <w:rFonts w:cs="Times New Roman"/>
          <w:sz w:val="22"/>
        </w:rPr>
        <w:t xml:space="preserve">A </w:t>
      </w:r>
      <w:r w:rsidRPr="005C7549">
        <w:rPr>
          <w:rFonts w:cs="Times New Roman"/>
          <w:sz w:val="22"/>
        </w:rPr>
        <w:t>közzétett jelentésekből</w:t>
      </w:r>
      <w:r>
        <w:rPr>
          <w:rFonts w:cs="Times New Roman"/>
          <w:sz w:val="22"/>
        </w:rPr>
        <w:t xml:space="preserve"> </w:t>
      </w:r>
      <w:r w:rsidRPr="006C3A29">
        <w:rPr>
          <w:rFonts w:cs="Times New Roman"/>
          <w:sz w:val="22"/>
        </w:rPr>
        <w:t>származó korlátozott adatok arra utalnak, hogy a ro</w:t>
      </w:r>
      <w:r>
        <w:rPr>
          <w:rFonts w:cs="Times New Roman"/>
          <w:sz w:val="22"/>
        </w:rPr>
        <w:t>z</w:t>
      </w:r>
      <w:r w:rsidRPr="006C3A29">
        <w:rPr>
          <w:rFonts w:cs="Times New Roman"/>
          <w:sz w:val="22"/>
        </w:rPr>
        <w:t>uvas</w:t>
      </w:r>
      <w:r>
        <w:rPr>
          <w:rFonts w:cs="Times New Roman"/>
          <w:sz w:val="22"/>
        </w:rPr>
        <w:t>z</w:t>
      </w:r>
      <w:r w:rsidRPr="006C3A29">
        <w:rPr>
          <w:rFonts w:cs="Times New Roman"/>
          <w:sz w:val="22"/>
        </w:rPr>
        <w:t xml:space="preserve">tatin </w:t>
      </w:r>
      <w:r>
        <w:rPr>
          <w:rFonts w:cs="Times New Roman"/>
          <w:sz w:val="22"/>
        </w:rPr>
        <w:t>megjelenik</w:t>
      </w:r>
      <w:r w:rsidRPr="006C3A29">
        <w:rPr>
          <w:rFonts w:cs="Times New Roman"/>
          <w:sz w:val="22"/>
        </w:rPr>
        <w:t xml:space="preserve"> az emberi </w:t>
      </w:r>
      <w:r>
        <w:rPr>
          <w:rFonts w:cs="Times New Roman"/>
          <w:sz w:val="22"/>
        </w:rPr>
        <w:t>anya</w:t>
      </w:r>
      <w:r w:rsidRPr="006C3A29">
        <w:rPr>
          <w:rFonts w:cs="Times New Roman"/>
          <w:sz w:val="22"/>
        </w:rPr>
        <w:t>tejben</w:t>
      </w:r>
      <w:r>
        <w:rPr>
          <w:rFonts w:cs="Times New Roman"/>
          <w:sz w:val="22"/>
        </w:rPr>
        <w:t>.</w:t>
      </w:r>
      <w:r w:rsidRPr="00AA3F64">
        <w:rPr>
          <w:rFonts w:cs="Times New Roman"/>
          <w:sz w:val="22"/>
        </w:rPr>
        <w:t xml:space="preserve"> </w:t>
      </w:r>
      <w:r w:rsidR="00120F83" w:rsidRPr="00AA3F64">
        <w:rPr>
          <w:rFonts w:cs="Times New Roman"/>
          <w:sz w:val="22"/>
        </w:rPr>
        <w:t>Patkányokban a rozuvasztatin kiválasztódik az anyatejben.</w:t>
      </w:r>
      <w:r w:rsidR="00E00602" w:rsidRPr="00E00602">
        <w:rPr>
          <w:rFonts w:cs="Times New Roman"/>
          <w:sz w:val="22"/>
        </w:rPr>
        <w:t xml:space="preserve"> </w:t>
      </w:r>
      <w:r w:rsidR="00E00602" w:rsidRPr="00AE46A9">
        <w:rPr>
          <w:rFonts w:cs="Times New Roman"/>
          <w:sz w:val="22"/>
        </w:rPr>
        <w:t xml:space="preserve">A </w:t>
      </w:r>
      <w:r w:rsidR="00E00602">
        <w:rPr>
          <w:rFonts w:cs="Times New Roman"/>
          <w:sz w:val="22"/>
        </w:rPr>
        <w:t>rozuvasztatin</w:t>
      </w:r>
      <w:r w:rsidR="00E00602" w:rsidRPr="00AE46A9">
        <w:rPr>
          <w:rFonts w:cs="Times New Roman"/>
          <w:sz w:val="22"/>
        </w:rPr>
        <w:t xml:space="preserve"> hatásmechanizmusa miatt fennáll a csecsemőknél a mellékhatások lehetséges kockázata. A </w:t>
      </w:r>
      <w:r w:rsidR="00E00602">
        <w:rPr>
          <w:rFonts w:cs="Times New Roman"/>
          <w:sz w:val="22"/>
        </w:rPr>
        <w:t>Co-</w:t>
      </w:r>
      <w:r w:rsidR="00E00602" w:rsidRPr="00AE46A9">
        <w:rPr>
          <w:rFonts w:cs="Times New Roman"/>
          <w:sz w:val="22"/>
        </w:rPr>
        <w:t>Xeter ellenjavallt a szoptatás ideje alatt</w:t>
      </w:r>
      <w:r w:rsidR="00120F83" w:rsidRPr="00AA3F64">
        <w:rPr>
          <w:rFonts w:cs="Times New Roman"/>
          <w:sz w:val="22"/>
        </w:rPr>
        <w:t>.</w:t>
      </w:r>
    </w:p>
    <w:p w14:paraId="1EC9B10D" w14:textId="77777777" w:rsidR="0005728A" w:rsidRPr="00AA3F64" w:rsidRDefault="0005728A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</w:rPr>
      </w:pPr>
    </w:p>
    <w:p w14:paraId="3A9A0003" w14:textId="77777777" w:rsidR="00B87742" w:rsidRPr="00AA3F64" w:rsidRDefault="00B87742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</w:rPr>
        <w:t>Ezetimib:</w:t>
      </w:r>
    </w:p>
    <w:p w14:paraId="40FF4716" w14:textId="77777777" w:rsidR="00B87742" w:rsidRPr="00AA3F64" w:rsidRDefault="00B87742" w:rsidP="0063040C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Patkányok</w:t>
      </w:r>
      <w:r w:rsidR="00E91426" w:rsidRPr="00AA3F64">
        <w:rPr>
          <w:rFonts w:cs="Times New Roman"/>
          <w:sz w:val="22"/>
        </w:rPr>
        <w:t>kal</w:t>
      </w:r>
      <w:r w:rsidRPr="00AA3F64">
        <w:rPr>
          <w:rFonts w:cs="Times New Roman"/>
          <w:sz w:val="22"/>
        </w:rPr>
        <w:t xml:space="preserve"> végzett vizsgálatok eredménye szerint az ezetimib kiválasztódik az anyatejjel. Az ezetimib humán anyatejbe történő kiválaszt</w:t>
      </w:r>
      <w:r w:rsidR="00391072">
        <w:rPr>
          <w:rFonts w:cs="Times New Roman"/>
          <w:sz w:val="22"/>
        </w:rPr>
        <w:t>ód</w:t>
      </w:r>
      <w:r w:rsidRPr="00AA3F64">
        <w:rPr>
          <w:rFonts w:cs="Times New Roman"/>
          <w:sz w:val="22"/>
        </w:rPr>
        <w:t>ására nincs adat.</w:t>
      </w:r>
    </w:p>
    <w:p w14:paraId="1C56E239" w14:textId="77777777" w:rsidR="00445DDE" w:rsidRPr="00AA3F64" w:rsidRDefault="00445DDE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4C316645" w14:textId="77777777" w:rsidR="00445DDE" w:rsidRPr="00AA3F64" w:rsidRDefault="00445DDE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Termékenység</w:t>
      </w:r>
    </w:p>
    <w:p w14:paraId="1E2D3C6F" w14:textId="77777777" w:rsidR="001C6471" w:rsidRPr="00AA3F64" w:rsidRDefault="001C6471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48744038" w14:textId="77777777" w:rsidR="001C6471" w:rsidRPr="00AA3F64" w:rsidRDefault="001C6471" w:rsidP="001C6471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</w:rPr>
      </w:pPr>
      <w:bookmarkStart w:id="5" w:name="_Hlk106015592"/>
      <w:bookmarkStart w:id="6" w:name="_Hlk123827085"/>
      <w:r w:rsidRPr="00AA3F64">
        <w:rPr>
          <w:rFonts w:cs="Times New Roman"/>
          <w:i/>
          <w:sz w:val="22"/>
        </w:rPr>
        <w:t>Rozuvasztatin:</w:t>
      </w:r>
    </w:p>
    <w:p w14:paraId="2ED092A4" w14:textId="7C292A13" w:rsidR="0062248D" w:rsidRPr="00AA3F64" w:rsidRDefault="0098391B" w:rsidP="000037A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C9166A">
        <w:rPr>
          <w:rFonts w:cs="Times New Roman"/>
          <w:sz w:val="22"/>
        </w:rPr>
        <w:t>A ro</w:t>
      </w:r>
      <w:r>
        <w:rPr>
          <w:rFonts w:cs="Times New Roman"/>
          <w:sz w:val="22"/>
        </w:rPr>
        <w:t>z</w:t>
      </w:r>
      <w:r w:rsidRPr="00C9166A">
        <w:rPr>
          <w:rFonts w:cs="Times New Roman"/>
          <w:sz w:val="22"/>
        </w:rPr>
        <w:t>uvas</w:t>
      </w:r>
      <w:r>
        <w:rPr>
          <w:rFonts w:cs="Times New Roman"/>
          <w:sz w:val="22"/>
        </w:rPr>
        <w:t>z</w:t>
      </w:r>
      <w:r w:rsidRPr="00C9166A">
        <w:rPr>
          <w:rFonts w:cs="Times New Roman"/>
          <w:sz w:val="22"/>
        </w:rPr>
        <w:t>tatin alkalmazása után nem ismertek a termékenységre gyakorolt hatások</w:t>
      </w:r>
      <w:r w:rsidR="0062248D" w:rsidRPr="00AA3F64">
        <w:rPr>
          <w:rFonts w:cs="Times New Roman"/>
          <w:sz w:val="22"/>
        </w:rPr>
        <w:t>.</w:t>
      </w:r>
    </w:p>
    <w:bookmarkEnd w:id="5"/>
    <w:p w14:paraId="12965F71" w14:textId="77777777" w:rsidR="001C6471" w:rsidRPr="00AA3F64" w:rsidRDefault="001C6471" w:rsidP="003F44A6">
      <w:pPr>
        <w:widowControl w:val="0"/>
        <w:rPr>
          <w:rFonts w:cs="Times New Roman"/>
          <w:sz w:val="22"/>
        </w:rPr>
      </w:pPr>
    </w:p>
    <w:p w14:paraId="2DD83EEE" w14:textId="77777777" w:rsidR="001C6471" w:rsidRPr="00AA3F64" w:rsidRDefault="001C6471" w:rsidP="001C6471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</w:rPr>
        <w:t>Ezetimib:</w:t>
      </w:r>
    </w:p>
    <w:p w14:paraId="5BF2F1DF" w14:textId="77777777" w:rsidR="00B87742" w:rsidRPr="00AA3F64" w:rsidRDefault="00B87742" w:rsidP="000037AE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ezetimib humán termékenységre gyakorolt hatására vonatkozóan nem állnak rendelkezésre klinikai vizsgálati adatok. Az ezetimib nem gyakorolt hatást a termékenységre hím és nőstény patkányoknál (lásd</w:t>
      </w:r>
      <w:r w:rsidR="00A7278A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5.3</w:t>
      </w:r>
      <w:r w:rsidR="00A7278A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pont).</w:t>
      </w:r>
    </w:p>
    <w:bookmarkEnd w:id="6"/>
    <w:p w14:paraId="1235E7CF" w14:textId="77777777" w:rsidR="00120F83" w:rsidRPr="00AA3F64" w:rsidRDefault="00120F83" w:rsidP="000037A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90AA3FA" w14:textId="77777777" w:rsidR="00120F83" w:rsidRPr="00AA3F64" w:rsidRDefault="00120F83" w:rsidP="004413FE">
      <w:pPr>
        <w:keepNext/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4.7</w:t>
      </w:r>
      <w:r w:rsidRPr="00AA3F64">
        <w:rPr>
          <w:rFonts w:cs="Times New Roman"/>
          <w:b/>
          <w:bCs/>
          <w:sz w:val="22"/>
        </w:rPr>
        <w:tab/>
        <w:t xml:space="preserve">A készítmény hatásai a gépjárművezetéshez és </w:t>
      </w:r>
      <w:r w:rsidR="00F66DD4" w:rsidRPr="00AA3F64">
        <w:rPr>
          <w:rFonts w:cs="Times New Roman"/>
          <w:b/>
          <w:bCs/>
          <w:sz w:val="22"/>
        </w:rPr>
        <w:t xml:space="preserve">a </w:t>
      </w:r>
      <w:r w:rsidRPr="00AA3F64">
        <w:rPr>
          <w:rFonts w:cs="Times New Roman"/>
          <w:b/>
          <w:bCs/>
          <w:sz w:val="22"/>
        </w:rPr>
        <w:t>gépek kezeléséhez szükséges képességekre</w:t>
      </w:r>
    </w:p>
    <w:p w14:paraId="68417500" w14:textId="77777777" w:rsidR="00120F83" w:rsidRPr="00AA3F64" w:rsidRDefault="00120F83" w:rsidP="004413FE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32327045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Nem végeztek vizsgálatot annak meghatározására, hogy a rozuvasztatin</w:t>
      </w:r>
      <w:r w:rsidR="00B87742" w:rsidRPr="00AA3F64">
        <w:rPr>
          <w:rFonts w:cs="Times New Roman"/>
          <w:sz w:val="22"/>
        </w:rPr>
        <w:t xml:space="preserve"> és/vagy az ezetimib</w:t>
      </w:r>
      <w:r w:rsidRPr="00AA3F64">
        <w:rPr>
          <w:rFonts w:cs="Times New Roman"/>
          <w:sz w:val="22"/>
        </w:rPr>
        <w:t xml:space="preserve"> milyen hatással van a gépjárművezetéshez és </w:t>
      </w:r>
      <w:r w:rsidR="00F66DD4" w:rsidRPr="00AA3F64">
        <w:rPr>
          <w:rFonts w:cs="Times New Roman"/>
          <w:sz w:val="22"/>
        </w:rPr>
        <w:t xml:space="preserve">a </w:t>
      </w:r>
      <w:r w:rsidRPr="00AA3F64">
        <w:rPr>
          <w:rFonts w:cs="Times New Roman"/>
          <w:sz w:val="22"/>
        </w:rPr>
        <w:t xml:space="preserve">gépek </w:t>
      </w:r>
      <w:r w:rsidR="007E741D" w:rsidRPr="00AA3F64">
        <w:rPr>
          <w:rFonts w:cs="Times New Roman"/>
          <w:sz w:val="22"/>
        </w:rPr>
        <w:t>kezeléséhez</w:t>
      </w:r>
      <w:r w:rsidRPr="00AA3F64">
        <w:rPr>
          <w:rFonts w:cs="Times New Roman"/>
          <w:sz w:val="22"/>
        </w:rPr>
        <w:t xml:space="preserve"> szükséges képességekre</w:t>
      </w:r>
      <w:r w:rsidR="00E91426" w:rsidRPr="00AA3F64">
        <w:rPr>
          <w:rFonts w:cs="Times New Roman"/>
          <w:sz w:val="22"/>
        </w:rPr>
        <w:t>.</w:t>
      </w:r>
      <w:r w:rsidR="00A6690B" w:rsidRPr="00AA3F64">
        <w:rPr>
          <w:rFonts w:cs="Times New Roman"/>
          <w:sz w:val="22"/>
        </w:rPr>
        <w:t xml:space="preserve"> </w:t>
      </w:r>
      <w:r w:rsidR="00A459F4" w:rsidRPr="00AA3F64">
        <w:rPr>
          <w:rFonts w:cs="Times New Roman"/>
          <w:sz w:val="22"/>
        </w:rPr>
        <w:t>A</w:t>
      </w:r>
      <w:r w:rsidR="00A6690B" w:rsidRPr="00AA3F64">
        <w:rPr>
          <w:rFonts w:cs="Times New Roman"/>
          <w:sz w:val="22"/>
        </w:rPr>
        <w:t xml:space="preserve"> Co-Xeter nem vagy csak elhanyagolható mértékben befolyásolja a gépjárművezetéshez és a gépek kezeléséhez szükséges képességeket</w:t>
      </w:r>
      <w:r w:rsidRPr="00AA3F64">
        <w:rPr>
          <w:rFonts w:cs="Times New Roman"/>
          <w:sz w:val="22"/>
        </w:rPr>
        <w:t xml:space="preserve">. Ugyanakkor </w:t>
      </w:r>
      <w:r w:rsidR="00B87742" w:rsidRPr="00AA3F64">
        <w:rPr>
          <w:rFonts w:cs="Times New Roman"/>
          <w:sz w:val="22"/>
        </w:rPr>
        <w:t>g</w:t>
      </w:r>
      <w:r w:rsidRPr="00AA3F64">
        <w:rPr>
          <w:rFonts w:cs="Times New Roman"/>
          <w:sz w:val="22"/>
        </w:rPr>
        <w:t>épjárművezetés és gépek kezelése során figyelembe kell venni, hogy a kezelés időtartama alatt szédülés előfordulhat.</w:t>
      </w:r>
    </w:p>
    <w:p w14:paraId="5409D6CA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881E76A" w14:textId="77777777" w:rsidR="00120F83" w:rsidRPr="00AA3F64" w:rsidRDefault="00120F83" w:rsidP="001D62CA">
      <w:pPr>
        <w:keepNext/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lastRenderedPageBreak/>
        <w:t>4.8</w:t>
      </w:r>
      <w:r w:rsidRPr="00AA3F64">
        <w:rPr>
          <w:rFonts w:cs="Times New Roman"/>
          <w:b/>
          <w:bCs/>
          <w:sz w:val="22"/>
        </w:rPr>
        <w:tab/>
        <w:t>Nemkívánatos hatások, mellékhatások</w:t>
      </w:r>
    </w:p>
    <w:p w14:paraId="4A9793CA" w14:textId="77777777" w:rsidR="00120F83" w:rsidRPr="00AA3F64" w:rsidRDefault="00120F83" w:rsidP="001D62CA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340D94C2" w14:textId="77777777" w:rsidR="00253EE1" w:rsidRPr="00AA3F64" w:rsidRDefault="00253EE1" w:rsidP="001D62CA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A biztonságossági profil összefoglalása</w:t>
      </w:r>
    </w:p>
    <w:p w14:paraId="0810B14B" w14:textId="77777777" w:rsidR="00120F83" w:rsidRPr="00AA3F64" w:rsidRDefault="00455F1E" w:rsidP="001D62CA">
      <w:pPr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rozuvasztatin alkalmazásakor tapasztalt mellékhatások rendszerint enyhék és átmenetiek. </w:t>
      </w:r>
      <w:r w:rsidR="00120F83" w:rsidRPr="00AA3F64">
        <w:rPr>
          <w:rFonts w:cs="Times New Roman"/>
          <w:sz w:val="22"/>
        </w:rPr>
        <w:t>A rozuvasztatinnal kezelt betegek kevesebb mint 4%-át kellett kivonni a kontrollos klinikai vizsgálatokból nemkívánatos mellékhatások miatt.</w:t>
      </w:r>
    </w:p>
    <w:p w14:paraId="036E436C" w14:textId="77777777" w:rsidR="00EE5B93" w:rsidRPr="00AA3F64" w:rsidRDefault="00EE5B9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381D2A0D" w14:textId="77777777" w:rsidR="003B127B" w:rsidRPr="00730E1B" w:rsidRDefault="003B127B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Legfeljebb 112</w:t>
      </w:r>
      <w:r w:rsidR="00B146F4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hetes időtartalmú klinikai vizsgálatokban napi 10</w:t>
      </w:r>
      <w:r w:rsidR="004016FB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mg ezetimibet önmagában adtak 2396 betegnek, vagy sztatinnal együtt alkalmazták 11</w:t>
      </w:r>
      <w:r w:rsidR="004016FB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308 betegnél, vagy fenofibráttal együtt alkalmazták 185 betegnél. A mellékhatások rendszerint enyhék és átmenetiek voltak. A mellékhatások együttes előfordulási gyakorisága hasonló volt ezetimib</w:t>
      </w:r>
      <w:r w:rsidR="000E1526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 és </w:t>
      </w:r>
      <w:r w:rsidR="000E1526" w:rsidRPr="00AA3F64">
        <w:rPr>
          <w:rFonts w:cs="Times New Roman"/>
          <w:sz w:val="22"/>
        </w:rPr>
        <w:t>placebo</w:t>
      </w:r>
      <w:r w:rsidRPr="00AA3F64">
        <w:rPr>
          <w:rFonts w:cs="Times New Roman"/>
          <w:sz w:val="22"/>
        </w:rPr>
        <w:t>kezelés esetén. A gyógyszerszedést mellékhatás miatt megszakító betegek aránya is hasonló volt az ezetimib</w:t>
      </w:r>
      <w:r w:rsidR="000E1526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 és a </w:t>
      </w:r>
      <w:r w:rsidR="000E1526" w:rsidRPr="00730E1B">
        <w:rPr>
          <w:rFonts w:cs="Times New Roman"/>
          <w:sz w:val="22"/>
        </w:rPr>
        <w:t>placebo</w:t>
      </w:r>
      <w:r w:rsidRPr="00730E1B">
        <w:rPr>
          <w:rFonts w:cs="Times New Roman"/>
          <w:sz w:val="22"/>
        </w:rPr>
        <w:t>csoportban.</w:t>
      </w:r>
    </w:p>
    <w:p w14:paraId="51E307D1" w14:textId="77777777" w:rsidR="003B127B" w:rsidRPr="00AA3F64" w:rsidRDefault="00C962F0" w:rsidP="0063040C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 w:rsidRPr="00730E1B">
        <w:rPr>
          <w:sz w:val="22"/>
        </w:rPr>
        <w:t xml:space="preserve">A szakirodalom alapján a klinikai vizsgálatokban a rozuvasztatin-ezetimib kombináció nem mutatott új mellékhatást a rozuvasztatinhoz és az ezetimibhez képest. </w:t>
      </w:r>
      <w:r w:rsidR="000E1526" w:rsidRPr="00D50AC0">
        <w:rPr>
          <w:color w:val="auto"/>
          <w:sz w:val="22"/>
          <w:szCs w:val="22"/>
        </w:rPr>
        <w:t>A</w:t>
      </w:r>
      <w:r w:rsidR="00033748" w:rsidRPr="00D50AC0">
        <w:rPr>
          <w:color w:val="auto"/>
          <w:sz w:val="22"/>
          <w:szCs w:val="22"/>
        </w:rPr>
        <w:t xml:space="preserve"> rozuvasztatin és ezetimib farmakodinámiás interakciójából származó mellékhatások </w:t>
      </w:r>
      <w:r w:rsidR="000E1526" w:rsidRPr="00391072">
        <w:rPr>
          <w:color w:val="auto"/>
          <w:sz w:val="22"/>
          <w:szCs w:val="22"/>
        </w:rPr>
        <w:t xml:space="preserve">azonban </w:t>
      </w:r>
      <w:r w:rsidR="00033748" w:rsidRPr="00391072">
        <w:rPr>
          <w:color w:val="auto"/>
          <w:sz w:val="22"/>
          <w:szCs w:val="22"/>
        </w:rPr>
        <w:t>nem</w:t>
      </w:r>
      <w:r w:rsidR="00033748" w:rsidRPr="00AA3F64">
        <w:rPr>
          <w:color w:val="auto"/>
          <w:sz w:val="22"/>
          <w:szCs w:val="22"/>
        </w:rPr>
        <w:t xml:space="preserve"> zárhatóak ki (lásd</w:t>
      </w:r>
      <w:r w:rsidR="00A459F4" w:rsidRPr="00AA3F64">
        <w:rPr>
          <w:color w:val="auto"/>
          <w:sz w:val="22"/>
          <w:szCs w:val="22"/>
        </w:rPr>
        <w:t xml:space="preserve"> </w:t>
      </w:r>
      <w:r w:rsidR="00A6690B" w:rsidRPr="00AA3F64">
        <w:rPr>
          <w:color w:val="auto"/>
          <w:sz w:val="22"/>
          <w:szCs w:val="22"/>
        </w:rPr>
        <w:t>5</w:t>
      </w:r>
      <w:r w:rsidR="00A459F4" w:rsidRPr="00AA3F64">
        <w:rPr>
          <w:color w:val="auto"/>
          <w:sz w:val="22"/>
          <w:szCs w:val="22"/>
        </w:rPr>
        <w:t>.2</w:t>
      </w:r>
      <w:r w:rsidR="00A6690B" w:rsidRPr="00AA3F64">
        <w:rPr>
          <w:color w:val="auto"/>
          <w:sz w:val="22"/>
          <w:szCs w:val="22"/>
        </w:rPr>
        <w:t xml:space="preserve"> </w:t>
      </w:r>
      <w:r w:rsidR="00033748" w:rsidRPr="00AA3F64">
        <w:rPr>
          <w:color w:val="auto"/>
          <w:sz w:val="22"/>
          <w:szCs w:val="22"/>
        </w:rPr>
        <w:t>pont).</w:t>
      </w:r>
    </w:p>
    <w:p w14:paraId="0DAFC7A1" w14:textId="77777777" w:rsidR="003B127B" w:rsidRPr="00AA3F64" w:rsidRDefault="003B127B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2B8A11C7" w14:textId="77777777" w:rsidR="00EE5B93" w:rsidRPr="00AA3F64" w:rsidRDefault="00EE5B9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A mellé</w:t>
      </w:r>
      <w:r w:rsidR="00C84BD4" w:rsidRPr="00AA3F64">
        <w:rPr>
          <w:rFonts w:cs="Times New Roman"/>
          <w:sz w:val="22"/>
          <w:u w:val="single"/>
        </w:rPr>
        <w:t>khatások táblázatos felsorolása</w:t>
      </w:r>
    </w:p>
    <w:p w14:paraId="6AD8D229" w14:textId="77777777" w:rsidR="00002AF0" w:rsidRPr="00AA3F64" w:rsidRDefault="00455F1E" w:rsidP="00AA3F64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proofErr w:type="gramStart"/>
      <w:r w:rsidRPr="00AA3F64">
        <w:rPr>
          <w:color w:val="auto"/>
          <w:sz w:val="22"/>
          <w:szCs w:val="22"/>
          <w:lang w:val="hu-HU"/>
        </w:rPr>
        <w:t>A mellékhatások előfordulási gyakoriságát a</w:t>
      </w:r>
      <w:r w:rsidR="00C84BD4" w:rsidRPr="00AA3F64">
        <w:rPr>
          <w:color w:val="auto"/>
          <w:sz w:val="22"/>
          <w:szCs w:val="22"/>
          <w:lang w:val="hu-HU"/>
        </w:rPr>
        <w:t>z alábbi megegyezés szerint határozták meg</w:t>
      </w:r>
      <w:r w:rsidRPr="00AA3F64">
        <w:rPr>
          <w:color w:val="auto"/>
          <w:sz w:val="22"/>
          <w:szCs w:val="22"/>
          <w:lang w:val="hu-HU"/>
        </w:rPr>
        <w:t xml:space="preserve">: </w:t>
      </w:r>
      <w:r w:rsidR="00391072">
        <w:rPr>
          <w:color w:val="auto"/>
          <w:sz w:val="22"/>
          <w:szCs w:val="22"/>
          <w:lang w:val="hu-HU"/>
        </w:rPr>
        <w:t>g</w:t>
      </w:r>
      <w:r w:rsidRPr="00AA3F64">
        <w:rPr>
          <w:color w:val="auto"/>
          <w:sz w:val="22"/>
          <w:szCs w:val="22"/>
          <w:lang w:val="hu-HU"/>
        </w:rPr>
        <w:t>yakori (</w:t>
      </w:r>
      <w:r w:rsidR="00C84BD4" w:rsidRPr="00AA3F64">
        <w:rPr>
          <w:color w:val="auto"/>
          <w:sz w:val="22"/>
          <w:szCs w:val="22"/>
          <w:lang w:val="hu-HU"/>
        </w:rPr>
        <w:t>≥</w:t>
      </w:r>
      <w:r w:rsidR="00B146F4" w:rsidRPr="00AA3F64">
        <w:rPr>
          <w:color w:val="auto"/>
          <w:sz w:val="22"/>
          <w:szCs w:val="22"/>
          <w:lang w:val="hu-HU"/>
        </w:rPr>
        <w:t> </w:t>
      </w:r>
      <w:r w:rsidRPr="00AA3F64">
        <w:rPr>
          <w:color w:val="auto"/>
          <w:sz w:val="22"/>
          <w:szCs w:val="22"/>
          <w:lang w:val="hu-HU"/>
        </w:rPr>
        <w:t>1/100</w:t>
      </w:r>
      <w:r w:rsidR="00C84BD4" w:rsidRPr="00AA3F64">
        <w:rPr>
          <w:color w:val="auto"/>
          <w:sz w:val="22"/>
          <w:szCs w:val="22"/>
          <w:lang w:val="hu-HU"/>
        </w:rPr>
        <w:t xml:space="preserve"> - </w:t>
      </w:r>
      <w:r w:rsidRPr="00AA3F64">
        <w:rPr>
          <w:color w:val="auto"/>
          <w:sz w:val="22"/>
          <w:szCs w:val="22"/>
          <w:lang w:val="hu-HU"/>
        </w:rPr>
        <w:t>&lt;</w:t>
      </w:r>
      <w:r w:rsidR="00B146F4" w:rsidRPr="00AA3F64">
        <w:rPr>
          <w:color w:val="auto"/>
          <w:sz w:val="22"/>
          <w:szCs w:val="22"/>
          <w:lang w:val="hu-HU"/>
        </w:rPr>
        <w:t> </w:t>
      </w:r>
      <w:r w:rsidRPr="00AA3F64">
        <w:rPr>
          <w:color w:val="auto"/>
          <w:sz w:val="22"/>
          <w:szCs w:val="22"/>
          <w:lang w:val="hu-HU"/>
        </w:rPr>
        <w:t xml:space="preserve">1/10); </w:t>
      </w:r>
      <w:r w:rsidR="00391072">
        <w:rPr>
          <w:color w:val="auto"/>
          <w:sz w:val="22"/>
          <w:szCs w:val="22"/>
          <w:lang w:val="hu-HU"/>
        </w:rPr>
        <w:t>n</w:t>
      </w:r>
      <w:r w:rsidRPr="00AA3F64">
        <w:rPr>
          <w:color w:val="auto"/>
          <w:sz w:val="22"/>
          <w:szCs w:val="22"/>
          <w:lang w:val="hu-HU"/>
        </w:rPr>
        <w:t>em gyakori (</w:t>
      </w:r>
      <w:r w:rsidR="00C84BD4" w:rsidRPr="00AA3F64">
        <w:rPr>
          <w:color w:val="auto"/>
          <w:sz w:val="22"/>
          <w:szCs w:val="22"/>
          <w:lang w:val="hu-HU"/>
        </w:rPr>
        <w:t>≥</w:t>
      </w:r>
      <w:r w:rsidR="00B146F4" w:rsidRPr="00AA3F64">
        <w:rPr>
          <w:color w:val="auto"/>
          <w:sz w:val="22"/>
          <w:szCs w:val="22"/>
          <w:lang w:val="hu-HU"/>
        </w:rPr>
        <w:t> </w:t>
      </w:r>
      <w:r w:rsidRPr="00AA3F64">
        <w:rPr>
          <w:color w:val="auto"/>
          <w:sz w:val="22"/>
          <w:szCs w:val="22"/>
          <w:lang w:val="hu-HU"/>
        </w:rPr>
        <w:t>1/1000</w:t>
      </w:r>
      <w:r w:rsidR="00C84BD4" w:rsidRPr="00AA3F64">
        <w:rPr>
          <w:color w:val="auto"/>
          <w:sz w:val="22"/>
          <w:szCs w:val="22"/>
          <w:lang w:val="hu-HU"/>
        </w:rPr>
        <w:t xml:space="preserve"> - </w:t>
      </w:r>
      <w:r w:rsidRPr="00AA3F64">
        <w:rPr>
          <w:color w:val="auto"/>
          <w:sz w:val="22"/>
          <w:szCs w:val="22"/>
          <w:lang w:val="hu-HU"/>
        </w:rPr>
        <w:t>&lt;</w:t>
      </w:r>
      <w:r w:rsidR="00B146F4" w:rsidRPr="00AA3F64">
        <w:rPr>
          <w:color w:val="auto"/>
          <w:sz w:val="22"/>
          <w:szCs w:val="22"/>
          <w:lang w:val="hu-HU"/>
        </w:rPr>
        <w:t> </w:t>
      </w:r>
      <w:r w:rsidRPr="00AA3F64">
        <w:rPr>
          <w:color w:val="auto"/>
          <w:sz w:val="22"/>
          <w:szCs w:val="22"/>
          <w:lang w:val="hu-HU"/>
        </w:rPr>
        <w:t xml:space="preserve">1/100); </w:t>
      </w:r>
      <w:r w:rsidR="00391072">
        <w:rPr>
          <w:color w:val="auto"/>
          <w:sz w:val="22"/>
          <w:szCs w:val="22"/>
          <w:lang w:val="hu-HU"/>
        </w:rPr>
        <w:t>r</w:t>
      </w:r>
      <w:r w:rsidRPr="00AA3F64">
        <w:rPr>
          <w:color w:val="auto"/>
          <w:sz w:val="22"/>
          <w:szCs w:val="22"/>
          <w:lang w:val="hu-HU"/>
        </w:rPr>
        <w:t>itka (</w:t>
      </w:r>
      <w:r w:rsidR="00C84BD4" w:rsidRPr="00AA3F64">
        <w:rPr>
          <w:color w:val="auto"/>
          <w:sz w:val="22"/>
          <w:szCs w:val="22"/>
          <w:lang w:val="hu-HU"/>
        </w:rPr>
        <w:t>≥</w:t>
      </w:r>
      <w:r w:rsidR="00B146F4" w:rsidRPr="00AA3F64">
        <w:rPr>
          <w:color w:val="auto"/>
          <w:sz w:val="22"/>
          <w:szCs w:val="22"/>
          <w:lang w:val="hu-HU"/>
        </w:rPr>
        <w:t> </w:t>
      </w:r>
      <w:r w:rsidRPr="00AA3F64">
        <w:rPr>
          <w:color w:val="auto"/>
          <w:sz w:val="22"/>
          <w:szCs w:val="22"/>
          <w:lang w:val="hu-HU"/>
        </w:rPr>
        <w:t>1/10 000</w:t>
      </w:r>
      <w:r w:rsidR="00C84BD4" w:rsidRPr="00AA3F64">
        <w:rPr>
          <w:color w:val="auto"/>
          <w:sz w:val="22"/>
          <w:szCs w:val="22"/>
          <w:lang w:val="hu-HU"/>
        </w:rPr>
        <w:t xml:space="preserve"> - </w:t>
      </w:r>
      <w:r w:rsidRPr="00AA3F64">
        <w:rPr>
          <w:color w:val="auto"/>
          <w:sz w:val="22"/>
          <w:szCs w:val="22"/>
          <w:lang w:val="hu-HU"/>
        </w:rPr>
        <w:t>&lt;</w:t>
      </w:r>
      <w:r w:rsidR="00B146F4" w:rsidRPr="00AA3F64">
        <w:rPr>
          <w:color w:val="auto"/>
          <w:sz w:val="22"/>
          <w:szCs w:val="22"/>
          <w:lang w:val="hu-HU"/>
        </w:rPr>
        <w:t> </w:t>
      </w:r>
      <w:r w:rsidRPr="00AA3F64">
        <w:rPr>
          <w:color w:val="auto"/>
          <w:sz w:val="22"/>
          <w:szCs w:val="22"/>
          <w:lang w:val="hu-HU"/>
        </w:rPr>
        <w:t xml:space="preserve">1/1000); </w:t>
      </w:r>
      <w:r w:rsidR="00391072">
        <w:rPr>
          <w:color w:val="auto"/>
          <w:sz w:val="22"/>
          <w:szCs w:val="22"/>
          <w:lang w:val="hu-HU"/>
        </w:rPr>
        <w:t>n</w:t>
      </w:r>
      <w:r w:rsidRPr="00AA3F64">
        <w:rPr>
          <w:color w:val="auto"/>
          <w:sz w:val="22"/>
          <w:szCs w:val="22"/>
          <w:lang w:val="hu-HU"/>
        </w:rPr>
        <w:t>agyon ritka (&lt;</w:t>
      </w:r>
      <w:r w:rsidR="00B146F4" w:rsidRPr="00AA3F64">
        <w:rPr>
          <w:color w:val="auto"/>
          <w:sz w:val="22"/>
          <w:szCs w:val="22"/>
          <w:lang w:val="hu-HU"/>
        </w:rPr>
        <w:t> </w:t>
      </w:r>
      <w:r w:rsidRPr="00AA3F64">
        <w:rPr>
          <w:color w:val="auto"/>
          <w:sz w:val="22"/>
          <w:szCs w:val="22"/>
          <w:lang w:val="hu-HU"/>
        </w:rPr>
        <w:t xml:space="preserve">1/10 000), </w:t>
      </w:r>
      <w:r w:rsidR="00391072">
        <w:rPr>
          <w:color w:val="auto"/>
          <w:sz w:val="22"/>
          <w:szCs w:val="22"/>
          <w:lang w:val="hu-HU"/>
        </w:rPr>
        <w:t>n</w:t>
      </w:r>
      <w:r w:rsidRPr="00AA3F64">
        <w:rPr>
          <w:color w:val="auto"/>
          <w:sz w:val="22"/>
          <w:szCs w:val="22"/>
          <w:lang w:val="hu-HU"/>
        </w:rPr>
        <w:t>em ismert (</w:t>
      </w:r>
      <w:r w:rsidR="00391072">
        <w:rPr>
          <w:color w:val="auto"/>
          <w:sz w:val="22"/>
          <w:szCs w:val="22"/>
          <w:lang w:val="hu-HU"/>
        </w:rPr>
        <w:t xml:space="preserve">a gyakoriság </w:t>
      </w:r>
      <w:r w:rsidRPr="00AA3F64">
        <w:rPr>
          <w:color w:val="auto"/>
          <w:sz w:val="22"/>
          <w:szCs w:val="22"/>
          <w:lang w:val="hu-HU"/>
        </w:rPr>
        <w:t>a rendelkezésre álló adatokból nem állapítható meg).</w:t>
      </w:r>
      <w:proofErr w:type="gramEnd"/>
    </w:p>
    <w:p w14:paraId="1B036B0E" w14:textId="77777777" w:rsidR="009D648A" w:rsidRPr="00AA3F64" w:rsidRDefault="009D648A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6D2EAACF" w14:textId="77777777" w:rsidR="00E008A4" w:rsidRPr="00AA3F64" w:rsidRDefault="003B1C1E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2</w:t>
      </w:r>
      <w:r w:rsidR="00E008A4" w:rsidRPr="00AA3F64">
        <w:rPr>
          <w:rFonts w:cs="Times New Roman"/>
          <w:b/>
          <w:bCs/>
          <w:sz w:val="22"/>
        </w:rPr>
        <w:t>. táblázat</w:t>
      </w:r>
      <w:r w:rsidR="001C6471" w:rsidRPr="00AA3F64">
        <w:rPr>
          <w:rFonts w:cs="Times New Roman"/>
          <w:b/>
          <w:bCs/>
          <w:sz w:val="22"/>
        </w:rPr>
        <w:t>:</w:t>
      </w:r>
      <w:r w:rsidR="00E008A4" w:rsidRPr="00AA3F64">
        <w:rPr>
          <w:rFonts w:cs="Times New Roman"/>
          <w:b/>
          <w:bCs/>
          <w:sz w:val="22"/>
        </w:rPr>
        <w:t xml:space="preserve"> Mellékhatások</w:t>
      </w:r>
    </w:p>
    <w:tbl>
      <w:tblPr>
        <w:tblW w:w="4962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681"/>
        <w:gridCol w:w="1463"/>
        <w:gridCol w:w="1462"/>
        <w:gridCol w:w="1462"/>
        <w:gridCol w:w="1462"/>
        <w:gridCol w:w="1462"/>
      </w:tblGrid>
      <w:tr w:rsidR="008A6B58" w:rsidRPr="00AA3F64" w14:paraId="0D5F6FE2" w14:textId="77777777" w:rsidTr="000C679A">
        <w:tc>
          <w:tcPr>
            <w:tcW w:w="934" w:type="pct"/>
            <w:shd w:val="clear" w:color="auto" w:fill="auto"/>
          </w:tcPr>
          <w:p w14:paraId="325BC647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rStyle w:val="Oldalszm"/>
                <w:b/>
                <w:sz w:val="22"/>
                <w:szCs w:val="22"/>
              </w:rPr>
              <w:t>MedDRA szervrendszer</w:t>
            </w:r>
          </w:p>
        </w:tc>
        <w:tc>
          <w:tcPr>
            <w:tcW w:w="813" w:type="pct"/>
            <w:shd w:val="clear" w:color="auto" w:fill="auto"/>
          </w:tcPr>
          <w:p w14:paraId="05D26E09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rStyle w:val="Oldalszm"/>
                <w:b/>
                <w:sz w:val="22"/>
                <w:szCs w:val="22"/>
              </w:rPr>
              <w:t>Gyakori</w:t>
            </w:r>
          </w:p>
        </w:tc>
        <w:tc>
          <w:tcPr>
            <w:tcW w:w="813" w:type="pct"/>
            <w:shd w:val="clear" w:color="auto" w:fill="auto"/>
          </w:tcPr>
          <w:p w14:paraId="74D3F362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rStyle w:val="Oldalszm"/>
                <w:b/>
                <w:sz w:val="22"/>
                <w:szCs w:val="22"/>
              </w:rPr>
              <w:t>Nem gyakori</w:t>
            </w:r>
          </w:p>
        </w:tc>
        <w:tc>
          <w:tcPr>
            <w:tcW w:w="813" w:type="pct"/>
            <w:shd w:val="clear" w:color="auto" w:fill="auto"/>
          </w:tcPr>
          <w:p w14:paraId="022CE593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rStyle w:val="Oldalszm"/>
                <w:b/>
                <w:sz w:val="22"/>
                <w:szCs w:val="22"/>
              </w:rPr>
              <w:t>Ritka</w:t>
            </w:r>
          </w:p>
        </w:tc>
        <w:tc>
          <w:tcPr>
            <w:tcW w:w="813" w:type="pct"/>
            <w:shd w:val="clear" w:color="auto" w:fill="auto"/>
          </w:tcPr>
          <w:p w14:paraId="0F6FEC55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rStyle w:val="Oldalszm"/>
                <w:b/>
                <w:sz w:val="22"/>
                <w:szCs w:val="22"/>
              </w:rPr>
              <w:t>Nagyon ritka</w:t>
            </w:r>
          </w:p>
        </w:tc>
        <w:tc>
          <w:tcPr>
            <w:tcW w:w="813" w:type="pct"/>
            <w:shd w:val="clear" w:color="auto" w:fill="auto"/>
          </w:tcPr>
          <w:p w14:paraId="53CA27A3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rStyle w:val="Oldalszm"/>
                <w:b/>
                <w:sz w:val="22"/>
                <w:szCs w:val="22"/>
              </w:rPr>
              <w:t>Nem ismert</w:t>
            </w:r>
          </w:p>
        </w:tc>
      </w:tr>
      <w:tr w:rsidR="008A6B58" w:rsidRPr="00AA3F64" w14:paraId="7C3DE792" w14:textId="77777777" w:rsidTr="000C679A">
        <w:tc>
          <w:tcPr>
            <w:tcW w:w="934" w:type="pct"/>
            <w:shd w:val="clear" w:color="auto" w:fill="auto"/>
          </w:tcPr>
          <w:p w14:paraId="2153F883" w14:textId="77777777" w:rsidR="008A6B58" w:rsidRPr="00AA3F64" w:rsidRDefault="008A6B58" w:rsidP="00AA3F64">
            <w:pPr>
              <w:pStyle w:val="Szvegtrzs"/>
              <w:spacing w:after="0"/>
              <w:rPr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813" w:type="pct"/>
            <w:shd w:val="clear" w:color="auto" w:fill="auto"/>
          </w:tcPr>
          <w:p w14:paraId="2D71710A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740A4FFE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4AABA86D" w14:textId="77777777" w:rsidR="008A6B58" w:rsidRPr="00AA3F64" w:rsidRDefault="008A6B58" w:rsidP="003F44A6">
            <w:pPr>
              <w:rPr>
                <w:rFonts w:cs="Times New Roman"/>
                <w:sz w:val="22"/>
                <w:vertAlign w:val="superscript"/>
              </w:rPr>
            </w:pPr>
            <w:r w:rsidRPr="00AA3F64">
              <w:rPr>
                <w:rFonts w:cs="Times New Roman"/>
                <w:sz w:val="22"/>
              </w:rPr>
              <w:t>thrombocyto</w:t>
            </w:r>
            <w:r w:rsidRPr="00AA3F64">
              <w:rPr>
                <w:rFonts w:cs="Times New Roman"/>
                <w:sz w:val="22"/>
              </w:rPr>
              <w:softHyphen/>
              <w:t>penia</w:t>
            </w:r>
            <w:r w:rsidRPr="00AA3F64">
              <w:rPr>
                <w:rFonts w:cs="Times New Roman"/>
                <w:sz w:val="22"/>
                <w:vertAlign w:val="superscript"/>
              </w:rPr>
              <w:t>2</w:t>
            </w:r>
          </w:p>
        </w:tc>
        <w:tc>
          <w:tcPr>
            <w:tcW w:w="813" w:type="pct"/>
            <w:shd w:val="clear" w:color="auto" w:fill="auto"/>
          </w:tcPr>
          <w:p w14:paraId="36693FD4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7EC286DF" w14:textId="77777777" w:rsidR="008A6B58" w:rsidRPr="00AA3F64" w:rsidRDefault="008A6B58" w:rsidP="003F44A6">
            <w:pPr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thrombocyto</w:t>
            </w:r>
            <w:r w:rsidRPr="00AA3F64">
              <w:rPr>
                <w:rFonts w:cs="Times New Roman"/>
                <w:sz w:val="22"/>
              </w:rPr>
              <w:softHyphen/>
              <w:t>penia</w:t>
            </w:r>
            <w:r w:rsidR="00716D57" w:rsidRPr="00AA3F64">
              <w:rPr>
                <w:rFonts w:cs="Times New Roman"/>
                <w:sz w:val="22"/>
                <w:vertAlign w:val="superscript"/>
              </w:rPr>
              <w:t>5</w:t>
            </w:r>
          </w:p>
          <w:p w14:paraId="07BD1792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</w:tr>
      <w:tr w:rsidR="008A6B58" w:rsidRPr="00AA3F64" w14:paraId="0011CCC2" w14:textId="77777777" w:rsidTr="000C679A">
        <w:tc>
          <w:tcPr>
            <w:tcW w:w="934" w:type="pct"/>
            <w:shd w:val="clear" w:color="auto" w:fill="auto"/>
          </w:tcPr>
          <w:p w14:paraId="6DE9BA55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t>Immunrendszeri betegségek és tünetek</w:t>
            </w:r>
          </w:p>
        </w:tc>
        <w:tc>
          <w:tcPr>
            <w:tcW w:w="813" w:type="pct"/>
            <w:shd w:val="clear" w:color="auto" w:fill="auto"/>
          </w:tcPr>
          <w:p w14:paraId="3A9E371B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62B4D3C2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4E2CA838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túlérzékenységi reakciók,</w:t>
            </w:r>
            <w:r w:rsidR="00716D57" w:rsidRPr="00AA3F64">
              <w:rPr>
                <w:sz w:val="22"/>
                <w:szCs w:val="22"/>
              </w:rPr>
              <w:t xml:space="preserve"> </w:t>
            </w:r>
            <w:r w:rsidRPr="00AA3F64">
              <w:rPr>
                <w:sz w:val="22"/>
                <w:szCs w:val="22"/>
              </w:rPr>
              <w:t>beleértve az angiooedemát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13" w:type="pct"/>
            <w:shd w:val="clear" w:color="auto" w:fill="auto"/>
          </w:tcPr>
          <w:p w14:paraId="223E5805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4CC36BF7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túlérzékenységi reakciók (beleértve a kiütést, csalánkiütést, anaphylaxiát és angiooedemát)</w:t>
            </w:r>
            <w:r w:rsidR="00716D57" w:rsidRPr="00AA3F64">
              <w:rPr>
                <w:sz w:val="22"/>
                <w:szCs w:val="22"/>
                <w:vertAlign w:val="superscript"/>
              </w:rPr>
              <w:t>5</w:t>
            </w:r>
          </w:p>
        </w:tc>
      </w:tr>
      <w:tr w:rsidR="008A6B58" w:rsidRPr="00AA3F64" w14:paraId="3425018D" w14:textId="77777777" w:rsidTr="000C679A">
        <w:tc>
          <w:tcPr>
            <w:tcW w:w="934" w:type="pct"/>
            <w:shd w:val="clear" w:color="auto" w:fill="auto"/>
          </w:tcPr>
          <w:p w14:paraId="45E8E2C7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b/>
                <w:iCs/>
                <w:sz w:val="22"/>
                <w:szCs w:val="22"/>
              </w:rPr>
              <w:t>Endokrin betegségek és tünetek</w:t>
            </w:r>
          </w:p>
        </w:tc>
        <w:tc>
          <w:tcPr>
            <w:tcW w:w="813" w:type="pct"/>
            <w:shd w:val="clear" w:color="auto" w:fill="auto"/>
          </w:tcPr>
          <w:p w14:paraId="1250BDE5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  <w:vertAlign w:val="superscript"/>
              </w:rPr>
            </w:pPr>
            <w:r w:rsidRPr="00AA3F64">
              <w:rPr>
                <w:sz w:val="22"/>
                <w:szCs w:val="22"/>
              </w:rPr>
              <w:t>diabetes mellitus</w:t>
            </w:r>
            <w:r w:rsidRPr="00AA3F64">
              <w:rPr>
                <w:sz w:val="22"/>
                <w:szCs w:val="22"/>
                <w:vertAlign w:val="superscript"/>
              </w:rPr>
              <w:t>1,2</w:t>
            </w:r>
          </w:p>
          <w:p w14:paraId="3E91B3E3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76AEE00E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2DD67C10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186238C6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0B28B7EF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</w:tr>
      <w:tr w:rsidR="008A6B58" w:rsidRPr="00AA3F64" w14:paraId="59B0C5D2" w14:textId="77777777" w:rsidTr="000C679A">
        <w:tc>
          <w:tcPr>
            <w:tcW w:w="934" w:type="pct"/>
            <w:shd w:val="clear" w:color="auto" w:fill="auto"/>
          </w:tcPr>
          <w:p w14:paraId="0AB93AC5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b/>
                <w:iCs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813" w:type="pct"/>
            <w:shd w:val="clear" w:color="auto" w:fill="auto"/>
          </w:tcPr>
          <w:p w14:paraId="7F10420C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2DC2C630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  <w:vertAlign w:val="superscript"/>
              </w:rPr>
            </w:pPr>
            <w:r w:rsidRPr="00AA3F64">
              <w:rPr>
                <w:rStyle w:val="Oldalszm"/>
                <w:sz w:val="22"/>
                <w:szCs w:val="22"/>
              </w:rPr>
              <w:t>csökkent étvágy</w:t>
            </w:r>
            <w:r w:rsidRPr="00AA3F64">
              <w:rPr>
                <w:rStyle w:val="Oldalszm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13" w:type="pct"/>
            <w:shd w:val="clear" w:color="auto" w:fill="auto"/>
          </w:tcPr>
          <w:p w14:paraId="2439F4C8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5E707239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1ADADF2F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</w:tr>
      <w:tr w:rsidR="008A6B58" w:rsidRPr="00AA3F64" w14:paraId="63B61087" w14:textId="77777777" w:rsidTr="000C679A">
        <w:tc>
          <w:tcPr>
            <w:tcW w:w="934" w:type="pct"/>
            <w:shd w:val="clear" w:color="auto" w:fill="auto"/>
          </w:tcPr>
          <w:p w14:paraId="6DA1E885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rStyle w:val="Oldalszm"/>
                <w:b/>
                <w:sz w:val="22"/>
                <w:szCs w:val="22"/>
              </w:rPr>
              <w:t>Pszichiátriai kórképek</w:t>
            </w:r>
          </w:p>
        </w:tc>
        <w:tc>
          <w:tcPr>
            <w:tcW w:w="813" w:type="pct"/>
            <w:shd w:val="clear" w:color="auto" w:fill="auto"/>
          </w:tcPr>
          <w:p w14:paraId="77623158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0D0C0711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2177C1AA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0A4D49DD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5217521D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depresszió</w:t>
            </w:r>
            <w:r w:rsidRPr="00AA3F64">
              <w:rPr>
                <w:sz w:val="22"/>
                <w:szCs w:val="22"/>
                <w:vertAlign w:val="superscript"/>
              </w:rPr>
              <w:t>2,</w:t>
            </w:r>
            <w:r w:rsidR="00A459F4" w:rsidRPr="00AA3F64">
              <w:rPr>
                <w:sz w:val="22"/>
                <w:szCs w:val="22"/>
                <w:vertAlign w:val="superscript"/>
              </w:rPr>
              <w:t>5</w:t>
            </w:r>
          </w:p>
        </w:tc>
      </w:tr>
      <w:tr w:rsidR="008A6B58" w:rsidRPr="00AA3F64" w14:paraId="5D4BF5E4" w14:textId="77777777" w:rsidTr="000C679A">
        <w:tc>
          <w:tcPr>
            <w:tcW w:w="934" w:type="pct"/>
            <w:shd w:val="clear" w:color="auto" w:fill="auto"/>
          </w:tcPr>
          <w:p w14:paraId="5AA4FDC2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rStyle w:val="Oldalszm"/>
                <w:b/>
                <w:sz w:val="22"/>
                <w:szCs w:val="22"/>
              </w:rPr>
              <w:t>Idegrendszeri betegségek és tünetek</w:t>
            </w:r>
          </w:p>
        </w:tc>
        <w:tc>
          <w:tcPr>
            <w:tcW w:w="813" w:type="pct"/>
            <w:shd w:val="clear" w:color="auto" w:fill="auto"/>
          </w:tcPr>
          <w:p w14:paraId="06A7D8D7" w14:textId="77777777" w:rsidR="00716D57" w:rsidRPr="00730E1B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7E2051">
              <w:rPr>
                <w:sz w:val="22"/>
                <w:szCs w:val="22"/>
              </w:rPr>
              <w:t>fejfájás</w:t>
            </w:r>
            <w:r w:rsidRPr="00730E1B">
              <w:rPr>
                <w:sz w:val="22"/>
                <w:szCs w:val="22"/>
                <w:vertAlign w:val="superscript"/>
              </w:rPr>
              <w:t>2,</w:t>
            </w:r>
            <w:r w:rsidR="00716D57" w:rsidRPr="00730E1B">
              <w:rPr>
                <w:sz w:val="22"/>
                <w:szCs w:val="22"/>
                <w:vertAlign w:val="superscript"/>
              </w:rPr>
              <w:t>4</w:t>
            </w:r>
            <w:r w:rsidRPr="00730E1B">
              <w:rPr>
                <w:sz w:val="22"/>
                <w:szCs w:val="22"/>
              </w:rPr>
              <w:t>,</w:t>
            </w:r>
          </w:p>
          <w:p w14:paraId="70367004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730E1B">
              <w:rPr>
                <w:sz w:val="22"/>
                <w:szCs w:val="22"/>
              </w:rPr>
              <w:t>szédülés</w:t>
            </w:r>
            <w:r w:rsidRPr="00730E1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13" w:type="pct"/>
            <w:shd w:val="clear" w:color="auto" w:fill="auto"/>
          </w:tcPr>
          <w:p w14:paraId="73744754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paraesthesia</w:t>
            </w:r>
            <w:r w:rsidR="00716D57" w:rsidRPr="00AA3F64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813" w:type="pct"/>
            <w:shd w:val="clear" w:color="auto" w:fill="auto"/>
          </w:tcPr>
          <w:p w14:paraId="4EE167B6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3854973F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polyneuro-pathia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  <w:r w:rsidRPr="00AA3F64">
              <w:rPr>
                <w:sz w:val="22"/>
                <w:szCs w:val="22"/>
              </w:rPr>
              <w:t>,</w:t>
            </w:r>
          </w:p>
          <w:p w14:paraId="203B1578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emlékezet-kiesés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13" w:type="pct"/>
            <w:shd w:val="clear" w:color="auto" w:fill="auto"/>
          </w:tcPr>
          <w:p w14:paraId="15B35E4F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rStyle w:val="Oldalszm"/>
                <w:sz w:val="22"/>
                <w:szCs w:val="22"/>
              </w:rPr>
              <w:t>perifériás neuropathia</w:t>
            </w:r>
            <w:r w:rsidRPr="00AA3F64">
              <w:rPr>
                <w:rStyle w:val="Oldalszm"/>
                <w:sz w:val="22"/>
                <w:szCs w:val="22"/>
                <w:vertAlign w:val="superscript"/>
              </w:rPr>
              <w:t>2</w:t>
            </w:r>
            <w:r w:rsidRPr="00AA3F64">
              <w:rPr>
                <w:rStyle w:val="Oldalszm"/>
                <w:sz w:val="22"/>
                <w:szCs w:val="22"/>
              </w:rPr>
              <w:t>,</w:t>
            </w:r>
          </w:p>
          <w:p w14:paraId="1D35BBA4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alvászavarok (beleértve az álmatlanságot és rémálmokat is)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  <w:r w:rsidRPr="00AA3F64">
              <w:rPr>
                <w:sz w:val="22"/>
                <w:szCs w:val="22"/>
              </w:rPr>
              <w:t>,</w:t>
            </w:r>
          </w:p>
          <w:p w14:paraId="316C4C3C" w14:textId="77777777" w:rsidR="00716D57" w:rsidRPr="00AA3F64" w:rsidRDefault="008A6B58" w:rsidP="00716D57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szédülés</w:t>
            </w:r>
            <w:r w:rsidR="00716D57" w:rsidRPr="00AA3F64">
              <w:rPr>
                <w:sz w:val="22"/>
                <w:szCs w:val="22"/>
                <w:vertAlign w:val="superscript"/>
              </w:rPr>
              <w:t>5</w:t>
            </w:r>
            <w:r w:rsidR="00716D57" w:rsidRPr="00AA3F64">
              <w:rPr>
                <w:sz w:val="22"/>
                <w:szCs w:val="22"/>
              </w:rPr>
              <w:t>,</w:t>
            </w:r>
          </w:p>
          <w:p w14:paraId="22B5627B" w14:textId="77777777" w:rsidR="00872386" w:rsidRPr="00872386" w:rsidRDefault="00716D57" w:rsidP="00AA3F64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paraesthesia</w:t>
            </w:r>
            <w:r w:rsidRPr="00AA3F64">
              <w:rPr>
                <w:sz w:val="22"/>
                <w:szCs w:val="22"/>
                <w:vertAlign w:val="superscript"/>
              </w:rPr>
              <w:t>5</w:t>
            </w:r>
            <w:r w:rsidR="00872386" w:rsidRPr="00872386">
              <w:rPr>
                <w:sz w:val="22"/>
                <w:szCs w:val="22"/>
              </w:rPr>
              <w:t>,</w:t>
            </w:r>
          </w:p>
          <w:p w14:paraId="238FC381" w14:textId="77777777" w:rsidR="00872386" w:rsidRPr="00872386" w:rsidRDefault="00872386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872386">
              <w:rPr>
                <w:sz w:val="22"/>
                <w:szCs w:val="22"/>
              </w:rPr>
              <w:lastRenderedPageBreak/>
              <w:t>myasthenia gravis</w:t>
            </w:r>
          </w:p>
        </w:tc>
      </w:tr>
      <w:tr w:rsidR="00872386" w:rsidRPr="00AA3F64" w14:paraId="4703AA8C" w14:textId="77777777" w:rsidTr="000A4369">
        <w:tc>
          <w:tcPr>
            <w:tcW w:w="934" w:type="pct"/>
            <w:shd w:val="clear" w:color="auto" w:fill="auto"/>
          </w:tcPr>
          <w:p w14:paraId="4625175A" w14:textId="77777777" w:rsidR="00872386" w:rsidRPr="00AA3F64" w:rsidRDefault="00872386" w:rsidP="00AA3F64">
            <w:pPr>
              <w:pStyle w:val="Szvegtrzs"/>
              <w:spacing w:after="0"/>
              <w:rPr>
                <w:b/>
                <w:sz w:val="22"/>
                <w:szCs w:val="22"/>
              </w:rPr>
            </w:pPr>
            <w:r w:rsidRPr="00872386">
              <w:rPr>
                <w:b/>
                <w:sz w:val="22"/>
                <w:szCs w:val="22"/>
              </w:rPr>
              <w:lastRenderedPageBreak/>
              <w:t>Szembetegségek és szemészeti tünetek</w:t>
            </w:r>
          </w:p>
        </w:tc>
        <w:tc>
          <w:tcPr>
            <w:tcW w:w="813" w:type="pct"/>
            <w:shd w:val="clear" w:color="auto" w:fill="auto"/>
          </w:tcPr>
          <w:p w14:paraId="17FDA446" w14:textId="77777777" w:rsidR="00872386" w:rsidRPr="00AA3F64" w:rsidRDefault="00872386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7893DD54" w14:textId="77777777" w:rsidR="00872386" w:rsidRPr="00AA3F64" w:rsidRDefault="00872386" w:rsidP="003F44A6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5B9EDFCB" w14:textId="77777777" w:rsidR="00872386" w:rsidRPr="00AA3F64" w:rsidRDefault="00872386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78FC4762" w14:textId="77777777" w:rsidR="00872386" w:rsidRPr="00AA3F64" w:rsidRDefault="00872386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014B763D" w14:textId="77777777" w:rsidR="00872386" w:rsidRPr="00AA3F64" w:rsidRDefault="00872386" w:rsidP="00AA3F64">
            <w:pPr>
              <w:pStyle w:val="Szvegtrzs"/>
              <w:spacing w:after="0"/>
              <w:rPr>
                <w:sz w:val="22"/>
                <w:szCs w:val="22"/>
              </w:rPr>
            </w:pPr>
            <w:r w:rsidRPr="00872386">
              <w:rPr>
                <w:sz w:val="22"/>
                <w:szCs w:val="22"/>
              </w:rPr>
              <w:t>ocularis myasthenia</w:t>
            </w:r>
          </w:p>
        </w:tc>
      </w:tr>
      <w:tr w:rsidR="008A6B58" w:rsidRPr="00AA3F64" w14:paraId="14117532" w14:textId="77777777" w:rsidTr="000C679A">
        <w:tc>
          <w:tcPr>
            <w:tcW w:w="934" w:type="pct"/>
            <w:shd w:val="clear" w:color="auto" w:fill="auto"/>
          </w:tcPr>
          <w:p w14:paraId="72B29306" w14:textId="77777777" w:rsidR="008A6B58" w:rsidRPr="00AA3F64" w:rsidRDefault="008A6B58" w:rsidP="00AA3F64">
            <w:pPr>
              <w:pStyle w:val="Szvegtrzs"/>
              <w:spacing w:after="0"/>
              <w:rPr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t>Érbetegségek és tünetek</w:t>
            </w:r>
          </w:p>
        </w:tc>
        <w:tc>
          <w:tcPr>
            <w:tcW w:w="813" w:type="pct"/>
            <w:shd w:val="clear" w:color="auto" w:fill="auto"/>
          </w:tcPr>
          <w:p w14:paraId="47BF5480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12198E24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hőhullámok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  <w:r w:rsidRPr="00AA3F64">
              <w:rPr>
                <w:sz w:val="22"/>
                <w:szCs w:val="22"/>
              </w:rPr>
              <w:t>,</w:t>
            </w:r>
          </w:p>
          <w:p w14:paraId="796EB42C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magas vérnyomás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13" w:type="pct"/>
            <w:shd w:val="clear" w:color="auto" w:fill="auto"/>
          </w:tcPr>
          <w:p w14:paraId="2702E58F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352D763E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2C1DF374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</w:tr>
      <w:tr w:rsidR="008A6B58" w:rsidRPr="00AA3F64" w14:paraId="077BC435" w14:textId="77777777" w:rsidTr="000C679A">
        <w:tc>
          <w:tcPr>
            <w:tcW w:w="934" w:type="pct"/>
            <w:shd w:val="clear" w:color="auto" w:fill="auto"/>
          </w:tcPr>
          <w:p w14:paraId="7CC9C0A6" w14:textId="77777777" w:rsidR="008A6B58" w:rsidRPr="00AA3F64" w:rsidRDefault="008A6B58" w:rsidP="00AA3F64">
            <w:pPr>
              <w:pStyle w:val="Szvegtrzs"/>
              <w:spacing w:after="0"/>
              <w:rPr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813" w:type="pct"/>
            <w:shd w:val="clear" w:color="auto" w:fill="auto"/>
          </w:tcPr>
          <w:p w14:paraId="62F09710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42E03D45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köhögés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13" w:type="pct"/>
            <w:shd w:val="clear" w:color="auto" w:fill="auto"/>
          </w:tcPr>
          <w:p w14:paraId="2F9B4E98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7422DE7A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78BDF689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köhögés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  <w:r w:rsidRPr="00AA3F64">
              <w:rPr>
                <w:sz w:val="22"/>
                <w:szCs w:val="22"/>
              </w:rPr>
              <w:t>,</w:t>
            </w:r>
          </w:p>
          <w:p w14:paraId="2AA7EEAA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nehézlégzés</w:t>
            </w:r>
            <w:r w:rsidRPr="00AA3F64">
              <w:rPr>
                <w:sz w:val="22"/>
                <w:szCs w:val="22"/>
                <w:vertAlign w:val="superscript"/>
              </w:rPr>
              <w:t>2,</w:t>
            </w:r>
            <w:r w:rsidR="00716D57" w:rsidRPr="00AA3F64">
              <w:rPr>
                <w:sz w:val="22"/>
                <w:szCs w:val="22"/>
                <w:vertAlign w:val="superscript"/>
              </w:rPr>
              <w:t>5</w:t>
            </w:r>
          </w:p>
        </w:tc>
      </w:tr>
      <w:tr w:rsidR="008A6B58" w:rsidRPr="00AA3F64" w14:paraId="17242831" w14:textId="77777777" w:rsidTr="000C679A">
        <w:tc>
          <w:tcPr>
            <w:tcW w:w="934" w:type="pct"/>
            <w:shd w:val="clear" w:color="auto" w:fill="auto"/>
          </w:tcPr>
          <w:p w14:paraId="3222CD91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t>Emésztőrendszeri betegségek és tünetek</w:t>
            </w:r>
          </w:p>
        </w:tc>
        <w:tc>
          <w:tcPr>
            <w:tcW w:w="813" w:type="pct"/>
            <w:shd w:val="clear" w:color="auto" w:fill="auto"/>
          </w:tcPr>
          <w:p w14:paraId="7C3502DF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obstipatio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  <w:r w:rsidRPr="00AA3F64">
              <w:rPr>
                <w:sz w:val="22"/>
                <w:szCs w:val="22"/>
              </w:rPr>
              <w:t>,</w:t>
            </w:r>
          </w:p>
          <w:p w14:paraId="18BC24FE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hányinger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  <w:r w:rsidRPr="00AA3F64">
              <w:rPr>
                <w:sz w:val="22"/>
                <w:szCs w:val="22"/>
              </w:rPr>
              <w:t>,</w:t>
            </w:r>
          </w:p>
          <w:p w14:paraId="04E3E10B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hasi fájdalom</w:t>
            </w:r>
            <w:r w:rsidRPr="00AA3F64">
              <w:rPr>
                <w:sz w:val="22"/>
                <w:szCs w:val="22"/>
                <w:vertAlign w:val="superscript"/>
              </w:rPr>
              <w:t>2,3</w:t>
            </w:r>
            <w:r w:rsidRPr="00AA3F64">
              <w:rPr>
                <w:sz w:val="22"/>
                <w:szCs w:val="22"/>
              </w:rPr>
              <w:t>,</w:t>
            </w:r>
          </w:p>
          <w:p w14:paraId="353D2263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hasmenés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  <w:r w:rsidRPr="00AA3F64">
              <w:rPr>
                <w:sz w:val="22"/>
                <w:szCs w:val="22"/>
              </w:rPr>
              <w:t>,</w:t>
            </w:r>
          </w:p>
          <w:p w14:paraId="055CFD12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flatulencia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13" w:type="pct"/>
            <w:shd w:val="clear" w:color="auto" w:fill="auto"/>
          </w:tcPr>
          <w:p w14:paraId="5B654B7E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dispepsia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  <w:r w:rsidR="00716D57" w:rsidRPr="00AA3F64">
              <w:rPr>
                <w:sz w:val="22"/>
                <w:szCs w:val="22"/>
              </w:rPr>
              <w:t>,</w:t>
            </w:r>
          </w:p>
          <w:p w14:paraId="580E0434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gastro-oesophagealis reflux-betegség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  <w:r w:rsidRPr="00AA3F64">
              <w:rPr>
                <w:sz w:val="22"/>
                <w:szCs w:val="22"/>
              </w:rPr>
              <w:t>,</w:t>
            </w:r>
          </w:p>
          <w:p w14:paraId="2CC41A28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hányinger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  <w:r w:rsidRPr="00AA3F64">
              <w:rPr>
                <w:sz w:val="22"/>
                <w:szCs w:val="22"/>
              </w:rPr>
              <w:t>,</w:t>
            </w:r>
          </w:p>
          <w:p w14:paraId="7A2C2D25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szájszárazság</w:t>
            </w:r>
            <w:r w:rsidR="00716D57" w:rsidRPr="00AA3F64">
              <w:rPr>
                <w:sz w:val="22"/>
                <w:szCs w:val="22"/>
                <w:vertAlign w:val="superscript"/>
              </w:rPr>
              <w:t>4</w:t>
            </w:r>
            <w:r w:rsidRPr="00AA3F64">
              <w:rPr>
                <w:sz w:val="22"/>
                <w:szCs w:val="22"/>
              </w:rPr>
              <w:t>,</w:t>
            </w:r>
          </w:p>
          <w:p w14:paraId="0BCCE2A0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gastritis</w:t>
            </w:r>
            <w:r w:rsidR="00716D57" w:rsidRPr="00AA3F64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813" w:type="pct"/>
            <w:shd w:val="clear" w:color="auto" w:fill="auto"/>
          </w:tcPr>
          <w:p w14:paraId="4E1EC31B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pancreatitis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13" w:type="pct"/>
            <w:shd w:val="clear" w:color="auto" w:fill="auto"/>
          </w:tcPr>
          <w:p w14:paraId="0D2FB861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7AC12558" w14:textId="77777777" w:rsidR="00D76B56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hasmenés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  <w:r w:rsidRPr="00AA3F64">
              <w:rPr>
                <w:sz w:val="22"/>
                <w:szCs w:val="22"/>
              </w:rPr>
              <w:t>,</w:t>
            </w:r>
          </w:p>
          <w:p w14:paraId="5EC2A571" w14:textId="77777777" w:rsidR="00D76B56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pancreatitis</w:t>
            </w:r>
            <w:r w:rsidR="00716D57" w:rsidRPr="00AA3F64">
              <w:rPr>
                <w:sz w:val="22"/>
                <w:szCs w:val="22"/>
                <w:vertAlign w:val="superscript"/>
              </w:rPr>
              <w:t>5</w:t>
            </w:r>
            <w:r w:rsidRPr="00AA3F64">
              <w:rPr>
                <w:sz w:val="22"/>
                <w:szCs w:val="22"/>
              </w:rPr>
              <w:t>,</w:t>
            </w:r>
          </w:p>
          <w:p w14:paraId="6C51BF48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obstipatio</w:t>
            </w:r>
            <w:r w:rsidR="00716D57" w:rsidRPr="00AA3F64">
              <w:rPr>
                <w:sz w:val="22"/>
                <w:szCs w:val="22"/>
                <w:vertAlign w:val="superscript"/>
              </w:rPr>
              <w:t>5</w:t>
            </w:r>
          </w:p>
        </w:tc>
      </w:tr>
      <w:tr w:rsidR="008A6B58" w:rsidRPr="00AA3F64" w14:paraId="1B08D52D" w14:textId="77777777" w:rsidTr="000C679A">
        <w:tc>
          <w:tcPr>
            <w:tcW w:w="934" w:type="pct"/>
            <w:shd w:val="clear" w:color="auto" w:fill="auto"/>
          </w:tcPr>
          <w:p w14:paraId="61269D2A" w14:textId="77777777" w:rsidR="008A6B58" w:rsidRPr="00AA3F64" w:rsidRDefault="008A6B58" w:rsidP="00AA3F64">
            <w:pPr>
              <w:pStyle w:val="Szvegtrzs"/>
              <w:spacing w:after="0"/>
              <w:rPr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t>Máj- és epebetegségek, illetve tünetek</w:t>
            </w:r>
          </w:p>
        </w:tc>
        <w:tc>
          <w:tcPr>
            <w:tcW w:w="813" w:type="pct"/>
            <w:shd w:val="clear" w:color="auto" w:fill="auto"/>
          </w:tcPr>
          <w:p w14:paraId="21684B65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39213430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49DBEEC0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májenzim</w:t>
            </w:r>
            <w:r w:rsidR="00144438" w:rsidRPr="00AA3F64">
              <w:rPr>
                <w:sz w:val="22"/>
                <w:szCs w:val="22"/>
              </w:rPr>
              <w:t>-</w:t>
            </w:r>
            <w:r w:rsidRPr="00AA3F64">
              <w:rPr>
                <w:sz w:val="22"/>
                <w:szCs w:val="22"/>
              </w:rPr>
              <w:t xml:space="preserve"> (transzamináz</w:t>
            </w:r>
            <w:r w:rsidR="00144438" w:rsidRPr="00AA3F64">
              <w:rPr>
                <w:sz w:val="22"/>
                <w:szCs w:val="22"/>
              </w:rPr>
              <w:t>-</w:t>
            </w:r>
            <w:r w:rsidRPr="00AA3F64">
              <w:rPr>
                <w:sz w:val="22"/>
                <w:szCs w:val="22"/>
              </w:rPr>
              <w:t>) értékek emelkedése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13" w:type="pct"/>
            <w:shd w:val="clear" w:color="auto" w:fill="auto"/>
          </w:tcPr>
          <w:p w14:paraId="1563295F" w14:textId="77777777" w:rsidR="00D76B56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sárgaság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  <w:r w:rsidRPr="00AA3F64">
              <w:rPr>
                <w:sz w:val="22"/>
                <w:szCs w:val="22"/>
              </w:rPr>
              <w:t>,</w:t>
            </w:r>
          </w:p>
          <w:p w14:paraId="1836F163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hepatitis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13" w:type="pct"/>
            <w:shd w:val="clear" w:color="auto" w:fill="auto"/>
          </w:tcPr>
          <w:p w14:paraId="0ED72E92" w14:textId="77777777" w:rsidR="00D76B56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hepatitis</w:t>
            </w:r>
            <w:r w:rsidR="00716D57" w:rsidRPr="00AA3F64">
              <w:rPr>
                <w:sz w:val="22"/>
                <w:szCs w:val="22"/>
                <w:vertAlign w:val="superscript"/>
              </w:rPr>
              <w:t>5</w:t>
            </w:r>
            <w:r w:rsidRPr="00AA3F64">
              <w:rPr>
                <w:sz w:val="22"/>
                <w:szCs w:val="22"/>
              </w:rPr>
              <w:t>,</w:t>
            </w:r>
          </w:p>
          <w:p w14:paraId="70225514" w14:textId="77777777" w:rsidR="00D76B56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cholelithiasis</w:t>
            </w:r>
            <w:r w:rsidR="00716D57" w:rsidRPr="00AA3F64">
              <w:rPr>
                <w:sz w:val="22"/>
                <w:szCs w:val="22"/>
                <w:vertAlign w:val="superscript"/>
              </w:rPr>
              <w:t>5</w:t>
            </w:r>
            <w:r w:rsidRPr="00AA3F64">
              <w:rPr>
                <w:sz w:val="22"/>
                <w:szCs w:val="22"/>
              </w:rPr>
              <w:t>,</w:t>
            </w:r>
          </w:p>
          <w:p w14:paraId="7026C963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cholecystitis</w:t>
            </w:r>
            <w:r w:rsidR="00716D57" w:rsidRPr="00AA3F64">
              <w:rPr>
                <w:sz w:val="22"/>
                <w:szCs w:val="22"/>
                <w:vertAlign w:val="superscript"/>
              </w:rPr>
              <w:t>5</w:t>
            </w:r>
          </w:p>
        </w:tc>
      </w:tr>
      <w:tr w:rsidR="008A6B58" w:rsidRPr="00AA3F64" w14:paraId="753FB51D" w14:textId="77777777" w:rsidTr="000C679A">
        <w:tc>
          <w:tcPr>
            <w:tcW w:w="934" w:type="pct"/>
            <w:shd w:val="clear" w:color="auto" w:fill="auto"/>
          </w:tcPr>
          <w:p w14:paraId="3CE6DCB7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813" w:type="pct"/>
            <w:shd w:val="clear" w:color="auto" w:fill="auto"/>
          </w:tcPr>
          <w:p w14:paraId="7FAE2940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5771751C" w14:textId="77777777" w:rsidR="00D76B56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pruritus</w:t>
            </w:r>
            <w:r w:rsidRPr="00AA3F64">
              <w:rPr>
                <w:sz w:val="22"/>
                <w:szCs w:val="22"/>
                <w:vertAlign w:val="superscript"/>
              </w:rPr>
              <w:t>2,</w:t>
            </w:r>
            <w:r w:rsidR="00716D57" w:rsidRPr="00AA3F64">
              <w:rPr>
                <w:sz w:val="22"/>
                <w:szCs w:val="22"/>
                <w:vertAlign w:val="superscript"/>
              </w:rPr>
              <w:t>4</w:t>
            </w:r>
            <w:r w:rsidRPr="00AA3F64">
              <w:rPr>
                <w:sz w:val="22"/>
                <w:szCs w:val="22"/>
              </w:rPr>
              <w:t>,</w:t>
            </w:r>
          </w:p>
          <w:p w14:paraId="36A68C90" w14:textId="77777777" w:rsidR="00D76B56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kiütés</w:t>
            </w:r>
            <w:r w:rsidRPr="00AA3F64">
              <w:rPr>
                <w:sz w:val="22"/>
                <w:szCs w:val="22"/>
                <w:vertAlign w:val="superscript"/>
              </w:rPr>
              <w:t>2,</w:t>
            </w:r>
            <w:r w:rsidR="00716D57" w:rsidRPr="00AA3F64">
              <w:rPr>
                <w:sz w:val="22"/>
                <w:szCs w:val="22"/>
                <w:vertAlign w:val="superscript"/>
              </w:rPr>
              <w:t>4</w:t>
            </w:r>
            <w:r w:rsidRPr="00AA3F64">
              <w:rPr>
                <w:sz w:val="22"/>
                <w:szCs w:val="22"/>
              </w:rPr>
              <w:t>,</w:t>
            </w:r>
          </w:p>
          <w:p w14:paraId="2E6B3E8A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csalánkiütés</w:t>
            </w:r>
            <w:r w:rsidRPr="00AA3F64">
              <w:rPr>
                <w:sz w:val="22"/>
                <w:szCs w:val="22"/>
                <w:vertAlign w:val="superscript"/>
              </w:rPr>
              <w:t>2,</w:t>
            </w:r>
            <w:r w:rsidR="00716D57" w:rsidRPr="00AA3F64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813" w:type="pct"/>
            <w:shd w:val="clear" w:color="auto" w:fill="auto"/>
          </w:tcPr>
          <w:p w14:paraId="634AFFE2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4F477371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032496F0" w14:textId="77777777" w:rsidR="00D76B56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Stevens–Johnson-szindróma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  <w:r w:rsidR="00D76B56" w:rsidRPr="00AA3F64">
              <w:rPr>
                <w:sz w:val="22"/>
                <w:szCs w:val="22"/>
              </w:rPr>
              <w:t>,</w:t>
            </w:r>
          </w:p>
          <w:p w14:paraId="2DBF2358" w14:textId="77777777" w:rsidR="00D76B56" w:rsidRPr="00AA3F64" w:rsidRDefault="00716D57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erythema multiforme</w:t>
            </w:r>
            <w:r w:rsidRPr="00AA3F64">
              <w:rPr>
                <w:sz w:val="22"/>
                <w:szCs w:val="22"/>
                <w:vertAlign w:val="superscript"/>
              </w:rPr>
              <w:t>5</w:t>
            </w:r>
            <w:r w:rsidR="00D76B56" w:rsidRPr="00AA3F64">
              <w:rPr>
                <w:sz w:val="22"/>
                <w:szCs w:val="22"/>
              </w:rPr>
              <w:t>,</w:t>
            </w:r>
          </w:p>
          <w:p w14:paraId="18BBBC9E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eosinophiliával és szisztémás tünetekkel járó gyógyszerreakció (DRESS)</w:t>
            </w:r>
            <w:r w:rsidR="00716D57" w:rsidRPr="00AA3F64">
              <w:rPr>
                <w:sz w:val="22"/>
                <w:szCs w:val="22"/>
                <w:vertAlign w:val="superscript"/>
              </w:rPr>
              <w:t>5</w:t>
            </w:r>
            <w:r w:rsidRPr="00AA3F64">
              <w:rPr>
                <w:sz w:val="22"/>
                <w:szCs w:val="22"/>
              </w:rPr>
              <w:t xml:space="preserve">, </w:t>
            </w:r>
          </w:p>
        </w:tc>
      </w:tr>
      <w:tr w:rsidR="008A6B58" w:rsidRPr="00AA3F64" w14:paraId="1D8D4E28" w14:textId="77777777" w:rsidTr="000C679A">
        <w:tc>
          <w:tcPr>
            <w:tcW w:w="934" w:type="pct"/>
            <w:shd w:val="clear" w:color="auto" w:fill="auto"/>
          </w:tcPr>
          <w:p w14:paraId="281410D3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813" w:type="pct"/>
            <w:shd w:val="clear" w:color="auto" w:fill="auto"/>
          </w:tcPr>
          <w:p w14:paraId="24D628B9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myalgia</w:t>
            </w:r>
            <w:r w:rsidRPr="00AA3F64">
              <w:rPr>
                <w:sz w:val="22"/>
                <w:szCs w:val="22"/>
                <w:vertAlign w:val="superscript"/>
              </w:rPr>
              <w:t>2,</w:t>
            </w:r>
            <w:r w:rsidR="00716D57" w:rsidRPr="00AA3F64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813" w:type="pct"/>
            <w:shd w:val="clear" w:color="auto" w:fill="auto"/>
          </w:tcPr>
          <w:p w14:paraId="46E51248" w14:textId="77777777" w:rsidR="00D76B56" w:rsidRPr="00AA3F64" w:rsidRDefault="008A6B58" w:rsidP="003F44A6">
            <w:pPr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arthralgia</w:t>
            </w:r>
            <w:r w:rsidRPr="00AA3F64">
              <w:rPr>
                <w:rFonts w:cs="Times New Roman"/>
                <w:sz w:val="22"/>
                <w:vertAlign w:val="superscript"/>
              </w:rPr>
              <w:t>3</w:t>
            </w:r>
            <w:r w:rsidRPr="00AA3F64">
              <w:rPr>
                <w:rFonts w:cs="Times New Roman"/>
                <w:sz w:val="22"/>
              </w:rPr>
              <w:t>;</w:t>
            </w:r>
          </w:p>
          <w:p w14:paraId="5CFB1C29" w14:textId="77777777" w:rsidR="00D76B56" w:rsidRPr="00AA3F64" w:rsidRDefault="008A6B58" w:rsidP="003F44A6">
            <w:pPr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izom-spazmusok</w:t>
            </w:r>
            <w:r w:rsidRPr="00AA3F64">
              <w:rPr>
                <w:rFonts w:cs="Times New Roman"/>
                <w:sz w:val="22"/>
                <w:vertAlign w:val="superscript"/>
              </w:rPr>
              <w:t>3</w:t>
            </w:r>
            <w:r w:rsidRPr="00AA3F64">
              <w:rPr>
                <w:rFonts w:cs="Times New Roman"/>
                <w:sz w:val="22"/>
              </w:rPr>
              <w:t>,</w:t>
            </w:r>
          </w:p>
          <w:p w14:paraId="28744017" w14:textId="77777777" w:rsidR="00D76B56" w:rsidRPr="00AA3F64" w:rsidRDefault="008A6B58" w:rsidP="003F44A6">
            <w:pPr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nyaki fájdalom</w:t>
            </w:r>
            <w:r w:rsidRPr="00AA3F64">
              <w:rPr>
                <w:rFonts w:cs="Times New Roman"/>
                <w:sz w:val="22"/>
                <w:vertAlign w:val="superscript"/>
              </w:rPr>
              <w:t>3</w:t>
            </w:r>
            <w:r w:rsidRPr="00AA3F64">
              <w:rPr>
                <w:rFonts w:cs="Times New Roman"/>
                <w:sz w:val="22"/>
              </w:rPr>
              <w:t>,</w:t>
            </w:r>
          </w:p>
          <w:p w14:paraId="0ECB7B1D" w14:textId="77777777" w:rsidR="00D76B56" w:rsidRPr="00AA3F64" w:rsidRDefault="008A6B58" w:rsidP="00D76B56">
            <w:pPr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hátfájdalom</w:t>
            </w:r>
            <w:r w:rsidR="00716D57" w:rsidRPr="00AA3F64">
              <w:rPr>
                <w:rFonts w:cs="Times New Roman"/>
                <w:sz w:val="22"/>
                <w:vertAlign w:val="superscript"/>
              </w:rPr>
              <w:t>4</w:t>
            </w:r>
            <w:r w:rsidRPr="00AA3F64">
              <w:rPr>
                <w:rFonts w:cs="Times New Roman"/>
                <w:sz w:val="22"/>
              </w:rPr>
              <w:t>,</w:t>
            </w:r>
          </w:p>
          <w:p w14:paraId="2F3EC953" w14:textId="77777777" w:rsidR="00D76B56" w:rsidRPr="00AA3F64" w:rsidRDefault="008A6B58" w:rsidP="00D76B56">
            <w:pPr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izom-gyengeség</w:t>
            </w:r>
            <w:r w:rsidR="00716D57" w:rsidRPr="00AA3F64">
              <w:rPr>
                <w:rFonts w:cs="Times New Roman"/>
                <w:sz w:val="22"/>
                <w:vertAlign w:val="superscript"/>
              </w:rPr>
              <w:t>4</w:t>
            </w:r>
            <w:r w:rsidRPr="00AA3F64">
              <w:rPr>
                <w:rFonts w:cs="Times New Roman"/>
                <w:sz w:val="22"/>
              </w:rPr>
              <w:t>,</w:t>
            </w:r>
          </w:p>
          <w:p w14:paraId="16BE3B10" w14:textId="77777777" w:rsidR="008A6B58" w:rsidRPr="00AA3F64" w:rsidRDefault="008A6B58" w:rsidP="001749CE">
            <w:pPr>
              <w:rPr>
                <w:rStyle w:val="Oldalszm"/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végtagfájda</w:t>
            </w:r>
            <w:r w:rsidRPr="00AA3F64">
              <w:rPr>
                <w:rFonts w:cs="Times New Roman"/>
                <w:sz w:val="22"/>
              </w:rPr>
              <w:softHyphen/>
              <w:t>lom</w:t>
            </w:r>
            <w:r w:rsidR="00716D57" w:rsidRPr="00AA3F64">
              <w:rPr>
                <w:rFonts w:cs="Times New Roman"/>
                <w:sz w:val="22"/>
                <w:vertAlign w:val="superscript"/>
              </w:rPr>
              <w:t>4</w:t>
            </w:r>
          </w:p>
        </w:tc>
        <w:tc>
          <w:tcPr>
            <w:tcW w:w="813" w:type="pct"/>
            <w:shd w:val="clear" w:color="auto" w:fill="auto"/>
          </w:tcPr>
          <w:p w14:paraId="1AEC9A59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myopathia (myositist beleértve)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  <w:r w:rsidRPr="00AA3F64">
              <w:rPr>
                <w:sz w:val="22"/>
                <w:szCs w:val="22"/>
              </w:rPr>
              <w:t>,</w:t>
            </w:r>
          </w:p>
          <w:p w14:paraId="01EA1164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rhabdomyo</w:t>
            </w:r>
            <w:r w:rsidRPr="00AA3F64">
              <w:rPr>
                <w:sz w:val="22"/>
                <w:szCs w:val="22"/>
              </w:rPr>
              <w:softHyphen/>
              <w:t>lysis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  <w:r w:rsidRPr="00AA3F64">
              <w:rPr>
                <w:sz w:val="22"/>
                <w:szCs w:val="22"/>
              </w:rPr>
              <w:t>,</w:t>
            </w:r>
          </w:p>
          <w:p w14:paraId="0BA9E0A1" w14:textId="77777777" w:rsidR="00716D57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lupus-szerű szindróma,</w:t>
            </w:r>
          </w:p>
          <w:p w14:paraId="0F1B35EB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izomszakadás</w:t>
            </w:r>
          </w:p>
        </w:tc>
        <w:tc>
          <w:tcPr>
            <w:tcW w:w="813" w:type="pct"/>
            <w:shd w:val="clear" w:color="auto" w:fill="auto"/>
          </w:tcPr>
          <w:p w14:paraId="21F03009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arthralgia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13" w:type="pct"/>
            <w:shd w:val="clear" w:color="auto" w:fill="auto"/>
          </w:tcPr>
          <w:p w14:paraId="166F924A" w14:textId="77777777" w:rsidR="00716D57" w:rsidRPr="00AA3F64" w:rsidRDefault="00716D57" w:rsidP="003F44A6">
            <w:pPr>
              <w:rPr>
                <w:sz w:val="22"/>
              </w:rPr>
            </w:pPr>
            <w:r w:rsidRPr="00AA3F64">
              <w:rPr>
                <w:sz w:val="22"/>
              </w:rPr>
              <w:t>arthralgia</w:t>
            </w:r>
            <w:r w:rsidRPr="00AA3F64">
              <w:rPr>
                <w:sz w:val="22"/>
                <w:vertAlign w:val="superscript"/>
              </w:rPr>
              <w:t>5</w:t>
            </w:r>
            <w:r w:rsidRPr="00AA3F64">
              <w:rPr>
                <w:sz w:val="22"/>
              </w:rPr>
              <w:t>,</w:t>
            </w:r>
          </w:p>
          <w:p w14:paraId="514BE7E0" w14:textId="77777777" w:rsidR="00716D57" w:rsidRPr="00AA3F64" w:rsidRDefault="008A6B58" w:rsidP="003F44A6">
            <w:pPr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immunmediált nekrotizáló myopathia</w:t>
            </w:r>
            <w:r w:rsidRPr="00AA3F64">
              <w:rPr>
                <w:rFonts w:cs="Times New Roman"/>
                <w:sz w:val="22"/>
                <w:vertAlign w:val="superscript"/>
              </w:rPr>
              <w:t>2</w:t>
            </w:r>
            <w:r w:rsidRPr="00AA3F64">
              <w:rPr>
                <w:rFonts w:cs="Times New Roman"/>
                <w:sz w:val="22"/>
              </w:rPr>
              <w:t>,</w:t>
            </w:r>
          </w:p>
          <w:p w14:paraId="680B6D67" w14:textId="77777777" w:rsidR="00716D57" w:rsidRPr="00AA3F64" w:rsidRDefault="008A6B58" w:rsidP="003F44A6">
            <w:pPr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í</w:t>
            </w:r>
            <w:r w:rsidRPr="00AA3F64">
              <w:rPr>
                <w:rFonts w:cs="Times New Roman"/>
                <w:bCs/>
                <w:sz w:val="22"/>
              </w:rPr>
              <w:t>nbetegségek, néha szövődményként rupturával</w:t>
            </w:r>
            <w:r w:rsidRPr="00AA3F64">
              <w:rPr>
                <w:rFonts w:cs="Times New Roman"/>
                <w:sz w:val="22"/>
                <w:vertAlign w:val="superscript"/>
              </w:rPr>
              <w:t>2</w:t>
            </w:r>
            <w:r w:rsidRPr="00AA3F64">
              <w:rPr>
                <w:rFonts w:cs="Times New Roman"/>
                <w:sz w:val="22"/>
              </w:rPr>
              <w:t xml:space="preserve">, </w:t>
            </w:r>
          </w:p>
          <w:p w14:paraId="1970F5AB" w14:textId="77777777" w:rsidR="008A6B58" w:rsidRPr="00AA3F64" w:rsidRDefault="008A6B58" w:rsidP="003F44A6">
            <w:pPr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myopathia/ rhabdomyolysis</w:t>
            </w:r>
            <w:r w:rsidR="00716D57" w:rsidRPr="00AA3F64">
              <w:rPr>
                <w:rFonts w:cs="Times New Roman"/>
                <w:sz w:val="22"/>
                <w:vertAlign w:val="superscript"/>
              </w:rPr>
              <w:t>5</w:t>
            </w:r>
            <w:r w:rsidRPr="00AA3F64">
              <w:rPr>
                <w:rFonts w:cs="Times New Roman"/>
                <w:sz w:val="22"/>
                <w:vertAlign w:val="superscript"/>
              </w:rPr>
              <w:t xml:space="preserve"> </w:t>
            </w:r>
            <w:r w:rsidRPr="00AA3F64">
              <w:rPr>
                <w:rFonts w:cs="Times New Roman"/>
                <w:sz w:val="22"/>
              </w:rPr>
              <w:t>(lásd 4.4 pont)</w:t>
            </w:r>
          </w:p>
        </w:tc>
      </w:tr>
      <w:tr w:rsidR="008A6B58" w:rsidRPr="00AA3F64" w14:paraId="0077DDFB" w14:textId="77777777" w:rsidTr="000C679A">
        <w:tc>
          <w:tcPr>
            <w:tcW w:w="934" w:type="pct"/>
            <w:shd w:val="clear" w:color="auto" w:fill="auto"/>
          </w:tcPr>
          <w:p w14:paraId="50FC0E60" w14:textId="77777777" w:rsidR="008A6B58" w:rsidRPr="00AA3F64" w:rsidRDefault="008A6B58" w:rsidP="00AA3F64">
            <w:pPr>
              <w:pStyle w:val="Szvegtrzs"/>
              <w:spacing w:after="0"/>
              <w:rPr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t>Vese- és húgyúti betegségek és tünetek</w:t>
            </w:r>
          </w:p>
        </w:tc>
        <w:tc>
          <w:tcPr>
            <w:tcW w:w="813" w:type="pct"/>
            <w:shd w:val="clear" w:color="auto" w:fill="auto"/>
          </w:tcPr>
          <w:p w14:paraId="70C05B67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1E7F7927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1B579507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09FCE871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haematuria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13" w:type="pct"/>
            <w:shd w:val="clear" w:color="auto" w:fill="auto"/>
          </w:tcPr>
          <w:p w14:paraId="466DE1AF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</w:tr>
      <w:tr w:rsidR="008A6B58" w:rsidRPr="00AA3F64" w14:paraId="179B6254" w14:textId="77777777" w:rsidTr="000C679A">
        <w:tc>
          <w:tcPr>
            <w:tcW w:w="934" w:type="pct"/>
            <w:shd w:val="clear" w:color="auto" w:fill="auto"/>
          </w:tcPr>
          <w:p w14:paraId="118B8CC6" w14:textId="77777777" w:rsidR="008A6B58" w:rsidRPr="00AA3F64" w:rsidRDefault="008A6B58" w:rsidP="00AA3F64">
            <w:pPr>
              <w:pStyle w:val="Szvegtrzs"/>
              <w:spacing w:after="0"/>
              <w:rPr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813" w:type="pct"/>
            <w:shd w:val="clear" w:color="auto" w:fill="auto"/>
          </w:tcPr>
          <w:p w14:paraId="31A45050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07A9DDE0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1AB19D2D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2AE78B6C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rFonts w:eastAsia="TimesNewRomanPSMT"/>
                <w:sz w:val="22"/>
                <w:szCs w:val="22"/>
              </w:rPr>
              <w:t>gynecomastia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13" w:type="pct"/>
            <w:shd w:val="clear" w:color="auto" w:fill="auto"/>
          </w:tcPr>
          <w:p w14:paraId="0FDC75AF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</w:tr>
      <w:tr w:rsidR="008A6B58" w:rsidRPr="00AA3F64" w14:paraId="0C62102C" w14:textId="77777777" w:rsidTr="000C679A">
        <w:tc>
          <w:tcPr>
            <w:tcW w:w="934" w:type="pct"/>
            <w:shd w:val="clear" w:color="auto" w:fill="auto"/>
          </w:tcPr>
          <w:p w14:paraId="3F17DEA2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lastRenderedPageBreak/>
              <w:t>Általános tünetek, az alkalmazás helyén fellépő reakciók</w:t>
            </w:r>
          </w:p>
        </w:tc>
        <w:tc>
          <w:tcPr>
            <w:tcW w:w="813" w:type="pct"/>
            <w:shd w:val="clear" w:color="auto" w:fill="auto"/>
          </w:tcPr>
          <w:p w14:paraId="11C4D232" w14:textId="77777777" w:rsidR="00D76B56" w:rsidRPr="00AA3F64" w:rsidRDefault="008A6B58" w:rsidP="003F44A6">
            <w:pPr>
              <w:pStyle w:val="Szvegtrzs"/>
              <w:keepNext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asthenia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  <w:r w:rsidRPr="00AA3F64">
              <w:rPr>
                <w:sz w:val="22"/>
                <w:szCs w:val="22"/>
              </w:rPr>
              <w:t>,</w:t>
            </w:r>
          </w:p>
          <w:p w14:paraId="46C08229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fáradtság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13" w:type="pct"/>
            <w:shd w:val="clear" w:color="auto" w:fill="auto"/>
          </w:tcPr>
          <w:p w14:paraId="624E28FF" w14:textId="77777777" w:rsidR="00716D57" w:rsidRPr="00AA3F64" w:rsidRDefault="008A6B58" w:rsidP="003F44A6">
            <w:pPr>
              <w:keepNext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mellkasi fájdalom</w:t>
            </w:r>
            <w:r w:rsidRPr="00AA3F64">
              <w:rPr>
                <w:rFonts w:cs="Times New Roman"/>
                <w:sz w:val="22"/>
                <w:vertAlign w:val="superscript"/>
              </w:rPr>
              <w:t>3</w:t>
            </w:r>
            <w:r w:rsidRPr="00AA3F64">
              <w:rPr>
                <w:rFonts w:cs="Times New Roman"/>
                <w:sz w:val="22"/>
              </w:rPr>
              <w:t>,</w:t>
            </w:r>
          </w:p>
          <w:p w14:paraId="6B87B120" w14:textId="77777777" w:rsidR="00716D57" w:rsidRPr="00AA3F64" w:rsidRDefault="008A6B58" w:rsidP="003F44A6">
            <w:pPr>
              <w:keepNext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fájdalom</w:t>
            </w:r>
            <w:r w:rsidRPr="00AA3F64">
              <w:rPr>
                <w:rFonts w:cs="Times New Roman"/>
                <w:sz w:val="22"/>
                <w:vertAlign w:val="superscript"/>
              </w:rPr>
              <w:t>3</w:t>
            </w:r>
            <w:r w:rsidRPr="00AA3F64">
              <w:rPr>
                <w:rFonts w:cs="Times New Roman"/>
                <w:sz w:val="22"/>
              </w:rPr>
              <w:t>,</w:t>
            </w:r>
          </w:p>
          <w:p w14:paraId="4FA30771" w14:textId="77777777" w:rsidR="00716D57" w:rsidRPr="00AA3F64" w:rsidRDefault="00716D57" w:rsidP="003F44A6">
            <w:pPr>
              <w:keepNext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asthenia</w:t>
            </w:r>
            <w:r w:rsidR="00144438" w:rsidRPr="00AA3F64">
              <w:rPr>
                <w:rFonts w:cs="Times New Roman"/>
                <w:sz w:val="22"/>
                <w:vertAlign w:val="superscript"/>
              </w:rPr>
              <w:t>4</w:t>
            </w:r>
            <w:r w:rsidR="008A6B58" w:rsidRPr="00AA3F64">
              <w:rPr>
                <w:rFonts w:cs="Times New Roman"/>
                <w:sz w:val="22"/>
              </w:rPr>
              <w:t>,</w:t>
            </w:r>
          </w:p>
          <w:p w14:paraId="3C616CC4" w14:textId="77777777" w:rsidR="008A6B58" w:rsidRPr="00AA3F64" w:rsidRDefault="008A6B58" w:rsidP="003F44A6">
            <w:pPr>
              <w:keepNext/>
              <w:rPr>
                <w:rStyle w:val="Oldalszm"/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perifériás ödéma</w:t>
            </w:r>
            <w:r w:rsidR="00716D57" w:rsidRPr="00AA3F64">
              <w:rPr>
                <w:rFonts w:cs="Times New Roman"/>
                <w:sz w:val="22"/>
                <w:vertAlign w:val="superscript"/>
              </w:rPr>
              <w:t>4</w:t>
            </w:r>
          </w:p>
        </w:tc>
        <w:tc>
          <w:tcPr>
            <w:tcW w:w="813" w:type="pct"/>
            <w:shd w:val="clear" w:color="auto" w:fill="auto"/>
          </w:tcPr>
          <w:p w14:paraId="00967891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279C1297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29820260" w14:textId="77777777" w:rsidR="008A6B58" w:rsidRPr="00AA3F64" w:rsidRDefault="008A6B58" w:rsidP="00AA3F64">
            <w:pPr>
              <w:pStyle w:val="Szvegtrzs"/>
              <w:keepNext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oedema</w:t>
            </w:r>
            <w:r w:rsidRPr="00AA3F64">
              <w:rPr>
                <w:sz w:val="22"/>
                <w:szCs w:val="22"/>
                <w:vertAlign w:val="superscript"/>
              </w:rPr>
              <w:t>2</w:t>
            </w:r>
          </w:p>
          <w:p w14:paraId="7BA1E1D8" w14:textId="77777777" w:rsidR="008A6B58" w:rsidRPr="00AA3F64" w:rsidRDefault="00144438" w:rsidP="00AA3F64">
            <w:pPr>
              <w:pStyle w:val="Szvegtrzs"/>
              <w:keepNext/>
              <w:spacing w:after="0"/>
              <w:rPr>
                <w:rStyle w:val="Oldalszm"/>
                <w:sz w:val="22"/>
                <w:szCs w:val="22"/>
              </w:rPr>
            </w:pPr>
            <w:r w:rsidRPr="00AA3F64">
              <w:rPr>
                <w:color w:val="auto"/>
                <w:sz w:val="22"/>
                <w:szCs w:val="22"/>
                <w:lang w:val="en-GB"/>
              </w:rPr>
              <w:t>asthenia</w:t>
            </w:r>
            <w:r w:rsidRPr="00AA3F64">
              <w:rPr>
                <w:color w:val="auto"/>
                <w:sz w:val="22"/>
                <w:szCs w:val="22"/>
                <w:vertAlign w:val="superscript"/>
                <w:lang w:val="en-GB"/>
              </w:rPr>
              <w:t>5</w:t>
            </w:r>
          </w:p>
        </w:tc>
      </w:tr>
      <w:tr w:rsidR="008A6B58" w:rsidRPr="00AA3F64" w14:paraId="6048235E" w14:textId="77777777" w:rsidTr="000C679A">
        <w:tc>
          <w:tcPr>
            <w:tcW w:w="934" w:type="pct"/>
            <w:shd w:val="clear" w:color="auto" w:fill="auto"/>
          </w:tcPr>
          <w:p w14:paraId="29132B0C" w14:textId="77777777" w:rsidR="008A6B58" w:rsidRPr="00AA3F64" w:rsidRDefault="008A6B58" w:rsidP="00AA3F64">
            <w:pPr>
              <w:pStyle w:val="Szvegtrzs"/>
              <w:spacing w:after="0"/>
              <w:rPr>
                <w:b/>
                <w:sz w:val="22"/>
                <w:szCs w:val="22"/>
              </w:rPr>
            </w:pPr>
            <w:r w:rsidRPr="00AA3F64">
              <w:rPr>
                <w:b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813" w:type="pct"/>
            <w:shd w:val="clear" w:color="auto" w:fill="auto"/>
          </w:tcPr>
          <w:p w14:paraId="5F6734A3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megnöveke-dett GPT-(ALAT) és/vagy GOT- (ASAT) értékek</w:t>
            </w:r>
            <w:r w:rsidR="00144438" w:rsidRPr="00AA3F64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813" w:type="pct"/>
            <w:shd w:val="clear" w:color="auto" w:fill="auto"/>
          </w:tcPr>
          <w:p w14:paraId="155B43C8" w14:textId="77777777" w:rsidR="00D76B56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megnöveke-dett CPK</w:t>
            </w:r>
            <w:r w:rsidR="00144438" w:rsidRPr="00AA3F64">
              <w:rPr>
                <w:sz w:val="22"/>
                <w:szCs w:val="22"/>
              </w:rPr>
              <w:t>-</w:t>
            </w:r>
            <w:r w:rsidRPr="00AA3F64">
              <w:rPr>
                <w:sz w:val="22"/>
                <w:szCs w:val="22"/>
              </w:rPr>
              <w:t>vérszint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  <w:r w:rsidRPr="00AA3F64">
              <w:rPr>
                <w:sz w:val="22"/>
                <w:szCs w:val="22"/>
              </w:rPr>
              <w:t>,</w:t>
            </w:r>
          </w:p>
          <w:p w14:paraId="69441F14" w14:textId="77777777" w:rsidR="00D76B56" w:rsidRPr="00AA3F64" w:rsidRDefault="008A6B58" w:rsidP="003F44A6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>megnöveke-dett gamma-glutamil-transzferáz-szint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  <w:r w:rsidRPr="00AA3F64">
              <w:rPr>
                <w:sz w:val="22"/>
                <w:szCs w:val="22"/>
              </w:rPr>
              <w:t>,</w:t>
            </w:r>
          </w:p>
          <w:p w14:paraId="756930C8" w14:textId="77777777" w:rsidR="008A6B58" w:rsidRPr="00AA3F64" w:rsidRDefault="008A6B58" w:rsidP="00391072">
            <w:pPr>
              <w:pStyle w:val="Szvegtrzs"/>
              <w:spacing w:after="0"/>
              <w:rPr>
                <w:sz w:val="22"/>
                <w:szCs w:val="22"/>
              </w:rPr>
            </w:pPr>
            <w:r w:rsidRPr="00AA3F64">
              <w:rPr>
                <w:sz w:val="22"/>
                <w:szCs w:val="22"/>
              </w:rPr>
              <w:t xml:space="preserve">a normálistól eltérő májfunkciós </w:t>
            </w:r>
            <w:r w:rsidR="00391072">
              <w:rPr>
                <w:sz w:val="22"/>
                <w:szCs w:val="22"/>
              </w:rPr>
              <w:t>laborértékek</w:t>
            </w:r>
            <w:r w:rsidRPr="00AA3F6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13" w:type="pct"/>
            <w:shd w:val="clear" w:color="auto" w:fill="auto"/>
          </w:tcPr>
          <w:p w14:paraId="5F8165C9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022AB70D" w14:textId="77777777" w:rsidR="008A6B58" w:rsidRPr="00AA3F64" w:rsidRDefault="008A6B58" w:rsidP="00AA3F64">
            <w:pPr>
              <w:pStyle w:val="Szvegtrzs"/>
              <w:spacing w:after="0"/>
              <w:rPr>
                <w:rStyle w:val="Oldalszm"/>
                <w:sz w:val="22"/>
                <w:szCs w:val="22"/>
              </w:rPr>
            </w:pPr>
          </w:p>
        </w:tc>
        <w:tc>
          <w:tcPr>
            <w:tcW w:w="813" w:type="pct"/>
            <w:shd w:val="clear" w:color="auto" w:fill="auto"/>
          </w:tcPr>
          <w:p w14:paraId="3BBD17D5" w14:textId="77777777" w:rsidR="008A6B58" w:rsidRPr="00AA3F64" w:rsidRDefault="008A6B58" w:rsidP="00AA3F64">
            <w:pPr>
              <w:pStyle w:val="Szvegtrzs"/>
              <w:spacing w:after="0"/>
              <w:rPr>
                <w:sz w:val="22"/>
                <w:szCs w:val="22"/>
              </w:rPr>
            </w:pPr>
          </w:p>
        </w:tc>
      </w:tr>
    </w:tbl>
    <w:p w14:paraId="4A81A796" w14:textId="77777777" w:rsidR="00BF2E22" w:rsidRPr="00AA3F64" w:rsidRDefault="00BF2E22" w:rsidP="003F44A6">
      <w:pPr>
        <w:widowControl w:val="0"/>
        <w:tabs>
          <w:tab w:val="left" w:pos="284"/>
          <w:tab w:val="left" w:pos="567"/>
        </w:tabs>
        <w:autoSpaceDE w:val="0"/>
        <w:autoSpaceDN w:val="0"/>
        <w:adjustRightInd w:val="0"/>
        <w:ind w:left="284" w:hanging="284"/>
        <w:rPr>
          <w:rFonts w:cs="Times New Roman"/>
          <w:sz w:val="22"/>
        </w:rPr>
      </w:pPr>
      <w:r w:rsidRPr="00AA3F64">
        <w:rPr>
          <w:rFonts w:cs="Times New Roman"/>
          <w:sz w:val="22"/>
          <w:vertAlign w:val="superscript"/>
        </w:rPr>
        <w:t>1</w:t>
      </w:r>
      <w:r w:rsidR="009225E2" w:rsidRPr="00AA3F64">
        <w:rPr>
          <w:rFonts w:cs="Times New Roman"/>
          <w:sz w:val="22"/>
          <w:vertAlign w:val="superscript"/>
        </w:rPr>
        <w:tab/>
      </w:r>
      <w:r w:rsidRPr="00AA3F64">
        <w:rPr>
          <w:rFonts w:cs="Times New Roman"/>
          <w:sz w:val="22"/>
        </w:rPr>
        <w:t>A gyakoriság a kockázati tényezők meglététől, ill</w:t>
      </w:r>
      <w:r w:rsidR="00144438" w:rsidRPr="00AA3F64">
        <w:rPr>
          <w:rFonts w:cs="Times New Roman"/>
          <w:sz w:val="22"/>
        </w:rPr>
        <w:t>etve</w:t>
      </w:r>
      <w:r w:rsidRPr="00AA3F64">
        <w:rPr>
          <w:rFonts w:cs="Times New Roman"/>
          <w:sz w:val="22"/>
        </w:rPr>
        <w:t xml:space="preserve"> hiányától függ (éhomi glükóz ≥</w:t>
      </w:r>
      <w:r w:rsidR="007031A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5,6 mmol/l, BMI &gt;</w:t>
      </w:r>
      <w:r w:rsidR="004B5991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30 kg/m</w:t>
      </w:r>
      <w:r w:rsidRPr="00AA3F64">
        <w:rPr>
          <w:rFonts w:cs="Times New Roman"/>
          <w:sz w:val="22"/>
          <w:vertAlign w:val="superscript"/>
        </w:rPr>
        <w:t>2</w:t>
      </w:r>
      <w:r w:rsidRPr="00AA3F64">
        <w:rPr>
          <w:rFonts w:cs="Times New Roman"/>
          <w:sz w:val="22"/>
        </w:rPr>
        <w:t>, megnövekedett trigliceridszint, a</w:t>
      </w:r>
      <w:r w:rsidR="00391072">
        <w:rPr>
          <w:rFonts w:cs="Times New Roman"/>
          <w:sz w:val="22"/>
        </w:rPr>
        <w:t>z</w:t>
      </w:r>
      <w:r w:rsidRPr="00AA3F64">
        <w:rPr>
          <w:rFonts w:cs="Times New Roman"/>
          <w:sz w:val="22"/>
        </w:rPr>
        <w:t xml:space="preserve"> </w:t>
      </w:r>
      <w:r w:rsidR="00391072">
        <w:rPr>
          <w:rFonts w:cs="Times New Roman"/>
          <w:sz w:val="22"/>
        </w:rPr>
        <w:t>anamnesis</w:t>
      </w:r>
      <w:r w:rsidR="00391072" w:rsidRPr="00AA3F64">
        <w:rPr>
          <w:rFonts w:cs="Times New Roman"/>
          <w:sz w:val="22"/>
        </w:rPr>
        <w:t xml:space="preserve">ben </w:t>
      </w:r>
      <w:r w:rsidRPr="00AA3F64">
        <w:rPr>
          <w:rFonts w:cs="Times New Roman"/>
          <w:sz w:val="22"/>
        </w:rPr>
        <w:t>hypertonia)</w:t>
      </w:r>
      <w:r w:rsidR="00144438" w:rsidRPr="00AA3F64">
        <w:rPr>
          <w:rFonts w:cs="Times New Roman"/>
          <w:sz w:val="22"/>
        </w:rPr>
        <w:t xml:space="preserve"> a rozuvasztatin esetében</w:t>
      </w:r>
      <w:r w:rsidRPr="00AA3F64">
        <w:rPr>
          <w:rFonts w:cs="Times New Roman"/>
          <w:sz w:val="22"/>
        </w:rPr>
        <w:t>.</w:t>
      </w:r>
    </w:p>
    <w:p w14:paraId="6B07088C" w14:textId="77777777" w:rsidR="008A6B58" w:rsidRPr="00AA3F64" w:rsidRDefault="008A6B58" w:rsidP="001749CE">
      <w:pPr>
        <w:tabs>
          <w:tab w:val="left" w:pos="284"/>
        </w:tabs>
        <w:autoSpaceDE w:val="0"/>
        <w:autoSpaceDN w:val="0"/>
        <w:adjustRightInd w:val="0"/>
        <w:ind w:left="284" w:hanging="284"/>
        <w:rPr>
          <w:rFonts w:cs="Times New Roman"/>
          <w:sz w:val="22"/>
        </w:rPr>
      </w:pPr>
      <w:r w:rsidRPr="00AA3F64">
        <w:rPr>
          <w:rFonts w:cs="Times New Roman"/>
          <w:sz w:val="22"/>
          <w:vertAlign w:val="superscript"/>
        </w:rPr>
        <w:t>2</w:t>
      </w:r>
      <w:r w:rsidRPr="00AA3F64">
        <w:rPr>
          <w:rFonts w:cs="Times New Roman"/>
          <w:sz w:val="22"/>
          <w:vertAlign w:val="superscript"/>
        </w:rPr>
        <w:tab/>
      </w:r>
      <w:r w:rsidRPr="00AA3F64">
        <w:rPr>
          <w:rFonts w:cs="Times New Roman"/>
          <w:sz w:val="22"/>
        </w:rPr>
        <w:t>A rozuvasztatin mellékhatásai a klinikai vizsgálatok adatai, valamint az eddigi posztmarketing tapasztalatok alapján.</w:t>
      </w:r>
    </w:p>
    <w:p w14:paraId="07DFC1A6" w14:textId="77777777" w:rsidR="008A6B58" w:rsidRPr="00AA3F64" w:rsidRDefault="008A6B58" w:rsidP="00AA3F64">
      <w:pPr>
        <w:tabs>
          <w:tab w:val="left" w:pos="284"/>
        </w:tabs>
        <w:autoSpaceDE w:val="0"/>
        <w:autoSpaceDN w:val="0"/>
        <w:adjustRightInd w:val="0"/>
        <w:ind w:left="284" w:hanging="284"/>
        <w:rPr>
          <w:rStyle w:val="y2iqfc"/>
          <w:rFonts w:cs="Times New Roman"/>
          <w:sz w:val="22"/>
        </w:rPr>
      </w:pPr>
      <w:r w:rsidRPr="00AA3F64">
        <w:rPr>
          <w:rFonts w:cs="Times New Roman"/>
          <w:sz w:val="22"/>
          <w:vertAlign w:val="superscript"/>
        </w:rPr>
        <w:t>3</w:t>
      </w:r>
      <w:r w:rsidRPr="00AA3F64">
        <w:rPr>
          <w:rFonts w:cs="Times New Roman"/>
          <w:sz w:val="22"/>
        </w:rPr>
        <w:tab/>
      </w:r>
      <w:r w:rsidRPr="00AA3F64">
        <w:rPr>
          <w:rStyle w:val="y2iqfc"/>
          <w:rFonts w:cs="Times New Roman"/>
          <w:sz w:val="22"/>
        </w:rPr>
        <w:t>Ezetimib monoterápiában</w:t>
      </w:r>
      <w:r w:rsidR="000037AE" w:rsidRPr="00AA3F64">
        <w:rPr>
          <w:rStyle w:val="y2iqfc"/>
          <w:rFonts w:cs="Times New Roman"/>
          <w:sz w:val="22"/>
        </w:rPr>
        <w:t xml:space="preserve"> alkalmazva</w:t>
      </w:r>
      <w:r w:rsidRPr="00AA3F64">
        <w:rPr>
          <w:rStyle w:val="y2iqfc"/>
          <w:rFonts w:cs="Times New Roman"/>
          <w:sz w:val="22"/>
        </w:rPr>
        <w:t xml:space="preserve">. </w:t>
      </w:r>
      <w:r w:rsidR="000037AE" w:rsidRPr="00AA3F64">
        <w:rPr>
          <w:rFonts w:cs="Times New Roman"/>
          <w:sz w:val="22"/>
        </w:rPr>
        <w:t>Az ezetimibet önmagában szedő betegeknél (n = 2396) a placebót kapó betegek körében megfigyeltnél nagyobb előfordulási aránnyal (n = 1159) megfigyelt mellékhatások.</w:t>
      </w:r>
    </w:p>
    <w:p w14:paraId="2E14A83D" w14:textId="77777777" w:rsidR="008A6B58" w:rsidRPr="00AA3F64" w:rsidRDefault="008A6B58" w:rsidP="00AA3F64">
      <w:pPr>
        <w:pStyle w:val="HTML-kntformzott"/>
        <w:tabs>
          <w:tab w:val="left" w:pos="284"/>
        </w:tabs>
        <w:ind w:left="284" w:hanging="284"/>
        <w:rPr>
          <w:rStyle w:val="y2iqfc"/>
          <w:rFonts w:ascii="Times New Roman" w:eastAsia="Calibri" w:hAnsi="Times New Roman" w:cs="Times New Roman"/>
          <w:sz w:val="22"/>
          <w:szCs w:val="22"/>
        </w:rPr>
      </w:pPr>
      <w:r w:rsidRPr="00AA3F64">
        <w:rPr>
          <w:rFonts w:ascii="Times New Roman" w:eastAsia="Calibri" w:hAnsi="Times New Roman" w:cs="Times New Roman"/>
          <w:sz w:val="22"/>
          <w:szCs w:val="22"/>
          <w:vertAlign w:val="superscript"/>
          <w:lang w:eastAsia="en-US"/>
        </w:rPr>
        <w:t>4</w:t>
      </w:r>
      <w:r w:rsidR="00E008A4" w:rsidRPr="00AA3F64">
        <w:rPr>
          <w:rFonts w:ascii="Times New Roman" w:eastAsia="Calibri" w:hAnsi="Times New Roman" w:cs="Times New Roman"/>
          <w:sz w:val="22"/>
          <w:szCs w:val="22"/>
          <w:vertAlign w:val="superscript"/>
          <w:lang w:eastAsia="en-US"/>
        </w:rPr>
        <w:tab/>
      </w:r>
      <w:r w:rsidRPr="00AA3F64">
        <w:rPr>
          <w:rStyle w:val="y2iqfc"/>
          <w:rFonts w:ascii="Times New Roman" w:eastAsia="Calibri" w:hAnsi="Times New Roman" w:cs="Times New Roman"/>
          <w:sz w:val="22"/>
          <w:szCs w:val="22"/>
        </w:rPr>
        <w:t xml:space="preserve">Ezetimib </w:t>
      </w:r>
      <w:r w:rsidR="000037AE" w:rsidRPr="00AA3F64">
        <w:rPr>
          <w:rFonts w:ascii="Times New Roman" w:hAnsi="Times New Roman" w:cs="Times New Roman"/>
          <w:sz w:val="22"/>
          <w:szCs w:val="22"/>
        </w:rPr>
        <w:t>együtt adva sztatinnal. Az ezetimibet valamely sztatinnal együtt szedő betegeknél (n = 11 308) a sztatint önmagában kapó betegek körében (n = 9361) megfigyeltnél nagyobb előfordulási aránnyal megfigyelt mellékhatások</w:t>
      </w:r>
      <w:r w:rsidRPr="00AA3F64">
        <w:rPr>
          <w:rStyle w:val="y2iqfc"/>
          <w:rFonts w:ascii="Times New Roman" w:eastAsia="Calibri" w:hAnsi="Times New Roman" w:cs="Times New Roman"/>
          <w:sz w:val="22"/>
          <w:szCs w:val="22"/>
        </w:rPr>
        <w:t>.</w:t>
      </w:r>
    </w:p>
    <w:p w14:paraId="69870912" w14:textId="77777777" w:rsidR="008A6B58" w:rsidRPr="00AA3F64" w:rsidRDefault="008A6B58" w:rsidP="00AA3F64">
      <w:pPr>
        <w:pStyle w:val="HTML-kntformzott"/>
        <w:tabs>
          <w:tab w:val="left" w:pos="284"/>
        </w:tabs>
        <w:ind w:left="284" w:hanging="284"/>
        <w:rPr>
          <w:rFonts w:ascii="Times New Roman" w:hAnsi="Times New Roman" w:cs="Times New Roman"/>
          <w:sz w:val="22"/>
          <w:szCs w:val="22"/>
        </w:rPr>
      </w:pPr>
      <w:r w:rsidRPr="00AA3F64">
        <w:rPr>
          <w:rFonts w:ascii="Times New Roman" w:eastAsia="Calibri" w:hAnsi="Times New Roman" w:cs="Times New Roman"/>
          <w:sz w:val="22"/>
          <w:szCs w:val="22"/>
          <w:vertAlign w:val="superscript"/>
          <w:lang w:eastAsia="en-US"/>
        </w:rPr>
        <w:t>5</w:t>
      </w:r>
      <w:r w:rsidR="00E008A4" w:rsidRPr="00AA3F64">
        <w:rPr>
          <w:rFonts w:ascii="Times New Roman" w:eastAsia="Calibri" w:hAnsi="Times New Roman" w:cs="Times New Roman"/>
          <w:sz w:val="22"/>
          <w:szCs w:val="22"/>
          <w:vertAlign w:val="superscript"/>
          <w:lang w:eastAsia="en-US"/>
        </w:rPr>
        <w:tab/>
      </w:r>
      <w:r w:rsidRPr="00AA3F64">
        <w:rPr>
          <w:rStyle w:val="y2iqfc"/>
          <w:rFonts w:ascii="Times New Roman" w:eastAsia="Calibri" w:hAnsi="Times New Roman" w:cs="Times New Roman"/>
          <w:sz w:val="22"/>
          <w:szCs w:val="22"/>
        </w:rPr>
        <w:t xml:space="preserve">Az </w:t>
      </w:r>
      <w:r w:rsidR="000037AE" w:rsidRPr="00AA3F64">
        <w:rPr>
          <w:rStyle w:val="y2iqfc"/>
          <w:rFonts w:ascii="Times New Roman" w:eastAsia="Calibri" w:hAnsi="Times New Roman" w:cs="Times New Roman"/>
          <w:sz w:val="22"/>
          <w:szCs w:val="22"/>
        </w:rPr>
        <w:t>forgalomba hozatalt követő ezetimib</w:t>
      </w:r>
      <w:r w:rsidR="00144438" w:rsidRPr="00AA3F64">
        <w:rPr>
          <w:rStyle w:val="y2iqfc"/>
          <w:rFonts w:ascii="Times New Roman" w:eastAsia="Calibri" w:hAnsi="Times New Roman" w:cs="Times New Roman"/>
          <w:sz w:val="22"/>
          <w:szCs w:val="22"/>
        </w:rPr>
        <w:t>-</w:t>
      </w:r>
      <w:r w:rsidR="000037AE" w:rsidRPr="00AA3F64">
        <w:rPr>
          <w:rStyle w:val="y2iqfc"/>
          <w:rFonts w:ascii="Times New Roman" w:eastAsia="Calibri" w:hAnsi="Times New Roman" w:cs="Times New Roman"/>
          <w:sz w:val="22"/>
          <w:szCs w:val="22"/>
        </w:rPr>
        <w:t>alkalmazás (sztatinnal együtt vagy anélkül) során jelentett egyéb mellékhatások. Mivel ezeket a mellékhatásokat spontán jelentésekből azonosították, a valódi gyakoriságuk nem ismert és nem becsülhető meg</w:t>
      </w:r>
      <w:r w:rsidRPr="00AA3F64">
        <w:rPr>
          <w:rStyle w:val="y2iqfc"/>
          <w:rFonts w:ascii="Times New Roman" w:eastAsia="Calibri" w:hAnsi="Times New Roman" w:cs="Times New Roman"/>
          <w:sz w:val="22"/>
          <w:szCs w:val="22"/>
        </w:rPr>
        <w:t>.</w:t>
      </w:r>
    </w:p>
    <w:p w14:paraId="7C73DA5E" w14:textId="77777777" w:rsidR="000037AE" w:rsidRPr="00AA3F64" w:rsidRDefault="000037AE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038D3865" w14:textId="77777777" w:rsidR="00120F83" w:rsidRPr="00AA3F64" w:rsidRDefault="00120F83" w:rsidP="004413F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Egyéb HMG</w:t>
      </w:r>
      <w:r w:rsidR="00770922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CoA</w:t>
      </w:r>
      <w:r w:rsidR="00770922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reduktáz</w:t>
      </w:r>
      <w:r w:rsidR="00603360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inhibitorokhoz hasonlóan a nemkívánatos mellékhatások előfordulási gyakorisága itt is dózisfüggő tendenciát mutat.</w:t>
      </w:r>
    </w:p>
    <w:p w14:paraId="5BB93210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6AC27291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i/>
          <w:sz w:val="22"/>
          <w:u w:val="single"/>
        </w:rPr>
        <w:t>Vesére gyakorolt hatások</w:t>
      </w:r>
      <w:r w:rsidRPr="00AA3F64">
        <w:rPr>
          <w:rFonts w:cs="Times New Roman"/>
          <w:i/>
          <w:sz w:val="22"/>
        </w:rPr>
        <w:t>:</w:t>
      </w:r>
      <w:r w:rsidRPr="00AA3F64">
        <w:rPr>
          <w:rFonts w:cs="Times New Roman"/>
          <w:sz w:val="22"/>
        </w:rPr>
        <w:t xml:space="preserve"> Rozuvasztatinnal kezelt betegekn</w:t>
      </w:r>
      <w:r w:rsidR="00391072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tesztcsík</w:t>
      </w:r>
      <w:r w:rsidR="00153F6F" w:rsidRPr="00AA3F64">
        <w:rPr>
          <w:rFonts w:cs="Times New Roman"/>
          <w:sz w:val="22"/>
        </w:rPr>
        <w:t>os</w:t>
      </w:r>
      <w:r w:rsidRPr="00AA3F64">
        <w:rPr>
          <w:rFonts w:cs="Times New Roman"/>
          <w:sz w:val="22"/>
        </w:rPr>
        <w:t xml:space="preserve"> vizsgálattal kimutatott, főleg tubul</w:t>
      </w:r>
      <w:r w:rsidR="00391072">
        <w:rPr>
          <w:rFonts w:cs="Times New Roman"/>
          <w:sz w:val="22"/>
        </w:rPr>
        <w:t>a</w:t>
      </w:r>
      <w:r w:rsidRPr="00AA3F64">
        <w:rPr>
          <w:rFonts w:cs="Times New Roman"/>
          <w:sz w:val="22"/>
        </w:rPr>
        <w:t>ris eredetű proteinuriát figyeltek meg. A vizeletben megjelenő fehérje mennyisége a nulla</w:t>
      </w:r>
      <w:r w:rsidR="00AA39D7" w:rsidRPr="00AA3F64">
        <w:rPr>
          <w:rFonts w:cs="Times New Roman"/>
          <w:sz w:val="22"/>
        </w:rPr>
        <w:t>,</w:t>
      </w:r>
      <w:r w:rsidRPr="00AA3F64">
        <w:rPr>
          <w:rFonts w:cs="Times New Roman"/>
          <w:sz w:val="22"/>
        </w:rPr>
        <w:t xml:space="preserve"> illetve nyomokban előforduló szinttől, </w:t>
      </w:r>
      <w:r w:rsidR="00391072">
        <w:rPr>
          <w:rFonts w:cs="Times New Roman"/>
          <w:sz w:val="22"/>
        </w:rPr>
        <w:t>–</w:t>
      </w:r>
      <w:r w:rsidRPr="00AA3F64">
        <w:rPr>
          <w:rFonts w:cs="Times New Roman"/>
          <w:sz w:val="22"/>
        </w:rPr>
        <w:t xml:space="preserve"> a 10 és 20</w:t>
      </w:r>
      <w:r w:rsidR="00955791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 xml:space="preserve">mg-os </w:t>
      </w:r>
      <w:r w:rsidR="00391072">
        <w:rPr>
          <w:rFonts w:cs="Times New Roman"/>
          <w:sz w:val="22"/>
        </w:rPr>
        <w:t>dóziss</w:t>
      </w:r>
      <w:r w:rsidR="00391072" w:rsidRPr="00AA3F64">
        <w:rPr>
          <w:rFonts w:cs="Times New Roman"/>
          <w:sz w:val="22"/>
        </w:rPr>
        <w:t xml:space="preserve">al </w:t>
      </w:r>
      <w:r w:rsidRPr="00AA3F64">
        <w:rPr>
          <w:rFonts w:cs="Times New Roman"/>
          <w:sz w:val="22"/>
        </w:rPr>
        <w:t xml:space="preserve">való kezelés során </w:t>
      </w:r>
      <w:r w:rsidR="00391072">
        <w:rPr>
          <w:rFonts w:cs="Times New Roman"/>
          <w:sz w:val="22"/>
        </w:rPr>
        <w:t>–</w:t>
      </w:r>
      <w:r w:rsidRPr="00AA3F64">
        <w:rPr>
          <w:rFonts w:cs="Times New Roman"/>
          <w:sz w:val="22"/>
        </w:rPr>
        <w:t xml:space="preserve"> a betegek &lt;</w:t>
      </w:r>
      <w:r w:rsidR="007031A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1%</w:t>
      </w:r>
      <w:r w:rsidR="00AA39D7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án</w:t>
      </w:r>
      <w:r w:rsidR="00391072">
        <w:rPr>
          <w:rFonts w:cs="Times New Roman"/>
          <w:sz w:val="22"/>
        </w:rPr>
        <w:t>ál</w:t>
      </w:r>
      <w:r w:rsidRPr="00AA3F64">
        <w:rPr>
          <w:rFonts w:cs="Times New Roman"/>
          <w:sz w:val="22"/>
        </w:rPr>
        <w:t xml:space="preserve"> emelkedett kétkeresztes (++) vagy ennél magasabb értékig. Ugyanez az emelkedés 40</w:t>
      </w:r>
      <w:r w:rsidR="00955791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mg</w:t>
      </w:r>
      <w:r w:rsidR="00AA39D7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 xml:space="preserve">os </w:t>
      </w:r>
      <w:r w:rsidR="00391072">
        <w:rPr>
          <w:rFonts w:cs="Times New Roman"/>
          <w:sz w:val="22"/>
        </w:rPr>
        <w:t>dóziss</w:t>
      </w:r>
      <w:r w:rsidR="00391072" w:rsidRPr="00AA3F64">
        <w:rPr>
          <w:rFonts w:cs="Times New Roman"/>
          <w:sz w:val="22"/>
        </w:rPr>
        <w:t xml:space="preserve">al </w:t>
      </w:r>
      <w:r w:rsidRPr="00AA3F64">
        <w:rPr>
          <w:rFonts w:cs="Times New Roman"/>
          <w:sz w:val="22"/>
        </w:rPr>
        <w:t>való kezelés mellett megközelítőleg a betegek 3%-án</w:t>
      </w:r>
      <w:r w:rsidR="00391072">
        <w:rPr>
          <w:rFonts w:cs="Times New Roman"/>
          <w:sz w:val="22"/>
        </w:rPr>
        <w:t>ál</w:t>
      </w:r>
      <w:r w:rsidRPr="00AA3F64">
        <w:rPr>
          <w:rFonts w:cs="Times New Roman"/>
          <w:sz w:val="22"/>
        </w:rPr>
        <w:t xml:space="preserve"> volt megfigyelhető. 20</w:t>
      </w:r>
      <w:r w:rsidR="00955791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mg</w:t>
      </w:r>
      <w:r w:rsidR="00AA39D7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 xml:space="preserve">os dózis alkalmazásakor a protein </w:t>
      </w:r>
      <w:r w:rsidR="00153F6F" w:rsidRPr="00AA3F64">
        <w:rPr>
          <w:rFonts w:cs="Times New Roman"/>
          <w:sz w:val="22"/>
        </w:rPr>
        <w:t xml:space="preserve">mennyiségének </w:t>
      </w:r>
      <w:r w:rsidRPr="00AA3F64">
        <w:rPr>
          <w:rFonts w:cs="Times New Roman"/>
          <w:sz w:val="22"/>
        </w:rPr>
        <w:t>nulláról</w:t>
      </w:r>
      <w:r w:rsidR="00AA39D7" w:rsidRPr="00AA3F64">
        <w:rPr>
          <w:rFonts w:cs="Times New Roman"/>
          <w:sz w:val="22"/>
        </w:rPr>
        <w:t>,</w:t>
      </w:r>
      <w:r w:rsidRPr="00AA3F64">
        <w:rPr>
          <w:rFonts w:cs="Times New Roman"/>
          <w:sz w:val="22"/>
        </w:rPr>
        <w:t xml:space="preserve"> illetve nyomokban előforduló értékről egy keresztre (+) történő változása valamivel gyakrabban fordult elő. Az esetek többségében a terápia folytatása mellett a proteinuria spontán csökken vagy megszűnik. A klinikai vizsgálatok és a </w:t>
      </w:r>
      <w:r w:rsidR="00BE452B" w:rsidRPr="00AA3F64">
        <w:rPr>
          <w:rFonts w:cs="Times New Roman"/>
          <w:sz w:val="22"/>
        </w:rPr>
        <w:t>posztmarketing-tapasztalatok</w:t>
      </w:r>
      <w:r w:rsidRPr="00AA3F64">
        <w:rPr>
          <w:rFonts w:cs="Times New Roman"/>
          <w:sz w:val="22"/>
        </w:rPr>
        <w:t xml:space="preserve"> adatainak elemzése nem igazolta az akut vagy súlyosbodó veseelégtelenség kialakulása és a proteinuria közötti összefüggést.</w:t>
      </w:r>
    </w:p>
    <w:p w14:paraId="40B20DF3" w14:textId="77777777" w:rsidR="00120F83" w:rsidRPr="00AA3F64" w:rsidRDefault="00120F83" w:rsidP="0063040C">
      <w:pPr>
        <w:widowControl w:val="0"/>
        <w:tabs>
          <w:tab w:val="left" w:pos="567"/>
        </w:tabs>
        <w:rPr>
          <w:rFonts w:cs="Times New Roman"/>
          <w:sz w:val="22"/>
        </w:rPr>
      </w:pPr>
      <w:r w:rsidRPr="00AA3F64">
        <w:rPr>
          <w:rFonts w:cs="Times New Roman"/>
          <w:sz w:val="22"/>
        </w:rPr>
        <w:t>A rozuvasztatinnal kezelt betegek</w:t>
      </w:r>
      <w:r w:rsidR="00F32A96" w:rsidRPr="00AA3F64">
        <w:rPr>
          <w:rFonts w:cs="Times New Roman"/>
          <w:sz w:val="22"/>
        </w:rPr>
        <w:t>nél</w:t>
      </w:r>
      <w:r w:rsidRPr="00AA3F64">
        <w:rPr>
          <w:rFonts w:cs="Times New Roman"/>
          <w:sz w:val="22"/>
        </w:rPr>
        <w:t xml:space="preserve"> megfigyelt haematuria előfordulása klinikai vizsgálati adatok alapján ritka.</w:t>
      </w:r>
    </w:p>
    <w:p w14:paraId="09CE04FD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FA20BFE" w14:textId="495B5110" w:rsidR="007B14CD" w:rsidRPr="00391072" w:rsidRDefault="00BE452B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bCs/>
          <w:i/>
          <w:sz w:val="22"/>
          <w:u w:val="single"/>
        </w:rPr>
        <w:t>Vázizomzatra</w:t>
      </w:r>
      <w:r w:rsidRPr="00AA3F64">
        <w:rPr>
          <w:rFonts w:cs="Times New Roman"/>
          <w:b/>
          <w:bCs/>
          <w:sz w:val="22"/>
          <w:u w:val="single"/>
        </w:rPr>
        <w:t xml:space="preserve"> </w:t>
      </w:r>
      <w:r w:rsidRPr="00AA3F64">
        <w:rPr>
          <w:rFonts w:cs="Times New Roman"/>
          <w:i/>
          <w:sz w:val="22"/>
          <w:u w:val="single"/>
        </w:rPr>
        <w:t>gyakorolt hatások</w:t>
      </w:r>
      <w:r w:rsidRPr="00AA3F64">
        <w:rPr>
          <w:rFonts w:cs="Times New Roman"/>
          <w:i/>
          <w:sz w:val="22"/>
        </w:rPr>
        <w:t>:</w:t>
      </w:r>
      <w:r w:rsidRPr="00AA3F64">
        <w:rPr>
          <w:rFonts w:cs="Times New Roman"/>
          <w:bCs/>
          <w:sz w:val="22"/>
        </w:rPr>
        <w:t xml:space="preserve"> </w:t>
      </w:r>
      <w:r w:rsidRPr="00AA3F64">
        <w:rPr>
          <w:rFonts w:cs="Times New Roman"/>
          <w:sz w:val="22"/>
        </w:rPr>
        <w:t xml:space="preserve">A vázizmok érintettségéről </w:t>
      </w:r>
      <w:r w:rsidR="0069572E" w:rsidRPr="00AA3F64">
        <w:rPr>
          <w:rFonts w:cs="Times New Roman"/>
          <w:sz w:val="22"/>
        </w:rPr>
        <w:t>–</w:t>
      </w:r>
      <w:r w:rsidRPr="00AA3F64">
        <w:rPr>
          <w:rFonts w:cs="Times New Roman"/>
          <w:sz w:val="22"/>
        </w:rPr>
        <w:t xml:space="preserve"> mint </w:t>
      </w:r>
      <w:r w:rsidR="00DB0AD7" w:rsidRPr="00AA3F64">
        <w:rPr>
          <w:rFonts w:cs="Times New Roman"/>
          <w:sz w:val="22"/>
        </w:rPr>
        <w:t>például</w:t>
      </w:r>
      <w:r w:rsidRPr="00AA3F64">
        <w:rPr>
          <w:rFonts w:cs="Times New Roman"/>
          <w:sz w:val="22"/>
        </w:rPr>
        <w:t xml:space="preserve"> myalgia, myopathia (beleértve a myositist is) és </w:t>
      </w:r>
      <w:r w:rsidR="00144438" w:rsidRPr="00AA3F64">
        <w:rPr>
          <w:rFonts w:cs="Times New Roman"/>
          <w:sz w:val="22"/>
        </w:rPr>
        <w:t xml:space="preserve">a </w:t>
      </w:r>
      <w:r w:rsidRPr="00AA3F64">
        <w:rPr>
          <w:rFonts w:cs="Times New Roman"/>
          <w:sz w:val="22"/>
        </w:rPr>
        <w:t>ritkán</w:t>
      </w:r>
      <w:r w:rsidR="00144438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 xml:space="preserve">rhabdomyolysis </w:t>
      </w:r>
      <w:r w:rsidR="00B5117B" w:rsidRPr="000B5C31">
        <w:rPr>
          <w:rFonts w:cs="Times New Roman"/>
          <w:sz w:val="22"/>
        </w:rPr>
        <w:t>akut veseelégtelenséggel vagy anélkül</w:t>
      </w:r>
      <w:r w:rsidR="00B5117B" w:rsidRPr="00E47DF2">
        <w:rPr>
          <w:rFonts w:cs="Times New Roman"/>
          <w:sz w:val="22"/>
        </w:rPr>
        <w:t xml:space="preserve"> </w:t>
      </w:r>
      <w:r w:rsidR="0069572E" w:rsidRPr="00AA3F64">
        <w:rPr>
          <w:rFonts w:cs="Times New Roman"/>
          <w:sz w:val="22"/>
        </w:rPr>
        <w:t>–</w:t>
      </w:r>
      <w:r w:rsidRPr="00AA3F64">
        <w:rPr>
          <w:rFonts w:cs="Times New Roman"/>
          <w:sz w:val="22"/>
        </w:rPr>
        <w:t xml:space="preserve"> számoltak be rozuvasztatinnal kezelt betegek </w:t>
      </w:r>
      <w:r w:rsidRPr="00391072">
        <w:rPr>
          <w:rFonts w:cs="Times New Roman"/>
          <w:sz w:val="22"/>
        </w:rPr>
        <w:t xml:space="preserve">esetében bármely dózis, de különösen 20 mg-nál nagyobb </w:t>
      </w:r>
      <w:r w:rsidR="00391072" w:rsidRPr="00D76690">
        <w:rPr>
          <w:sz w:val="22"/>
          <w:lang w:eastAsia="zh-CN"/>
        </w:rPr>
        <w:t>dózis</w:t>
      </w:r>
      <w:r w:rsidRPr="00391072">
        <w:rPr>
          <w:rFonts w:cs="Times New Roman"/>
          <w:sz w:val="22"/>
        </w:rPr>
        <w:t xml:space="preserve"> alkalmazásakor.</w:t>
      </w:r>
    </w:p>
    <w:p w14:paraId="46B2DDF3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rozuvasztatin</w:t>
      </w:r>
      <w:r w:rsidR="00603360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kezelésben részesülő betegekn</w:t>
      </w:r>
      <w:r w:rsidR="00C531FD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is megfigyelték a CK dózisfüggő emelkedését. Az esetek többségében ez enyhe, tünetmentes és átmeneti volt.</w:t>
      </w:r>
      <w:r w:rsidR="00E475C8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Amennyiben a CK-szint megemelkedik (&gt;</w:t>
      </w:r>
      <w:r w:rsidR="007031A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5</w:t>
      </w:r>
      <w:r w:rsidR="00603360" w:rsidRPr="00AA3F64">
        <w:rPr>
          <w:rFonts w:cs="Times New Roman"/>
          <w:sz w:val="22"/>
        </w:rPr>
        <w:t>×</w:t>
      </w:r>
      <w:r w:rsidRPr="00AA3F64">
        <w:rPr>
          <w:rFonts w:cs="Times New Roman"/>
          <w:sz w:val="22"/>
        </w:rPr>
        <w:t>ULN)</w:t>
      </w:r>
      <w:r w:rsidR="00E475C8" w:rsidRPr="00AA3F64">
        <w:rPr>
          <w:rFonts w:cs="Times New Roman"/>
          <w:sz w:val="22"/>
        </w:rPr>
        <w:t>,</w:t>
      </w:r>
      <w:r w:rsidRPr="00AA3F64">
        <w:rPr>
          <w:rFonts w:cs="Times New Roman"/>
          <w:sz w:val="22"/>
        </w:rPr>
        <w:t xml:space="preserve"> a kezelést fel kell függeszteni (lásd 4.4 pont).</w:t>
      </w:r>
    </w:p>
    <w:p w14:paraId="56F9827A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3D0F5BEF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bCs/>
          <w:i/>
          <w:sz w:val="22"/>
          <w:u w:val="single"/>
        </w:rPr>
        <w:lastRenderedPageBreak/>
        <w:t>Májra</w:t>
      </w:r>
      <w:r w:rsidRPr="00AA3F64">
        <w:rPr>
          <w:rFonts w:cs="Times New Roman"/>
          <w:i/>
          <w:sz w:val="22"/>
          <w:u w:val="single"/>
        </w:rPr>
        <w:t xml:space="preserve"> gyakorolt hatások</w:t>
      </w:r>
      <w:r w:rsidRPr="00AA3F64">
        <w:rPr>
          <w:rFonts w:cs="Times New Roman"/>
          <w:i/>
          <w:sz w:val="22"/>
        </w:rPr>
        <w:t>:</w:t>
      </w:r>
      <w:r w:rsidRPr="00AA3F64">
        <w:rPr>
          <w:rFonts w:cs="Times New Roman"/>
          <w:bCs/>
          <w:sz w:val="22"/>
        </w:rPr>
        <w:t xml:space="preserve"> </w:t>
      </w:r>
      <w:r w:rsidRPr="00AA3F64">
        <w:rPr>
          <w:rFonts w:cs="Times New Roman"/>
          <w:sz w:val="22"/>
        </w:rPr>
        <w:t>Mint egyéb HMG</w:t>
      </w:r>
      <w:r w:rsidR="00337A6C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CoA</w:t>
      </w:r>
      <w:r w:rsidR="00337A6C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reduktáz</w:t>
      </w:r>
      <w:r w:rsidR="0069572E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gátlóknál</w:t>
      </w:r>
      <w:r w:rsidR="00EC515D" w:rsidRPr="00AA3F64">
        <w:rPr>
          <w:rFonts w:cs="Times New Roman"/>
          <w:sz w:val="22"/>
        </w:rPr>
        <w:t>,</w:t>
      </w:r>
      <w:r w:rsidR="000449E6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a rozuvasztatin</w:t>
      </w:r>
      <w:r w:rsidR="00603360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kezelésben részesülő betegek </w:t>
      </w:r>
      <w:r w:rsidR="00EC515D" w:rsidRPr="00AA3F64">
        <w:rPr>
          <w:rFonts w:cs="Times New Roman"/>
          <w:sz w:val="22"/>
        </w:rPr>
        <w:t>egy kis részénél</w:t>
      </w:r>
      <w:r w:rsidRPr="00AA3F64">
        <w:rPr>
          <w:rFonts w:cs="Times New Roman"/>
          <w:sz w:val="22"/>
        </w:rPr>
        <w:t xml:space="preserve"> is megfigyelték a szérum</w:t>
      </w:r>
      <w:r w:rsidR="00954801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 xml:space="preserve">transzaminázok </w:t>
      </w:r>
      <w:r w:rsidR="00C531FD">
        <w:rPr>
          <w:rFonts w:cs="Times New Roman"/>
          <w:sz w:val="22"/>
        </w:rPr>
        <w:t xml:space="preserve">szintjének </w:t>
      </w:r>
      <w:r w:rsidRPr="00AA3F64">
        <w:rPr>
          <w:rFonts w:cs="Times New Roman"/>
          <w:sz w:val="22"/>
        </w:rPr>
        <w:t>dózisfüggő emelkedését. Az esetek nagy részében ez enyhe, tünetmentes és átmeneti volt.</w:t>
      </w:r>
    </w:p>
    <w:p w14:paraId="1146C2F5" w14:textId="77777777" w:rsidR="00073C80" w:rsidRPr="00AA3F64" w:rsidRDefault="00073C80" w:rsidP="00AA3F64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r w:rsidRPr="00AA3F64">
        <w:rPr>
          <w:color w:val="auto"/>
          <w:sz w:val="22"/>
          <w:szCs w:val="22"/>
          <w:lang w:val="hu-HU"/>
        </w:rPr>
        <w:t>A rhabdomyolysis</w:t>
      </w:r>
      <w:r w:rsidR="00C531FD">
        <w:rPr>
          <w:color w:val="auto"/>
          <w:sz w:val="22"/>
          <w:szCs w:val="22"/>
          <w:lang w:val="hu-HU"/>
        </w:rPr>
        <w:t>es</w:t>
      </w:r>
      <w:r w:rsidRPr="00AA3F64">
        <w:rPr>
          <w:color w:val="auto"/>
          <w:sz w:val="22"/>
          <w:szCs w:val="22"/>
          <w:lang w:val="hu-HU"/>
        </w:rPr>
        <w:t xml:space="preserve"> esetek, a súlyos vesetünetek és a súlyos májtünetek (főként transzaminázszint</w:t>
      </w:r>
      <w:r w:rsidR="00CD3E2E" w:rsidRPr="00AA3F64">
        <w:rPr>
          <w:color w:val="auto"/>
          <w:sz w:val="22"/>
          <w:szCs w:val="22"/>
          <w:lang w:val="hu-HU"/>
        </w:rPr>
        <w:t>-</w:t>
      </w:r>
      <w:r w:rsidRPr="00AA3F64">
        <w:rPr>
          <w:color w:val="auto"/>
          <w:sz w:val="22"/>
          <w:szCs w:val="22"/>
          <w:lang w:val="hu-HU"/>
        </w:rPr>
        <w:t>emelkedés) jelentési gyakorisága a 40 mg</w:t>
      </w:r>
      <w:r w:rsidRPr="00AA3F64">
        <w:rPr>
          <w:color w:val="auto"/>
          <w:sz w:val="22"/>
          <w:szCs w:val="22"/>
          <w:lang w:val="hu-HU"/>
        </w:rPr>
        <w:noBreakHyphen/>
        <w:t xml:space="preserve">os </w:t>
      </w:r>
      <w:r w:rsidR="00CF39C5" w:rsidRPr="00AA3F64">
        <w:rPr>
          <w:color w:val="auto"/>
          <w:sz w:val="22"/>
          <w:szCs w:val="22"/>
          <w:lang w:val="hu-HU"/>
        </w:rPr>
        <w:t>rozuvasztatin</w:t>
      </w:r>
      <w:r w:rsidR="00144438" w:rsidRPr="00AA3F64">
        <w:rPr>
          <w:color w:val="auto"/>
          <w:sz w:val="22"/>
          <w:szCs w:val="22"/>
          <w:lang w:val="hu-HU"/>
        </w:rPr>
        <w:t>-</w:t>
      </w:r>
      <w:r w:rsidRPr="00AA3F64">
        <w:rPr>
          <w:color w:val="auto"/>
          <w:sz w:val="22"/>
          <w:szCs w:val="22"/>
          <w:lang w:val="hu-HU"/>
        </w:rPr>
        <w:t>dózis alkalmazásakor magasabb.</w:t>
      </w:r>
    </w:p>
    <w:p w14:paraId="62B1F064" w14:textId="77777777" w:rsidR="00073C80" w:rsidRPr="00AA3F64" w:rsidRDefault="00073C80" w:rsidP="00AA3F64">
      <w:pPr>
        <w:pStyle w:val="Normal1"/>
        <w:tabs>
          <w:tab w:val="left" w:pos="567"/>
        </w:tabs>
        <w:suppressAutoHyphens w:val="0"/>
        <w:rPr>
          <w:bCs/>
          <w:color w:val="auto"/>
          <w:sz w:val="22"/>
          <w:szCs w:val="22"/>
          <w:lang w:val="hu-HU"/>
        </w:rPr>
      </w:pPr>
    </w:p>
    <w:p w14:paraId="5F601FCB" w14:textId="77777777" w:rsidR="009D648A" w:rsidRPr="00AA3F64" w:rsidRDefault="009D648A" w:rsidP="00AA3F64">
      <w:pPr>
        <w:pStyle w:val="Normal1"/>
        <w:tabs>
          <w:tab w:val="left" w:pos="567"/>
        </w:tabs>
        <w:suppressAutoHyphens w:val="0"/>
        <w:rPr>
          <w:i/>
          <w:color w:val="auto"/>
          <w:sz w:val="22"/>
          <w:szCs w:val="22"/>
          <w:lang w:val="hu-HU"/>
        </w:rPr>
      </w:pPr>
      <w:r w:rsidRPr="00AA3F64">
        <w:rPr>
          <w:i/>
          <w:color w:val="auto"/>
          <w:sz w:val="22"/>
          <w:szCs w:val="22"/>
          <w:lang w:val="hu-HU"/>
        </w:rPr>
        <w:t>Bizonyos sztatinok alkalmazása mellett az alábbi mellékhatásokról számoltak be:</w:t>
      </w:r>
    </w:p>
    <w:p w14:paraId="05B08511" w14:textId="77777777" w:rsidR="009D648A" w:rsidRPr="00AA3F64" w:rsidRDefault="009D648A" w:rsidP="00AA3F64">
      <w:pPr>
        <w:pStyle w:val="Normal1"/>
        <w:tabs>
          <w:tab w:val="left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AA3F64">
        <w:rPr>
          <w:color w:val="auto"/>
          <w:sz w:val="22"/>
          <w:szCs w:val="22"/>
          <w:lang w:val="hu-HU"/>
        </w:rPr>
        <w:t>-</w:t>
      </w:r>
      <w:r w:rsidRPr="00AA3F64">
        <w:rPr>
          <w:color w:val="auto"/>
          <w:sz w:val="22"/>
          <w:szCs w:val="22"/>
          <w:lang w:val="hu-HU"/>
        </w:rPr>
        <w:tab/>
        <w:t>szexuális diszfunkció,</w:t>
      </w:r>
    </w:p>
    <w:p w14:paraId="5FED9A3E" w14:textId="77777777" w:rsidR="009D648A" w:rsidRPr="00AA3F64" w:rsidRDefault="009D648A" w:rsidP="00AA3F64">
      <w:pPr>
        <w:pStyle w:val="Normal1"/>
        <w:tabs>
          <w:tab w:val="left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AA3F64">
        <w:rPr>
          <w:color w:val="auto"/>
          <w:sz w:val="22"/>
          <w:szCs w:val="22"/>
          <w:lang w:val="hu-HU"/>
        </w:rPr>
        <w:t>-</w:t>
      </w:r>
      <w:r w:rsidRPr="00AA3F64">
        <w:rPr>
          <w:color w:val="auto"/>
          <w:sz w:val="22"/>
          <w:szCs w:val="22"/>
          <w:lang w:val="hu-HU"/>
        </w:rPr>
        <w:tab/>
        <w:t>kivételes esetekben interstitialis tüdőbetegség, főleg hosszú távú terápia alkalmazásakor (lásd 4.4 pont).</w:t>
      </w:r>
    </w:p>
    <w:p w14:paraId="394317C9" w14:textId="77777777" w:rsidR="009D648A" w:rsidRPr="00AA3F64" w:rsidRDefault="009D648A" w:rsidP="003F44A6">
      <w:pPr>
        <w:pStyle w:val="Normal1"/>
        <w:tabs>
          <w:tab w:val="left" w:pos="567"/>
        </w:tabs>
        <w:suppressAutoHyphens w:val="0"/>
        <w:rPr>
          <w:bCs/>
          <w:color w:val="auto"/>
          <w:sz w:val="22"/>
          <w:szCs w:val="22"/>
          <w:lang w:val="hu-HU"/>
        </w:rPr>
      </w:pPr>
    </w:p>
    <w:p w14:paraId="5DF45D00" w14:textId="77777777" w:rsidR="00CF39C5" w:rsidRPr="00AA3F64" w:rsidRDefault="00CF39C5" w:rsidP="003F44A6">
      <w:pPr>
        <w:widowControl w:val="0"/>
        <w:rPr>
          <w:rFonts w:cs="Times New Roman"/>
          <w:i/>
          <w:sz w:val="22"/>
          <w:u w:val="single"/>
        </w:rPr>
      </w:pPr>
      <w:r w:rsidRPr="00AA3F64">
        <w:rPr>
          <w:rFonts w:cs="Times New Roman"/>
          <w:i/>
          <w:sz w:val="22"/>
          <w:u w:val="single"/>
        </w:rPr>
        <w:t>Laboratóriumi vizsgálatok eredményei</w:t>
      </w:r>
    </w:p>
    <w:p w14:paraId="02A0A0D2" w14:textId="77777777" w:rsidR="00CF39C5" w:rsidRPr="00AA3F64" w:rsidRDefault="00CF39C5" w:rsidP="003F44A6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Kontrollos, monoterápiát alkalmazó klinikai vizsgálatokban a klinikailag szignifikáns szérum transzamináz-szintek (</w:t>
      </w:r>
      <w:r w:rsidR="00C531FD">
        <w:rPr>
          <w:rFonts w:cs="Times New Roman"/>
          <w:sz w:val="22"/>
        </w:rPr>
        <w:t>GPT</w:t>
      </w:r>
      <w:r w:rsidRPr="00AA3F64">
        <w:rPr>
          <w:rFonts w:cs="Times New Roman"/>
          <w:sz w:val="22"/>
        </w:rPr>
        <w:t xml:space="preserve"> és/vagy </w:t>
      </w:r>
      <w:r w:rsidR="00C531FD">
        <w:rPr>
          <w:rFonts w:cs="Times New Roman"/>
          <w:sz w:val="22"/>
        </w:rPr>
        <w:t>GOT</w:t>
      </w:r>
      <w:r w:rsidRPr="00AA3F64">
        <w:rPr>
          <w:rFonts w:cs="Times New Roman"/>
          <w:sz w:val="22"/>
        </w:rPr>
        <w:t>, a</w:t>
      </w:r>
      <w:r w:rsidR="008E5BE4" w:rsidRPr="00AA3F64">
        <w:rPr>
          <w:rFonts w:cs="Times New Roman"/>
          <w:sz w:val="22"/>
        </w:rPr>
        <w:t>z</w:t>
      </w:r>
      <w:r w:rsidRPr="00AA3F64">
        <w:rPr>
          <w:rFonts w:cs="Times New Roman"/>
          <w:sz w:val="22"/>
        </w:rPr>
        <w:t xml:space="preserve"> </w:t>
      </w:r>
      <w:r w:rsidR="008E5BE4" w:rsidRPr="00AA3F64">
        <w:rPr>
          <w:rFonts w:cs="Times New Roman"/>
          <w:sz w:val="22"/>
        </w:rPr>
        <w:t xml:space="preserve">ULN </w:t>
      </w:r>
      <w:r w:rsidRPr="00AA3F64">
        <w:rPr>
          <w:rFonts w:cs="Times New Roman"/>
          <w:sz w:val="22"/>
        </w:rPr>
        <w:t>háromszorosát ismételten elérő, illetve meghaladó) emelkedésének incidenciája hasonló volt az ezetimib</w:t>
      </w:r>
      <w:r w:rsidR="00603360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 (0,5%) és a placebo</w:t>
      </w:r>
      <w:r w:rsidR="00603360" w:rsidRPr="00AA3F64">
        <w:rPr>
          <w:rFonts w:cs="Times New Roman"/>
          <w:sz w:val="22"/>
        </w:rPr>
        <w:t>kezelés</w:t>
      </w:r>
      <w:r w:rsidRPr="00AA3F64">
        <w:rPr>
          <w:rFonts w:cs="Times New Roman"/>
          <w:sz w:val="22"/>
        </w:rPr>
        <w:t xml:space="preserve"> (0,3%) esetén. A kombinációs klinikai vizsgálatokban ez az incidencia 1,3% volt az ezetimibet és valamely sztatint kombinációban szedő betegek és 0,4% volt a kizárólag sztatinnal kezelt betegek körében. A fenti szintek emelkedése általában klinikai tünetek nélkül jelentkezett, nem fordult elő egyidejű cholestasis, és a gyógyszerszedés megszakítása után, vagy a kezelés folytatása során a kiindulási értékre álltak vissza (lásd</w:t>
      </w:r>
      <w:r w:rsidR="00042DE9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4.4</w:t>
      </w:r>
      <w:r w:rsidR="00042DE9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pont).</w:t>
      </w:r>
    </w:p>
    <w:p w14:paraId="67464744" w14:textId="77777777" w:rsidR="00CF39C5" w:rsidRPr="00AA3F64" w:rsidRDefault="00CF39C5" w:rsidP="001749CE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Klinikai vizsgálatokban a normál felső határérték több mint tízszeresét érte el a CPK az ezetimibet önmagában kapó 1674 betegből </w:t>
      </w:r>
      <w:r w:rsidR="00603360" w:rsidRPr="00AA3F64">
        <w:rPr>
          <w:rFonts w:cs="Times New Roman"/>
          <w:sz w:val="22"/>
        </w:rPr>
        <w:t>4-</w:t>
      </w:r>
      <w:r w:rsidRPr="00AA3F64">
        <w:rPr>
          <w:rFonts w:cs="Times New Roman"/>
          <w:sz w:val="22"/>
        </w:rPr>
        <w:t>nél (0,2%), míg a 786 placebót kapó beteg</w:t>
      </w:r>
      <w:r w:rsidR="00603360" w:rsidRPr="00AA3F64">
        <w:rPr>
          <w:rFonts w:cs="Times New Roman"/>
          <w:sz w:val="22"/>
        </w:rPr>
        <w:t>ből</w:t>
      </w:r>
      <w:r w:rsidRPr="00AA3F64">
        <w:rPr>
          <w:rFonts w:cs="Times New Roman"/>
          <w:sz w:val="22"/>
        </w:rPr>
        <w:t xml:space="preserve"> </w:t>
      </w:r>
      <w:r w:rsidR="00603360" w:rsidRPr="00AA3F64">
        <w:rPr>
          <w:rFonts w:cs="Times New Roman"/>
          <w:sz w:val="22"/>
        </w:rPr>
        <w:t>1-</w:t>
      </w:r>
      <w:r w:rsidRPr="00AA3F64">
        <w:rPr>
          <w:rFonts w:cs="Times New Roman"/>
          <w:sz w:val="22"/>
        </w:rPr>
        <w:t xml:space="preserve">nél (0,1%). Az ezetimibet sztatinnal együtt alkalmazó betegeknél ez az arány 917-ből </w:t>
      </w:r>
      <w:r w:rsidR="00603360" w:rsidRPr="00AA3F64">
        <w:rPr>
          <w:rFonts w:cs="Times New Roman"/>
          <w:sz w:val="22"/>
        </w:rPr>
        <w:t>1</w:t>
      </w:r>
      <w:r w:rsidRPr="00AA3F64">
        <w:rPr>
          <w:rFonts w:cs="Times New Roman"/>
          <w:sz w:val="22"/>
        </w:rPr>
        <w:t xml:space="preserve"> (0,1%), míg a sztatint önmagában szedő betegeknél 929-ből </w:t>
      </w:r>
      <w:r w:rsidR="00603360" w:rsidRPr="00AA3F64">
        <w:rPr>
          <w:rFonts w:cs="Times New Roman"/>
          <w:sz w:val="22"/>
        </w:rPr>
        <w:t>4</w:t>
      </w:r>
      <w:r w:rsidRPr="00AA3F64">
        <w:rPr>
          <w:rFonts w:cs="Times New Roman"/>
          <w:sz w:val="22"/>
        </w:rPr>
        <w:t xml:space="preserve"> (0,4%) volt. A myopathia és a rhabdomyolysis előfordulása nem volt nagyobb arányú az ezetimibbel összefüggésben, mint a megfelelő kontroll csoportokban (placebo vagy sztatin önmagában) (lásd 4.4</w:t>
      </w:r>
      <w:r w:rsidR="0089144D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pont.).</w:t>
      </w:r>
    </w:p>
    <w:p w14:paraId="0E28F7A4" w14:textId="77777777" w:rsidR="00CF39C5" w:rsidRPr="00AA3F64" w:rsidRDefault="00CF39C5" w:rsidP="000037AE">
      <w:pPr>
        <w:pStyle w:val="Normal1"/>
        <w:tabs>
          <w:tab w:val="left" w:pos="567"/>
        </w:tabs>
        <w:suppressAutoHyphens w:val="0"/>
        <w:rPr>
          <w:bCs/>
          <w:color w:val="auto"/>
          <w:sz w:val="22"/>
          <w:szCs w:val="22"/>
          <w:lang w:val="hu-HU"/>
        </w:rPr>
      </w:pPr>
    </w:p>
    <w:p w14:paraId="54B10354" w14:textId="77777777" w:rsidR="007B14CD" w:rsidRPr="00AA3F64" w:rsidRDefault="00073C80" w:rsidP="004413FE">
      <w:pPr>
        <w:pStyle w:val="Normal1"/>
        <w:tabs>
          <w:tab w:val="left" w:pos="567"/>
        </w:tabs>
        <w:suppressAutoHyphens w:val="0"/>
        <w:rPr>
          <w:bCs/>
          <w:color w:val="auto"/>
          <w:sz w:val="22"/>
          <w:szCs w:val="22"/>
          <w:lang w:val="hu-HU"/>
        </w:rPr>
      </w:pPr>
      <w:r w:rsidRPr="00AA3F64">
        <w:rPr>
          <w:bCs/>
          <w:color w:val="auto"/>
          <w:sz w:val="22"/>
          <w:szCs w:val="22"/>
          <w:u w:val="single"/>
          <w:lang w:val="hu-HU"/>
        </w:rPr>
        <w:t>Gyermek</w:t>
      </w:r>
      <w:r w:rsidR="00F126F8" w:rsidRPr="00AA3F64">
        <w:rPr>
          <w:bCs/>
          <w:color w:val="auto"/>
          <w:sz w:val="22"/>
          <w:szCs w:val="22"/>
          <w:u w:val="single"/>
          <w:lang w:val="hu-HU"/>
        </w:rPr>
        <w:t>ek</w:t>
      </w:r>
      <w:r w:rsidR="007C3783" w:rsidRPr="00AA3F64">
        <w:rPr>
          <w:bCs/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25D98290" w14:textId="77777777" w:rsidR="00CF39C5" w:rsidRPr="00AA3F64" w:rsidRDefault="00CF39C5" w:rsidP="004413FE">
      <w:pPr>
        <w:widowControl w:val="0"/>
        <w:rPr>
          <w:rFonts w:cs="Times New Roman"/>
          <w:bCs/>
          <w:iCs/>
          <w:sz w:val="22"/>
        </w:rPr>
      </w:pPr>
      <w:r w:rsidRPr="00AA3F64">
        <w:rPr>
          <w:rFonts w:cs="Times New Roman"/>
          <w:bCs/>
          <w:iCs/>
          <w:sz w:val="22"/>
        </w:rPr>
        <w:t xml:space="preserve">A </w:t>
      </w:r>
      <w:r w:rsidR="00F0090B" w:rsidRPr="00AA3F64">
        <w:rPr>
          <w:rFonts w:cs="Times New Roman"/>
          <w:sz w:val="22"/>
        </w:rPr>
        <w:t xml:space="preserve">Co-Xeter </w:t>
      </w:r>
      <w:r w:rsidRPr="00AA3F64">
        <w:rPr>
          <w:rFonts w:cs="Times New Roman"/>
          <w:bCs/>
          <w:iCs/>
          <w:sz w:val="22"/>
        </w:rPr>
        <w:t>biztonságosságát és hatásosságát 18</w:t>
      </w:r>
      <w:r w:rsidR="009F1A95" w:rsidRPr="00AA3F64">
        <w:rPr>
          <w:rFonts w:cs="Times New Roman"/>
          <w:bCs/>
          <w:iCs/>
          <w:sz w:val="22"/>
        </w:rPr>
        <w:t>.</w:t>
      </w:r>
      <w:r w:rsidRPr="00AA3F64">
        <w:rPr>
          <w:rFonts w:cs="Times New Roman"/>
          <w:bCs/>
          <w:iCs/>
          <w:sz w:val="22"/>
        </w:rPr>
        <w:t> </w:t>
      </w:r>
      <w:r w:rsidR="009F1A95" w:rsidRPr="00AA3F64">
        <w:rPr>
          <w:rFonts w:cs="Times New Roman"/>
          <w:bCs/>
          <w:iCs/>
          <w:sz w:val="22"/>
        </w:rPr>
        <w:t>élet</w:t>
      </w:r>
      <w:r w:rsidRPr="00AA3F64">
        <w:rPr>
          <w:rFonts w:cs="Times New Roman"/>
          <w:bCs/>
          <w:iCs/>
          <w:sz w:val="22"/>
        </w:rPr>
        <w:t>év</w:t>
      </w:r>
      <w:r w:rsidR="009F1A95" w:rsidRPr="00AA3F64">
        <w:rPr>
          <w:rFonts w:cs="Times New Roman"/>
          <w:bCs/>
          <w:iCs/>
          <w:sz w:val="22"/>
        </w:rPr>
        <w:t>üket még be nem töltött</w:t>
      </w:r>
      <w:r w:rsidRPr="00AA3F64">
        <w:rPr>
          <w:rFonts w:cs="Times New Roman"/>
          <w:bCs/>
          <w:iCs/>
          <w:sz w:val="22"/>
        </w:rPr>
        <w:t xml:space="preserve"> gyermekeknél </w:t>
      </w:r>
      <w:r w:rsidR="009F1A95" w:rsidRPr="00AA3F64">
        <w:rPr>
          <w:rFonts w:cs="Times New Roman"/>
          <w:bCs/>
          <w:iCs/>
          <w:sz w:val="22"/>
        </w:rPr>
        <w:t xml:space="preserve">és serdülőknél </w:t>
      </w:r>
      <w:r w:rsidRPr="00AA3F64">
        <w:rPr>
          <w:rFonts w:cs="Times New Roman"/>
          <w:bCs/>
          <w:iCs/>
          <w:sz w:val="22"/>
        </w:rPr>
        <w:t>nem igazolták</w:t>
      </w:r>
      <w:r w:rsidR="00AA71BE" w:rsidRPr="00AA3F64">
        <w:rPr>
          <w:rFonts w:cs="Times New Roman"/>
          <w:bCs/>
          <w:iCs/>
          <w:sz w:val="22"/>
        </w:rPr>
        <w:t xml:space="preserve"> (l</w:t>
      </w:r>
      <w:r w:rsidR="005D3E5F" w:rsidRPr="00AA3F64">
        <w:rPr>
          <w:rFonts w:cs="Times New Roman"/>
          <w:bCs/>
          <w:iCs/>
          <w:sz w:val="22"/>
        </w:rPr>
        <w:t>ásd 5.1</w:t>
      </w:r>
      <w:r w:rsidR="00AA71BE" w:rsidRPr="00AA3F64">
        <w:rPr>
          <w:rFonts w:cs="Times New Roman"/>
          <w:bCs/>
          <w:iCs/>
          <w:sz w:val="22"/>
        </w:rPr>
        <w:t xml:space="preserve"> pont</w:t>
      </w:r>
      <w:r w:rsidR="005D3E5F" w:rsidRPr="00AA3F64">
        <w:rPr>
          <w:rFonts w:cs="Times New Roman"/>
          <w:bCs/>
          <w:iCs/>
          <w:sz w:val="22"/>
        </w:rPr>
        <w:t>)</w:t>
      </w:r>
      <w:r w:rsidRPr="00AA3F64">
        <w:rPr>
          <w:rFonts w:cs="Times New Roman"/>
          <w:bCs/>
          <w:iCs/>
          <w:sz w:val="22"/>
        </w:rPr>
        <w:t>.</w:t>
      </w:r>
    </w:p>
    <w:p w14:paraId="24728802" w14:textId="77777777" w:rsidR="00603360" w:rsidRPr="00AA3F64" w:rsidRDefault="00603360" w:rsidP="00BF22C9">
      <w:pPr>
        <w:widowControl w:val="0"/>
        <w:rPr>
          <w:rFonts w:cs="Times New Roman"/>
          <w:bCs/>
          <w:i/>
          <w:iCs/>
          <w:sz w:val="22"/>
        </w:rPr>
      </w:pPr>
    </w:p>
    <w:p w14:paraId="58D88952" w14:textId="77777777" w:rsidR="00073C80" w:rsidRPr="00AA3F64" w:rsidRDefault="00CF39C5" w:rsidP="00AA3F64">
      <w:pPr>
        <w:widowControl w:val="0"/>
        <w:rPr>
          <w:bCs/>
          <w:sz w:val="22"/>
        </w:rPr>
      </w:pPr>
      <w:r w:rsidRPr="00AA3F64">
        <w:rPr>
          <w:rFonts w:cs="Times New Roman"/>
          <w:bCs/>
          <w:i/>
          <w:iCs/>
          <w:sz w:val="22"/>
        </w:rPr>
        <w:t>Rozuv</w:t>
      </w:r>
      <w:r w:rsidR="006226A6" w:rsidRPr="00AA3F64">
        <w:rPr>
          <w:rFonts w:cs="Times New Roman"/>
          <w:bCs/>
          <w:i/>
          <w:iCs/>
          <w:sz w:val="22"/>
        </w:rPr>
        <w:t>a</w:t>
      </w:r>
      <w:r w:rsidRPr="00AA3F64">
        <w:rPr>
          <w:rFonts w:cs="Times New Roman"/>
          <w:bCs/>
          <w:i/>
          <w:iCs/>
          <w:sz w:val="22"/>
        </w:rPr>
        <w:t>sztatin</w:t>
      </w:r>
      <w:r w:rsidR="001C6471" w:rsidRPr="00AA3F64">
        <w:rPr>
          <w:rFonts w:cs="Times New Roman"/>
          <w:bCs/>
          <w:i/>
          <w:iCs/>
          <w:sz w:val="22"/>
        </w:rPr>
        <w:t xml:space="preserve">: </w:t>
      </w:r>
      <w:r w:rsidR="00CD3E2E" w:rsidRPr="00AA3F64">
        <w:rPr>
          <w:bCs/>
          <w:sz w:val="22"/>
        </w:rPr>
        <w:t>A k</w:t>
      </w:r>
      <w:r w:rsidR="00073C80" w:rsidRPr="00AA3F64">
        <w:rPr>
          <w:bCs/>
          <w:sz w:val="22"/>
        </w:rPr>
        <w:t>reatin</w:t>
      </w:r>
      <w:r w:rsidR="00603360" w:rsidRPr="00AA3F64">
        <w:rPr>
          <w:bCs/>
          <w:sz w:val="22"/>
        </w:rPr>
        <w:t>-</w:t>
      </w:r>
      <w:r w:rsidR="00073C80" w:rsidRPr="00AA3F64">
        <w:rPr>
          <w:bCs/>
          <w:sz w:val="22"/>
        </w:rPr>
        <w:t>kináz</w:t>
      </w:r>
      <w:r w:rsidR="00603360" w:rsidRPr="00AA3F64">
        <w:rPr>
          <w:bCs/>
          <w:sz w:val="22"/>
        </w:rPr>
        <w:t>-</w:t>
      </w:r>
      <w:r w:rsidR="00073C80" w:rsidRPr="00AA3F64">
        <w:rPr>
          <w:bCs/>
          <w:sz w:val="22"/>
        </w:rPr>
        <w:t xml:space="preserve">szintek </w:t>
      </w:r>
      <w:r w:rsidR="00073C80" w:rsidRPr="00AA3F64">
        <w:rPr>
          <w:sz w:val="22"/>
        </w:rPr>
        <w:t>&gt;</w:t>
      </w:r>
      <w:r w:rsidR="00397832" w:rsidRPr="00AA3F64">
        <w:rPr>
          <w:sz w:val="22"/>
        </w:rPr>
        <w:t> </w:t>
      </w:r>
      <w:r w:rsidR="00073C80" w:rsidRPr="00AA3F64">
        <w:rPr>
          <w:sz w:val="22"/>
        </w:rPr>
        <w:t>10</w:t>
      </w:r>
      <w:r w:rsidR="00603360" w:rsidRPr="00AA3F64">
        <w:rPr>
          <w:sz w:val="22"/>
        </w:rPr>
        <w:t>×</w:t>
      </w:r>
      <w:r w:rsidR="00073C80" w:rsidRPr="00AA3F64">
        <w:rPr>
          <w:sz w:val="22"/>
        </w:rPr>
        <w:t>ULN</w:t>
      </w:r>
      <w:r w:rsidR="00603360" w:rsidRPr="00AA3F64">
        <w:rPr>
          <w:sz w:val="22"/>
        </w:rPr>
        <w:t xml:space="preserve"> emelkedését</w:t>
      </w:r>
      <w:r w:rsidR="00073C80" w:rsidRPr="00AA3F64">
        <w:rPr>
          <w:sz w:val="22"/>
        </w:rPr>
        <w:t xml:space="preserve"> és izomtünetek jelentkezését </w:t>
      </w:r>
      <w:r w:rsidR="00772994" w:rsidRPr="00AA3F64">
        <w:rPr>
          <w:sz w:val="22"/>
        </w:rPr>
        <w:t>test</w:t>
      </w:r>
      <w:r w:rsidR="00073C80" w:rsidRPr="00AA3F64">
        <w:rPr>
          <w:sz w:val="22"/>
        </w:rPr>
        <w:t>mozgás vagy fokozott fizikai aktivitást követően gyakrabban figyelték meg egy 52</w:t>
      </w:r>
      <w:r w:rsidR="007031AC" w:rsidRPr="00AA3F64">
        <w:rPr>
          <w:sz w:val="22"/>
        </w:rPr>
        <w:t> </w:t>
      </w:r>
      <w:r w:rsidR="00073C80" w:rsidRPr="00AA3F64">
        <w:rPr>
          <w:sz w:val="22"/>
        </w:rPr>
        <w:t>hetes,</w:t>
      </w:r>
      <w:r w:rsidR="00073C80" w:rsidRPr="00AA3F64">
        <w:rPr>
          <w:b/>
          <w:bCs/>
          <w:sz w:val="22"/>
        </w:rPr>
        <w:t xml:space="preserve"> </w:t>
      </w:r>
      <w:r w:rsidR="00073C80" w:rsidRPr="00AA3F64">
        <w:rPr>
          <w:sz w:val="22"/>
        </w:rPr>
        <w:t>gyermekek és serdülők körében végzett klinikai vizsgálatban</w:t>
      </w:r>
      <w:r w:rsidR="00CD3E2E" w:rsidRPr="00AA3F64">
        <w:rPr>
          <w:sz w:val="22"/>
        </w:rPr>
        <w:t>, mint a</w:t>
      </w:r>
      <w:r w:rsidR="00073C80" w:rsidRPr="00AA3F64">
        <w:rPr>
          <w:sz w:val="22"/>
        </w:rPr>
        <w:t xml:space="preserve"> felnőttek</w:t>
      </w:r>
      <w:r w:rsidR="00CD3E2E" w:rsidRPr="00AA3F64">
        <w:rPr>
          <w:sz w:val="22"/>
        </w:rPr>
        <w:t>nél</w:t>
      </w:r>
      <w:r w:rsidR="00073C80" w:rsidRPr="00AA3F64">
        <w:rPr>
          <w:sz w:val="22"/>
        </w:rPr>
        <w:t xml:space="preserve"> (lásd 4.4</w:t>
      </w:r>
      <w:r w:rsidR="00411A3B" w:rsidRPr="00AA3F64">
        <w:rPr>
          <w:sz w:val="22"/>
        </w:rPr>
        <w:t xml:space="preserve"> </w:t>
      </w:r>
      <w:r w:rsidR="00073C80" w:rsidRPr="00AA3F64">
        <w:rPr>
          <w:sz w:val="22"/>
        </w:rPr>
        <w:t>pont). Más szempontból a rozuvasztatin biztonságossági profilja gyermekek és serdülők esetében a felnőttekéhez hasonló volt.</w:t>
      </w:r>
    </w:p>
    <w:p w14:paraId="0618EB67" w14:textId="77777777" w:rsidR="00397832" w:rsidRPr="00AA3F64" w:rsidRDefault="00397832" w:rsidP="000037AE">
      <w:pPr>
        <w:widowControl w:val="0"/>
        <w:autoSpaceDE w:val="0"/>
        <w:autoSpaceDN w:val="0"/>
        <w:adjustRightInd w:val="0"/>
        <w:rPr>
          <w:rFonts w:cs="Times New Roman"/>
          <w:bCs/>
          <w:i/>
          <w:sz w:val="22"/>
        </w:rPr>
      </w:pPr>
    </w:p>
    <w:p w14:paraId="286E5E3E" w14:textId="655D5449" w:rsidR="008A6B58" w:rsidRPr="00AA3F64" w:rsidRDefault="00CF39C5" w:rsidP="00AA3F64">
      <w:pPr>
        <w:widowControl w:val="0"/>
        <w:autoSpaceDE w:val="0"/>
        <w:autoSpaceDN w:val="0"/>
        <w:adjustRightInd w:val="0"/>
        <w:rPr>
          <w:rFonts w:cs="Times New Roman"/>
          <w:sz w:val="22"/>
        </w:rPr>
      </w:pPr>
      <w:proofErr w:type="gramStart"/>
      <w:r w:rsidRPr="00AA3F64">
        <w:rPr>
          <w:rFonts w:cs="Times New Roman"/>
          <w:bCs/>
          <w:i/>
          <w:sz w:val="22"/>
        </w:rPr>
        <w:t>Ezetimib</w:t>
      </w:r>
      <w:r w:rsidR="001C6471" w:rsidRPr="00AA3F64">
        <w:rPr>
          <w:rFonts w:cs="Times New Roman"/>
          <w:bCs/>
          <w:i/>
          <w:sz w:val="22"/>
        </w:rPr>
        <w:t>:</w:t>
      </w:r>
      <w:r w:rsidR="004B4B86">
        <w:rPr>
          <w:rFonts w:cs="Times New Roman"/>
          <w:bCs/>
          <w:i/>
          <w:sz w:val="22"/>
        </w:rPr>
        <w:t xml:space="preserve"> </w:t>
      </w:r>
      <w:r w:rsidR="008A6B58" w:rsidRPr="00AA3F64">
        <w:rPr>
          <w:rFonts w:cs="Times New Roman"/>
          <w:color w:val="000000"/>
          <w:sz w:val="22"/>
        </w:rPr>
        <w:t xml:space="preserve">Egy különálló vizsgálat során, amelyet heterozygota familiaris hypercholesterinaemiában szenvedő, (10 és betöltött 18. életév közötti) </w:t>
      </w:r>
      <w:r w:rsidR="00C531FD">
        <w:rPr>
          <w:rFonts w:cs="Times New Roman"/>
          <w:color w:val="000000"/>
          <w:sz w:val="22"/>
        </w:rPr>
        <w:t xml:space="preserve">gyermek- és </w:t>
      </w:r>
      <w:r w:rsidR="008A6B58" w:rsidRPr="00AA3F64">
        <w:rPr>
          <w:rFonts w:cs="Times New Roman"/>
          <w:color w:val="000000"/>
          <w:sz w:val="22"/>
        </w:rPr>
        <w:t xml:space="preserve">serdülőkorú betegek (n = 248) bevonásával végeztek, a GPT- (ALAT) és/vagy a GOT- (ASAT) értékek </w:t>
      </w:r>
      <w:r w:rsidR="008A6B58" w:rsidRPr="00AA3F64">
        <w:rPr>
          <w:rFonts w:cs="Times New Roman"/>
          <w:sz w:val="22"/>
        </w:rPr>
        <w:t>(</w:t>
      </w:r>
      <w:r w:rsidR="008A6B58" w:rsidRPr="00AA3F64">
        <w:rPr>
          <w:rFonts w:cs="Times New Roman"/>
          <w:color w:val="000000"/>
          <w:sz w:val="22"/>
        </w:rPr>
        <w:t>ULN háromszorosát ismételten elérő, illetve meghaladó</w:t>
      </w:r>
      <w:r w:rsidR="008A6B58" w:rsidRPr="00AA3F64">
        <w:rPr>
          <w:rFonts w:cs="Times New Roman"/>
          <w:sz w:val="22"/>
        </w:rPr>
        <w:t>) emelkedését figyelték meg az ezetimib/szimvasztatint kapó betegek 3%</w:t>
      </w:r>
      <w:r w:rsidR="008A6B58" w:rsidRPr="00AA3F64">
        <w:rPr>
          <w:rFonts w:cs="Times New Roman"/>
          <w:sz w:val="22"/>
        </w:rPr>
        <w:noBreakHyphen/>
        <w:t>ánál (4 beteg), összevetve a szimvasztatin</w:t>
      </w:r>
      <w:r w:rsidR="008A6B58" w:rsidRPr="00AA3F64">
        <w:rPr>
          <w:rFonts w:cs="Times New Roman"/>
          <w:sz w:val="22"/>
        </w:rPr>
        <w:noBreakHyphen/>
        <w:t>monoterápiában részesülő betegek között mért 2%</w:t>
      </w:r>
      <w:r w:rsidR="008A6B58" w:rsidRPr="00AA3F64">
        <w:rPr>
          <w:rFonts w:cs="Times New Roman"/>
          <w:sz w:val="22"/>
        </w:rPr>
        <w:noBreakHyphen/>
        <w:t>kal (2 beteg); míg a CPK</w:t>
      </w:r>
      <w:r w:rsidR="008A6B58" w:rsidRPr="00AA3F64">
        <w:rPr>
          <w:rFonts w:cs="Times New Roman"/>
          <w:sz w:val="22"/>
        </w:rPr>
        <w:noBreakHyphen/>
        <w:t xml:space="preserve">szint </w:t>
      </w:r>
      <w:r w:rsidR="008A6B58" w:rsidRPr="00AA3F64">
        <w:rPr>
          <w:rFonts w:cs="Times New Roman"/>
          <w:bCs/>
          <w:iCs/>
          <w:sz w:val="22"/>
        </w:rPr>
        <w:t xml:space="preserve">(≥ 10×ULN) </w:t>
      </w:r>
      <w:r w:rsidR="008A6B58" w:rsidRPr="00AA3F64">
        <w:rPr>
          <w:rFonts w:cs="Times New Roman"/>
          <w:sz w:val="22"/>
        </w:rPr>
        <w:t>emelkedését illetően az 2% volt (2 beteg) az ezetimib/szimvasztatin-csoportban, és 0% volt</w:t>
      </w:r>
      <w:proofErr w:type="gramEnd"/>
      <w:r w:rsidR="008A6B58" w:rsidRPr="00AA3F64">
        <w:rPr>
          <w:rFonts w:cs="Times New Roman"/>
          <w:sz w:val="22"/>
        </w:rPr>
        <w:t xml:space="preserve"> a szimvasztatin-monoterápiában részesülőknél. Nem jelentettek myopathiás esetet.</w:t>
      </w:r>
      <w:r w:rsidR="001C6471" w:rsidRPr="00AA3F64">
        <w:rPr>
          <w:rFonts w:cs="Times New Roman"/>
          <w:sz w:val="22"/>
        </w:rPr>
        <w:t xml:space="preserve"> </w:t>
      </w:r>
      <w:r w:rsidR="008A6B58" w:rsidRPr="00AA3F64">
        <w:rPr>
          <w:rFonts w:cs="Times New Roman"/>
          <w:sz w:val="22"/>
        </w:rPr>
        <w:t>Ezek a vizsgálatok nem voltak alkalmasak a ritka mellékhatások összehasonlítására.</w:t>
      </w:r>
    </w:p>
    <w:p w14:paraId="2D222640" w14:textId="77777777" w:rsidR="009D648A" w:rsidRPr="00AA3F64" w:rsidRDefault="009D648A" w:rsidP="000037AE">
      <w:pPr>
        <w:widowControl w:val="0"/>
        <w:autoSpaceDE w:val="0"/>
        <w:autoSpaceDN w:val="0"/>
        <w:adjustRightInd w:val="0"/>
        <w:rPr>
          <w:rFonts w:cs="Times New Roman"/>
          <w:bCs/>
          <w:i/>
          <w:sz w:val="22"/>
        </w:rPr>
      </w:pPr>
    </w:p>
    <w:p w14:paraId="122221CC" w14:textId="77777777" w:rsidR="00CF39C5" w:rsidRPr="00AA3F64" w:rsidRDefault="00CF39C5" w:rsidP="00AA3F64">
      <w:pPr>
        <w:pStyle w:val="Default"/>
        <w:rPr>
          <w:rFonts w:ascii="Times New Roman" w:hAnsi="Times New Roman" w:cs="Times New Roman"/>
          <w:i/>
          <w:iCs/>
          <w:color w:val="auto"/>
          <w:sz w:val="22"/>
          <w:szCs w:val="22"/>
        </w:rPr>
      </w:pPr>
      <w:r w:rsidRPr="00AA3F64">
        <w:rPr>
          <w:rFonts w:ascii="Times New Roman" w:hAnsi="Times New Roman" w:cs="Times New Roman"/>
          <w:i/>
          <w:iCs/>
          <w:color w:val="auto"/>
          <w:sz w:val="22"/>
          <w:szCs w:val="22"/>
        </w:rPr>
        <w:t>6</w:t>
      </w:r>
      <w:r w:rsidR="005C3E44" w:rsidRPr="00AA3F64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és </w:t>
      </w:r>
      <w:r w:rsidR="009E7096" w:rsidRPr="00AA3F64">
        <w:rPr>
          <w:rFonts w:ascii="Times New Roman" w:hAnsi="Times New Roman" w:cs="Times New Roman"/>
          <w:i/>
          <w:iCs/>
          <w:color w:val="auto"/>
          <w:sz w:val="22"/>
          <w:szCs w:val="22"/>
        </w:rPr>
        <w:t>betöltött 18</w:t>
      </w:r>
      <w:r w:rsidRPr="00AA3F64">
        <w:rPr>
          <w:rFonts w:ascii="Times New Roman" w:hAnsi="Times New Roman" w:cs="Times New Roman"/>
          <w:i/>
          <w:iCs/>
          <w:color w:val="auto"/>
          <w:sz w:val="22"/>
          <w:szCs w:val="22"/>
        </w:rPr>
        <w:t> éves kor között</w:t>
      </w:r>
      <w:r w:rsidR="00ED58E8" w:rsidRPr="00AA3F64">
        <w:rPr>
          <w:rFonts w:ascii="Times New Roman" w:hAnsi="Times New Roman" w:cs="Times New Roman"/>
          <w:i/>
          <w:iCs/>
          <w:color w:val="auto"/>
          <w:sz w:val="22"/>
          <w:szCs w:val="22"/>
        </w:rPr>
        <w:t>i gyermekek</w:t>
      </w:r>
      <w:r w:rsidR="009E7096" w:rsidRPr="00AA3F64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és serdülők</w:t>
      </w:r>
    </w:p>
    <w:p w14:paraId="42773998" w14:textId="77777777" w:rsidR="00CF39C5" w:rsidRPr="00AA3F64" w:rsidRDefault="00CF39C5" w:rsidP="003F44A6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Egy heteroz</w:t>
      </w:r>
      <w:r w:rsidR="00603360" w:rsidRPr="00AA3F64">
        <w:rPr>
          <w:rFonts w:cs="Times New Roman"/>
          <w:sz w:val="22"/>
        </w:rPr>
        <w:t>y</w:t>
      </w:r>
      <w:r w:rsidRPr="00AA3F64">
        <w:rPr>
          <w:rFonts w:cs="Times New Roman"/>
          <w:sz w:val="22"/>
        </w:rPr>
        <w:t>g</w:t>
      </w:r>
      <w:r w:rsidR="00603360" w:rsidRPr="00AA3F64">
        <w:rPr>
          <w:rFonts w:cs="Times New Roman"/>
          <w:sz w:val="22"/>
        </w:rPr>
        <w:t>o</w:t>
      </w:r>
      <w:r w:rsidRPr="00AA3F64">
        <w:rPr>
          <w:rFonts w:cs="Times New Roman"/>
          <w:sz w:val="22"/>
        </w:rPr>
        <w:t>ta familiaris és nem</w:t>
      </w:r>
      <w:r w:rsidR="009F1A95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familiaris hypercholesterinaemiában szenvedő gyermek</w:t>
      </w:r>
      <w:r w:rsidR="00C531FD">
        <w:rPr>
          <w:rFonts w:cs="Times New Roman"/>
          <w:sz w:val="22"/>
        </w:rPr>
        <w:t>ek</w:t>
      </w:r>
      <w:r w:rsidRPr="00AA3F64">
        <w:rPr>
          <w:rFonts w:cs="Times New Roman"/>
          <w:sz w:val="22"/>
        </w:rPr>
        <w:t xml:space="preserve"> (6</w:t>
      </w:r>
      <w:r w:rsidRPr="00AA3F64">
        <w:rPr>
          <w:rFonts w:cs="Times New Roman"/>
          <w:sz w:val="22"/>
        </w:rPr>
        <w:noBreakHyphen/>
        <w:t xml:space="preserve">10 éves korú) bevonásával végzett vizsgálatban (n = 138) a </w:t>
      </w:r>
      <w:r w:rsidR="00C531FD">
        <w:rPr>
          <w:rFonts w:cs="Times New Roman"/>
          <w:sz w:val="22"/>
        </w:rPr>
        <w:t>GPT</w:t>
      </w:r>
      <w:r w:rsidR="00603360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 és/vagy a </w:t>
      </w:r>
      <w:r w:rsidR="00C531FD">
        <w:rPr>
          <w:rFonts w:cs="Times New Roman"/>
          <w:sz w:val="22"/>
        </w:rPr>
        <w:t>GO</w:t>
      </w:r>
      <w:r w:rsidRPr="00AA3F64">
        <w:rPr>
          <w:rFonts w:cs="Times New Roman"/>
          <w:sz w:val="22"/>
        </w:rPr>
        <w:t>T</w:t>
      </w:r>
      <w:r w:rsidR="00397832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értékek (</w:t>
      </w:r>
      <w:r w:rsidR="008E5BE4" w:rsidRPr="00AA3F64">
        <w:rPr>
          <w:rFonts w:cs="Times New Roman"/>
          <w:sz w:val="22"/>
        </w:rPr>
        <w:t xml:space="preserve">ULN </w:t>
      </w:r>
      <w:r w:rsidRPr="00AA3F64">
        <w:rPr>
          <w:rFonts w:cs="Times New Roman"/>
          <w:sz w:val="22"/>
        </w:rPr>
        <w:t>háromszorosát ismételten elérő, illetve meghaladó) emelkedését figyelték meg az ezetimibet kapó betegek 1,1%</w:t>
      </w:r>
      <w:r w:rsidRPr="00AA3F64">
        <w:rPr>
          <w:rFonts w:cs="Times New Roman"/>
          <w:sz w:val="22"/>
        </w:rPr>
        <w:noBreakHyphen/>
        <w:t>ánál (1 beteg), szemben a 0%</w:t>
      </w:r>
      <w:r w:rsidRPr="00AA3F64">
        <w:rPr>
          <w:rFonts w:cs="Times New Roman"/>
          <w:sz w:val="22"/>
        </w:rPr>
        <w:noBreakHyphen/>
        <w:t>kal a placebocsoportban. A CPK</w:t>
      </w:r>
      <w:r w:rsidRPr="00AA3F64">
        <w:rPr>
          <w:rFonts w:cs="Times New Roman"/>
          <w:sz w:val="22"/>
        </w:rPr>
        <w:noBreakHyphen/>
        <w:t>szint (≥ 10 </w:t>
      </w:r>
      <w:r w:rsidR="00603360" w:rsidRPr="00AA3F64">
        <w:rPr>
          <w:rFonts w:cs="Times New Roman"/>
          <w:sz w:val="22"/>
        </w:rPr>
        <w:t>×</w:t>
      </w:r>
      <w:r w:rsidR="008E5BE4" w:rsidRPr="00AA3F64">
        <w:rPr>
          <w:rFonts w:cs="Times New Roman"/>
          <w:sz w:val="22"/>
        </w:rPr>
        <w:t>ULN</w:t>
      </w:r>
      <w:r w:rsidRPr="00AA3F64">
        <w:rPr>
          <w:rFonts w:cs="Times New Roman"/>
          <w:sz w:val="22"/>
        </w:rPr>
        <w:t>) nem emelkedett. Myopathiáról nem számoltak be.</w:t>
      </w:r>
    </w:p>
    <w:p w14:paraId="72E955AE" w14:textId="77777777" w:rsidR="00CF39C5" w:rsidRPr="00AA3F64" w:rsidRDefault="00CF39C5" w:rsidP="001749CE">
      <w:pPr>
        <w:widowControl w:val="0"/>
        <w:rPr>
          <w:rFonts w:cs="Times New Roman"/>
          <w:sz w:val="22"/>
        </w:rPr>
      </w:pPr>
    </w:p>
    <w:p w14:paraId="7C88EFC4" w14:textId="77777777" w:rsidR="007B14CD" w:rsidRPr="00AA3F64" w:rsidRDefault="007B14CD" w:rsidP="001749CE">
      <w:pPr>
        <w:widowControl w:val="0"/>
        <w:rPr>
          <w:rFonts w:cs="Times New Roman"/>
          <w:sz w:val="22"/>
          <w:u w:val="single"/>
        </w:rPr>
      </w:pPr>
      <w:r w:rsidRPr="00AA3F64">
        <w:rPr>
          <w:rFonts w:cs="Times New Roman"/>
          <w:sz w:val="22"/>
          <w:u w:val="single"/>
        </w:rPr>
        <w:t>Feltételezett mellékhatások bejelentése</w:t>
      </w:r>
    </w:p>
    <w:p w14:paraId="2C632046" w14:textId="25D1DC67" w:rsidR="007B14CD" w:rsidRPr="00AA3F64" w:rsidRDefault="007B14CD" w:rsidP="004413FE">
      <w:pPr>
        <w:widowControl w:val="0"/>
        <w:rPr>
          <w:rFonts w:cs="Times New Roman"/>
          <w:bCs/>
          <w:sz w:val="22"/>
        </w:rPr>
      </w:pPr>
      <w:r w:rsidRPr="00AA3F64">
        <w:rPr>
          <w:rFonts w:cs="Times New Roman"/>
          <w:sz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1C6471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 xml:space="preserve">Az egészségügyi szakembereket kérjük, hogy jelentsék be a feltételezett mellékhatásokat a </w:t>
      </w:r>
      <w:r w:rsidRPr="00AA3F64">
        <w:rPr>
          <w:rFonts w:cs="Times New Roman"/>
          <w:sz w:val="22"/>
        </w:rPr>
        <w:lastRenderedPageBreak/>
        <w:t xml:space="preserve">hatóság részére az </w:t>
      </w:r>
      <w:hyperlink r:id="rId11" w:history="1">
        <w:r w:rsidRPr="00836CF3">
          <w:rPr>
            <w:rStyle w:val="Hiperhivatkozs"/>
            <w:rFonts w:cs="Times New Roman"/>
            <w:color w:val="auto"/>
            <w:sz w:val="22"/>
            <w:highlight w:val="lightGray"/>
          </w:rPr>
          <w:t>V. függelékben</w:t>
        </w:r>
      </w:hyperlink>
      <w:r w:rsidRPr="00836CF3">
        <w:rPr>
          <w:rFonts w:cs="Times New Roman"/>
          <w:sz w:val="22"/>
          <w:highlight w:val="lightGray"/>
        </w:rPr>
        <w:t xml:space="preserve"> található elérhetőségek valamelyikén keresztül</w:t>
      </w:r>
      <w:r w:rsidRPr="00AA3F64">
        <w:rPr>
          <w:rFonts w:cs="Times New Roman"/>
          <w:sz w:val="22"/>
        </w:rPr>
        <w:t>.</w:t>
      </w:r>
    </w:p>
    <w:p w14:paraId="71D9F0D2" w14:textId="77777777" w:rsidR="007B14CD" w:rsidRPr="00AA3F64" w:rsidRDefault="007B14CD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50F8AEDC" w14:textId="77777777" w:rsidR="00120F83" w:rsidRPr="00AA3F64" w:rsidRDefault="00120F83" w:rsidP="00BF22C9">
      <w:pPr>
        <w:keepNext/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4.9</w:t>
      </w:r>
      <w:r w:rsidRPr="00AA3F64">
        <w:rPr>
          <w:rFonts w:cs="Times New Roman"/>
          <w:b/>
          <w:bCs/>
          <w:sz w:val="22"/>
        </w:rPr>
        <w:tab/>
        <w:t>Túladagolás</w:t>
      </w:r>
    </w:p>
    <w:p w14:paraId="6F591073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46D90683" w14:textId="77777777" w:rsidR="00127551" w:rsidRPr="00AA3F64" w:rsidRDefault="00603360" w:rsidP="0063040C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r</w:t>
      </w:r>
      <w:r w:rsidR="00127551" w:rsidRPr="00AA3F64">
        <w:rPr>
          <w:rFonts w:cs="Times New Roman"/>
          <w:sz w:val="22"/>
        </w:rPr>
        <w:t>ozuvasztatin túladagolására vonatkozóan nincsenek publikált irodalmi adatok.</w:t>
      </w:r>
    </w:p>
    <w:p w14:paraId="0EDB9773" w14:textId="77777777" w:rsidR="00127551" w:rsidRPr="00AA3F64" w:rsidRDefault="00120F83" w:rsidP="0063040C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Túladagolás esetére nincs speciális kezelési mód.</w:t>
      </w:r>
    </w:p>
    <w:p w14:paraId="194DD1AC" w14:textId="77777777" w:rsidR="00127551" w:rsidRPr="00AA3F64" w:rsidRDefault="00127551" w:rsidP="0063040C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15 egészséges vizsgálati alanyn</w:t>
      </w:r>
      <w:r w:rsidR="00C531FD">
        <w:rPr>
          <w:rFonts w:cs="Times New Roman"/>
          <w:sz w:val="22"/>
        </w:rPr>
        <w:t>ál</w:t>
      </w:r>
      <w:r w:rsidRPr="00AA3F64">
        <w:rPr>
          <w:rFonts w:cs="Times New Roman"/>
          <w:sz w:val="22"/>
        </w:rPr>
        <w:t>, napi 50 mg ezetimib alkalmazásával, maximum 14 napon át folytatott kezelés, valamint a 18 primaer hypercholesterinaemiában szenvedő vizsgálati alanyn</w:t>
      </w:r>
      <w:r w:rsidR="00C531FD">
        <w:rPr>
          <w:rFonts w:cs="Times New Roman"/>
          <w:sz w:val="22"/>
        </w:rPr>
        <w:t>ál</w:t>
      </w:r>
      <w:r w:rsidRPr="00AA3F64">
        <w:rPr>
          <w:rFonts w:cs="Times New Roman"/>
          <w:sz w:val="22"/>
        </w:rPr>
        <w:t>, napi 40 mg ezetimib alkalmazásával, maximum 56 napon át folytatott kezelés általában jól tolerálhatónak bizonyult. Állatok</w:t>
      </w:r>
      <w:r w:rsidR="009F1A95" w:rsidRPr="00AA3F64">
        <w:rPr>
          <w:rFonts w:cs="Times New Roman"/>
          <w:sz w:val="22"/>
        </w:rPr>
        <w:t>kal</w:t>
      </w:r>
      <w:r w:rsidRPr="00AA3F64">
        <w:rPr>
          <w:rFonts w:cs="Times New Roman"/>
          <w:sz w:val="22"/>
        </w:rPr>
        <w:t xml:space="preserve"> végzett vizsgálatokban, patkányn</w:t>
      </w:r>
      <w:r w:rsidR="00C531FD">
        <w:rPr>
          <w:rFonts w:cs="Times New Roman"/>
          <w:sz w:val="22"/>
        </w:rPr>
        <w:t>ál</w:t>
      </w:r>
      <w:r w:rsidRPr="00AA3F64">
        <w:rPr>
          <w:rFonts w:cs="Times New Roman"/>
          <w:sz w:val="22"/>
        </w:rPr>
        <w:t xml:space="preserve"> és egérn</w:t>
      </w:r>
      <w:r w:rsidR="00C531FD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az ezetimib egyszeri 5000 mg/ttkg </w:t>
      </w:r>
      <w:r w:rsidRPr="00AA3F64">
        <w:rPr>
          <w:rFonts w:cs="Times New Roman"/>
          <w:i/>
          <w:sz w:val="22"/>
        </w:rPr>
        <w:t>per os</w:t>
      </w:r>
      <w:r w:rsidRPr="00AA3F64">
        <w:rPr>
          <w:rFonts w:cs="Times New Roman"/>
          <w:sz w:val="22"/>
        </w:rPr>
        <w:t xml:space="preserve"> dózisa, kutyákon az egyszeri 3000 mg/ttkg </w:t>
      </w:r>
      <w:r w:rsidRPr="00AA3F64">
        <w:rPr>
          <w:rFonts w:cs="Times New Roman"/>
          <w:i/>
          <w:sz w:val="22"/>
        </w:rPr>
        <w:t>per os</w:t>
      </w:r>
      <w:r w:rsidRPr="00AA3F64">
        <w:rPr>
          <w:rFonts w:cs="Times New Roman"/>
          <w:sz w:val="22"/>
        </w:rPr>
        <w:t xml:space="preserve"> dózisa nem váltott ki toxikus tüneteket.</w:t>
      </w:r>
    </w:p>
    <w:p w14:paraId="5971847B" w14:textId="77777777" w:rsidR="001C6471" w:rsidRPr="00AA3F64" w:rsidRDefault="001C6471" w:rsidP="000037AE">
      <w:pPr>
        <w:widowControl w:val="0"/>
        <w:rPr>
          <w:rFonts w:cs="Times New Roman"/>
          <w:sz w:val="22"/>
        </w:rPr>
      </w:pPr>
    </w:p>
    <w:p w14:paraId="72F44A15" w14:textId="77777777" w:rsidR="00127551" w:rsidRPr="00AA3F64" w:rsidRDefault="00127551" w:rsidP="004413FE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Néhány esetben jelentettek túladagolást ezetimib esetén, a legtöbb esetben nem léptek fel mellékhatások. A jelentett mellékhatások nem voltak súlyosak.</w:t>
      </w:r>
    </w:p>
    <w:p w14:paraId="20CAFAF2" w14:textId="77777777" w:rsidR="00120F83" w:rsidRPr="00AA3F64" w:rsidRDefault="00120F83" w:rsidP="000037A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Túladagolás esetén a beteget tüneti kezelésben és szükség szerint támogató terápiában kell részesíteni. A májfunkciókat és a CK</w:t>
      </w:r>
      <w:r w:rsidR="00A504FB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szinteket ellenőrizni kell. Nem valószínű, hogy a hemodialízis ilyen esetekben hatásos lenne.</w:t>
      </w:r>
    </w:p>
    <w:p w14:paraId="2609DE5F" w14:textId="77777777" w:rsidR="00120F83" w:rsidRPr="00AA3F64" w:rsidRDefault="00120F83" w:rsidP="004413F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63A4AEC9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FD251C7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5.</w:t>
      </w:r>
      <w:r w:rsidRPr="00AA3F64">
        <w:rPr>
          <w:rFonts w:cs="Times New Roman"/>
          <w:b/>
          <w:bCs/>
          <w:sz w:val="22"/>
        </w:rPr>
        <w:tab/>
        <w:t>FARMAKOLÓGIAI TULAJDONSÁGOK</w:t>
      </w:r>
    </w:p>
    <w:p w14:paraId="02980355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CC484A9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5.1</w:t>
      </w:r>
      <w:r w:rsidRPr="00AA3F64">
        <w:rPr>
          <w:rFonts w:cs="Times New Roman"/>
          <w:b/>
          <w:bCs/>
          <w:sz w:val="22"/>
        </w:rPr>
        <w:tab/>
        <w:t>Farmakodinámiás tulajdonságok</w:t>
      </w:r>
    </w:p>
    <w:p w14:paraId="3A220464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460F3543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bCs/>
          <w:sz w:val="22"/>
        </w:rPr>
        <w:t xml:space="preserve">Farmakoterápiás csoport: </w:t>
      </w:r>
      <w:r w:rsidR="00127551" w:rsidRPr="00AA3F64">
        <w:rPr>
          <w:rFonts w:cs="Times New Roman"/>
          <w:sz w:val="22"/>
        </w:rPr>
        <w:t xml:space="preserve">Lipidszintet módosító anyagok, </w:t>
      </w:r>
      <w:r w:rsidR="009D648A" w:rsidRPr="00AA3F64">
        <w:rPr>
          <w:rFonts w:cs="Times New Roman"/>
          <w:sz w:val="22"/>
        </w:rPr>
        <w:t>E</w:t>
      </w:r>
      <w:r w:rsidR="00127551" w:rsidRPr="00AA3F64">
        <w:rPr>
          <w:rFonts w:cs="Times New Roman"/>
          <w:sz w:val="22"/>
        </w:rPr>
        <w:t>gyéb lipid</w:t>
      </w:r>
      <w:r w:rsidR="00603360" w:rsidRPr="00AA3F64">
        <w:rPr>
          <w:rFonts w:cs="Times New Roman"/>
          <w:sz w:val="22"/>
        </w:rPr>
        <w:t>szint</w:t>
      </w:r>
      <w:r w:rsidR="00127551" w:rsidRPr="00AA3F64">
        <w:rPr>
          <w:rFonts w:cs="Times New Roman"/>
          <w:sz w:val="22"/>
        </w:rPr>
        <w:t>-módosító szerek</w:t>
      </w:r>
      <w:r w:rsidR="009D648A" w:rsidRPr="00AA3F64">
        <w:rPr>
          <w:rFonts w:cs="Times New Roman"/>
          <w:sz w:val="22"/>
        </w:rPr>
        <w:t xml:space="preserve"> kombinációi</w:t>
      </w:r>
      <w:r w:rsidRPr="00AA3F64">
        <w:rPr>
          <w:rFonts w:cs="Times New Roman"/>
          <w:sz w:val="22"/>
        </w:rPr>
        <w:t xml:space="preserve">, </w:t>
      </w:r>
      <w:r w:rsidRPr="00AA3F64">
        <w:rPr>
          <w:rFonts w:cs="Times New Roman"/>
          <w:bCs/>
          <w:sz w:val="22"/>
        </w:rPr>
        <w:t xml:space="preserve">ATC kód: </w:t>
      </w:r>
      <w:r w:rsidRPr="00AA3F64">
        <w:rPr>
          <w:rFonts w:cs="Times New Roman"/>
          <w:sz w:val="22"/>
        </w:rPr>
        <w:t>C10</w:t>
      </w:r>
      <w:r w:rsidR="00D27C52" w:rsidRPr="00AA3F64">
        <w:rPr>
          <w:rFonts w:cs="Times New Roman"/>
          <w:sz w:val="22"/>
        </w:rPr>
        <w:t>B</w:t>
      </w:r>
      <w:r w:rsidRPr="00AA3F64">
        <w:rPr>
          <w:rFonts w:cs="Times New Roman"/>
          <w:sz w:val="22"/>
        </w:rPr>
        <w:t>A0</w:t>
      </w:r>
      <w:r w:rsidR="00957B79" w:rsidRPr="00AA3F64">
        <w:rPr>
          <w:rFonts w:cs="Times New Roman"/>
          <w:sz w:val="22"/>
        </w:rPr>
        <w:t>6</w:t>
      </w:r>
    </w:p>
    <w:p w14:paraId="507B2960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FEF2025" w14:textId="77777777" w:rsidR="00120F83" w:rsidRPr="00AA3F64" w:rsidRDefault="00120F83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AA3F64">
        <w:rPr>
          <w:rFonts w:cs="Times New Roman"/>
          <w:bCs/>
          <w:sz w:val="22"/>
          <w:u w:val="single"/>
        </w:rPr>
        <w:t>Hatásmechanizmus</w:t>
      </w:r>
    </w:p>
    <w:p w14:paraId="33B0DDDF" w14:textId="77777777" w:rsidR="003B1C1E" w:rsidRPr="00AA3F64" w:rsidRDefault="003B1C1E" w:rsidP="000037A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</w:p>
    <w:p w14:paraId="233C70DB" w14:textId="77777777" w:rsidR="003D1CF7" w:rsidRPr="00AA3F64" w:rsidRDefault="003D1CF7" w:rsidP="004413F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</w:rPr>
        <w:t>Rozuvasztatin</w:t>
      </w:r>
    </w:p>
    <w:p w14:paraId="60C247EA" w14:textId="77777777" w:rsidR="00120F83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rozuvasztatin a HMG</w:t>
      </w:r>
      <w:r w:rsidR="00A504FB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CoA</w:t>
      </w:r>
      <w:r w:rsidR="00A504FB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reduktáz szelektív és kompetitív gátlója. Ez az enzim a 3</w:t>
      </w:r>
      <w:r w:rsidR="00F1293A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hidroxi</w:t>
      </w:r>
      <w:r w:rsidR="00F1293A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3</w:t>
      </w:r>
      <w:r w:rsidR="00F1293A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metilglutari</w:t>
      </w:r>
      <w:r w:rsidR="00CD3E2E" w:rsidRPr="00AA3F64">
        <w:rPr>
          <w:rFonts w:cs="Times New Roman"/>
          <w:sz w:val="22"/>
        </w:rPr>
        <w:t>l</w:t>
      </w:r>
      <w:r w:rsidRPr="00AA3F64">
        <w:rPr>
          <w:rFonts w:cs="Times New Roman"/>
          <w:sz w:val="22"/>
        </w:rPr>
        <w:t>-koenzim</w:t>
      </w:r>
      <w:r w:rsidR="00A504FB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A</w:t>
      </w:r>
      <w:r w:rsidR="00A558A3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 xml:space="preserve">mevalonáttá, a koleszterin egyik előanyagává történő átalakulásának </w:t>
      </w:r>
      <w:r w:rsidR="00BE452B" w:rsidRPr="00AA3F64">
        <w:rPr>
          <w:rFonts w:cs="Times New Roman"/>
          <w:sz w:val="22"/>
        </w:rPr>
        <w:t>sebesség-meghatározó</w:t>
      </w:r>
      <w:r w:rsidRPr="00AA3F64">
        <w:rPr>
          <w:rFonts w:cs="Times New Roman"/>
          <w:sz w:val="22"/>
        </w:rPr>
        <w:t xml:space="preserve"> lépését katalizálja. A rozuvasztatin hatását elsősorban a májban, a koleszterinszint</w:t>
      </w:r>
      <w:r w:rsidR="00CD3E2E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csökkentés célszervében fejti ki.</w:t>
      </w:r>
    </w:p>
    <w:p w14:paraId="0FB13A17" w14:textId="77777777" w:rsidR="006E186C" w:rsidRPr="00AA3F64" w:rsidRDefault="006E186C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184DCB5B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rozuvasztatin a májban megnöveli a sejtek felszínén található LDL</w:t>
      </w:r>
      <w:r w:rsidR="00CD3E2E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receptorok számát, fokozva így az LDL</w:t>
      </w:r>
      <w:r w:rsidR="00CD3E2E" w:rsidRPr="00AA3F64">
        <w:rPr>
          <w:rFonts w:cs="Times New Roman"/>
          <w:sz w:val="22"/>
        </w:rPr>
        <w:t>-</w:t>
      </w:r>
      <w:r w:rsidR="00A504FB" w:rsidRPr="00AA3F64">
        <w:rPr>
          <w:rFonts w:cs="Times New Roman"/>
          <w:sz w:val="22"/>
        </w:rPr>
        <w:t>koleszterin</w:t>
      </w:r>
      <w:r w:rsidRPr="00AA3F64">
        <w:rPr>
          <w:rFonts w:cs="Times New Roman"/>
          <w:sz w:val="22"/>
        </w:rPr>
        <w:t xml:space="preserve"> felvétel</w:t>
      </w:r>
      <w:r w:rsidR="00603360" w:rsidRPr="00AA3F64">
        <w:rPr>
          <w:rFonts w:cs="Times New Roman"/>
          <w:sz w:val="22"/>
        </w:rPr>
        <w:t>é</w:t>
      </w:r>
      <w:r w:rsidRPr="00AA3F64">
        <w:rPr>
          <w:rFonts w:cs="Times New Roman"/>
          <w:sz w:val="22"/>
        </w:rPr>
        <w:t>t és katabolizmus</w:t>
      </w:r>
      <w:r w:rsidR="00603360" w:rsidRPr="00AA3F64">
        <w:rPr>
          <w:rFonts w:cs="Times New Roman"/>
          <w:sz w:val="22"/>
        </w:rPr>
        <w:t>á</w:t>
      </w:r>
      <w:r w:rsidRPr="00AA3F64">
        <w:rPr>
          <w:rFonts w:cs="Times New Roman"/>
          <w:sz w:val="22"/>
        </w:rPr>
        <w:t>t, továbbá gátolja a VLDL</w:t>
      </w:r>
      <w:r w:rsidR="00CD3E2E" w:rsidRPr="00AA3F64">
        <w:rPr>
          <w:rFonts w:cs="Times New Roman"/>
          <w:sz w:val="22"/>
        </w:rPr>
        <w:t>-</w:t>
      </w:r>
      <w:r w:rsidR="00A504FB" w:rsidRPr="00AA3F64">
        <w:rPr>
          <w:rFonts w:cs="Times New Roman"/>
          <w:sz w:val="22"/>
        </w:rPr>
        <w:t>koleszterin</w:t>
      </w:r>
      <w:r w:rsidRPr="00AA3F64">
        <w:rPr>
          <w:rFonts w:cs="Times New Roman"/>
          <w:sz w:val="22"/>
        </w:rPr>
        <w:t xml:space="preserve"> májban történő szintézisét. A rozuvasztatin ily módon csökkenti az össz</w:t>
      </w:r>
      <w:r w:rsidR="00F66368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VLDL és -LDL mennyiségét.</w:t>
      </w:r>
    </w:p>
    <w:p w14:paraId="7B7F1262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54F13FDF" w14:textId="77777777" w:rsidR="003D1CF7" w:rsidRPr="00AA3F64" w:rsidRDefault="003D1CF7" w:rsidP="0063040C">
      <w:pPr>
        <w:widowControl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</w:rPr>
        <w:t>Ezetimib</w:t>
      </w:r>
    </w:p>
    <w:p w14:paraId="462C3B08" w14:textId="77777777" w:rsidR="003D1CF7" w:rsidRPr="00AA3F64" w:rsidRDefault="003D1CF7" w:rsidP="0063040C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Az ezetimib a lipidcsökkentő gyógyszerek egy új osztályához, a koleszterin és a rokon növényi szterinek (szterolok) bélből való felszívódását szelektíven gátló vegyületekhez tartozik. Az ezetimib </w:t>
      </w:r>
      <w:r w:rsidRPr="00AA3F64">
        <w:rPr>
          <w:rFonts w:cs="Times New Roman"/>
          <w:i/>
          <w:sz w:val="22"/>
        </w:rPr>
        <w:t>per</w:t>
      </w:r>
      <w:r w:rsidR="00F870BE" w:rsidRPr="00AA3F64">
        <w:rPr>
          <w:rFonts w:cs="Times New Roman"/>
          <w:i/>
          <w:sz w:val="22"/>
        </w:rPr>
        <w:t xml:space="preserve"> </w:t>
      </w:r>
      <w:r w:rsidRPr="00AA3F64">
        <w:rPr>
          <w:rFonts w:cs="Times New Roman"/>
          <w:i/>
          <w:sz w:val="22"/>
        </w:rPr>
        <w:t>os</w:t>
      </w:r>
      <w:r w:rsidRPr="00AA3F64">
        <w:rPr>
          <w:rFonts w:cs="Times New Roman"/>
          <w:sz w:val="22"/>
        </w:rPr>
        <w:t xml:space="preserve"> alkalmazva aktív, a koleszterin</w:t>
      </w:r>
      <w:r w:rsidR="00603360" w:rsidRPr="00AA3F64">
        <w:rPr>
          <w:rFonts w:cs="Times New Roman"/>
          <w:sz w:val="22"/>
        </w:rPr>
        <w:t>szint</w:t>
      </w:r>
      <w:r w:rsidRPr="00AA3F64">
        <w:rPr>
          <w:rFonts w:cs="Times New Roman"/>
          <w:sz w:val="22"/>
        </w:rPr>
        <w:t>-csökkentő vegyületek más típusaitól (</w:t>
      </w:r>
      <w:r w:rsidR="00DB0AD7" w:rsidRPr="00AA3F64">
        <w:rPr>
          <w:rFonts w:cs="Times New Roman"/>
          <w:sz w:val="22"/>
        </w:rPr>
        <w:t>például</w:t>
      </w:r>
      <w:r w:rsidRPr="00AA3F64">
        <w:rPr>
          <w:rFonts w:cs="Times New Roman"/>
          <w:sz w:val="22"/>
        </w:rPr>
        <w:t xml:space="preserve"> sztatinok, epesavkötő gyanták</w:t>
      </w:r>
      <w:r w:rsidR="00F870BE" w:rsidRPr="00AA3F64">
        <w:rPr>
          <w:rFonts w:cs="Times New Roman"/>
          <w:sz w:val="22"/>
        </w:rPr>
        <w:t xml:space="preserve"> [rezinek]</w:t>
      </w:r>
      <w:r w:rsidRPr="00AA3F64">
        <w:rPr>
          <w:rFonts w:cs="Times New Roman"/>
          <w:sz w:val="22"/>
        </w:rPr>
        <w:t>, fibrinsav</w:t>
      </w:r>
      <w:r w:rsidR="00603360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származékok és növényi sztanolok) eltérő hatásmechanizmussal rendelkező vegyület. Az ezetimib célmolekulája a Niemann-Pick C1-Like 1 (NPC1L1) szterin-transzporter, ami a koleszterin és a fitoszterinek intestinalis felvételéért felelős.</w:t>
      </w:r>
    </w:p>
    <w:p w14:paraId="29E186C3" w14:textId="77777777" w:rsidR="00614D5D" w:rsidRPr="00AA3F64" w:rsidRDefault="00614D5D" w:rsidP="0063040C">
      <w:pPr>
        <w:widowControl w:val="0"/>
        <w:rPr>
          <w:rFonts w:cs="Times New Roman"/>
          <w:sz w:val="22"/>
        </w:rPr>
      </w:pPr>
    </w:p>
    <w:p w14:paraId="4BFBAD0C" w14:textId="77777777" w:rsidR="00120F83" w:rsidRPr="00AA3F64" w:rsidRDefault="00120F83" w:rsidP="003F44A6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AA3F64">
        <w:rPr>
          <w:rFonts w:cs="Times New Roman"/>
          <w:bCs/>
          <w:sz w:val="22"/>
          <w:u w:val="single"/>
        </w:rPr>
        <w:t>Farmakodinámiás hatások</w:t>
      </w:r>
    </w:p>
    <w:p w14:paraId="112A86C5" w14:textId="77777777" w:rsidR="003B1C1E" w:rsidRPr="00AA3F64" w:rsidRDefault="003B1C1E" w:rsidP="000037AE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</w:p>
    <w:p w14:paraId="2780EC24" w14:textId="77777777" w:rsidR="003D1CF7" w:rsidRPr="00AA3F64" w:rsidRDefault="003D1CF7" w:rsidP="004413FE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</w:rPr>
        <w:t>Rozuvasztatin</w:t>
      </w:r>
    </w:p>
    <w:p w14:paraId="17EFD9E0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</w:t>
      </w:r>
      <w:r w:rsidR="00CD3E2E" w:rsidRPr="00AA3F64">
        <w:rPr>
          <w:rFonts w:cs="Times New Roman"/>
          <w:sz w:val="22"/>
        </w:rPr>
        <w:t xml:space="preserve">rozuvasztatin </w:t>
      </w:r>
      <w:r w:rsidRPr="00AA3F64">
        <w:rPr>
          <w:rFonts w:cs="Times New Roman"/>
          <w:sz w:val="22"/>
        </w:rPr>
        <w:t>csökkenti a megemelkedett LDL</w:t>
      </w:r>
      <w:r w:rsidR="00BB2468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koleszterin</w:t>
      </w:r>
      <w:r w:rsidR="00CD3E2E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, összkoleszterin- és trigliceridszintet, valamint emeli a HDL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koleszterin szintjét. Csökkenti továbbá az ApoB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,</w:t>
      </w:r>
      <w:r w:rsidR="00B81FE1" w:rsidRPr="00AA3F64">
        <w:rPr>
          <w:rFonts w:cs="Times New Roman"/>
          <w:sz w:val="22"/>
        </w:rPr>
        <w:t xml:space="preserve"> a</w:t>
      </w:r>
      <w:r w:rsidRPr="00AA3F64">
        <w:rPr>
          <w:rFonts w:cs="Times New Roman"/>
          <w:sz w:val="22"/>
        </w:rPr>
        <w:t xml:space="preserve"> nem-HDL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C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, </w:t>
      </w:r>
      <w:r w:rsidR="00B81FE1" w:rsidRPr="00AA3F64">
        <w:rPr>
          <w:rFonts w:cs="Times New Roman"/>
          <w:sz w:val="22"/>
        </w:rPr>
        <w:t xml:space="preserve">a </w:t>
      </w:r>
      <w:r w:rsidRPr="00AA3F64">
        <w:rPr>
          <w:rFonts w:cs="Times New Roman"/>
          <w:sz w:val="22"/>
        </w:rPr>
        <w:t>VLDL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C</w:t>
      </w:r>
      <w:r w:rsidR="00B81FE1" w:rsidRPr="00AA3F64">
        <w:rPr>
          <w:rFonts w:cs="Times New Roman"/>
          <w:sz w:val="22"/>
        </w:rPr>
        <w:t>- és a</w:t>
      </w:r>
      <w:r w:rsidRPr="00AA3F64">
        <w:rPr>
          <w:rFonts w:cs="Times New Roman"/>
          <w:sz w:val="22"/>
        </w:rPr>
        <w:t xml:space="preserve"> VLDL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TG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szintet, és emeli az ApoA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I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szintet (lásd</w:t>
      </w:r>
      <w:r w:rsidR="00B81FE1" w:rsidRPr="00AA3F64">
        <w:rPr>
          <w:rFonts w:cs="Times New Roman"/>
          <w:sz w:val="22"/>
        </w:rPr>
        <w:t xml:space="preserve"> </w:t>
      </w:r>
      <w:r w:rsidR="003B1C1E" w:rsidRPr="00AA3F64">
        <w:rPr>
          <w:rFonts w:cs="Times New Roman"/>
          <w:sz w:val="22"/>
        </w:rPr>
        <w:t>3</w:t>
      </w:r>
      <w:r w:rsidR="003D1CF7" w:rsidRPr="00AA3F64">
        <w:rPr>
          <w:rFonts w:cs="Times New Roman"/>
          <w:sz w:val="22"/>
        </w:rPr>
        <w:t xml:space="preserve">. </w:t>
      </w:r>
      <w:r w:rsidRPr="00AA3F64">
        <w:rPr>
          <w:rFonts w:cs="Times New Roman"/>
          <w:sz w:val="22"/>
        </w:rPr>
        <w:t xml:space="preserve">táblázat). A </w:t>
      </w:r>
      <w:r w:rsidR="00B81FE1" w:rsidRPr="00AA3F64">
        <w:rPr>
          <w:rFonts w:cs="Times New Roman"/>
          <w:sz w:val="22"/>
        </w:rPr>
        <w:t xml:space="preserve">rozuvasztatin </w:t>
      </w:r>
      <w:r w:rsidRPr="00AA3F64">
        <w:rPr>
          <w:rFonts w:cs="Times New Roman"/>
          <w:sz w:val="22"/>
        </w:rPr>
        <w:t>szintén csökkenti az LDL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C/HDL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C, az össz-C/HDL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C</w:t>
      </w:r>
      <w:r w:rsidR="00B81FE1" w:rsidRPr="00AA3F64">
        <w:rPr>
          <w:rFonts w:cs="Times New Roman"/>
          <w:sz w:val="22"/>
        </w:rPr>
        <w:t>,</w:t>
      </w:r>
      <w:r w:rsidRPr="00AA3F64">
        <w:rPr>
          <w:rFonts w:cs="Times New Roman"/>
          <w:sz w:val="22"/>
        </w:rPr>
        <w:t xml:space="preserve"> a nem-HDL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C/HDL</w:t>
      </w:r>
      <w:r w:rsidR="00B81FE1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C és az ApoB/ApoA</w:t>
      </w:r>
      <w:r w:rsidR="00811453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I hányadost.</w:t>
      </w:r>
    </w:p>
    <w:p w14:paraId="67863413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288A49B" w14:textId="77777777" w:rsidR="00120F83" w:rsidRPr="00AA3F64" w:rsidRDefault="003B1C1E" w:rsidP="001D62CA">
      <w:pPr>
        <w:keepNext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/>
          <w:bCs/>
          <w:sz w:val="22"/>
        </w:rPr>
        <w:lastRenderedPageBreak/>
        <w:t>3</w:t>
      </w:r>
      <w:r w:rsidR="003D1CF7" w:rsidRPr="00AA3F64">
        <w:rPr>
          <w:rFonts w:cs="Times New Roman"/>
          <w:b/>
          <w:bCs/>
          <w:sz w:val="22"/>
        </w:rPr>
        <w:t>. táblázat</w:t>
      </w:r>
      <w:r w:rsidR="00603360" w:rsidRPr="00AA3F64">
        <w:rPr>
          <w:rFonts w:cs="Times New Roman"/>
          <w:b/>
          <w:bCs/>
          <w:sz w:val="22"/>
        </w:rPr>
        <w:t>:</w:t>
      </w:r>
      <w:r w:rsidR="00F120B9" w:rsidRPr="00AA3F64">
        <w:rPr>
          <w:rFonts w:cs="Times New Roman"/>
          <w:bCs/>
          <w:sz w:val="22"/>
        </w:rPr>
        <w:tab/>
      </w:r>
      <w:r w:rsidR="00120F83" w:rsidRPr="00AA3F64">
        <w:rPr>
          <w:rFonts w:cs="Times New Roman"/>
          <w:b/>
          <w:sz w:val="22"/>
        </w:rPr>
        <w:t>A prim</w:t>
      </w:r>
      <w:r w:rsidR="00603360" w:rsidRPr="00AA3F64">
        <w:rPr>
          <w:rFonts w:cs="Times New Roman"/>
          <w:b/>
          <w:sz w:val="22"/>
        </w:rPr>
        <w:t>a</w:t>
      </w:r>
      <w:r w:rsidR="00120F83" w:rsidRPr="00AA3F64">
        <w:rPr>
          <w:rFonts w:cs="Times New Roman"/>
          <w:b/>
          <w:sz w:val="22"/>
        </w:rPr>
        <w:t>er hypercholesterinaemiában (IIa és IIb</w:t>
      </w:r>
      <w:r w:rsidR="00B81FE1" w:rsidRPr="00AA3F64">
        <w:rPr>
          <w:rFonts w:cs="Times New Roman"/>
          <w:b/>
          <w:sz w:val="22"/>
        </w:rPr>
        <w:t xml:space="preserve"> típusú</w:t>
      </w:r>
      <w:r w:rsidR="00120F83" w:rsidRPr="00AA3F64">
        <w:rPr>
          <w:rFonts w:cs="Times New Roman"/>
          <w:b/>
          <w:sz w:val="22"/>
        </w:rPr>
        <w:t>) szenvedő betegek válaszreakciói az egyes dózisokra</w:t>
      </w:r>
      <w:r w:rsidR="003D1CF7" w:rsidRPr="00AA3F64">
        <w:rPr>
          <w:rFonts w:cs="Times New Roman"/>
          <w:b/>
          <w:sz w:val="22"/>
        </w:rPr>
        <w:t xml:space="preserve"> </w:t>
      </w:r>
      <w:r w:rsidR="00120F83" w:rsidRPr="00AA3F64">
        <w:rPr>
          <w:rFonts w:cs="Times New Roman"/>
          <w:b/>
          <w:sz w:val="22"/>
        </w:rPr>
        <w:t>(a kiindulási értéktől mért változás átlaga százalékban kifejezve)</w:t>
      </w: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"/>
        <w:gridCol w:w="781"/>
        <w:gridCol w:w="1008"/>
        <w:gridCol w:w="1008"/>
        <w:gridCol w:w="1008"/>
        <w:gridCol w:w="860"/>
        <w:gridCol w:w="1532"/>
        <w:gridCol w:w="921"/>
        <w:gridCol w:w="1008"/>
      </w:tblGrid>
      <w:tr w:rsidR="00120F83" w:rsidRPr="00AA3F64" w14:paraId="6ACFE490" w14:textId="77777777" w:rsidTr="000C679A">
        <w:trPr>
          <w:jc w:val="center"/>
        </w:trPr>
        <w:tc>
          <w:tcPr>
            <w:tcW w:w="976" w:type="dxa"/>
            <w:vAlign w:val="center"/>
          </w:tcPr>
          <w:p w14:paraId="6F1F90C4" w14:textId="77777777" w:rsidR="00120F83" w:rsidRPr="00AA3F64" w:rsidRDefault="00120F83" w:rsidP="0063040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bookmarkStart w:id="7" w:name="_Hlk123827658"/>
            <w:r w:rsidRPr="00AA3F64">
              <w:rPr>
                <w:rFonts w:cs="Times New Roman"/>
                <w:b/>
                <w:sz w:val="22"/>
              </w:rPr>
              <w:t>Adag</w:t>
            </w:r>
          </w:p>
        </w:tc>
        <w:tc>
          <w:tcPr>
            <w:tcW w:w="781" w:type="dxa"/>
            <w:vAlign w:val="center"/>
          </w:tcPr>
          <w:p w14:paraId="2901B3D4" w14:textId="77777777" w:rsidR="00120F83" w:rsidRPr="00AA3F64" w:rsidRDefault="00120F83" w:rsidP="0063040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AA3F64">
              <w:rPr>
                <w:rFonts w:cs="Times New Roman"/>
                <w:b/>
                <w:sz w:val="22"/>
              </w:rPr>
              <w:t>N</w:t>
            </w:r>
          </w:p>
        </w:tc>
        <w:tc>
          <w:tcPr>
            <w:tcW w:w="1008" w:type="dxa"/>
            <w:vAlign w:val="center"/>
          </w:tcPr>
          <w:p w14:paraId="415C92F9" w14:textId="77777777" w:rsidR="00120F83" w:rsidRPr="00AA3F64" w:rsidRDefault="00120F83" w:rsidP="0063040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AA3F64">
              <w:rPr>
                <w:rFonts w:cs="Times New Roman"/>
                <w:b/>
                <w:sz w:val="22"/>
              </w:rPr>
              <w:t>LDL-C</w:t>
            </w:r>
          </w:p>
        </w:tc>
        <w:tc>
          <w:tcPr>
            <w:tcW w:w="1008" w:type="dxa"/>
            <w:vAlign w:val="center"/>
          </w:tcPr>
          <w:p w14:paraId="177F34D3" w14:textId="77777777" w:rsidR="00120F83" w:rsidRPr="00AA3F64" w:rsidRDefault="00120F83" w:rsidP="0063040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AA3F64">
              <w:rPr>
                <w:rFonts w:cs="Times New Roman"/>
                <w:b/>
                <w:sz w:val="22"/>
              </w:rPr>
              <w:t>Össz-C</w:t>
            </w:r>
          </w:p>
        </w:tc>
        <w:tc>
          <w:tcPr>
            <w:tcW w:w="1008" w:type="dxa"/>
            <w:vAlign w:val="center"/>
          </w:tcPr>
          <w:p w14:paraId="061A3861" w14:textId="77777777" w:rsidR="00120F83" w:rsidRPr="00AA3F64" w:rsidRDefault="00120F83" w:rsidP="0063040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AA3F64">
              <w:rPr>
                <w:rFonts w:cs="Times New Roman"/>
                <w:b/>
                <w:sz w:val="22"/>
              </w:rPr>
              <w:t>HDL-C</w:t>
            </w:r>
          </w:p>
        </w:tc>
        <w:tc>
          <w:tcPr>
            <w:tcW w:w="860" w:type="dxa"/>
            <w:vAlign w:val="center"/>
          </w:tcPr>
          <w:p w14:paraId="36F19DC8" w14:textId="77777777" w:rsidR="00120F83" w:rsidRPr="00AA3F64" w:rsidRDefault="00120F83" w:rsidP="0063040C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AA3F64">
              <w:rPr>
                <w:rFonts w:cs="Times New Roman"/>
                <w:b/>
                <w:sz w:val="22"/>
              </w:rPr>
              <w:t>TG</w:t>
            </w:r>
          </w:p>
        </w:tc>
        <w:tc>
          <w:tcPr>
            <w:tcW w:w="1532" w:type="dxa"/>
            <w:vAlign w:val="center"/>
          </w:tcPr>
          <w:p w14:paraId="6E3ED280" w14:textId="77777777" w:rsidR="00120F83" w:rsidRPr="00AA3F64" w:rsidRDefault="00120F83" w:rsidP="00AA3F64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AA3F64">
              <w:rPr>
                <w:rFonts w:cs="Times New Roman"/>
                <w:b/>
                <w:sz w:val="22"/>
              </w:rPr>
              <w:t>Nem HDL-C</w:t>
            </w:r>
          </w:p>
        </w:tc>
        <w:tc>
          <w:tcPr>
            <w:tcW w:w="921" w:type="dxa"/>
            <w:vAlign w:val="center"/>
          </w:tcPr>
          <w:p w14:paraId="7B1E7853" w14:textId="77777777" w:rsidR="00120F83" w:rsidRPr="00AA3F64" w:rsidRDefault="00120F83" w:rsidP="00AA3F64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AA3F64">
              <w:rPr>
                <w:rFonts w:cs="Times New Roman"/>
                <w:b/>
                <w:sz w:val="22"/>
              </w:rPr>
              <w:t>ApoB</w:t>
            </w:r>
          </w:p>
        </w:tc>
        <w:tc>
          <w:tcPr>
            <w:tcW w:w="1008" w:type="dxa"/>
            <w:vAlign w:val="center"/>
          </w:tcPr>
          <w:p w14:paraId="5AFB03DC" w14:textId="77777777" w:rsidR="00120F83" w:rsidRPr="00AA3F64" w:rsidRDefault="00120F83" w:rsidP="00AA3F64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b/>
                <w:sz w:val="22"/>
              </w:rPr>
            </w:pPr>
            <w:r w:rsidRPr="00AA3F64">
              <w:rPr>
                <w:rFonts w:cs="Times New Roman"/>
                <w:b/>
                <w:sz w:val="22"/>
              </w:rPr>
              <w:t>ApoA-I</w:t>
            </w:r>
          </w:p>
        </w:tc>
      </w:tr>
      <w:tr w:rsidR="00120F83" w:rsidRPr="00AA3F64" w14:paraId="18AE02DA" w14:textId="77777777" w:rsidTr="000C679A">
        <w:trPr>
          <w:jc w:val="center"/>
        </w:trPr>
        <w:tc>
          <w:tcPr>
            <w:tcW w:w="976" w:type="dxa"/>
            <w:vAlign w:val="center"/>
          </w:tcPr>
          <w:p w14:paraId="448059C1" w14:textId="77777777" w:rsidR="00120F83" w:rsidRPr="00AA3F64" w:rsidRDefault="00120F83" w:rsidP="003F4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Placebo</w:t>
            </w:r>
          </w:p>
        </w:tc>
        <w:tc>
          <w:tcPr>
            <w:tcW w:w="781" w:type="dxa"/>
            <w:vAlign w:val="center"/>
          </w:tcPr>
          <w:p w14:paraId="0B001B41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13</w:t>
            </w:r>
          </w:p>
        </w:tc>
        <w:tc>
          <w:tcPr>
            <w:tcW w:w="1008" w:type="dxa"/>
            <w:vAlign w:val="center"/>
          </w:tcPr>
          <w:p w14:paraId="1E2253CC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-7</w:t>
            </w:r>
          </w:p>
        </w:tc>
        <w:tc>
          <w:tcPr>
            <w:tcW w:w="1008" w:type="dxa"/>
            <w:vAlign w:val="center"/>
          </w:tcPr>
          <w:p w14:paraId="25F58204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-5</w:t>
            </w:r>
          </w:p>
        </w:tc>
        <w:tc>
          <w:tcPr>
            <w:tcW w:w="1008" w:type="dxa"/>
            <w:vAlign w:val="center"/>
          </w:tcPr>
          <w:p w14:paraId="5689A32D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3</w:t>
            </w:r>
          </w:p>
        </w:tc>
        <w:tc>
          <w:tcPr>
            <w:tcW w:w="860" w:type="dxa"/>
            <w:vAlign w:val="center"/>
          </w:tcPr>
          <w:p w14:paraId="7945D960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-3</w:t>
            </w:r>
          </w:p>
        </w:tc>
        <w:tc>
          <w:tcPr>
            <w:tcW w:w="1532" w:type="dxa"/>
            <w:vAlign w:val="center"/>
          </w:tcPr>
          <w:p w14:paraId="07B12486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-7</w:t>
            </w:r>
          </w:p>
        </w:tc>
        <w:tc>
          <w:tcPr>
            <w:tcW w:w="921" w:type="dxa"/>
            <w:vAlign w:val="center"/>
          </w:tcPr>
          <w:p w14:paraId="31D2EAD8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-3</w:t>
            </w:r>
          </w:p>
        </w:tc>
        <w:tc>
          <w:tcPr>
            <w:tcW w:w="1008" w:type="dxa"/>
            <w:vAlign w:val="center"/>
          </w:tcPr>
          <w:p w14:paraId="038822DC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0</w:t>
            </w:r>
          </w:p>
        </w:tc>
      </w:tr>
      <w:tr w:rsidR="00120F83" w:rsidRPr="00AA3F64" w14:paraId="182DD1AB" w14:textId="77777777" w:rsidTr="000C679A">
        <w:trPr>
          <w:jc w:val="center"/>
        </w:trPr>
        <w:tc>
          <w:tcPr>
            <w:tcW w:w="976" w:type="dxa"/>
            <w:vAlign w:val="center"/>
          </w:tcPr>
          <w:p w14:paraId="66B0301F" w14:textId="77777777" w:rsidR="00120F83" w:rsidRPr="00AA3F64" w:rsidRDefault="00120F83" w:rsidP="003F4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5</w:t>
            </w:r>
            <w:r w:rsidR="00B81FE1" w:rsidRPr="00AA3F64">
              <w:rPr>
                <w:rFonts w:cs="Times New Roman"/>
                <w:sz w:val="22"/>
              </w:rPr>
              <w:t> </w:t>
            </w:r>
            <w:r w:rsidRPr="00AA3F64">
              <w:rPr>
                <w:rFonts w:cs="Times New Roman"/>
                <w:sz w:val="22"/>
              </w:rPr>
              <w:t>mg</w:t>
            </w:r>
          </w:p>
        </w:tc>
        <w:tc>
          <w:tcPr>
            <w:tcW w:w="781" w:type="dxa"/>
            <w:vAlign w:val="center"/>
          </w:tcPr>
          <w:p w14:paraId="103307AE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17</w:t>
            </w:r>
          </w:p>
        </w:tc>
        <w:tc>
          <w:tcPr>
            <w:tcW w:w="1008" w:type="dxa"/>
            <w:vAlign w:val="center"/>
          </w:tcPr>
          <w:p w14:paraId="10BA5FB4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-45</w:t>
            </w:r>
          </w:p>
        </w:tc>
        <w:tc>
          <w:tcPr>
            <w:tcW w:w="1008" w:type="dxa"/>
            <w:vAlign w:val="center"/>
          </w:tcPr>
          <w:p w14:paraId="58F6266D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-33</w:t>
            </w:r>
          </w:p>
        </w:tc>
        <w:tc>
          <w:tcPr>
            <w:tcW w:w="1008" w:type="dxa"/>
            <w:vAlign w:val="center"/>
          </w:tcPr>
          <w:p w14:paraId="762CF99D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13</w:t>
            </w:r>
          </w:p>
        </w:tc>
        <w:tc>
          <w:tcPr>
            <w:tcW w:w="860" w:type="dxa"/>
            <w:vAlign w:val="center"/>
          </w:tcPr>
          <w:p w14:paraId="3670E9F5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-35</w:t>
            </w:r>
          </w:p>
        </w:tc>
        <w:tc>
          <w:tcPr>
            <w:tcW w:w="1532" w:type="dxa"/>
            <w:vAlign w:val="center"/>
          </w:tcPr>
          <w:p w14:paraId="24CC2177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-44</w:t>
            </w:r>
          </w:p>
        </w:tc>
        <w:tc>
          <w:tcPr>
            <w:tcW w:w="921" w:type="dxa"/>
            <w:vAlign w:val="center"/>
          </w:tcPr>
          <w:p w14:paraId="462C9451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-38</w:t>
            </w:r>
          </w:p>
        </w:tc>
        <w:tc>
          <w:tcPr>
            <w:tcW w:w="1008" w:type="dxa"/>
            <w:vAlign w:val="center"/>
          </w:tcPr>
          <w:p w14:paraId="3742C935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4</w:t>
            </w:r>
          </w:p>
        </w:tc>
      </w:tr>
      <w:tr w:rsidR="00120F83" w:rsidRPr="00AA3F64" w14:paraId="244D0018" w14:textId="77777777" w:rsidTr="000C679A">
        <w:trPr>
          <w:jc w:val="center"/>
        </w:trPr>
        <w:tc>
          <w:tcPr>
            <w:tcW w:w="976" w:type="dxa"/>
            <w:vAlign w:val="center"/>
          </w:tcPr>
          <w:p w14:paraId="30D157AD" w14:textId="77777777" w:rsidR="00120F83" w:rsidRPr="00AA3F64" w:rsidRDefault="00120F83" w:rsidP="003F4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10</w:t>
            </w:r>
            <w:r w:rsidR="00B81FE1" w:rsidRPr="00AA3F64">
              <w:rPr>
                <w:rFonts w:cs="Times New Roman"/>
                <w:sz w:val="22"/>
              </w:rPr>
              <w:t> </w:t>
            </w:r>
            <w:r w:rsidRPr="00AA3F64">
              <w:rPr>
                <w:rFonts w:cs="Times New Roman"/>
                <w:sz w:val="22"/>
              </w:rPr>
              <w:t>mg</w:t>
            </w:r>
          </w:p>
        </w:tc>
        <w:tc>
          <w:tcPr>
            <w:tcW w:w="781" w:type="dxa"/>
            <w:vAlign w:val="center"/>
          </w:tcPr>
          <w:p w14:paraId="6A1D576B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17</w:t>
            </w:r>
          </w:p>
        </w:tc>
        <w:tc>
          <w:tcPr>
            <w:tcW w:w="1008" w:type="dxa"/>
            <w:vAlign w:val="center"/>
          </w:tcPr>
          <w:p w14:paraId="02AFA055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-52</w:t>
            </w:r>
          </w:p>
        </w:tc>
        <w:tc>
          <w:tcPr>
            <w:tcW w:w="1008" w:type="dxa"/>
            <w:vAlign w:val="center"/>
          </w:tcPr>
          <w:p w14:paraId="26A6850B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-36</w:t>
            </w:r>
          </w:p>
        </w:tc>
        <w:tc>
          <w:tcPr>
            <w:tcW w:w="1008" w:type="dxa"/>
            <w:vAlign w:val="center"/>
          </w:tcPr>
          <w:p w14:paraId="5D4AB842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14</w:t>
            </w:r>
          </w:p>
        </w:tc>
        <w:tc>
          <w:tcPr>
            <w:tcW w:w="860" w:type="dxa"/>
            <w:vAlign w:val="center"/>
          </w:tcPr>
          <w:p w14:paraId="168BB4D7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-10</w:t>
            </w:r>
          </w:p>
        </w:tc>
        <w:tc>
          <w:tcPr>
            <w:tcW w:w="1532" w:type="dxa"/>
            <w:vAlign w:val="center"/>
          </w:tcPr>
          <w:p w14:paraId="08A54F0F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-48</w:t>
            </w:r>
          </w:p>
        </w:tc>
        <w:tc>
          <w:tcPr>
            <w:tcW w:w="921" w:type="dxa"/>
            <w:vAlign w:val="center"/>
          </w:tcPr>
          <w:p w14:paraId="48D6B9B5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-42</w:t>
            </w:r>
          </w:p>
        </w:tc>
        <w:tc>
          <w:tcPr>
            <w:tcW w:w="1008" w:type="dxa"/>
            <w:vAlign w:val="center"/>
          </w:tcPr>
          <w:p w14:paraId="709F24A0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4</w:t>
            </w:r>
          </w:p>
        </w:tc>
      </w:tr>
      <w:tr w:rsidR="00120F83" w:rsidRPr="00AA3F64" w14:paraId="15DCCAD2" w14:textId="77777777" w:rsidTr="000C679A">
        <w:trPr>
          <w:jc w:val="center"/>
        </w:trPr>
        <w:tc>
          <w:tcPr>
            <w:tcW w:w="976" w:type="dxa"/>
            <w:vAlign w:val="center"/>
          </w:tcPr>
          <w:p w14:paraId="390956D6" w14:textId="77777777" w:rsidR="00120F83" w:rsidRPr="00AA3F64" w:rsidRDefault="00120F83" w:rsidP="003F4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20</w:t>
            </w:r>
            <w:r w:rsidR="00B81FE1" w:rsidRPr="00AA3F64">
              <w:rPr>
                <w:rFonts w:cs="Times New Roman"/>
                <w:sz w:val="22"/>
              </w:rPr>
              <w:t> </w:t>
            </w:r>
            <w:r w:rsidRPr="00AA3F64">
              <w:rPr>
                <w:rFonts w:cs="Times New Roman"/>
                <w:sz w:val="22"/>
              </w:rPr>
              <w:t>mg</w:t>
            </w:r>
          </w:p>
        </w:tc>
        <w:tc>
          <w:tcPr>
            <w:tcW w:w="781" w:type="dxa"/>
            <w:vAlign w:val="center"/>
          </w:tcPr>
          <w:p w14:paraId="36551979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17</w:t>
            </w:r>
          </w:p>
        </w:tc>
        <w:tc>
          <w:tcPr>
            <w:tcW w:w="1008" w:type="dxa"/>
            <w:vAlign w:val="center"/>
          </w:tcPr>
          <w:p w14:paraId="79BF069A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-55</w:t>
            </w:r>
          </w:p>
        </w:tc>
        <w:tc>
          <w:tcPr>
            <w:tcW w:w="1008" w:type="dxa"/>
            <w:vAlign w:val="center"/>
          </w:tcPr>
          <w:p w14:paraId="306D455F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-40</w:t>
            </w:r>
          </w:p>
        </w:tc>
        <w:tc>
          <w:tcPr>
            <w:tcW w:w="1008" w:type="dxa"/>
            <w:vAlign w:val="center"/>
          </w:tcPr>
          <w:p w14:paraId="6B0B1810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8</w:t>
            </w:r>
          </w:p>
        </w:tc>
        <w:tc>
          <w:tcPr>
            <w:tcW w:w="860" w:type="dxa"/>
            <w:vAlign w:val="center"/>
          </w:tcPr>
          <w:p w14:paraId="23A713C0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-23</w:t>
            </w:r>
          </w:p>
        </w:tc>
        <w:tc>
          <w:tcPr>
            <w:tcW w:w="1532" w:type="dxa"/>
            <w:vAlign w:val="center"/>
          </w:tcPr>
          <w:p w14:paraId="5BAD82FE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-51</w:t>
            </w:r>
          </w:p>
        </w:tc>
        <w:tc>
          <w:tcPr>
            <w:tcW w:w="921" w:type="dxa"/>
            <w:vAlign w:val="center"/>
          </w:tcPr>
          <w:p w14:paraId="2A8726BD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-46</w:t>
            </w:r>
          </w:p>
        </w:tc>
        <w:tc>
          <w:tcPr>
            <w:tcW w:w="1008" w:type="dxa"/>
            <w:vAlign w:val="center"/>
          </w:tcPr>
          <w:p w14:paraId="1DE5D9AF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5</w:t>
            </w:r>
          </w:p>
        </w:tc>
      </w:tr>
      <w:tr w:rsidR="00120F83" w:rsidRPr="00AA3F64" w14:paraId="0C01E353" w14:textId="77777777" w:rsidTr="000C679A">
        <w:trPr>
          <w:jc w:val="center"/>
        </w:trPr>
        <w:tc>
          <w:tcPr>
            <w:tcW w:w="976" w:type="dxa"/>
            <w:vAlign w:val="center"/>
          </w:tcPr>
          <w:p w14:paraId="525D8F43" w14:textId="77777777" w:rsidR="00120F83" w:rsidRPr="00AA3F64" w:rsidRDefault="00120F83" w:rsidP="003F44A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40</w:t>
            </w:r>
            <w:r w:rsidR="00B81FE1" w:rsidRPr="00AA3F64">
              <w:rPr>
                <w:rFonts w:cs="Times New Roman"/>
                <w:sz w:val="22"/>
              </w:rPr>
              <w:t> </w:t>
            </w:r>
            <w:r w:rsidRPr="00AA3F64">
              <w:rPr>
                <w:rFonts w:cs="Times New Roman"/>
                <w:sz w:val="22"/>
              </w:rPr>
              <w:t>mg</w:t>
            </w:r>
          </w:p>
        </w:tc>
        <w:tc>
          <w:tcPr>
            <w:tcW w:w="781" w:type="dxa"/>
            <w:vAlign w:val="center"/>
          </w:tcPr>
          <w:p w14:paraId="6A4DE749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18</w:t>
            </w:r>
          </w:p>
        </w:tc>
        <w:tc>
          <w:tcPr>
            <w:tcW w:w="1008" w:type="dxa"/>
            <w:vAlign w:val="center"/>
          </w:tcPr>
          <w:p w14:paraId="49AED594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-63</w:t>
            </w:r>
          </w:p>
        </w:tc>
        <w:tc>
          <w:tcPr>
            <w:tcW w:w="1008" w:type="dxa"/>
            <w:vAlign w:val="center"/>
          </w:tcPr>
          <w:p w14:paraId="5344647C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-46</w:t>
            </w:r>
          </w:p>
        </w:tc>
        <w:tc>
          <w:tcPr>
            <w:tcW w:w="1008" w:type="dxa"/>
            <w:vAlign w:val="center"/>
          </w:tcPr>
          <w:p w14:paraId="01CFBB19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10</w:t>
            </w:r>
          </w:p>
        </w:tc>
        <w:tc>
          <w:tcPr>
            <w:tcW w:w="860" w:type="dxa"/>
            <w:vAlign w:val="center"/>
          </w:tcPr>
          <w:p w14:paraId="19495D97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-28</w:t>
            </w:r>
          </w:p>
        </w:tc>
        <w:tc>
          <w:tcPr>
            <w:tcW w:w="1532" w:type="dxa"/>
            <w:vAlign w:val="center"/>
          </w:tcPr>
          <w:p w14:paraId="2E98237B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-60</w:t>
            </w:r>
          </w:p>
        </w:tc>
        <w:tc>
          <w:tcPr>
            <w:tcW w:w="921" w:type="dxa"/>
            <w:vAlign w:val="center"/>
          </w:tcPr>
          <w:p w14:paraId="1D95E3F4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-54</w:t>
            </w:r>
          </w:p>
        </w:tc>
        <w:tc>
          <w:tcPr>
            <w:tcW w:w="1008" w:type="dxa"/>
            <w:vAlign w:val="center"/>
          </w:tcPr>
          <w:p w14:paraId="1A56B8F2" w14:textId="77777777" w:rsidR="00120F83" w:rsidRPr="00AA3F64" w:rsidRDefault="00120F83" w:rsidP="00AA3F6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cs="Times New Roman"/>
                <w:sz w:val="22"/>
              </w:rPr>
            </w:pPr>
            <w:r w:rsidRPr="00AA3F64">
              <w:rPr>
                <w:rFonts w:cs="Times New Roman"/>
                <w:sz w:val="22"/>
              </w:rPr>
              <w:t>0</w:t>
            </w:r>
          </w:p>
        </w:tc>
      </w:tr>
      <w:bookmarkEnd w:id="7"/>
    </w:tbl>
    <w:p w14:paraId="3F7A9E9A" w14:textId="77777777" w:rsidR="00120F83" w:rsidRPr="00AA3F64" w:rsidRDefault="00120F83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5E233D4E" w14:textId="77777777" w:rsidR="00120F83" w:rsidRPr="00AA3F64" w:rsidRDefault="00120F83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terápia megkezdésétől számított 1</w:t>
      </w:r>
      <w:r w:rsidR="00C531FD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héten belül a terápiás hatás már megmutatkozik, és rendszerint 2</w:t>
      </w:r>
      <w:r w:rsidR="00365B23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hét múlva kialakul a teljes terápiás válasz 90%-a. A teljes hatás általában a negyedik hétre már kialakul és ezután állandó marad.</w:t>
      </w:r>
    </w:p>
    <w:p w14:paraId="08F3BE7E" w14:textId="77777777" w:rsidR="00B55A1E" w:rsidRPr="00AA3F64" w:rsidRDefault="00B55A1E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9DFA37F" w14:textId="77777777" w:rsidR="00FC1651" w:rsidRPr="00AA3F64" w:rsidRDefault="00FC1651" w:rsidP="001749CE">
      <w:pPr>
        <w:widowControl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</w:rPr>
        <w:t>Ezetimib</w:t>
      </w:r>
    </w:p>
    <w:p w14:paraId="638FE9B2" w14:textId="77777777" w:rsidR="003F44A6" w:rsidRPr="00AA3F64" w:rsidRDefault="003F44A6" w:rsidP="001749CE">
      <w:pPr>
        <w:rPr>
          <w:rFonts w:cs="Times New Roman"/>
          <w:color w:val="000000"/>
          <w:sz w:val="22"/>
        </w:rPr>
      </w:pPr>
      <w:r w:rsidRPr="00AA3F64">
        <w:rPr>
          <w:rFonts w:cs="Times New Roman"/>
          <w:color w:val="000000"/>
          <w:sz w:val="22"/>
        </w:rPr>
        <w:t>Az ezetimib a vékonybél kefeszegélyébe jutva gátolja a koleszterin felszívódását, s ezzel csökkenti a bélből a májba jutó koleszterin mennyiségét. A sztatinok a májban folyó koleszterinszintézist csökkentik, és e két eltérő mechanizmus együttesen fokozott koleszterincsökkenést eredményez. Egy kéthetes, 18 hypercholesterinaemiás betegn</w:t>
      </w:r>
      <w:r w:rsidR="0075644B">
        <w:rPr>
          <w:rFonts w:cs="Times New Roman"/>
          <w:color w:val="000000"/>
          <w:sz w:val="22"/>
        </w:rPr>
        <w:t>él</w:t>
      </w:r>
      <w:r w:rsidRPr="00AA3F64">
        <w:rPr>
          <w:rFonts w:cs="Times New Roman"/>
          <w:color w:val="000000"/>
          <w:sz w:val="22"/>
        </w:rPr>
        <w:t xml:space="preserve"> végzett vizsgálatban az ezetimib a placebóhoz képest 54%-kal csökkentette a koleszterin felszívódását.</w:t>
      </w:r>
    </w:p>
    <w:p w14:paraId="23053219" w14:textId="77777777" w:rsidR="003D1CF7" w:rsidRDefault="003D1CF7" w:rsidP="001749CE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Számos preklinikai vizsgálat történt az ezetimib koleszterinfelszívódást gátló hatása szelektivitásának felmérése érdekében. Az ezetimib gátolta a [</w:t>
      </w:r>
      <w:r w:rsidRPr="00AA3F64">
        <w:rPr>
          <w:rFonts w:cs="Times New Roman"/>
          <w:sz w:val="22"/>
          <w:vertAlign w:val="superscript"/>
        </w:rPr>
        <w:t>14</w:t>
      </w:r>
      <w:r w:rsidRPr="00AA3F64">
        <w:rPr>
          <w:rFonts w:cs="Times New Roman"/>
          <w:sz w:val="22"/>
        </w:rPr>
        <w:t>C]-koleszterin abszorpcióját, de nem befolyásolta a trigliceridek, a zsírsavak, az epesavak, a progeszteron, az etinil-ösztradiol, vagy a zsíroldékony A- és D-vitamin felszívódását.</w:t>
      </w:r>
    </w:p>
    <w:p w14:paraId="195FBA28" w14:textId="77777777" w:rsidR="003C629C" w:rsidRDefault="003C629C" w:rsidP="003C629C">
      <w:pPr>
        <w:widowControl w:val="0"/>
        <w:rPr>
          <w:rFonts w:cs="Times New Roman"/>
          <w:sz w:val="22"/>
        </w:rPr>
      </w:pPr>
    </w:p>
    <w:p w14:paraId="0875588B" w14:textId="77777777" w:rsidR="003C629C" w:rsidRPr="003C629C" w:rsidRDefault="003C629C" w:rsidP="003C629C">
      <w:pPr>
        <w:widowControl w:val="0"/>
        <w:rPr>
          <w:rFonts w:cs="Times New Roman"/>
          <w:sz w:val="22"/>
        </w:rPr>
      </w:pPr>
      <w:r w:rsidRPr="003C629C">
        <w:rPr>
          <w:rFonts w:cs="Times New Roman"/>
          <w:sz w:val="22"/>
        </w:rPr>
        <w:t>Epidemiológiai vizsgálatok azt igazolták, hogy a cardiovascularis morbiditás és mortalitás egyenesen arányos az össz-C- és az LDL-C-szinttel, és fordítottan arányos a HDL-C-szinttel.</w:t>
      </w:r>
    </w:p>
    <w:p w14:paraId="18D26EF7" w14:textId="77777777" w:rsidR="003C629C" w:rsidRPr="00AA3F64" w:rsidRDefault="003C629C" w:rsidP="003C629C">
      <w:pPr>
        <w:widowControl w:val="0"/>
        <w:rPr>
          <w:rFonts w:cs="Times New Roman"/>
          <w:sz w:val="22"/>
        </w:rPr>
      </w:pPr>
      <w:r w:rsidRPr="003C629C">
        <w:rPr>
          <w:rFonts w:cs="Times New Roman"/>
          <w:sz w:val="22"/>
        </w:rPr>
        <w:t xml:space="preserve">Az </w:t>
      </w:r>
      <w:r>
        <w:rPr>
          <w:rFonts w:cs="Times New Roman"/>
          <w:sz w:val="22"/>
        </w:rPr>
        <w:t>ezetimib</w:t>
      </w:r>
      <w:r w:rsidRPr="003C629C">
        <w:rPr>
          <w:rFonts w:cs="Times New Roman"/>
          <w:sz w:val="22"/>
        </w:rPr>
        <w:t xml:space="preserve"> együttadása sztatinnal hatékonyan csökkenti a cardiovascularis események kockázatát coronaria-betegségben szenvedő és akut coronaria szindróma kórtörténettel rendelkező betegeknél.</w:t>
      </w:r>
    </w:p>
    <w:p w14:paraId="5BF7C27C" w14:textId="77777777" w:rsidR="003D1CF7" w:rsidRPr="00AA3F64" w:rsidRDefault="003D1CF7" w:rsidP="000037AE">
      <w:pPr>
        <w:widowControl w:val="0"/>
        <w:rPr>
          <w:rFonts w:cs="Times New Roman"/>
          <w:sz w:val="22"/>
        </w:rPr>
      </w:pPr>
    </w:p>
    <w:p w14:paraId="4AECF732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AA3F64">
        <w:rPr>
          <w:rFonts w:cs="Times New Roman"/>
          <w:bCs/>
          <w:sz w:val="22"/>
          <w:u w:val="single"/>
        </w:rPr>
        <w:t>Klinikai hat</w:t>
      </w:r>
      <w:r w:rsidR="00F126F8" w:rsidRPr="00AA3F64">
        <w:rPr>
          <w:rFonts w:cs="Times New Roman"/>
          <w:bCs/>
          <w:sz w:val="22"/>
          <w:u w:val="single"/>
        </w:rPr>
        <w:t>ásosság</w:t>
      </w:r>
      <w:r w:rsidR="007A113E" w:rsidRPr="00AA3F64">
        <w:rPr>
          <w:rFonts w:cs="Times New Roman"/>
          <w:bCs/>
          <w:sz w:val="22"/>
          <w:u w:val="single"/>
        </w:rPr>
        <w:t xml:space="preserve"> és biztonságosság</w:t>
      </w:r>
    </w:p>
    <w:p w14:paraId="7FD4256F" w14:textId="77777777" w:rsidR="0089503E" w:rsidRPr="00AA3F64" w:rsidRDefault="0089503E" w:rsidP="0063040C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 w:rsidRPr="00AA3F64">
        <w:rPr>
          <w:color w:val="auto"/>
          <w:sz w:val="22"/>
          <w:szCs w:val="22"/>
        </w:rPr>
        <w:t>Egy 6 hetes, randomizált, kettős vak, parallel elrendezésű klinikai vizsgálatban (n = 440) 5</w:t>
      </w:r>
      <w:r w:rsidR="009F1A95" w:rsidRPr="00AA3F64">
        <w:rPr>
          <w:color w:val="auto"/>
          <w:sz w:val="22"/>
          <w:szCs w:val="22"/>
        </w:rPr>
        <w:t> mg,</w:t>
      </w:r>
      <w:r w:rsidRPr="00AA3F64">
        <w:rPr>
          <w:color w:val="auto"/>
          <w:sz w:val="22"/>
          <w:szCs w:val="22"/>
        </w:rPr>
        <w:t xml:space="preserve"> illetve 10 mg dózisú stabil rozuvasztatin-kezeléshez adott 10 mg ezetimib biztonságosságát és hatásosságát értékelték a rozuvasztatin 5 mg-os dózisának 10 mg-ra, illetve 10 mg-os dózisának 20 mg-ra emelésével szemben.</w:t>
      </w:r>
      <w:r w:rsidR="003B1C1E" w:rsidRPr="00AA3F64">
        <w:rPr>
          <w:color w:val="auto"/>
          <w:sz w:val="22"/>
          <w:szCs w:val="22"/>
        </w:rPr>
        <w:t xml:space="preserve"> </w:t>
      </w:r>
      <w:r w:rsidRPr="00AA3F64">
        <w:rPr>
          <w:color w:val="auto"/>
          <w:sz w:val="22"/>
          <w:szCs w:val="22"/>
        </w:rPr>
        <w:t>Összesített adatok igazolták, hogy az ezetimib az 5 mg</w:t>
      </w:r>
      <w:r w:rsidR="009F1A95" w:rsidRPr="00AA3F64">
        <w:rPr>
          <w:color w:val="auto"/>
          <w:sz w:val="22"/>
          <w:szCs w:val="22"/>
        </w:rPr>
        <w:t>,</w:t>
      </w:r>
      <w:r w:rsidRPr="00AA3F64">
        <w:rPr>
          <w:color w:val="auto"/>
          <w:sz w:val="22"/>
          <w:szCs w:val="22"/>
        </w:rPr>
        <w:t xml:space="preserve"> illetve 10 mg stabil rozuvasztatin terápiához adva 21%-kal csökkentette az LDL-koleszterin értékét. Ezzel szemben, a rozuvasztatin 10 mg vagy 20 mg-ra emelése az LDL-koleszterin-szintet 5,7%-kal csökkentette (a csoportok közötti különbség 15,2%, p &lt; 0,001). Egyedileg, az ezetimib és 5 mg rozuvasztatin kombinációja jobban csökkentette az LDL-koleszterin értékét, mint a 10 mg rozuvasztatin (12,3%-os különbség, p &lt; 0,001), és az ezetimib és 10 mg rozuvasztatin kombinációja jobban csökkentette az LDL-koleszterin-értéket, mint a 20 mg rozuvasztatin (17,5%-os különbség, p &lt; 0,001).</w:t>
      </w:r>
    </w:p>
    <w:p w14:paraId="08ACFF3A" w14:textId="77777777" w:rsidR="0089503E" w:rsidRPr="00AA3F64" w:rsidRDefault="0089503E" w:rsidP="0063040C">
      <w:pPr>
        <w:pStyle w:val="Szvegtrzs"/>
        <w:suppressAutoHyphens w:val="0"/>
        <w:spacing w:after="0"/>
        <w:rPr>
          <w:color w:val="auto"/>
          <w:sz w:val="22"/>
          <w:szCs w:val="22"/>
        </w:rPr>
      </w:pPr>
    </w:p>
    <w:p w14:paraId="6FC7F6C2" w14:textId="77777777" w:rsidR="0089503E" w:rsidRPr="00AA3F64" w:rsidRDefault="0089503E" w:rsidP="0063040C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 w:rsidRPr="00AA3F64">
        <w:rPr>
          <w:color w:val="auto"/>
          <w:sz w:val="22"/>
          <w:szCs w:val="22"/>
        </w:rPr>
        <w:t>Egy 6 hetes, randomizált, klinikai vizsgálatban értékelték az önmagában vagy 10 mg ezetimibbel együtt adott 40 mg rozuvasztatin biztonságosságát és hatásosságát szív koszorúér betegség szempontjából nagy kockázatú betegeknél (n = 469).</w:t>
      </w:r>
      <w:r w:rsidR="003B1C1E" w:rsidRPr="00AA3F64">
        <w:rPr>
          <w:color w:val="auto"/>
          <w:sz w:val="22"/>
          <w:szCs w:val="22"/>
        </w:rPr>
        <w:t xml:space="preserve"> </w:t>
      </w:r>
      <w:r w:rsidRPr="00AA3F64">
        <w:rPr>
          <w:color w:val="auto"/>
          <w:sz w:val="22"/>
          <w:szCs w:val="22"/>
        </w:rPr>
        <w:t>A rozuvasztatin-ezetimib kombinációt kapó betegek közül szignifikánsan többen érték el az ATP III LDL-koleszterin-célértéket, mint a rozuvasztatint önmagában szedő betegek (&lt; 100 mg/dl, 94,0% vs. 79,1%, p &lt; 0,001).</w:t>
      </w:r>
      <w:r w:rsidR="003B1C1E" w:rsidRPr="00AA3F64">
        <w:rPr>
          <w:color w:val="auto"/>
          <w:sz w:val="22"/>
          <w:szCs w:val="22"/>
        </w:rPr>
        <w:t xml:space="preserve"> </w:t>
      </w:r>
      <w:r w:rsidRPr="00AA3F64">
        <w:rPr>
          <w:color w:val="auto"/>
          <w:sz w:val="22"/>
          <w:szCs w:val="22"/>
        </w:rPr>
        <w:t>40 mg rozuvasztatin hatékonyan csökkentette az aterogén lipidek szintjét ebben a magas kockázatú betegcsoportban.</w:t>
      </w:r>
    </w:p>
    <w:p w14:paraId="65527480" w14:textId="77777777" w:rsidR="0089503E" w:rsidRPr="00AA3F64" w:rsidRDefault="0089503E" w:rsidP="0063040C">
      <w:pPr>
        <w:pStyle w:val="Szvegtrzs"/>
        <w:suppressAutoHyphens w:val="0"/>
        <w:spacing w:after="0"/>
        <w:rPr>
          <w:color w:val="auto"/>
          <w:sz w:val="22"/>
          <w:szCs w:val="22"/>
        </w:rPr>
      </w:pPr>
    </w:p>
    <w:p w14:paraId="274C2E70" w14:textId="77777777" w:rsidR="0089503E" w:rsidRPr="00AA3F64" w:rsidRDefault="0089503E" w:rsidP="001D62CA">
      <w:pPr>
        <w:pStyle w:val="Szvegtrzs"/>
        <w:widowControl/>
        <w:suppressAutoHyphens w:val="0"/>
        <w:spacing w:after="0"/>
        <w:rPr>
          <w:color w:val="auto"/>
          <w:sz w:val="22"/>
          <w:szCs w:val="22"/>
        </w:rPr>
      </w:pPr>
      <w:r w:rsidRPr="00AA3F64">
        <w:rPr>
          <w:color w:val="auto"/>
          <w:sz w:val="22"/>
          <w:szCs w:val="22"/>
        </w:rPr>
        <w:t xml:space="preserve">Egy randomizált, nyílt </w:t>
      </w:r>
      <w:r w:rsidR="0075644B">
        <w:rPr>
          <w:color w:val="auto"/>
          <w:sz w:val="22"/>
          <w:szCs w:val="22"/>
        </w:rPr>
        <w:t>elrendezésű</w:t>
      </w:r>
      <w:r w:rsidRPr="00AA3F64">
        <w:rPr>
          <w:color w:val="auto"/>
          <w:sz w:val="22"/>
          <w:szCs w:val="22"/>
        </w:rPr>
        <w:t>, 12 hetes vizsgálat az LDL csökkenés szintjét vizsgálta 10 mg rozuvasztatin/10 mg ezetimib, 20 mg rozuvasztatin/10 mg ezetimib, 40 mg szimvasztatin/10 mg ezetimib és 80 mg szimvasztatin/10 mg ezetimib csoportokban.</w:t>
      </w:r>
      <w:r w:rsidR="003B1C1E" w:rsidRPr="00AA3F64">
        <w:rPr>
          <w:color w:val="auto"/>
          <w:sz w:val="22"/>
          <w:szCs w:val="22"/>
        </w:rPr>
        <w:t xml:space="preserve"> </w:t>
      </w:r>
      <w:r w:rsidRPr="00AA3F64">
        <w:rPr>
          <w:color w:val="auto"/>
          <w:sz w:val="22"/>
          <w:szCs w:val="22"/>
        </w:rPr>
        <w:t xml:space="preserve">A kiindulási értékhez viszonyított csökkenés a </w:t>
      </w:r>
      <w:r w:rsidR="00114176">
        <w:rPr>
          <w:color w:val="auto"/>
          <w:sz w:val="22"/>
          <w:szCs w:val="22"/>
        </w:rPr>
        <w:t>kis</w:t>
      </w:r>
      <w:r w:rsidR="00114176" w:rsidRPr="00AA3F64">
        <w:rPr>
          <w:color w:val="auto"/>
          <w:sz w:val="22"/>
          <w:szCs w:val="22"/>
        </w:rPr>
        <w:t xml:space="preserve"> </w:t>
      </w:r>
      <w:r w:rsidRPr="00AA3F64">
        <w:rPr>
          <w:color w:val="auto"/>
          <w:sz w:val="22"/>
          <w:szCs w:val="22"/>
        </w:rPr>
        <w:t xml:space="preserve">dózisú rozuvasztatin kombinációs csoportban 59,7% volt, mely szignifikánsan nagyobb, mint a </w:t>
      </w:r>
      <w:r w:rsidR="00114176">
        <w:rPr>
          <w:color w:val="auto"/>
          <w:sz w:val="22"/>
          <w:szCs w:val="22"/>
        </w:rPr>
        <w:t>kis</w:t>
      </w:r>
      <w:r w:rsidR="00114176" w:rsidRPr="00AA3F64">
        <w:rPr>
          <w:color w:val="auto"/>
          <w:sz w:val="22"/>
          <w:szCs w:val="22"/>
        </w:rPr>
        <w:t xml:space="preserve"> </w:t>
      </w:r>
      <w:r w:rsidRPr="00AA3F64">
        <w:rPr>
          <w:color w:val="auto"/>
          <w:sz w:val="22"/>
          <w:szCs w:val="22"/>
        </w:rPr>
        <w:t xml:space="preserve">dózisú szimvasztatin kombinációs csoportnál mért 55,2% (p &lt; 0,05). A nagy dózisú rozuvasztatin kombinációval történő kezelés az LDL-koleszterin szintjét 63,5%-kal </w:t>
      </w:r>
      <w:r w:rsidRPr="00AA3F64">
        <w:rPr>
          <w:color w:val="auto"/>
          <w:sz w:val="22"/>
          <w:szCs w:val="22"/>
        </w:rPr>
        <w:lastRenderedPageBreak/>
        <w:t>csökkentette, szemben a nagy dózisú szimvasztatin kombinációs kezelés 57,4%-os értékével (p &lt; 0,001).</w:t>
      </w:r>
    </w:p>
    <w:p w14:paraId="309E53A8" w14:textId="77777777" w:rsidR="00C2003E" w:rsidRPr="00AA3F64" w:rsidRDefault="00C2003E" w:rsidP="00AA3F64">
      <w:pPr>
        <w:widowControl w:val="0"/>
        <w:rPr>
          <w:rFonts w:cs="Times New Roman"/>
          <w:i/>
          <w:iCs/>
          <w:sz w:val="22"/>
          <w:lang w:eastAsia="pl-PL"/>
        </w:rPr>
      </w:pPr>
    </w:p>
    <w:p w14:paraId="44FC2D1F" w14:textId="77777777" w:rsidR="00073C80" w:rsidRPr="00AA3F64" w:rsidRDefault="00073C80" w:rsidP="00AA3F64">
      <w:pPr>
        <w:pStyle w:val="Normal1"/>
        <w:tabs>
          <w:tab w:val="left" w:pos="567"/>
        </w:tabs>
        <w:suppressAutoHyphens w:val="0"/>
        <w:rPr>
          <w:bCs/>
          <w:color w:val="auto"/>
          <w:sz w:val="22"/>
          <w:szCs w:val="22"/>
          <w:u w:val="single"/>
          <w:lang w:val="hu-HU"/>
        </w:rPr>
      </w:pPr>
      <w:r w:rsidRPr="00AA3F64">
        <w:rPr>
          <w:bCs/>
          <w:color w:val="auto"/>
          <w:sz w:val="22"/>
          <w:szCs w:val="22"/>
          <w:u w:val="single"/>
          <w:lang w:val="hu-HU"/>
        </w:rPr>
        <w:t>Gyermek</w:t>
      </w:r>
      <w:r w:rsidR="00F126F8" w:rsidRPr="00AA3F64">
        <w:rPr>
          <w:bCs/>
          <w:color w:val="auto"/>
          <w:sz w:val="22"/>
          <w:szCs w:val="22"/>
          <w:u w:val="single"/>
          <w:lang w:val="hu-HU"/>
        </w:rPr>
        <w:t>ek</w:t>
      </w:r>
      <w:r w:rsidR="00F45FD5" w:rsidRPr="00AA3F64">
        <w:rPr>
          <w:bCs/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195BD6FB" w14:textId="77777777" w:rsidR="00F6177A" w:rsidRPr="00AA3F64" w:rsidRDefault="00F6177A" w:rsidP="00AA3F64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AA3F64">
        <w:rPr>
          <w:color w:val="auto"/>
          <w:sz w:val="22"/>
          <w:szCs w:val="22"/>
          <w:lang w:val="hu-HU" w:eastAsia="hu-HU"/>
        </w:rPr>
        <w:t xml:space="preserve">Az Európai Gyógyszerügynökség a gyermekek esetén minden korosztálynál eltekint a </w:t>
      </w:r>
      <w:r w:rsidR="00B55A1E" w:rsidRPr="00AA3F64">
        <w:rPr>
          <w:color w:val="auto"/>
          <w:sz w:val="22"/>
          <w:szCs w:val="22"/>
          <w:lang w:val="hu-HU"/>
        </w:rPr>
        <w:t xml:space="preserve">Co-Xeter </w:t>
      </w:r>
      <w:r w:rsidRPr="00AA3F64">
        <w:rPr>
          <w:color w:val="auto"/>
          <w:sz w:val="22"/>
          <w:szCs w:val="22"/>
          <w:lang w:val="hu-HU" w:eastAsia="hu-HU"/>
        </w:rPr>
        <w:t xml:space="preserve">vizsgálati eredményeinek benyújtási kötelezettségétől </w:t>
      </w:r>
      <w:r w:rsidR="00307A19" w:rsidRPr="00AA3F64">
        <w:rPr>
          <w:color w:val="auto"/>
          <w:sz w:val="22"/>
          <w:szCs w:val="22"/>
          <w:lang w:val="hu-HU" w:eastAsia="hu-HU"/>
        </w:rPr>
        <w:t xml:space="preserve">az emelkedett koleszterinszint kezelése </w:t>
      </w:r>
      <w:r w:rsidRPr="00AA3F64">
        <w:rPr>
          <w:color w:val="auto"/>
          <w:sz w:val="22"/>
          <w:szCs w:val="22"/>
          <w:lang w:val="hu-HU" w:eastAsia="hu-HU"/>
        </w:rPr>
        <w:t>vonatkozásában (lásd 4.2</w:t>
      </w:r>
      <w:r w:rsidR="005E736F" w:rsidRPr="00AA3F64">
        <w:rPr>
          <w:color w:val="auto"/>
          <w:sz w:val="22"/>
          <w:szCs w:val="22"/>
          <w:lang w:val="hu-HU"/>
        </w:rPr>
        <w:t xml:space="preserve"> </w:t>
      </w:r>
      <w:r w:rsidRPr="00AA3F64">
        <w:rPr>
          <w:color w:val="auto"/>
          <w:sz w:val="22"/>
          <w:szCs w:val="22"/>
          <w:lang w:val="hu-HU"/>
        </w:rPr>
        <w:t>pont</w:t>
      </w:r>
      <w:r w:rsidRPr="00AA3F64">
        <w:rPr>
          <w:color w:val="auto"/>
          <w:sz w:val="22"/>
          <w:szCs w:val="22"/>
          <w:lang w:val="hu-HU" w:eastAsia="hu-HU"/>
        </w:rPr>
        <w:t>, gyermekgyógyászati alkalmazásra vonatkozó információk).</w:t>
      </w:r>
    </w:p>
    <w:p w14:paraId="7353110E" w14:textId="77777777" w:rsidR="00073C80" w:rsidRPr="00AA3F64" w:rsidRDefault="00073C80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54C236ED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5.2</w:t>
      </w:r>
      <w:r w:rsidRPr="00AA3F64">
        <w:rPr>
          <w:rFonts w:cs="Times New Roman"/>
          <w:b/>
          <w:bCs/>
          <w:sz w:val="22"/>
        </w:rPr>
        <w:tab/>
        <w:t>Farmakokinetikai tulajdonságok</w:t>
      </w:r>
    </w:p>
    <w:p w14:paraId="39C21138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651B5321" w14:textId="77777777" w:rsidR="00017487" w:rsidRPr="00AA3F64" w:rsidRDefault="00017487" w:rsidP="00AA3F64">
      <w:pPr>
        <w:widowControl w:val="0"/>
        <w:autoSpaceDE w:val="0"/>
        <w:autoSpaceDN w:val="0"/>
        <w:adjustRightInd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</w:rPr>
        <w:t>Rozuvasztatin és ezetimib kezelés</w:t>
      </w:r>
    </w:p>
    <w:p w14:paraId="64510542" w14:textId="77777777" w:rsidR="00017487" w:rsidRPr="00AA3F64" w:rsidRDefault="00017487" w:rsidP="00AA3F64">
      <w:pPr>
        <w:widowControl w:val="0"/>
        <w:autoSpaceDE w:val="0"/>
        <w:autoSpaceDN w:val="0"/>
        <w:adjustRightInd w:val="0"/>
        <w:rPr>
          <w:rFonts w:cs="Times New Roman"/>
          <w:bCs/>
          <w:iCs/>
          <w:sz w:val="22"/>
        </w:rPr>
      </w:pPr>
      <w:r w:rsidRPr="00AA3F64">
        <w:rPr>
          <w:rFonts w:cs="Times New Roman"/>
          <w:bCs/>
          <w:iCs/>
          <w:sz w:val="22"/>
        </w:rPr>
        <w:t>10</w:t>
      </w:r>
      <w:r w:rsidR="00E11EAD" w:rsidRPr="00AA3F64">
        <w:rPr>
          <w:rFonts w:cs="Times New Roman"/>
          <w:bCs/>
          <w:iCs/>
          <w:sz w:val="22"/>
        </w:rPr>
        <w:t> </w:t>
      </w:r>
      <w:r w:rsidRPr="00AA3F64">
        <w:rPr>
          <w:rFonts w:cs="Times New Roman"/>
          <w:bCs/>
          <w:iCs/>
          <w:sz w:val="22"/>
        </w:rPr>
        <w:t>mg rozuvasztatin és 10</w:t>
      </w:r>
      <w:r w:rsidR="00E11EAD" w:rsidRPr="00AA3F64">
        <w:rPr>
          <w:rFonts w:cs="Times New Roman"/>
          <w:bCs/>
          <w:iCs/>
          <w:sz w:val="22"/>
        </w:rPr>
        <w:t> </w:t>
      </w:r>
      <w:r w:rsidRPr="00AA3F64">
        <w:rPr>
          <w:rFonts w:cs="Times New Roman"/>
          <w:bCs/>
          <w:iCs/>
          <w:sz w:val="22"/>
        </w:rPr>
        <w:t xml:space="preserve">mg ezetimib együttadása a rozuvasztatin AUC értékének 1,2-szeres növekedését </w:t>
      </w:r>
      <w:r w:rsidR="00114176">
        <w:rPr>
          <w:rFonts w:cs="Times New Roman"/>
          <w:bCs/>
          <w:iCs/>
          <w:sz w:val="22"/>
        </w:rPr>
        <w:t>okozta</w:t>
      </w:r>
      <w:r w:rsidR="00114176" w:rsidRPr="00AA3F64">
        <w:rPr>
          <w:rFonts w:cs="Times New Roman"/>
          <w:bCs/>
          <w:iCs/>
          <w:sz w:val="22"/>
        </w:rPr>
        <w:t xml:space="preserve"> </w:t>
      </w:r>
      <w:r w:rsidRPr="00AA3F64">
        <w:rPr>
          <w:rFonts w:cs="Times New Roman"/>
          <w:bCs/>
          <w:iCs/>
          <w:sz w:val="22"/>
        </w:rPr>
        <w:t xml:space="preserve">hypercholesterinaemiás alanyoknál. </w:t>
      </w:r>
      <w:r w:rsidRPr="00AA3F64">
        <w:rPr>
          <w:rFonts w:cs="Times New Roman"/>
          <w:sz w:val="22"/>
        </w:rPr>
        <w:t>A rozuvasztatin és ezetimib farmakodinámiás interakciójából származó mellékhatások nem zárhatók ki</w:t>
      </w:r>
      <w:r w:rsidR="00E11EAD" w:rsidRPr="00AA3F64">
        <w:rPr>
          <w:rFonts w:cs="Times New Roman"/>
          <w:sz w:val="22"/>
        </w:rPr>
        <w:t>.</w:t>
      </w:r>
    </w:p>
    <w:p w14:paraId="1343A0E0" w14:textId="77777777" w:rsidR="00017487" w:rsidRPr="00AA3F64" w:rsidRDefault="00017487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47F7A6F" w14:textId="77777777" w:rsidR="00017487" w:rsidRPr="00AA3F64" w:rsidRDefault="00017487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</w:rPr>
        <w:t>Rozuvasztatin</w:t>
      </w:r>
    </w:p>
    <w:p w14:paraId="4988AB9F" w14:textId="77777777" w:rsidR="009F1A95" w:rsidRPr="00AA3F64" w:rsidRDefault="009F1A95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Cs/>
          <w:sz w:val="22"/>
          <w:u w:val="single"/>
        </w:rPr>
      </w:pPr>
    </w:p>
    <w:p w14:paraId="1B2CCE8D" w14:textId="77777777" w:rsidR="009F1A95" w:rsidRPr="00AA3F64" w:rsidRDefault="00F126F8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sz w:val="22"/>
          <w:u w:val="single"/>
        </w:rPr>
        <w:t>Felszívódás</w:t>
      </w:r>
    </w:p>
    <w:p w14:paraId="20FCBE42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i/>
          <w:sz w:val="22"/>
        </w:rPr>
        <w:t>Per os</w:t>
      </w:r>
      <w:r w:rsidRPr="00AA3F64">
        <w:rPr>
          <w:rFonts w:cs="Times New Roman"/>
          <w:sz w:val="22"/>
        </w:rPr>
        <w:t xml:space="preserve"> adagolást követően megközelítőleg 5</w:t>
      </w:r>
      <w:r w:rsidR="007031A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óra múlva alakul ki a rozuvasztatin maximális plazmakoncentrációja. Az abszolút biohasznosulás értéke megközelítőleg 20%.</w:t>
      </w:r>
    </w:p>
    <w:p w14:paraId="1B1BA4F3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0E93AFE2" w14:textId="77777777" w:rsidR="009F1A95" w:rsidRPr="00AA3F64" w:rsidRDefault="00F126F8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sz w:val="22"/>
          <w:u w:val="single"/>
        </w:rPr>
        <w:t>Eloszlás</w:t>
      </w:r>
    </w:p>
    <w:p w14:paraId="52CF2E04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rozuvasztatint nagymértékben a máj veszi fel, ami a koleszterinszintézis és az LDL</w:t>
      </w:r>
      <w:r w:rsidR="003C648E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 xml:space="preserve">koleszterin-ürülés elsődleges színtere. A rozuvasztatin megoszlási térfogata megközelítőleg </w:t>
      </w:r>
      <w:smartTag w:uri="urn:schemas-microsoft-com:office:smarttags" w:element="metricconverter">
        <w:smartTagPr>
          <w:attr w:name="ProductID" w:val="134ﾠl"/>
        </w:smartTagPr>
        <w:r w:rsidRPr="00AA3F64">
          <w:rPr>
            <w:rFonts w:cs="Times New Roman"/>
            <w:sz w:val="22"/>
          </w:rPr>
          <w:t>134</w:t>
        </w:r>
        <w:r w:rsidR="00811453" w:rsidRPr="00AA3F64">
          <w:rPr>
            <w:rFonts w:cs="Times New Roman"/>
            <w:sz w:val="22"/>
          </w:rPr>
          <w:t> </w:t>
        </w:r>
        <w:r w:rsidRPr="00AA3F64">
          <w:rPr>
            <w:rFonts w:cs="Times New Roman"/>
            <w:sz w:val="22"/>
          </w:rPr>
          <w:t>l</w:t>
        </w:r>
      </w:smartTag>
      <w:r w:rsidRPr="00AA3F64">
        <w:rPr>
          <w:rFonts w:cs="Times New Roman"/>
          <w:sz w:val="22"/>
        </w:rPr>
        <w:t>.</w:t>
      </w:r>
      <w:r w:rsidR="0089503E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A rozuvasztatin körülbelül 90%-a kötődik a plazmafehérjékhez, főleg az albuminhoz.</w:t>
      </w:r>
    </w:p>
    <w:p w14:paraId="71254324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3D8DA74D" w14:textId="77777777" w:rsidR="009F1A95" w:rsidRPr="00AA3F64" w:rsidRDefault="00F126F8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sz w:val="22"/>
          <w:u w:val="single"/>
        </w:rPr>
        <w:t>Biotranszformáció</w:t>
      </w:r>
    </w:p>
    <w:p w14:paraId="7E580C1C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rozuvasztatin kismértékű metabolizmuson megy keresztül (körülbelül 10%). Emberi májsejteken végzett </w:t>
      </w:r>
      <w:r w:rsidRPr="00AA3F64">
        <w:rPr>
          <w:rFonts w:cs="Times New Roman"/>
          <w:i/>
          <w:sz w:val="22"/>
        </w:rPr>
        <w:t>in vitro</w:t>
      </w:r>
      <w:r w:rsidRPr="00AA3F64">
        <w:rPr>
          <w:rFonts w:cs="Times New Roman"/>
          <w:sz w:val="22"/>
        </w:rPr>
        <w:t xml:space="preserve"> metabolit vizsgálatok szerint a rozuvasztatin a citokróm-P450-en alapuló metabolizmus gyenge szubsztrátja. A folyamatban főleg a CYP2C9 izoenzim játszott szerepet, míg a 2C19, 3A4 és 2D6 izoenzimek kevésbé. </w:t>
      </w:r>
      <w:r w:rsidR="0007733E" w:rsidRPr="00AA3F64">
        <w:rPr>
          <w:rFonts w:cs="Times New Roman"/>
          <w:sz w:val="22"/>
        </w:rPr>
        <w:t>Fő metabolitokként az N</w:t>
      </w:r>
      <w:r w:rsidR="008A524A" w:rsidRPr="00AA3F64">
        <w:rPr>
          <w:rFonts w:cs="Times New Roman"/>
          <w:sz w:val="22"/>
        </w:rPr>
        <w:t>-</w:t>
      </w:r>
      <w:r w:rsidR="0007733E" w:rsidRPr="00AA3F64">
        <w:rPr>
          <w:rFonts w:cs="Times New Roman"/>
          <w:sz w:val="22"/>
        </w:rPr>
        <w:t>dezmetil és a lakton</w:t>
      </w:r>
      <w:r w:rsidR="008A524A" w:rsidRPr="00AA3F64">
        <w:rPr>
          <w:rFonts w:cs="Times New Roman"/>
          <w:sz w:val="22"/>
        </w:rPr>
        <w:t xml:space="preserve"> </w:t>
      </w:r>
      <w:r w:rsidR="0007733E" w:rsidRPr="00AA3F64">
        <w:rPr>
          <w:rFonts w:cs="Times New Roman"/>
          <w:sz w:val="22"/>
        </w:rPr>
        <w:t>metabolitokat azonosították.</w:t>
      </w:r>
    </w:p>
    <w:p w14:paraId="12D597E5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N</w:t>
      </w:r>
      <w:r w:rsidR="00DE60C4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dezmetil</w:t>
      </w:r>
      <w:r w:rsidR="008A524A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metabolit megközelítőleg 50%-kal kevésbé aktív</w:t>
      </w:r>
      <w:r w:rsidR="00DE60C4" w:rsidRPr="00AA3F64">
        <w:rPr>
          <w:rFonts w:cs="Times New Roman"/>
          <w:sz w:val="22"/>
        </w:rPr>
        <w:t>,</w:t>
      </w:r>
      <w:r w:rsidRPr="00AA3F64">
        <w:rPr>
          <w:rFonts w:cs="Times New Roman"/>
          <w:sz w:val="22"/>
        </w:rPr>
        <w:t xml:space="preserve"> mint a rozuvasztatin, a lakton metabolit pedig klinikai szempontból inaktív. A keringésben lévő HMG</w:t>
      </w:r>
      <w:r w:rsidR="00811453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CoA</w:t>
      </w:r>
      <w:r w:rsidR="00412AB5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reduktáz</w:t>
      </w:r>
      <w:r w:rsidR="00DE60C4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inhib</w:t>
      </w:r>
      <w:r w:rsidR="00F66368" w:rsidRPr="00AA3F64">
        <w:rPr>
          <w:rFonts w:cs="Times New Roman"/>
          <w:sz w:val="22"/>
        </w:rPr>
        <w:t>i</w:t>
      </w:r>
      <w:r w:rsidRPr="00AA3F64">
        <w:rPr>
          <w:rFonts w:cs="Times New Roman"/>
          <w:sz w:val="22"/>
        </w:rPr>
        <w:t>tor aktivitás</w:t>
      </w:r>
      <w:r w:rsidR="00DE60C4" w:rsidRPr="00AA3F64">
        <w:rPr>
          <w:rFonts w:cs="Times New Roman"/>
          <w:sz w:val="22"/>
        </w:rPr>
        <w:t>a</w:t>
      </w:r>
      <w:r w:rsidRPr="00AA3F64">
        <w:rPr>
          <w:rFonts w:cs="Times New Roman"/>
          <w:sz w:val="22"/>
        </w:rPr>
        <w:t xml:space="preserve"> több</w:t>
      </w:r>
      <w:r w:rsidR="00EE133D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mint 90%-ban a rozuvasztatinnak tulajdonítható.</w:t>
      </w:r>
    </w:p>
    <w:p w14:paraId="2730DA46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8327E1B" w14:textId="77777777" w:rsidR="00811774" w:rsidRPr="00AA3F64" w:rsidRDefault="00F126F8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sz w:val="22"/>
          <w:u w:val="single"/>
        </w:rPr>
        <w:t>Elimináció</w:t>
      </w:r>
    </w:p>
    <w:p w14:paraId="641CA102" w14:textId="77777777" w:rsidR="0089503E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alkalmazott rozuvasztatin</w:t>
      </w:r>
      <w:r w:rsidR="00811774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d</w:t>
      </w:r>
      <w:r w:rsidR="00114176">
        <w:rPr>
          <w:rFonts w:cs="Times New Roman"/>
          <w:sz w:val="22"/>
        </w:rPr>
        <w:t>ózis</w:t>
      </w:r>
      <w:r w:rsidRPr="00AA3F64">
        <w:rPr>
          <w:rFonts w:cs="Times New Roman"/>
          <w:sz w:val="22"/>
        </w:rPr>
        <w:t xml:space="preserve"> körülbelül 90%-a választódik ki változatlan formában a székletben (felszívódott és fel nem szívódott hatóanyag), a fennmaradó rész pedig a vizelettel távozik.</w:t>
      </w:r>
    </w:p>
    <w:p w14:paraId="3959A357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vizeletben megközelítőleg 5% választódik ki változatlan formában. A plazma eliminációs felezési idő megközelítőleg 19</w:t>
      </w:r>
      <w:r w:rsidR="007031A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 xml:space="preserve">óra. Az elimináció felezési ideje </w:t>
      </w:r>
      <w:r w:rsidR="00114176">
        <w:rPr>
          <w:rFonts w:cs="Times New Roman"/>
          <w:sz w:val="22"/>
        </w:rPr>
        <w:t>nagyo</w:t>
      </w:r>
      <w:r w:rsidR="00114176" w:rsidRPr="00AA3F64">
        <w:rPr>
          <w:rFonts w:cs="Times New Roman"/>
          <w:sz w:val="22"/>
        </w:rPr>
        <w:t xml:space="preserve">bb </w:t>
      </w:r>
      <w:r w:rsidRPr="00AA3F64">
        <w:rPr>
          <w:rFonts w:cs="Times New Roman"/>
          <w:sz w:val="22"/>
        </w:rPr>
        <w:t>dózis esetében sem növekszik.</w:t>
      </w:r>
    </w:p>
    <w:p w14:paraId="3EDC23BC" w14:textId="77777777" w:rsidR="0089503E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plazma</w:t>
      </w:r>
      <w:r w:rsidR="00DA4CA7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clearance mértani középértéke megközelítőleg 50</w:t>
      </w:r>
      <w:r w:rsidR="00811453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l/</w:t>
      </w:r>
      <w:r w:rsidR="008A524A" w:rsidRPr="00AA3F64">
        <w:rPr>
          <w:rFonts w:cs="Times New Roman"/>
          <w:sz w:val="22"/>
        </w:rPr>
        <w:t>óra</w:t>
      </w:r>
      <w:r w:rsidRPr="00AA3F64">
        <w:rPr>
          <w:rFonts w:cs="Times New Roman"/>
          <w:sz w:val="22"/>
        </w:rPr>
        <w:t xml:space="preserve"> (variációs koefficiens 21,7%).</w:t>
      </w:r>
    </w:p>
    <w:p w14:paraId="1E53C90D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Hasonlóan egyéb HMG</w:t>
      </w:r>
      <w:r w:rsidR="00811453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CoA</w:t>
      </w:r>
      <w:r w:rsidR="00811453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reduktáz</w:t>
      </w:r>
      <w:r w:rsidR="00DA4CA7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gátlókhoz, az OATP</w:t>
      </w:r>
      <w:r w:rsidR="00811453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C membrántranszporter részt vesz a rozuvasztatin májba történő felvételében. Ez a transzporter fontos szerepet játszik a rozuvasztatin eliminációjában.</w:t>
      </w:r>
    </w:p>
    <w:p w14:paraId="0F54C4D4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420FA8F8" w14:textId="77777777" w:rsidR="00811774" w:rsidRPr="00AA3F64" w:rsidRDefault="00120F83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sz w:val="22"/>
          <w:u w:val="single"/>
        </w:rPr>
        <w:t>Linearitás</w:t>
      </w:r>
    </w:p>
    <w:p w14:paraId="6DD21585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dózis nagyságával összhangban a rozuvasztatin szisztémás expozíciója nő. A farmakokinetikai paraméterekben nincs változás napi többszöri dózis alkalmazása után.</w:t>
      </w:r>
    </w:p>
    <w:p w14:paraId="2F9090F2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581550AE" w14:textId="77777777" w:rsidR="00120F83" w:rsidRPr="00AA3F64" w:rsidRDefault="008002D6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  <w:u w:val="single"/>
        </w:rPr>
      </w:pPr>
      <w:r w:rsidRPr="00AA3F64">
        <w:rPr>
          <w:rFonts w:cs="Times New Roman"/>
          <w:bCs/>
          <w:sz w:val="22"/>
          <w:u w:val="single"/>
        </w:rPr>
        <w:t xml:space="preserve">Különleges </w:t>
      </w:r>
      <w:r w:rsidR="00120F83" w:rsidRPr="00AA3F64">
        <w:rPr>
          <w:rFonts w:cs="Times New Roman"/>
          <w:bCs/>
          <w:sz w:val="22"/>
          <w:u w:val="single"/>
        </w:rPr>
        <w:t>betegcsoportok</w:t>
      </w:r>
    </w:p>
    <w:p w14:paraId="44C508F7" w14:textId="77777777" w:rsidR="0089503E" w:rsidRPr="00AA3F64" w:rsidRDefault="0089503E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55F5B8D5" w14:textId="77777777" w:rsidR="00811774" w:rsidRPr="00AA3F64" w:rsidRDefault="00120F83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i/>
          <w:sz w:val="22"/>
          <w:u w:val="single"/>
        </w:rPr>
        <w:t>Kor és nem</w:t>
      </w:r>
    </w:p>
    <w:p w14:paraId="4EC099B2" w14:textId="77777777" w:rsidR="00120F83" w:rsidRPr="00AA3F64" w:rsidRDefault="00837FA7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Felnőttek esetében a kornak és a nemnek a rozuvasztatin farmakokinetikájára nem volt klinikai szempontból jelentős hatása. </w:t>
      </w:r>
      <w:r w:rsidR="00F6177A" w:rsidRPr="00AA3F64">
        <w:rPr>
          <w:rFonts w:cs="Times New Roman"/>
          <w:sz w:val="22"/>
        </w:rPr>
        <w:t>Heteroz</w:t>
      </w:r>
      <w:r w:rsidR="00DA4CA7" w:rsidRPr="00AA3F64">
        <w:rPr>
          <w:rFonts w:cs="Times New Roman"/>
          <w:sz w:val="22"/>
        </w:rPr>
        <w:t>y</w:t>
      </w:r>
      <w:r w:rsidR="00F6177A" w:rsidRPr="00AA3F64">
        <w:rPr>
          <w:rFonts w:cs="Times New Roman"/>
          <w:sz w:val="22"/>
        </w:rPr>
        <w:t>g</w:t>
      </w:r>
      <w:r w:rsidR="00DA4CA7" w:rsidRPr="00AA3F64">
        <w:rPr>
          <w:rFonts w:cs="Times New Roman"/>
          <w:sz w:val="22"/>
        </w:rPr>
        <w:t>o</w:t>
      </w:r>
      <w:r w:rsidR="00F6177A" w:rsidRPr="00AA3F64">
        <w:rPr>
          <w:rFonts w:cs="Times New Roman"/>
          <w:sz w:val="22"/>
        </w:rPr>
        <w:t>ta f</w:t>
      </w:r>
      <w:r w:rsidRPr="00AA3F64">
        <w:rPr>
          <w:rFonts w:cs="Times New Roman"/>
          <w:sz w:val="22"/>
        </w:rPr>
        <w:t>amili</w:t>
      </w:r>
      <w:r w:rsidR="00DA4CA7" w:rsidRPr="00AA3F64">
        <w:rPr>
          <w:rFonts w:cs="Times New Roman"/>
          <w:sz w:val="22"/>
        </w:rPr>
        <w:t>a</w:t>
      </w:r>
      <w:r w:rsidRPr="00AA3F64">
        <w:rPr>
          <w:rFonts w:cs="Times New Roman"/>
          <w:sz w:val="22"/>
        </w:rPr>
        <w:t xml:space="preserve">ris </w:t>
      </w:r>
      <w:r w:rsidR="00BE452B" w:rsidRPr="00AA3F64">
        <w:rPr>
          <w:rFonts w:cs="Times New Roman"/>
          <w:sz w:val="22"/>
        </w:rPr>
        <w:t>hypercholesterinaemiában</w:t>
      </w:r>
      <w:r w:rsidRPr="00AA3F64">
        <w:rPr>
          <w:rFonts w:cs="Times New Roman"/>
          <w:sz w:val="22"/>
        </w:rPr>
        <w:t xml:space="preserve"> szenvedő gyermekeknél és serdülőknél </w:t>
      </w:r>
      <w:r w:rsidR="00993533" w:rsidRPr="00AA3F64">
        <w:rPr>
          <w:rFonts w:cs="Times New Roman"/>
          <w:sz w:val="22"/>
        </w:rPr>
        <w:t xml:space="preserve">az </w:t>
      </w:r>
      <w:r w:rsidR="00017487" w:rsidRPr="00AA3F64">
        <w:rPr>
          <w:rFonts w:cs="Times New Roman"/>
          <w:sz w:val="22"/>
        </w:rPr>
        <w:t xml:space="preserve">rozuvasztatin </w:t>
      </w:r>
      <w:r w:rsidR="00993533" w:rsidRPr="00AA3F64">
        <w:rPr>
          <w:rFonts w:cs="Times New Roman"/>
          <w:sz w:val="22"/>
        </w:rPr>
        <w:t>expozíció</w:t>
      </w:r>
      <w:r w:rsidR="00017487" w:rsidRPr="00AA3F64">
        <w:rPr>
          <w:rFonts w:cs="Times New Roman"/>
          <w:sz w:val="22"/>
        </w:rPr>
        <w:t>ja</w:t>
      </w:r>
      <w:r w:rsidR="00993533" w:rsidRPr="00AA3F64">
        <w:rPr>
          <w:rFonts w:cs="Times New Roman"/>
          <w:sz w:val="22"/>
        </w:rPr>
        <w:t xml:space="preserve"> hasonlónak </w:t>
      </w:r>
      <w:r w:rsidR="00993533" w:rsidRPr="00AA3F64">
        <w:rPr>
          <w:rFonts w:cs="Times New Roman"/>
          <w:sz w:val="22"/>
          <w:lang w:eastAsia="hu-HU"/>
        </w:rPr>
        <w:t>vagy alacsonyabbnak tűnik</w:t>
      </w:r>
      <w:r w:rsidR="00993533" w:rsidRPr="00AA3F64">
        <w:rPr>
          <w:rFonts w:cs="Times New Roman"/>
          <w:sz w:val="22"/>
        </w:rPr>
        <w:t xml:space="preserve">, mint a dyslipidaemiás felnőtt </w:t>
      </w:r>
      <w:r w:rsidR="00993533" w:rsidRPr="00AA3F64">
        <w:rPr>
          <w:rFonts w:cs="Times New Roman"/>
          <w:sz w:val="22"/>
          <w:lang w:eastAsia="hu-HU"/>
        </w:rPr>
        <w:t>betegeknél</w:t>
      </w:r>
      <w:r w:rsidR="00993533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(lásd a „Gyermek</w:t>
      </w:r>
      <w:r w:rsidR="00F126F8" w:rsidRPr="00AA3F64">
        <w:rPr>
          <w:rFonts w:cs="Times New Roman"/>
          <w:sz w:val="22"/>
        </w:rPr>
        <w:t>ek</w:t>
      </w:r>
      <w:r w:rsidR="008A524A" w:rsidRPr="00AA3F64">
        <w:rPr>
          <w:rFonts w:cs="Times New Roman"/>
          <w:sz w:val="22"/>
        </w:rPr>
        <w:t xml:space="preserve"> és serdülők</w:t>
      </w:r>
      <w:r w:rsidRPr="00AA3F64">
        <w:rPr>
          <w:rFonts w:cs="Times New Roman"/>
          <w:sz w:val="22"/>
        </w:rPr>
        <w:t>” bekezdést alább).</w:t>
      </w:r>
    </w:p>
    <w:p w14:paraId="4DD52518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04FCE4FC" w14:textId="77777777" w:rsidR="00811774" w:rsidRPr="00AA3F64" w:rsidRDefault="00120F83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Cs/>
          <w:sz w:val="22"/>
        </w:rPr>
      </w:pPr>
      <w:r w:rsidRPr="00AA3F64">
        <w:rPr>
          <w:rFonts w:cs="Times New Roman"/>
          <w:bCs/>
          <w:i/>
          <w:iCs/>
          <w:sz w:val="22"/>
          <w:u w:val="single"/>
        </w:rPr>
        <w:t>Etnikai szempontok</w:t>
      </w:r>
    </w:p>
    <w:p w14:paraId="74E95429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Farmakokinetikai vizsgálatok során</w:t>
      </w:r>
      <w:r w:rsidR="00DE60C4" w:rsidRPr="00AA3F64">
        <w:rPr>
          <w:rFonts w:cs="Times New Roman"/>
          <w:sz w:val="22"/>
        </w:rPr>
        <w:t xml:space="preserve"> az</w:t>
      </w:r>
      <w:r w:rsidRPr="00AA3F64">
        <w:rPr>
          <w:rFonts w:cs="Times New Roman"/>
          <w:sz w:val="22"/>
        </w:rPr>
        <w:t xml:space="preserve"> ázsiai (japán, kínai, filipp</w:t>
      </w:r>
      <w:r w:rsidR="00DE60C4" w:rsidRPr="00AA3F64">
        <w:rPr>
          <w:rFonts w:cs="Times New Roman"/>
          <w:sz w:val="22"/>
        </w:rPr>
        <w:t>í</w:t>
      </w:r>
      <w:r w:rsidRPr="00AA3F64">
        <w:rPr>
          <w:rFonts w:cs="Times New Roman"/>
          <w:sz w:val="22"/>
        </w:rPr>
        <w:t>n</w:t>
      </w:r>
      <w:r w:rsidR="00DE60C4" w:rsidRPr="00AA3F64">
        <w:rPr>
          <w:rFonts w:cs="Times New Roman"/>
          <w:sz w:val="22"/>
        </w:rPr>
        <w:t>ó</w:t>
      </w:r>
      <w:r w:rsidRPr="00AA3F64">
        <w:rPr>
          <w:rFonts w:cs="Times New Roman"/>
          <w:sz w:val="22"/>
        </w:rPr>
        <w:t xml:space="preserve">, vietnámi és koreai) </w:t>
      </w:r>
      <w:r w:rsidR="00811453" w:rsidRPr="00AA3F64">
        <w:rPr>
          <w:rFonts w:cs="Times New Roman"/>
          <w:sz w:val="22"/>
        </w:rPr>
        <w:t xml:space="preserve">személyeknél </w:t>
      </w:r>
      <w:r w:rsidRPr="00AA3F64">
        <w:rPr>
          <w:rFonts w:cs="Times New Roman"/>
          <w:sz w:val="22"/>
        </w:rPr>
        <w:t>kb. kétszeres AUC medián (plazmakoncentráció-idő görbe alatti terület középértéke) és a C</w:t>
      </w:r>
      <w:r w:rsidRPr="00AA3F64">
        <w:rPr>
          <w:rFonts w:cs="Times New Roman"/>
          <w:sz w:val="22"/>
          <w:vertAlign w:val="subscript"/>
        </w:rPr>
        <w:t>max</w:t>
      </w:r>
      <w:r w:rsidR="00DA4CA7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 xml:space="preserve">érték emelkedést tapasztaltak </w:t>
      </w:r>
      <w:r w:rsidR="00F9472F" w:rsidRPr="00AA3F64">
        <w:rPr>
          <w:rFonts w:cs="Times New Roman"/>
          <w:sz w:val="22"/>
        </w:rPr>
        <w:t xml:space="preserve">a </w:t>
      </w:r>
      <w:r w:rsidRPr="00AA3F64">
        <w:rPr>
          <w:rFonts w:cs="Times New Roman"/>
          <w:sz w:val="22"/>
        </w:rPr>
        <w:t>kaukázusiakkal összehasonlításban</w:t>
      </w:r>
      <w:r w:rsidR="00F9472F" w:rsidRPr="00AA3F64">
        <w:rPr>
          <w:rFonts w:cs="Times New Roman"/>
          <w:sz w:val="22"/>
        </w:rPr>
        <w:t>. Az</w:t>
      </w:r>
      <w:r w:rsidRPr="00AA3F64">
        <w:rPr>
          <w:rFonts w:cs="Times New Roman"/>
          <w:sz w:val="22"/>
        </w:rPr>
        <w:t xml:space="preserve"> indiaiakban kb. 1,3-szoros AUC medián és C</w:t>
      </w:r>
      <w:r w:rsidRPr="00AA3F64">
        <w:rPr>
          <w:rFonts w:cs="Times New Roman"/>
          <w:sz w:val="22"/>
          <w:vertAlign w:val="subscript"/>
        </w:rPr>
        <w:t>max</w:t>
      </w:r>
      <w:r w:rsidR="00513CDF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emelkedést tapasztaltak.</w:t>
      </w:r>
    </w:p>
    <w:p w14:paraId="364EA713" w14:textId="77777777" w:rsidR="00120F83" w:rsidRPr="00AA3F64" w:rsidRDefault="00BB476C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Egy</w:t>
      </w:r>
      <w:r w:rsidR="00120F83" w:rsidRPr="00AA3F64">
        <w:rPr>
          <w:rFonts w:cs="Times New Roman"/>
          <w:sz w:val="22"/>
        </w:rPr>
        <w:t xml:space="preserve"> népességi farmakokinetikai analízis nem mutatott a </w:t>
      </w:r>
      <w:r w:rsidR="00114176">
        <w:rPr>
          <w:rFonts w:cs="Times New Roman"/>
          <w:sz w:val="22"/>
        </w:rPr>
        <w:t>gyógy</w:t>
      </w:r>
      <w:r w:rsidR="00120F83" w:rsidRPr="00AA3F64">
        <w:rPr>
          <w:rFonts w:cs="Times New Roman"/>
          <w:sz w:val="22"/>
        </w:rPr>
        <w:t xml:space="preserve">szer farmakokinetikájában lényeges különbségeket a kaukázusi és </w:t>
      </w:r>
      <w:r w:rsidR="00F9472F" w:rsidRPr="00AA3F64">
        <w:rPr>
          <w:rFonts w:cs="Times New Roman"/>
          <w:sz w:val="22"/>
        </w:rPr>
        <w:t xml:space="preserve">a </w:t>
      </w:r>
      <w:r w:rsidR="00120F83" w:rsidRPr="00AA3F64">
        <w:rPr>
          <w:rFonts w:cs="Times New Roman"/>
          <w:sz w:val="22"/>
        </w:rPr>
        <w:t>feketebőrű népcsoportokat összevetve.</w:t>
      </w:r>
    </w:p>
    <w:p w14:paraId="026C5940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1A89B75" w14:textId="77777777" w:rsidR="00811774" w:rsidRPr="00AA3F64" w:rsidRDefault="00120F83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i/>
          <w:sz w:val="22"/>
          <w:u w:val="single"/>
        </w:rPr>
        <w:t>Vese</w:t>
      </w:r>
      <w:r w:rsidR="00114176">
        <w:rPr>
          <w:rFonts w:cs="Times New Roman"/>
          <w:bCs/>
          <w:i/>
          <w:sz w:val="22"/>
          <w:u w:val="single"/>
        </w:rPr>
        <w:t>károsodás</w:t>
      </w:r>
    </w:p>
    <w:p w14:paraId="0C609B9F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Különböző súlyosságú vesekárosodásban szenvedő betegekkel végzett vizsgálatokban az enyhe és </w:t>
      </w:r>
      <w:r w:rsidR="00F9472F" w:rsidRPr="00AA3F64">
        <w:rPr>
          <w:rFonts w:cs="Times New Roman"/>
          <w:sz w:val="22"/>
        </w:rPr>
        <w:t xml:space="preserve">a </w:t>
      </w:r>
      <w:r w:rsidRPr="00AA3F64">
        <w:rPr>
          <w:rFonts w:cs="Times New Roman"/>
          <w:sz w:val="22"/>
        </w:rPr>
        <w:t>közepesen súlyos vesekárosodás nem befolyásolta a rozuvasztatin vagy az N</w:t>
      </w:r>
      <w:r w:rsidR="00F9472F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dezmetil metabolit plazmakoncentráció értékét. Súlyos vesekárosodás esetén (kreatinin</w:t>
      </w:r>
      <w:r w:rsidR="00DA4CA7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clearance &lt;</w:t>
      </w:r>
      <w:r w:rsidR="007031A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30</w:t>
      </w:r>
      <w:r w:rsidR="00BB476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ml/perc) a rozuvasztatin plazmakoncentrációja háromszor, az N</w:t>
      </w:r>
      <w:r w:rsidR="00F9472F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dezmetil metabolité kilencszer magasabb volt, mint az egészséges önkénteseké. Hemodialízis alatt álló betegekn</w:t>
      </w:r>
      <w:r w:rsidR="00114176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a rozuvasztatin steady</w:t>
      </w:r>
      <w:r w:rsidR="00BB476C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state plazmakoncentrációja kb. 50%-kal volt magasabb, mint az egészséges önkéntesek</w:t>
      </w:r>
      <w:r w:rsidR="00114176">
        <w:rPr>
          <w:rFonts w:cs="Times New Roman"/>
          <w:sz w:val="22"/>
        </w:rPr>
        <w:t>n</w:t>
      </w:r>
      <w:r w:rsidRPr="00AA3F64">
        <w:rPr>
          <w:rFonts w:cs="Times New Roman"/>
          <w:sz w:val="22"/>
        </w:rPr>
        <w:t>é</w:t>
      </w:r>
      <w:r w:rsidR="00114176">
        <w:rPr>
          <w:rFonts w:cs="Times New Roman"/>
          <w:sz w:val="22"/>
        </w:rPr>
        <w:t>l</w:t>
      </w:r>
      <w:r w:rsidRPr="00AA3F64">
        <w:rPr>
          <w:rFonts w:cs="Times New Roman"/>
          <w:sz w:val="22"/>
        </w:rPr>
        <w:t>.</w:t>
      </w:r>
    </w:p>
    <w:p w14:paraId="713ECB25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110446FA" w14:textId="77777777" w:rsidR="00811774" w:rsidRPr="00AA3F64" w:rsidRDefault="00120F83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i/>
          <w:sz w:val="22"/>
          <w:u w:val="single"/>
        </w:rPr>
        <w:t>Máj</w:t>
      </w:r>
      <w:r w:rsidR="00114176">
        <w:rPr>
          <w:rFonts w:cs="Times New Roman"/>
          <w:bCs/>
          <w:i/>
          <w:sz w:val="22"/>
          <w:u w:val="single"/>
        </w:rPr>
        <w:t>károsodás</w:t>
      </w:r>
    </w:p>
    <w:p w14:paraId="6C239419" w14:textId="77777777" w:rsidR="0089503E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Különböző súlyosságú májkárosodásban végzett vizsgálatokban </w:t>
      </w:r>
      <w:r w:rsidR="00114176">
        <w:rPr>
          <w:rFonts w:cs="Times New Roman"/>
          <w:sz w:val="22"/>
        </w:rPr>
        <w:t>–</w:t>
      </w:r>
      <w:r w:rsidR="0007733E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Child</w:t>
      </w:r>
      <w:r w:rsidR="00BB476C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 xml:space="preserve">Pugh </w:t>
      </w:r>
      <w:r w:rsidR="0007733E" w:rsidRPr="00AA3F64">
        <w:rPr>
          <w:rFonts w:cs="Times New Roman"/>
          <w:sz w:val="22"/>
        </w:rPr>
        <w:t>7</w:t>
      </w:r>
      <w:r w:rsidR="00846E5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érték mellett</w:t>
      </w:r>
      <w:r w:rsidR="0007733E" w:rsidRPr="00AA3F64">
        <w:rPr>
          <w:rFonts w:cs="Times New Roman"/>
          <w:sz w:val="22"/>
        </w:rPr>
        <w:t>, vagy ez alatt</w:t>
      </w:r>
      <w:r w:rsidRPr="00AA3F64">
        <w:rPr>
          <w:rFonts w:cs="Times New Roman"/>
          <w:sz w:val="22"/>
        </w:rPr>
        <w:t xml:space="preserve"> </w:t>
      </w:r>
      <w:r w:rsidR="00114176">
        <w:rPr>
          <w:rFonts w:cs="Times New Roman"/>
          <w:sz w:val="22"/>
        </w:rPr>
        <w:t>–</w:t>
      </w:r>
      <w:r w:rsidRPr="00AA3F64">
        <w:rPr>
          <w:rFonts w:cs="Times New Roman"/>
          <w:sz w:val="22"/>
        </w:rPr>
        <w:t xml:space="preserve"> nem mértek emelkedett rozuvasztatin</w:t>
      </w:r>
      <w:r w:rsidR="00846E5C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expozíciót. Azonban két betegn</w:t>
      </w:r>
      <w:r w:rsidR="00114176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>, akiknek Child</w:t>
      </w:r>
      <w:r w:rsidR="00BB476C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Pugh értéke 8 és 9 volt, a szisztémás expozíció emelkedése legalább kétszerese volt az alacsonyabb Child</w:t>
      </w:r>
      <w:r w:rsidR="00BB476C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Pugh értékű betegekhez képest.</w:t>
      </w:r>
    </w:p>
    <w:p w14:paraId="2BF57486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Nincs tapasztalat olyan betegekkel, akik</w:t>
      </w:r>
      <w:r w:rsidR="00DA4CA7" w:rsidRPr="00AA3F64">
        <w:rPr>
          <w:rFonts w:cs="Times New Roman"/>
          <w:sz w:val="22"/>
        </w:rPr>
        <w:t>nek</w:t>
      </w:r>
      <w:r w:rsidRPr="00AA3F64">
        <w:rPr>
          <w:rFonts w:cs="Times New Roman"/>
          <w:sz w:val="22"/>
        </w:rPr>
        <w:t xml:space="preserve"> Child</w:t>
      </w:r>
      <w:r w:rsidR="00BB476C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Pugh értéke 9 felett van.</w:t>
      </w:r>
    </w:p>
    <w:p w14:paraId="028412D3" w14:textId="77777777" w:rsidR="0014429F" w:rsidRPr="00AA3F64" w:rsidRDefault="0014429F" w:rsidP="0063040C">
      <w:pPr>
        <w:pStyle w:val="Normal1"/>
        <w:suppressAutoHyphens w:val="0"/>
        <w:rPr>
          <w:bCs/>
          <w:color w:val="auto"/>
          <w:sz w:val="22"/>
          <w:szCs w:val="22"/>
          <w:lang w:val="hu-HU"/>
        </w:rPr>
      </w:pPr>
    </w:p>
    <w:p w14:paraId="1FD2C979" w14:textId="256A3CE7" w:rsidR="00B97992" w:rsidRPr="00114176" w:rsidRDefault="0014429F" w:rsidP="0063040C">
      <w:pPr>
        <w:widowControl w:val="0"/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bCs/>
          <w:i/>
          <w:sz w:val="22"/>
          <w:u w:val="single"/>
        </w:rPr>
        <w:t>Genetikai polimorfizmusok</w:t>
      </w:r>
      <w:r w:rsidRPr="00AA3F64">
        <w:rPr>
          <w:rFonts w:cs="Times New Roman"/>
          <w:bCs/>
          <w:i/>
          <w:sz w:val="22"/>
        </w:rPr>
        <w:t>:</w:t>
      </w:r>
      <w:r w:rsidRPr="00AA3F64">
        <w:rPr>
          <w:rFonts w:cs="Times New Roman"/>
          <w:bCs/>
          <w:sz w:val="22"/>
        </w:rPr>
        <w:t xml:space="preserve"> A HMG</w:t>
      </w:r>
      <w:r w:rsidRPr="00AA3F64">
        <w:rPr>
          <w:rFonts w:cs="Times New Roman"/>
          <w:bCs/>
          <w:sz w:val="22"/>
        </w:rPr>
        <w:noBreakHyphen/>
        <w:t>CoA</w:t>
      </w:r>
      <w:r w:rsidRPr="00AA3F64">
        <w:rPr>
          <w:rFonts w:cs="Times New Roman"/>
          <w:bCs/>
          <w:sz w:val="22"/>
        </w:rPr>
        <w:noBreakHyphen/>
        <w:t>reduktáz</w:t>
      </w:r>
      <w:r w:rsidR="00DA4CA7" w:rsidRPr="00AA3F64">
        <w:rPr>
          <w:rFonts w:cs="Times New Roman"/>
          <w:bCs/>
          <w:sz w:val="22"/>
        </w:rPr>
        <w:t>-</w:t>
      </w:r>
      <w:r w:rsidRPr="00AA3F64">
        <w:rPr>
          <w:rFonts w:cs="Times New Roman"/>
          <w:bCs/>
          <w:sz w:val="22"/>
        </w:rPr>
        <w:t>inhibitorok, beleértve a rozuvasztatint is, eltávolításában szerepet játszanak az OATP1B1 és a BCRP transzportfehérjék</w:t>
      </w:r>
      <w:r w:rsidR="00225FD6">
        <w:rPr>
          <w:rFonts w:cs="Times New Roman"/>
          <w:bCs/>
          <w:sz w:val="22"/>
        </w:rPr>
        <w:t xml:space="preserve">, </w:t>
      </w:r>
      <w:r w:rsidR="00CF6BF0">
        <w:rPr>
          <w:rFonts w:cs="Times New Roman"/>
          <w:bCs/>
          <w:sz w:val="22"/>
        </w:rPr>
        <w:t>melyeket a</w:t>
      </w:r>
      <w:r w:rsidR="00576018">
        <w:rPr>
          <w:rFonts w:cs="Times New Roman"/>
          <w:bCs/>
          <w:sz w:val="22"/>
        </w:rPr>
        <w:t>z</w:t>
      </w:r>
      <w:r w:rsidR="00CF6BF0" w:rsidRPr="009B66D4">
        <w:rPr>
          <w:rFonts w:cs="Times New Roman"/>
          <w:bCs/>
          <w:sz w:val="22"/>
        </w:rPr>
        <w:t xml:space="preserve"> SLCO1B1 (OATP1B1) és ABCG2 (BCRP)</w:t>
      </w:r>
      <w:r w:rsidR="00CF6BF0">
        <w:rPr>
          <w:rFonts w:cs="Times New Roman"/>
          <w:bCs/>
          <w:sz w:val="22"/>
        </w:rPr>
        <w:t xml:space="preserve"> gének kódolják.</w:t>
      </w:r>
      <w:r w:rsidR="00CF6BF0" w:rsidRPr="009B66D4">
        <w:rPr>
          <w:rFonts w:cs="Times New Roman"/>
          <w:bCs/>
          <w:sz w:val="22"/>
        </w:rPr>
        <w:t xml:space="preserve"> </w:t>
      </w:r>
      <w:r w:rsidR="00CF6BF0" w:rsidRPr="0069188B">
        <w:rPr>
          <w:rFonts w:cs="Times New Roman"/>
          <w:bCs/>
          <w:sz w:val="22"/>
        </w:rPr>
        <w:t>Ezen gének bizonyos variánsai, mint például az SLCO1B1 c.521CC és az ABCG2 c.421AA körülbelül 1,6-szor nagyobb ro</w:t>
      </w:r>
      <w:r w:rsidR="00CF6BF0">
        <w:rPr>
          <w:rFonts w:cs="Times New Roman"/>
          <w:bCs/>
          <w:sz w:val="22"/>
        </w:rPr>
        <w:t>z</w:t>
      </w:r>
      <w:r w:rsidR="00CF6BF0" w:rsidRPr="0069188B">
        <w:rPr>
          <w:rFonts w:cs="Times New Roman"/>
          <w:bCs/>
          <w:sz w:val="22"/>
        </w:rPr>
        <w:t>uvas</w:t>
      </w:r>
      <w:r w:rsidR="00CF6BF0">
        <w:rPr>
          <w:rFonts w:cs="Times New Roman"/>
          <w:bCs/>
          <w:sz w:val="22"/>
        </w:rPr>
        <w:t>z</w:t>
      </w:r>
      <w:r w:rsidR="00CF6BF0" w:rsidRPr="0069188B">
        <w:rPr>
          <w:rFonts w:cs="Times New Roman"/>
          <w:bCs/>
          <w:sz w:val="22"/>
        </w:rPr>
        <w:t xml:space="preserve">tatin-expozícióval (AUC), illetve 2,4-szer nagyobb expozícióval járnak az SLCO1B1 c.521TT vagy az ABCG2 c.421CC genotípusokhoz képest. Azon betegek esetében, akiknél ismertek ezek a genotípusok (SLCO1B1 c.521CC vagy ABCG2 c.421AA), alacsonyabb napi </w:t>
      </w:r>
      <w:r w:rsidR="00CF6BF0">
        <w:rPr>
          <w:rFonts w:cs="Times New Roman"/>
          <w:bCs/>
          <w:sz w:val="22"/>
        </w:rPr>
        <w:t xml:space="preserve">rozuvasztatin </w:t>
      </w:r>
      <w:r w:rsidR="00CF6BF0" w:rsidRPr="0069188B">
        <w:rPr>
          <w:rFonts w:cs="Times New Roman"/>
          <w:bCs/>
          <w:sz w:val="22"/>
        </w:rPr>
        <w:t>dózis ajánlott</w:t>
      </w:r>
      <w:r w:rsidR="00B97992" w:rsidRPr="00114176">
        <w:rPr>
          <w:rFonts w:cs="Times New Roman"/>
          <w:bCs/>
          <w:sz w:val="22"/>
        </w:rPr>
        <w:t>.</w:t>
      </w:r>
    </w:p>
    <w:p w14:paraId="7487EFDD" w14:textId="77777777" w:rsidR="0014429F" w:rsidRPr="00AA3F64" w:rsidRDefault="0014429F" w:rsidP="0063040C">
      <w:pPr>
        <w:pStyle w:val="Normal1"/>
        <w:tabs>
          <w:tab w:val="left" w:pos="567"/>
        </w:tabs>
        <w:suppressAutoHyphens w:val="0"/>
        <w:rPr>
          <w:bCs/>
          <w:color w:val="auto"/>
          <w:sz w:val="22"/>
          <w:szCs w:val="22"/>
          <w:lang w:val="hu-HU"/>
        </w:rPr>
      </w:pPr>
    </w:p>
    <w:p w14:paraId="1E09D804" w14:textId="77777777" w:rsidR="00811774" w:rsidRPr="00AA3F64" w:rsidRDefault="00837FA7" w:rsidP="003F44A6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r w:rsidRPr="00AA3F64">
        <w:rPr>
          <w:bCs/>
          <w:i/>
          <w:color w:val="auto"/>
          <w:sz w:val="22"/>
          <w:szCs w:val="22"/>
          <w:u w:val="single"/>
          <w:lang w:val="hu-HU"/>
        </w:rPr>
        <w:t>Gyermek</w:t>
      </w:r>
      <w:r w:rsidR="00F126F8" w:rsidRPr="00AA3F64">
        <w:rPr>
          <w:bCs/>
          <w:i/>
          <w:color w:val="auto"/>
          <w:sz w:val="22"/>
          <w:szCs w:val="22"/>
          <w:u w:val="single"/>
          <w:lang w:val="hu-HU"/>
        </w:rPr>
        <w:t>ek</w:t>
      </w:r>
      <w:r w:rsidR="009D6ECD" w:rsidRPr="00AA3F64">
        <w:rPr>
          <w:bCs/>
          <w:i/>
          <w:color w:val="auto"/>
          <w:sz w:val="22"/>
          <w:szCs w:val="22"/>
          <w:u w:val="single"/>
          <w:lang w:val="hu-HU"/>
        </w:rPr>
        <w:t xml:space="preserve"> és serdülők</w:t>
      </w:r>
    </w:p>
    <w:p w14:paraId="7AB0C620" w14:textId="77777777" w:rsidR="00837FA7" w:rsidRPr="00AA3F64" w:rsidRDefault="00D84DBF" w:rsidP="00BF22C9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r w:rsidRPr="00AA3F64">
        <w:rPr>
          <w:color w:val="auto"/>
          <w:sz w:val="22"/>
          <w:szCs w:val="22"/>
          <w:lang w:val="hu-HU" w:eastAsia="hu-HU"/>
        </w:rPr>
        <w:t>Két, 10</w:t>
      </w:r>
      <w:r w:rsidR="00811774" w:rsidRPr="00AA3F64">
        <w:rPr>
          <w:color w:val="auto"/>
          <w:sz w:val="22"/>
          <w:szCs w:val="22"/>
          <w:lang w:val="hu-HU"/>
        </w:rPr>
        <w:t xml:space="preserve"> és </w:t>
      </w:r>
      <w:r w:rsidR="009E7096" w:rsidRPr="00AA3F64">
        <w:rPr>
          <w:color w:val="auto"/>
          <w:sz w:val="22"/>
          <w:szCs w:val="22"/>
          <w:lang w:val="hu-HU" w:eastAsia="hu-HU"/>
        </w:rPr>
        <w:t>betöltött 18</w:t>
      </w:r>
      <w:r w:rsidR="00811774" w:rsidRPr="00AA3F64">
        <w:rPr>
          <w:color w:val="auto"/>
          <w:sz w:val="22"/>
          <w:szCs w:val="22"/>
          <w:lang w:val="hu-HU" w:eastAsia="hu-HU"/>
        </w:rPr>
        <w:t> éves,</w:t>
      </w:r>
      <w:r w:rsidRPr="00AA3F64">
        <w:rPr>
          <w:color w:val="auto"/>
          <w:sz w:val="22"/>
          <w:szCs w:val="22"/>
          <w:lang w:val="hu-HU" w:eastAsia="hu-HU"/>
        </w:rPr>
        <w:t xml:space="preserve"> vagy 6</w:t>
      </w:r>
      <w:r w:rsidR="00811774" w:rsidRPr="00AA3F64">
        <w:rPr>
          <w:color w:val="auto"/>
          <w:sz w:val="22"/>
          <w:szCs w:val="22"/>
          <w:lang w:val="hu-HU"/>
        </w:rPr>
        <w:t xml:space="preserve"> és </w:t>
      </w:r>
      <w:r w:rsidR="009E7096" w:rsidRPr="00AA3F64">
        <w:rPr>
          <w:color w:val="auto"/>
          <w:sz w:val="22"/>
          <w:szCs w:val="22"/>
          <w:lang w:val="hu-HU" w:eastAsia="hu-HU"/>
        </w:rPr>
        <w:t>betöltött 18</w:t>
      </w:r>
      <w:r w:rsidRPr="00AA3F64">
        <w:rPr>
          <w:color w:val="auto"/>
          <w:sz w:val="22"/>
          <w:szCs w:val="22"/>
          <w:lang w:val="hu-HU"/>
        </w:rPr>
        <w:t> év</w:t>
      </w:r>
      <w:r w:rsidRPr="00AA3F64">
        <w:rPr>
          <w:color w:val="auto"/>
          <w:sz w:val="22"/>
          <w:szCs w:val="22"/>
          <w:lang w:val="hu-HU" w:eastAsia="hu-HU"/>
        </w:rPr>
        <w:t>es, heteroz</w:t>
      </w:r>
      <w:r w:rsidR="00DA4CA7" w:rsidRPr="00AA3F64">
        <w:rPr>
          <w:color w:val="auto"/>
          <w:sz w:val="22"/>
          <w:szCs w:val="22"/>
          <w:lang w:val="hu-HU" w:eastAsia="hu-HU"/>
        </w:rPr>
        <w:t>y</w:t>
      </w:r>
      <w:r w:rsidRPr="00AA3F64">
        <w:rPr>
          <w:color w:val="auto"/>
          <w:sz w:val="22"/>
          <w:szCs w:val="22"/>
          <w:lang w:val="hu-HU" w:eastAsia="hu-HU"/>
        </w:rPr>
        <w:t>g</w:t>
      </w:r>
      <w:r w:rsidR="00DA4CA7" w:rsidRPr="00AA3F64">
        <w:rPr>
          <w:color w:val="auto"/>
          <w:sz w:val="22"/>
          <w:szCs w:val="22"/>
          <w:lang w:val="hu-HU" w:eastAsia="hu-HU"/>
        </w:rPr>
        <w:t>o</w:t>
      </w:r>
      <w:r w:rsidRPr="00AA3F64">
        <w:rPr>
          <w:color w:val="auto"/>
          <w:sz w:val="22"/>
          <w:szCs w:val="22"/>
          <w:lang w:val="hu-HU" w:eastAsia="hu-HU"/>
        </w:rPr>
        <w:t>ta famili</w:t>
      </w:r>
      <w:r w:rsidR="00DA4CA7" w:rsidRPr="00AA3F64">
        <w:rPr>
          <w:color w:val="auto"/>
          <w:sz w:val="22"/>
          <w:szCs w:val="22"/>
          <w:lang w:val="hu-HU" w:eastAsia="hu-HU"/>
        </w:rPr>
        <w:t>a</w:t>
      </w:r>
      <w:r w:rsidRPr="00AA3F64">
        <w:rPr>
          <w:color w:val="auto"/>
          <w:sz w:val="22"/>
          <w:szCs w:val="22"/>
          <w:lang w:val="hu-HU" w:eastAsia="hu-HU"/>
        </w:rPr>
        <w:t>ris hypercholesterinaemiában szenvedő, gyermekek</w:t>
      </w:r>
      <w:r w:rsidR="00114176">
        <w:rPr>
          <w:color w:val="auto"/>
          <w:sz w:val="22"/>
          <w:szCs w:val="22"/>
          <w:lang w:val="hu-HU" w:eastAsia="hu-HU"/>
        </w:rPr>
        <w:t xml:space="preserve"> és serdülők</w:t>
      </w:r>
      <w:r w:rsidRPr="00AA3F64">
        <w:rPr>
          <w:color w:val="auto"/>
          <w:sz w:val="22"/>
          <w:szCs w:val="22"/>
          <w:lang w:val="hu-HU" w:eastAsia="hu-HU"/>
        </w:rPr>
        <w:t xml:space="preserve"> (összesen 214</w:t>
      </w:r>
      <w:r w:rsidR="00001273" w:rsidRPr="00AA3F64">
        <w:rPr>
          <w:color w:val="auto"/>
          <w:sz w:val="22"/>
          <w:szCs w:val="22"/>
          <w:lang w:val="hu-HU" w:eastAsia="hu-HU"/>
        </w:rPr>
        <w:t xml:space="preserve"> </w:t>
      </w:r>
      <w:r w:rsidRPr="00AA3F64">
        <w:rPr>
          <w:color w:val="auto"/>
          <w:sz w:val="22"/>
          <w:szCs w:val="22"/>
          <w:lang w:val="hu-HU" w:eastAsia="hu-HU"/>
        </w:rPr>
        <w:t xml:space="preserve">beteg) körében, rozuvasztatinnal (tablettában adott) végzett farmakokinetikai vizsgálat igazolta, hogy a gyermekeknél </w:t>
      </w:r>
      <w:r w:rsidR="00114176">
        <w:rPr>
          <w:color w:val="auto"/>
          <w:sz w:val="22"/>
          <w:szCs w:val="22"/>
          <w:lang w:val="hu-HU" w:eastAsia="hu-HU"/>
        </w:rPr>
        <w:t xml:space="preserve">és serdülőknél </w:t>
      </w:r>
      <w:r w:rsidRPr="00AA3F64">
        <w:rPr>
          <w:color w:val="auto"/>
          <w:sz w:val="22"/>
          <w:szCs w:val="22"/>
          <w:lang w:val="hu-HU" w:eastAsia="hu-HU"/>
        </w:rPr>
        <w:t>az expozíció összehasonlíthatónak vagy alacsonyabbnak tűnik, mint a felnőtt betegeknél. A rozuvasztatin</w:t>
      </w:r>
      <w:r w:rsidRPr="00AA3F64">
        <w:rPr>
          <w:color w:val="auto"/>
          <w:sz w:val="22"/>
          <w:szCs w:val="22"/>
          <w:lang w:val="hu-HU"/>
        </w:rPr>
        <w:noBreakHyphen/>
      </w:r>
      <w:r w:rsidRPr="00AA3F64">
        <w:rPr>
          <w:color w:val="auto"/>
          <w:sz w:val="22"/>
          <w:szCs w:val="22"/>
          <w:lang w:val="hu-HU" w:eastAsia="hu-HU"/>
        </w:rPr>
        <w:t>expozíció a dózis és az idő tekintetében egy 2</w:t>
      </w:r>
      <w:r w:rsidR="007031AC" w:rsidRPr="00AA3F64">
        <w:rPr>
          <w:color w:val="auto"/>
          <w:sz w:val="22"/>
          <w:szCs w:val="22"/>
          <w:lang w:val="hu-HU"/>
        </w:rPr>
        <w:t> </w:t>
      </w:r>
      <w:r w:rsidRPr="00AA3F64">
        <w:rPr>
          <w:color w:val="auto"/>
          <w:sz w:val="22"/>
          <w:szCs w:val="22"/>
          <w:lang w:val="hu-HU"/>
        </w:rPr>
        <w:t>év</w:t>
      </w:r>
      <w:r w:rsidRPr="00AA3F64">
        <w:rPr>
          <w:color w:val="auto"/>
          <w:sz w:val="22"/>
          <w:szCs w:val="22"/>
          <w:lang w:val="hu-HU" w:eastAsia="hu-HU"/>
        </w:rPr>
        <w:t>es időszak alatt megbecsülhető volt.</w:t>
      </w:r>
    </w:p>
    <w:p w14:paraId="6AADAE10" w14:textId="77777777" w:rsidR="00120F83" w:rsidRPr="00AA3F64" w:rsidRDefault="00120F83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23FB8025" w14:textId="77777777" w:rsidR="00017487" w:rsidRPr="00AA3F64" w:rsidRDefault="00017487" w:rsidP="003F44A6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/>
          <w:sz w:val="22"/>
        </w:rPr>
      </w:pPr>
      <w:r w:rsidRPr="00AA3F64">
        <w:rPr>
          <w:rFonts w:cs="Times New Roman"/>
          <w:bCs/>
          <w:i/>
          <w:sz w:val="22"/>
        </w:rPr>
        <w:t>Ezetimib</w:t>
      </w:r>
    </w:p>
    <w:p w14:paraId="026FC73D" w14:textId="77777777" w:rsidR="00811774" w:rsidRPr="00AA3F64" w:rsidRDefault="00811774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iCs/>
          <w:sz w:val="22"/>
        </w:rPr>
      </w:pPr>
    </w:p>
    <w:p w14:paraId="153B20B1" w14:textId="77777777" w:rsidR="00811774" w:rsidRPr="00AA3F64" w:rsidRDefault="00017487" w:rsidP="003F44A6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  <w:u w:val="single"/>
        </w:rPr>
        <w:t>Felszívódás</w:t>
      </w:r>
    </w:p>
    <w:p w14:paraId="1861DC41" w14:textId="77777777" w:rsidR="00017487" w:rsidRPr="00AA3F64" w:rsidRDefault="00017487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i/>
          <w:sz w:val="22"/>
        </w:rPr>
        <w:t>Per os</w:t>
      </w:r>
      <w:r w:rsidRPr="00AA3F64">
        <w:rPr>
          <w:rFonts w:cs="Times New Roman"/>
          <w:sz w:val="22"/>
        </w:rPr>
        <w:t xml:space="preserve"> adagolás után az ezetimib gyorsan felszívódik és jelentős mértében farmakológiailag aktív fenolos glükuroniddá (ezetimib-glükuronid) konjugálódik. Az átlagos maximális plazmakoncentráció (C</w:t>
      </w:r>
      <w:r w:rsidRPr="00AA3F64">
        <w:rPr>
          <w:rFonts w:cs="Times New Roman"/>
          <w:sz w:val="22"/>
          <w:vertAlign w:val="subscript"/>
        </w:rPr>
        <w:t>max</w:t>
      </w:r>
      <w:r w:rsidRPr="00AA3F64">
        <w:rPr>
          <w:rFonts w:cs="Times New Roman"/>
          <w:sz w:val="22"/>
        </w:rPr>
        <w:t>) ezetimib-glükuronid esetén 1-2, ezetimib esetén 4-12</w:t>
      </w:r>
      <w:r w:rsidR="007031A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óra alatt alakul ki. Az ezetimib abszolút biohasznosulását nem lehet meghatározni, mivel a vegyület gyakorlatilag oldhatatlan bármely injektálható vizes közegben.</w:t>
      </w:r>
    </w:p>
    <w:p w14:paraId="7D4B6BB2" w14:textId="77777777" w:rsidR="00017487" w:rsidRPr="00AA3F64" w:rsidRDefault="00017487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Egyidejű étkezés (zsírban gazdag, illetve zsír</w:t>
      </w:r>
      <w:r w:rsidR="00811774" w:rsidRPr="00AA3F64">
        <w:rPr>
          <w:rFonts w:cs="Times New Roman"/>
          <w:sz w:val="22"/>
        </w:rPr>
        <w:t xml:space="preserve">szegény </w:t>
      </w:r>
      <w:r w:rsidRPr="00AA3F64">
        <w:rPr>
          <w:rFonts w:cs="Times New Roman"/>
          <w:sz w:val="22"/>
        </w:rPr>
        <w:t>étrend) nem befolyásolta az ezetimib 10 mg-os tablettában adott ezetimib orális biohasznosíthatóságát. Az ezetimib bevehető étellel vagy anélkül.</w:t>
      </w:r>
    </w:p>
    <w:p w14:paraId="516F93CF" w14:textId="77777777" w:rsidR="00017487" w:rsidRPr="00AA3F64" w:rsidRDefault="00017487" w:rsidP="0063040C">
      <w:pPr>
        <w:widowControl w:val="0"/>
        <w:rPr>
          <w:rFonts w:cs="Times New Roman"/>
          <w:sz w:val="22"/>
        </w:rPr>
      </w:pPr>
    </w:p>
    <w:p w14:paraId="408647B0" w14:textId="77777777" w:rsidR="00811774" w:rsidRPr="00AA3F64" w:rsidRDefault="00017487" w:rsidP="003F44A6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  <w:u w:val="single"/>
        </w:rPr>
        <w:t>Eloszlás</w:t>
      </w:r>
    </w:p>
    <w:p w14:paraId="7A78FC75" w14:textId="77777777" w:rsidR="00017487" w:rsidRPr="00AA3F64" w:rsidRDefault="00017487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ezetimib 99,7%-ban, az ezetimib-glükuronid 88</w:t>
      </w:r>
      <w:r w:rsidR="000A4369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92%-ban kötődik a humán plazmafehérjékhez.</w:t>
      </w:r>
    </w:p>
    <w:p w14:paraId="0E7A0653" w14:textId="77777777" w:rsidR="00017487" w:rsidRPr="00AA3F64" w:rsidRDefault="00017487" w:rsidP="00BF22C9">
      <w:pPr>
        <w:widowControl w:val="0"/>
        <w:rPr>
          <w:rFonts w:cs="Times New Roman"/>
          <w:sz w:val="22"/>
        </w:rPr>
      </w:pPr>
    </w:p>
    <w:p w14:paraId="7A514E54" w14:textId="77777777" w:rsidR="00811774" w:rsidRPr="00AA3F64" w:rsidRDefault="00017487" w:rsidP="003F44A6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  <w:u w:val="single"/>
        </w:rPr>
        <w:t>Biotranszformáció</w:t>
      </w:r>
    </w:p>
    <w:p w14:paraId="1C36E4DA" w14:textId="77777777" w:rsidR="00017487" w:rsidRPr="00AA3F64" w:rsidRDefault="00017487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ezetimib elsősorban a vékonybélben és a májban, glükuronid-konjugációval (2.</w:t>
      </w:r>
      <w:r w:rsidR="0047050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fázisú reakció) metabolizálódik, melyet epével történő kiválasztás követ. Minimális oxidatív metabolizmus (1.</w:t>
      </w:r>
      <w:r w:rsidR="002C0C3F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 xml:space="preserve">fázisú </w:t>
      </w:r>
      <w:r w:rsidRPr="00AA3F64">
        <w:rPr>
          <w:rFonts w:cs="Times New Roman"/>
          <w:sz w:val="22"/>
        </w:rPr>
        <w:lastRenderedPageBreak/>
        <w:t xml:space="preserve">reakció) volt megfigyelhető a vizsgált állatfajok mindegyikében. </w:t>
      </w:r>
      <w:r w:rsidR="00114176">
        <w:rPr>
          <w:rFonts w:cs="Times New Roman"/>
          <w:sz w:val="22"/>
        </w:rPr>
        <w:t>A</w:t>
      </w:r>
      <w:r w:rsidR="00114176" w:rsidRPr="00AA3F64">
        <w:rPr>
          <w:rFonts w:cs="Times New Roman"/>
          <w:sz w:val="22"/>
        </w:rPr>
        <w:t xml:space="preserve"> plazmában kimutatott, az alkalmazott gyógyszerből származó összes vegyület 10-20</w:t>
      </w:r>
      <w:r w:rsidR="00114176">
        <w:rPr>
          <w:rFonts w:cs="Times New Roman"/>
          <w:sz w:val="22"/>
        </w:rPr>
        <w:t xml:space="preserve">%-át az </w:t>
      </w:r>
      <w:r w:rsidR="00114176" w:rsidRPr="00AA3F64">
        <w:rPr>
          <w:rFonts w:cs="Times New Roman"/>
          <w:sz w:val="22"/>
        </w:rPr>
        <w:t>ezetimib, 80-90%-át az ezetimib</w:t>
      </w:r>
      <w:r w:rsidR="00114176" w:rsidRPr="00AA3F64">
        <w:rPr>
          <w:rFonts w:cs="Times New Roman"/>
          <w:sz w:val="22"/>
        </w:rPr>
        <w:noBreakHyphen/>
        <w:t>glükuronid teszik ki.</w:t>
      </w:r>
      <w:r w:rsidR="00114176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Mind az ezetimib, mind az ezetimib</w:t>
      </w:r>
      <w:r w:rsidRPr="00AA3F64">
        <w:rPr>
          <w:rFonts w:cs="Times New Roman"/>
          <w:sz w:val="22"/>
        </w:rPr>
        <w:noBreakHyphen/>
        <w:t>glükuronid lassú plazmaeliminációt és jelentős enterohepatikus cirkulációt mutatnak. Az ezetimib és ezetimib-glükuronid felezési ideje körülbelül 22</w:t>
      </w:r>
      <w:r w:rsidR="007031A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óra.</w:t>
      </w:r>
    </w:p>
    <w:p w14:paraId="00F64E40" w14:textId="77777777" w:rsidR="00017487" w:rsidRPr="00AA3F64" w:rsidRDefault="00017487" w:rsidP="00BF22C9">
      <w:pPr>
        <w:widowControl w:val="0"/>
        <w:rPr>
          <w:rFonts w:cs="Times New Roman"/>
          <w:sz w:val="22"/>
        </w:rPr>
      </w:pPr>
    </w:p>
    <w:p w14:paraId="04249291" w14:textId="77777777" w:rsidR="00811774" w:rsidRPr="00AA3F64" w:rsidRDefault="00017487" w:rsidP="003F44A6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  <w:u w:val="single"/>
        </w:rPr>
        <w:t>Elimináció</w:t>
      </w:r>
    </w:p>
    <w:p w14:paraId="0A1789B1" w14:textId="77777777" w:rsidR="00017487" w:rsidRPr="00AA3F64" w:rsidRDefault="00017487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Humán alanyoknak adott </w:t>
      </w:r>
      <w:r w:rsidR="00114176">
        <w:rPr>
          <w:rFonts w:cs="Times New Roman"/>
          <w:sz w:val="22"/>
        </w:rPr>
        <w:t>[</w:t>
      </w:r>
      <w:r w:rsidRPr="00AA3F64">
        <w:rPr>
          <w:rFonts w:cs="Times New Roman"/>
          <w:sz w:val="22"/>
          <w:vertAlign w:val="superscript"/>
        </w:rPr>
        <w:t>14</w:t>
      </w:r>
      <w:r w:rsidRPr="00AA3F64">
        <w:rPr>
          <w:rFonts w:cs="Times New Roman"/>
          <w:sz w:val="22"/>
        </w:rPr>
        <w:t>C</w:t>
      </w:r>
      <w:r w:rsidR="00114176">
        <w:rPr>
          <w:rFonts w:cs="Times New Roman"/>
          <w:sz w:val="22"/>
        </w:rPr>
        <w:t>]</w:t>
      </w:r>
      <w:r w:rsidRPr="00AA3F64">
        <w:rPr>
          <w:rFonts w:cs="Times New Roman"/>
          <w:sz w:val="22"/>
        </w:rPr>
        <w:t xml:space="preserve">-ezetimib (20 mg) </w:t>
      </w:r>
      <w:r w:rsidRPr="00AA3F64">
        <w:rPr>
          <w:rFonts w:cs="Times New Roman"/>
          <w:i/>
          <w:sz w:val="22"/>
        </w:rPr>
        <w:t>per os</w:t>
      </w:r>
      <w:r w:rsidRPr="00AA3F64">
        <w:rPr>
          <w:rFonts w:cs="Times New Roman"/>
          <w:sz w:val="22"/>
        </w:rPr>
        <w:t xml:space="preserve"> alkalmazását követően a plazmában mérhető teljes radioaktivitás körülbelül 93%-át lehetett az össz-ezetimibhez rendelni. A beadott radioaktivitás körülbelül 78</w:t>
      </w:r>
      <w:r w:rsidR="00114176">
        <w:rPr>
          <w:rFonts w:cs="Times New Roman"/>
          <w:sz w:val="22"/>
        </w:rPr>
        <w:t>%-a</w:t>
      </w:r>
      <w:r w:rsidR="00114176" w:rsidRPr="00114176">
        <w:rPr>
          <w:rFonts w:cs="Times New Roman"/>
          <w:sz w:val="22"/>
        </w:rPr>
        <w:t xml:space="preserve"> </w:t>
      </w:r>
      <w:r w:rsidR="00114176" w:rsidRPr="00AA3F64">
        <w:rPr>
          <w:rFonts w:cs="Times New Roman"/>
          <w:sz w:val="22"/>
        </w:rPr>
        <w:t>volt visszanyerhető a székletben</w:t>
      </w:r>
      <w:r w:rsidRPr="00AA3F64">
        <w:rPr>
          <w:rFonts w:cs="Times New Roman"/>
          <w:sz w:val="22"/>
        </w:rPr>
        <w:t>, illetve 11%-a a vizeletben 10</w:t>
      </w:r>
      <w:r w:rsidR="005D7DC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napos mintagyűjtés alatt. A beadás után 48</w:t>
      </w:r>
      <w:r w:rsidR="007031A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órával a plazmában a radioaktivitás szintje a detektálási határ alá csökkent.</w:t>
      </w:r>
    </w:p>
    <w:p w14:paraId="4409EF13" w14:textId="77777777" w:rsidR="00017487" w:rsidRPr="00AA3F64" w:rsidRDefault="00017487" w:rsidP="00BF22C9">
      <w:pPr>
        <w:widowControl w:val="0"/>
        <w:rPr>
          <w:rFonts w:cs="Times New Roman"/>
          <w:sz w:val="22"/>
        </w:rPr>
      </w:pPr>
    </w:p>
    <w:p w14:paraId="4C258712" w14:textId="77777777" w:rsidR="00017487" w:rsidRPr="00AA3F64" w:rsidRDefault="00017487" w:rsidP="003F44A6">
      <w:pPr>
        <w:keepNext/>
        <w:widowControl w:val="0"/>
        <w:rPr>
          <w:rFonts w:cs="Times New Roman"/>
          <w:iCs/>
          <w:sz w:val="22"/>
          <w:u w:val="single"/>
        </w:rPr>
      </w:pPr>
      <w:r w:rsidRPr="00AA3F64">
        <w:rPr>
          <w:rFonts w:cs="Times New Roman"/>
          <w:iCs/>
          <w:sz w:val="22"/>
          <w:u w:val="single"/>
        </w:rPr>
        <w:t>Különleges betegcsoportok</w:t>
      </w:r>
    </w:p>
    <w:p w14:paraId="56BBA16B" w14:textId="77777777" w:rsidR="00811774" w:rsidRPr="00AA3F64" w:rsidRDefault="00811774" w:rsidP="00BF22C9">
      <w:pPr>
        <w:keepNext/>
        <w:widowControl w:val="0"/>
        <w:rPr>
          <w:rFonts w:cs="Times New Roman"/>
          <w:iCs/>
          <w:sz w:val="22"/>
        </w:rPr>
      </w:pPr>
    </w:p>
    <w:p w14:paraId="772C6494" w14:textId="77777777" w:rsidR="00811774" w:rsidRPr="00AA3F64" w:rsidRDefault="00EE686D" w:rsidP="003F44A6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i/>
          <w:sz w:val="22"/>
          <w:u w:val="single"/>
        </w:rPr>
        <w:t>Életkor és nem</w:t>
      </w:r>
    </w:p>
    <w:p w14:paraId="7D1B7261" w14:textId="6B3FC3D6" w:rsidR="00017487" w:rsidRPr="00AA3F64" w:rsidRDefault="00017487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Idős (≥</w:t>
      </w:r>
      <w:r w:rsidR="005D7DC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65</w:t>
      </w:r>
      <w:r w:rsidR="005D7DC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év) betegekn</w:t>
      </w:r>
      <w:r w:rsidR="000A7A4B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az össz-ezetimib plazmakoncentrációja körülbelül kétszerese a fiatal (18</w:t>
      </w:r>
      <w:r w:rsidR="004B4B86">
        <w:rPr>
          <w:rFonts w:cs="Times New Roman"/>
          <w:sz w:val="22"/>
        </w:rPr>
        <w:t>–</w:t>
      </w:r>
      <w:r w:rsidRPr="00AA3F64">
        <w:rPr>
          <w:rFonts w:cs="Times New Roman"/>
          <w:sz w:val="22"/>
        </w:rPr>
        <w:t>45</w:t>
      </w:r>
      <w:r w:rsidR="005D7DC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év) felnőttekn</w:t>
      </w:r>
      <w:r w:rsidR="000A7A4B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mérhető szintnek. Az LDL-C</w:t>
      </w:r>
      <w:r w:rsidR="00513CDF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szint csökkenés</w:t>
      </w:r>
      <w:r w:rsidR="00DA4CA7" w:rsidRPr="00AA3F64">
        <w:rPr>
          <w:rFonts w:cs="Times New Roman"/>
          <w:sz w:val="22"/>
        </w:rPr>
        <w:t>ének</w:t>
      </w:r>
      <w:r w:rsidRPr="00AA3F64">
        <w:rPr>
          <w:rFonts w:cs="Times New Roman"/>
          <w:sz w:val="22"/>
        </w:rPr>
        <w:t xml:space="preserve"> mértéke és az ezetimib biztonságossága összevethető idős és fiatal betegek esetén. Ennek megfelelően idős betegek esetében nem szükséges a dózist módosítani.</w:t>
      </w:r>
    </w:p>
    <w:p w14:paraId="20FFF3BE" w14:textId="77777777" w:rsidR="00EE686D" w:rsidRPr="00AA3F64" w:rsidRDefault="00EE686D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összezetimib plazmakoncentrációja kismértékben (kb.</w:t>
      </w:r>
      <w:r w:rsidR="00276D0F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20%) nagyobb nőkn</w:t>
      </w:r>
      <w:r w:rsidR="000A7A4B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>, mint férfiakan</w:t>
      </w:r>
      <w:r w:rsidR="000A7A4B">
        <w:rPr>
          <w:rFonts w:cs="Times New Roman"/>
          <w:sz w:val="22"/>
        </w:rPr>
        <w:t>ál</w:t>
      </w:r>
      <w:r w:rsidRPr="00AA3F64">
        <w:rPr>
          <w:rFonts w:cs="Times New Roman"/>
          <w:sz w:val="22"/>
        </w:rPr>
        <w:t>. Az LDL-C</w:t>
      </w:r>
      <w:r w:rsidR="00513CDF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szint csökkenés</w:t>
      </w:r>
      <w:r w:rsidR="00DA4CA7" w:rsidRPr="00AA3F64">
        <w:rPr>
          <w:rFonts w:cs="Times New Roman"/>
          <w:sz w:val="22"/>
        </w:rPr>
        <w:t>ének</w:t>
      </w:r>
      <w:r w:rsidRPr="00AA3F64">
        <w:rPr>
          <w:rFonts w:cs="Times New Roman"/>
          <w:sz w:val="22"/>
        </w:rPr>
        <w:t xml:space="preserve"> mértéke és az ezetimib biztonságossága összevethető férfi és nőbetegek esetén. Ennek megfelelően nincs szükség a dózis nemek szerinti módosítására.</w:t>
      </w:r>
    </w:p>
    <w:p w14:paraId="16368748" w14:textId="77777777" w:rsidR="00017487" w:rsidRPr="00AA3F64" w:rsidRDefault="00017487" w:rsidP="0063040C">
      <w:pPr>
        <w:widowControl w:val="0"/>
        <w:rPr>
          <w:rFonts w:cs="Times New Roman"/>
          <w:sz w:val="22"/>
        </w:rPr>
      </w:pPr>
    </w:p>
    <w:p w14:paraId="44F0A508" w14:textId="77777777" w:rsidR="00811774" w:rsidRPr="00AA3F64" w:rsidRDefault="00017487" w:rsidP="003F44A6">
      <w:pPr>
        <w:widowControl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  <w:u w:val="single"/>
        </w:rPr>
        <w:t>Vesekárosodás</w:t>
      </w:r>
    </w:p>
    <w:p w14:paraId="5EF7EF82" w14:textId="77777777" w:rsidR="00017487" w:rsidRPr="00AA3F64" w:rsidRDefault="00017487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ezetimib 10 mg-os dózisának egyszeri alkalmazását követően az össz-ezetimibre vonatkozó görbe alatti terület (AUC) átlaga mintegy 1,5-ször nagyobb volt súlyos vesebetegségben (n</w:t>
      </w:r>
      <w:r w:rsidR="00513CDF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=</w:t>
      </w:r>
      <w:r w:rsidR="00513CDF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8; átlagos kreatinin-clearance</w:t>
      </w:r>
      <w:r w:rsidR="005D7DCC" w:rsidRPr="00AA3F64">
        <w:rPr>
          <w:rFonts w:cs="Times New Roman"/>
          <w:sz w:val="22"/>
        </w:rPr>
        <w:t xml:space="preserve"> &lt; </w:t>
      </w:r>
      <w:r w:rsidRPr="00AA3F64">
        <w:rPr>
          <w:rFonts w:cs="Times New Roman"/>
          <w:sz w:val="22"/>
        </w:rPr>
        <w:t>30 ml/perc/1,73 m</w:t>
      </w:r>
      <w:r w:rsidRPr="00AA3F64">
        <w:rPr>
          <w:rFonts w:cs="Times New Roman"/>
          <w:sz w:val="22"/>
          <w:vertAlign w:val="superscript"/>
        </w:rPr>
        <w:t>2</w:t>
      </w:r>
      <w:r w:rsidRPr="00AA3F64">
        <w:rPr>
          <w:rFonts w:cs="Times New Roman"/>
          <w:sz w:val="22"/>
        </w:rPr>
        <w:t>), mint egészséges egyénekn</w:t>
      </w:r>
      <w:r w:rsidR="000A7A4B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(n</w:t>
      </w:r>
      <w:r w:rsidR="00513CDF" w:rsidRPr="00AA3F64">
        <w:rPr>
          <w:rFonts w:cs="Times New Roman"/>
          <w:sz w:val="22"/>
        </w:rPr>
        <w:t> = </w:t>
      </w:r>
      <w:r w:rsidRPr="00AA3F64">
        <w:rPr>
          <w:rFonts w:cs="Times New Roman"/>
          <w:sz w:val="22"/>
        </w:rPr>
        <w:t>9). Ennek az eltérésnek feltehetően nincs klinikai jelentősége. Vesekárosodásban nincs szükség a d</w:t>
      </w:r>
      <w:r w:rsidR="000A7A4B">
        <w:rPr>
          <w:rFonts w:cs="Times New Roman"/>
          <w:sz w:val="22"/>
        </w:rPr>
        <w:t>ózis</w:t>
      </w:r>
      <w:r w:rsidRPr="00AA3F64">
        <w:rPr>
          <w:rFonts w:cs="Times New Roman"/>
          <w:sz w:val="22"/>
        </w:rPr>
        <w:t xml:space="preserve"> módosítására.</w:t>
      </w:r>
    </w:p>
    <w:p w14:paraId="68AC32A1" w14:textId="77777777" w:rsidR="00017487" w:rsidRPr="00AA3F64" w:rsidRDefault="00017487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 fenti vizsgálatban egy további (veseátültetés</w:t>
      </w:r>
      <w:r w:rsidR="00811774" w:rsidRPr="00AA3F64">
        <w:rPr>
          <w:rFonts w:cs="Times New Roman"/>
          <w:sz w:val="22"/>
        </w:rPr>
        <w:t>en átesett</w:t>
      </w:r>
      <w:r w:rsidRPr="00AA3F64">
        <w:rPr>
          <w:rFonts w:cs="Times New Roman"/>
          <w:sz w:val="22"/>
        </w:rPr>
        <w:t>, több gyógyszerrel, egyebek mellett ciklosporinnal is kezelt) beteg</w:t>
      </w:r>
      <w:r w:rsidR="00DA4CA7" w:rsidRPr="00AA3F64">
        <w:rPr>
          <w:rFonts w:cs="Times New Roman"/>
          <w:sz w:val="22"/>
        </w:rPr>
        <w:t>nél az</w:t>
      </w:r>
      <w:r w:rsidRPr="00AA3F64">
        <w:rPr>
          <w:rFonts w:cs="Times New Roman"/>
          <w:sz w:val="22"/>
        </w:rPr>
        <w:t xml:space="preserve"> össz-ezetimib expozíciója </w:t>
      </w:r>
      <w:r w:rsidR="00DA4CA7" w:rsidRPr="00AA3F64">
        <w:rPr>
          <w:rFonts w:cs="Times New Roman"/>
          <w:sz w:val="22"/>
        </w:rPr>
        <w:t xml:space="preserve">a </w:t>
      </w:r>
      <w:r w:rsidRPr="00AA3F64">
        <w:rPr>
          <w:rFonts w:cs="Times New Roman"/>
          <w:sz w:val="22"/>
        </w:rPr>
        <w:t>12-szeres</w:t>
      </w:r>
      <w:r w:rsidR="00DA4CA7" w:rsidRPr="00AA3F64">
        <w:rPr>
          <w:rFonts w:cs="Times New Roman"/>
          <w:sz w:val="22"/>
        </w:rPr>
        <w:t>é</w:t>
      </w:r>
      <w:r w:rsidRPr="00AA3F64">
        <w:rPr>
          <w:rFonts w:cs="Times New Roman"/>
          <w:sz w:val="22"/>
        </w:rPr>
        <w:t>re nőtt.</w:t>
      </w:r>
    </w:p>
    <w:p w14:paraId="311F339D" w14:textId="77777777" w:rsidR="00EE686D" w:rsidRPr="00AA3F64" w:rsidRDefault="00EE686D" w:rsidP="00BF22C9">
      <w:pPr>
        <w:widowControl w:val="0"/>
        <w:rPr>
          <w:rFonts w:cs="Times New Roman"/>
          <w:sz w:val="22"/>
        </w:rPr>
      </w:pPr>
    </w:p>
    <w:p w14:paraId="150BE1CF" w14:textId="77777777" w:rsidR="00811774" w:rsidRPr="00AA3F64" w:rsidRDefault="00EE686D" w:rsidP="003F44A6">
      <w:pPr>
        <w:widowControl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  <w:u w:val="single"/>
        </w:rPr>
        <w:t>Májkárosodás</w:t>
      </w:r>
    </w:p>
    <w:p w14:paraId="03E27887" w14:textId="77777777" w:rsidR="00EE686D" w:rsidRPr="00AA3F64" w:rsidRDefault="00EE686D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ezetimib 10 mg-os dózisának egyszeri alkalmazását követően az összezetimibre vonatkozó görbe alatti terület (AUC) átlaga mintegy 1,7-szer nagyobb volt enyhe májkárosodás</w:t>
      </w:r>
      <w:r w:rsidR="000A7A4B">
        <w:rPr>
          <w:rFonts w:cs="Times New Roman"/>
          <w:sz w:val="22"/>
        </w:rPr>
        <w:t xml:space="preserve"> esetén</w:t>
      </w:r>
      <w:r w:rsidRPr="00AA3F64">
        <w:rPr>
          <w:rFonts w:cs="Times New Roman"/>
          <w:sz w:val="22"/>
        </w:rPr>
        <w:t xml:space="preserve"> (Child-Pugh osztályozás szerinti pontszám: 5 vagy 6), mint egészséges egyénekn</w:t>
      </w:r>
      <w:r w:rsidR="000A7A4B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>. Egy 14</w:t>
      </w:r>
      <w:r w:rsidR="005D7DC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napos, ismételt dóziss</w:t>
      </w:r>
      <w:r w:rsidR="003A2910">
        <w:rPr>
          <w:rFonts w:cs="Times New Roman"/>
          <w:sz w:val="22"/>
        </w:rPr>
        <w:t>al</w:t>
      </w:r>
      <w:r w:rsidRPr="00AA3F64">
        <w:rPr>
          <w:rFonts w:cs="Times New Roman"/>
          <w:sz w:val="22"/>
        </w:rPr>
        <w:t xml:space="preserve"> (napi 10 mg), közepesen súlyos májkárosodásban (Child-Pugh osztályozás szerinti pontszám: 7–9) szenvedő betegekn</w:t>
      </w:r>
      <w:r w:rsidR="003A2910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végzett vizsgálatban az össz-ezetimibre vonatkozó átlag AUC az 1. és a 14.</w:t>
      </w:r>
      <w:r w:rsidR="00CC7436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napon körülbelül 4-szerese volt az egészséges egyénekn</w:t>
      </w:r>
      <w:r w:rsidR="003A2910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mért értékeknek. Az enyhe májkárosodásban nincs szükség a d</w:t>
      </w:r>
      <w:r w:rsidR="003A2910">
        <w:rPr>
          <w:rFonts w:cs="Times New Roman"/>
          <w:sz w:val="22"/>
        </w:rPr>
        <w:t>ózis</w:t>
      </w:r>
      <w:r w:rsidRPr="00AA3F64">
        <w:rPr>
          <w:rFonts w:cs="Times New Roman"/>
          <w:sz w:val="22"/>
        </w:rPr>
        <w:t xml:space="preserve"> módosítására. Mivel a közepesen súlyos és súlyos májkárosodásban (Child</w:t>
      </w:r>
      <w:r w:rsidRPr="00AA3F64">
        <w:rPr>
          <w:rFonts w:cs="Times New Roman"/>
          <w:sz w:val="22"/>
        </w:rPr>
        <w:noBreakHyphen/>
        <w:t>Pugh osztályozás szerinti pontszám:</w:t>
      </w:r>
      <w:r w:rsidR="00D22575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&gt;</w:t>
      </w:r>
      <w:r w:rsidR="005D7DC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9) a megnövekedett ezetimib</w:t>
      </w:r>
      <w:r w:rsidR="00E235DB" w:rsidRPr="00AA3F64">
        <w:rPr>
          <w:rFonts w:cs="Times New Roman"/>
          <w:sz w:val="22"/>
        </w:rPr>
        <w:noBreakHyphen/>
      </w:r>
      <w:r w:rsidRPr="00AA3F64">
        <w:rPr>
          <w:rFonts w:cs="Times New Roman"/>
          <w:sz w:val="22"/>
        </w:rPr>
        <w:t>expozíció hatásai nem ismertek, az ezetimib alkalmazása ilyen betegekn</w:t>
      </w:r>
      <w:r w:rsidR="003A2910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nem ajánlott (lásd</w:t>
      </w:r>
      <w:r w:rsidR="00D22575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4.4</w:t>
      </w:r>
      <w:r w:rsidR="00D22575" w:rsidRPr="00AA3F64">
        <w:rPr>
          <w:rFonts w:cs="Times New Roman"/>
          <w:sz w:val="22"/>
        </w:rPr>
        <w:t xml:space="preserve"> </w:t>
      </w:r>
      <w:r w:rsidRPr="00AA3F64">
        <w:rPr>
          <w:rFonts w:cs="Times New Roman"/>
          <w:sz w:val="22"/>
        </w:rPr>
        <w:t>pont).</w:t>
      </w:r>
    </w:p>
    <w:p w14:paraId="22367A9B" w14:textId="77777777" w:rsidR="00017487" w:rsidRPr="00AA3F64" w:rsidRDefault="00017487" w:rsidP="00BF22C9">
      <w:pPr>
        <w:widowControl w:val="0"/>
        <w:rPr>
          <w:rFonts w:cs="Times New Roman"/>
          <w:sz w:val="22"/>
          <w:u w:val="single"/>
        </w:rPr>
      </w:pPr>
    </w:p>
    <w:p w14:paraId="1F0A628E" w14:textId="77777777" w:rsidR="00811774" w:rsidRPr="00AA3F64" w:rsidRDefault="00EE686D" w:rsidP="003F44A6">
      <w:pPr>
        <w:widowControl w:val="0"/>
        <w:rPr>
          <w:rFonts w:cs="Times New Roman"/>
          <w:i/>
          <w:sz w:val="22"/>
        </w:rPr>
      </w:pPr>
      <w:r w:rsidRPr="00AA3F64">
        <w:rPr>
          <w:rFonts w:cs="Times New Roman"/>
          <w:i/>
          <w:sz w:val="22"/>
          <w:u w:val="single"/>
        </w:rPr>
        <w:t>Gyermekek és serdülők</w:t>
      </w:r>
    </w:p>
    <w:p w14:paraId="6C7397AF" w14:textId="77777777" w:rsidR="00EE686D" w:rsidRPr="00AA3F64" w:rsidRDefault="00EE686D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ezetimib farmakokinetikája hasonló gyermekekn</w:t>
      </w:r>
      <w:r w:rsidR="003A2910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 (≥</w:t>
      </w:r>
      <w:r w:rsidR="005D7DC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6 év) és felnőttekn</w:t>
      </w:r>
      <w:r w:rsidR="003A2910">
        <w:rPr>
          <w:rFonts w:cs="Times New Roman"/>
          <w:sz w:val="22"/>
        </w:rPr>
        <w:t>él</w:t>
      </w:r>
      <w:r w:rsidRPr="00AA3F64">
        <w:rPr>
          <w:rFonts w:cs="Times New Roman"/>
          <w:sz w:val="22"/>
        </w:rPr>
        <w:t xml:space="preserve">. </w:t>
      </w:r>
      <w:r w:rsidR="00DA4CA7" w:rsidRPr="00AA3F64">
        <w:rPr>
          <w:rFonts w:cs="Times New Roman"/>
          <w:sz w:val="22"/>
        </w:rPr>
        <w:t xml:space="preserve">A </w:t>
      </w:r>
      <w:r w:rsidRPr="00AA3F64">
        <w:rPr>
          <w:rFonts w:cs="Times New Roman"/>
          <w:sz w:val="22"/>
        </w:rPr>
        <w:t>6</w:t>
      </w:r>
      <w:r w:rsidR="00035646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 xml:space="preserve">évesnél fiatalabb gyermekek csoportját tekintve farmakokinetikai adatok nem állnak rendelkezésre. </w:t>
      </w:r>
      <w:r w:rsidR="00DA4CA7" w:rsidRPr="00AA3F64">
        <w:rPr>
          <w:rFonts w:cs="Times New Roman"/>
          <w:sz w:val="22"/>
        </w:rPr>
        <w:t>G</w:t>
      </w:r>
      <w:r w:rsidRPr="00AA3F64">
        <w:rPr>
          <w:rFonts w:cs="Times New Roman"/>
          <w:sz w:val="22"/>
        </w:rPr>
        <w:t xml:space="preserve">yermekek és serdülők esetében a </w:t>
      </w:r>
      <w:r w:rsidR="003A2910" w:rsidRPr="002A3BBE">
        <w:rPr>
          <w:rFonts w:cs="Times New Roman"/>
          <w:sz w:val="22"/>
        </w:rPr>
        <w:t xml:space="preserve">homozygota </w:t>
      </w:r>
      <w:r w:rsidR="003A2910">
        <w:rPr>
          <w:rFonts w:cs="Times New Roman"/>
          <w:sz w:val="22"/>
        </w:rPr>
        <w:t>familiaris hypercholesterinaemiában (</w:t>
      </w:r>
      <w:r w:rsidRPr="00AA3F64">
        <w:rPr>
          <w:rFonts w:cs="Times New Roman"/>
          <w:sz w:val="22"/>
        </w:rPr>
        <w:t>HoFH</w:t>
      </w:r>
      <w:r w:rsidR="003A2910">
        <w:rPr>
          <w:rFonts w:cs="Times New Roman"/>
          <w:sz w:val="22"/>
        </w:rPr>
        <w:t>)</w:t>
      </w:r>
      <w:r w:rsidRPr="00AA3F64">
        <w:rPr>
          <w:rFonts w:cs="Times New Roman"/>
          <w:sz w:val="22"/>
        </w:rPr>
        <w:t xml:space="preserve">, illetve </w:t>
      </w:r>
      <w:r w:rsidR="003A2910" w:rsidRPr="002A3BBE">
        <w:rPr>
          <w:rFonts w:cs="Times New Roman"/>
          <w:sz w:val="22"/>
        </w:rPr>
        <w:t>heterozygota fa</w:t>
      </w:r>
      <w:r w:rsidR="003A2910">
        <w:rPr>
          <w:rFonts w:cs="Times New Roman"/>
          <w:sz w:val="22"/>
        </w:rPr>
        <w:t>miliaris hypercholesterinaemiában</w:t>
      </w:r>
      <w:r w:rsidR="003A2910" w:rsidRPr="00AA3F64">
        <w:rPr>
          <w:rFonts w:cs="Times New Roman"/>
          <w:sz w:val="22"/>
        </w:rPr>
        <w:t xml:space="preserve"> </w:t>
      </w:r>
      <w:r w:rsidR="003A2910">
        <w:rPr>
          <w:rFonts w:cs="Times New Roman"/>
          <w:sz w:val="22"/>
        </w:rPr>
        <w:t>(</w:t>
      </w:r>
      <w:r w:rsidRPr="00AA3F64">
        <w:rPr>
          <w:rFonts w:cs="Times New Roman"/>
          <w:sz w:val="22"/>
        </w:rPr>
        <w:t>HeFH</w:t>
      </w:r>
      <w:r w:rsidR="003A2910">
        <w:rPr>
          <w:rFonts w:cs="Times New Roman"/>
          <w:sz w:val="22"/>
        </w:rPr>
        <w:t>)</w:t>
      </w:r>
      <w:r w:rsidRPr="00AA3F64">
        <w:rPr>
          <w:rFonts w:cs="Times New Roman"/>
          <w:sz w:val="22"/>
        </w:rPr>
        <w:t xml:space="preserve"> szenvedő betegekre nézve van klinikai tapasztalat.</w:t>
      </w:r>
    </w:p>
    <w:p w14:paraId="298EF3F6" w14:textId="77777777" w:rsidR="00017487" w:rsidRPr="00AA3F64" w:rsidRDefault="00017487" w:rsidP="00BF22C9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6C31E0AF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5.3</w:t>
      </w:r>
      <w:r w:rsidRPr="00AA3F64">
        <w:rPr>
          <w:rFonts w:cs="Times New Roman"/>
          <w:b/>
          <w:bCs/>
          <w:sz w:val="22"/>
        </w:rPr>
        <w:tab/>
        <w:t>A preklinikai biztonságossági vizsgálatok eredményei</w:t>
      </w:r>
    </w:p>
    <w:p w14:paraId="50857BE1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2BEE4C91" w14:textId="77777777" w:rsidR="00EE686D" w:rsidRPr="00AA3F64" w:rsidRDefault="00EE686D" w:rsidP="001D62CA">
      <w:pPr>
        <w:keepNext/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Az ezetimib és a sztatinok együttadásával végzett vizsgálatokban megfigyelhető toxikus hatások lényegében a tipikusan a sztatinokhoz kapcsolódó hatások voltak. Némely toxikus hatás kifejezettebb volt, mint a csak sztatinokkal végzett kezelés során tapasztalható hatások. Ez a kombinációs kezelés során fellépő farmakodinámiás és farmakokinetikai interakciónak tulajdonítható. Ehhez hasonló interakciót a klinikai vizsgálatok során nem lehetett megfigyelni. Myopathia csak a humán terápiás dózist többszörösen meghaladó dózisnak kitett (körülbelül 20-szor nagyobb AUC sztatinra és </w:t>
      </w:r>
      <w:r w:rsidRPr="00AA3F64">
        <w:rPr>
          <w:rFonts w:cs="Times New Roman"/>
          <w:sz w:val="22"/>
        </w:rPr>
        <w:lastRenderedPageBreak/>
        <w:t>500</w:t>
      </w:r>
      <w:r w:rsidRPr="00AA3F64">
        <w:rPr>
          <w:rFonts w:cs="Times New Roman"/>
          <w:sz w:val="22"/>
        </w:rPr>
        <w:noBreakHyphen/>
        <w:t>2000-szer nagyobb AUC az aktív metabolitokra nézve) patkányokban jelentkezett.</w:t>
      </w:r>
    </w:p>
    <w:p w14:paraId="6FFC2ABE" w14:textId="77777777" w:rsidR="0089503E" w:rsidRPr="00AA3F64" w:rsidRDefault="0089503E" w:rsidP="0063040C">
      <w:pPr>
        <w:widowControl w:val="0"/>
        <w:rPr>
          <w:rFonts w:cs="Times New Roman"/>
          <w:sz w:val="22"/>
        </w:rPr>
      </w:pPr>
    </w:p>
    <w:p w14:paraId="3800B395" w14:textId="77777777" w:rsidR="00EE686D" w:rsidRPr="00AA3F64" w:rsidRDefault="00EE686D" w:rsidP="0063040C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Számos </w:t>
      </w:r>
      <w:r w:rsidRPr="00AA3F64">
        <w:rPr>
          <w:rFonts w:cs="Times New Roman"/>
          <w:i/>
          <w:sz w:val="22"/>
        </w:rPr>
        <w:t xml:space="preserve">in vivo </w:t>
      </w:r>
      <w:r w:rsidRPr="00AA3F64">
        <w:rPr>
          <w:rFonts w:cs="Times New Roman"/>
          <w:sz w:val="22"/>
        </w:rPr>
        <w:t>és</w:t>
      </w:r>
      <w:r w:rsidRPr="00AA3F64">
        <w:rPr>
          <w:rFonts w:cs="Times New Roman"/>
          <w:i/>
          <w:sz w:val="22"/>
        </w:rPr>
        <w:t xml:space="preserve"> in vitro </w:t>
      </w:r>
      <w:r w:rsidRPr="00AA3F64">
        <w:rPr>
          <w:rFonts w:cs="Times New Roman"/>
          <w:sz w:val="22"/>
        </w:rPr>
        <w:t>vizsgálatban, az önmagában vagy sztatinnal együtt adva alkalmazott ezetimib genotoxikus hatásoktól mentesnek bizonyult. Az ezetimibbel végzett krónikus karcinogenitási vizsgálatok negatív eredménnyel zárultak.</w:t>
      </w:r>
    </w:p>
    <w:p w14:paraId="0DF63F03" w14:textId="77777777" w:rsidR="00EE686D" w:rsidRPr="00AA3F64" w:rsidRDefault="00EE686D" w:rsidP="0063040C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ezetimib és a sztatinok együttadása patkányokban nem volt teratogén hatású. Vemhes nyulakban kis számban vázrendszeri deformitást (összenőtt thoracalis és caudalis csigolyák, csökkent számú caudalis csigolya) lehetett megfigyelni.</w:t>
      </w:r>
    </w:p>
    <w:p w14:paraId="3ADC0E70" w14:textId="77777777" w:rsidR="00EE686D" w:rsidRPr="00AA3F64" w:rsidRDefault="00EE686D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2722A8F1" w14:textId="77777777" w:rsidR="00035646" w:rsidRPr="00AA3F64" w:rsidRDefault="00EE686D" w:rsidP="003F44A6">
      <w:pPr>
        <w:pStyle w:val="Normal1"/>
        <w:tabs>
          <w:tab w:val="left" w:pos="567"/>
        </w:tabs>
        <w:suppressAutoHyphens w:val="0"/>
        <w:rPr>
          <w:iCs/>
          <w:color w:val="auto"/>
          <w:sz w:val="22"/>
          <w:szCs w:val="22"/>
          <w:u w:val="single"/>
          <w:lang w:val="hu-HU"/>
        </w:rPr>
      </w:pPr>
      <w:r w:rsidRPr="00AA3F64">
        <w:rPr>
          <w:iCs/>
          <w:color w:val="auto"/>
          <w:sz w:val="22"/>
          <w:szCs w:val="22"/>
          <w:u w:val="single"/>
          <w:lang w:val="hu-HU"/>
        </w:rPr>
        <w:t>Rozuvasztatin</w:t>
      </w:r>
    </w:p>
    <w:p w14:paraId="77B7FF9D" w14:textId="77777777" w:rsidR="00F9472F" w:rsidRPr="00AA3F64" w:rsidRDefault="00837FA7" w:rsidP="00BF22C9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r w:rsidRPr="00AA3F64">
        <w:rPr>
          <w:color w:val="auto"/>
          <w:sz w:val="22"/>
          <w:szCs w:val="22"/>
          <w:lang w:val="hu-HU"/>
        </w:rPr>
        <w:t xml:space="preserve">A hagyományos </w:t>
      </w:r>
      <w:r w:rsidR="009D6ECD" w:rsidRPr="00AA3F64">
        <w:rPr>
          <w:color w:val="auto"/>
          <w:sz w:val="22"/>
          <w:szCs w:val="22"/>
          <w:lang w:val="hu-HU"/>
        </w:rPr>
        <w:t>–</w:t>
      </w:r>
      <w:r w:rsidR="00F9472F" w:rsidRPr="00AA3F64">
        <w:rPr>
          <w:color w:val="auto"/>
          <w:sz w:val="22"/>
          <w:szCs w:val="22"/>
          <w:lang w:val="hu-HU"/>
        </w:rPr>
        <w:t xml:space="preserve"> </w:t>
      </w:r>
      <w:r w:rsidRPr="00AA3F64">
        <w:rPr>
          <w:color w:val="auto"/>
          <w:sz w:val="22"/>
          <w:szCs w:val="22"/>
          <w:lang w:val="hu-HU"/>
        </w:rPr>
        <w:t xml:space="preserve">farmakológiai biztonságossági, genotoxicitási és karcinogenitási </w:t>
      </w:r>
      <w:r w:rsidR="003561A5" w:rsidRPr="00AA3F64">
        <w:rPr>
          <w:color w:val="auto"/>
          <w:sz w:val="22"/>
          <w:szCs w:val="22"/>
          <w:lang w:val="hu-HU"/>
        </w:rPr>
        <w:t>–</w:t>
      </w:r>
      <w:r w:rsidR="00F9472F" w:rsidRPr="00AA3F64">
        <w:rPr>
          <w:color w:val="auto"/>
          <w:sz w:val="22"/>
          <w:szCs w:val="22"/>
          <w:lang w:val="hu-HU"/>
        </w:rPr>
        <w:t xml:space="preserve"> </w:t>
      </w:r>
      <w:r w:rsidRPr="00AA3F64">
        <w:rPr>
          <w:color w:val="auto"/>
          <w:sz w:val="22"/>
          <w:szCs w:val="22"/>
          <w:lang w:val="hu-HU"/>
        </w:rPr>
        <w:t xml:space="preserve">vizsgálatokból származó nem klinikai jellegű adatok azt igazolták, hogy a készítmény </w:t>
      </w:r>
      <w:r w:rsidR="00A931EF" w:rsidRPr="00AA3F64">
        <w:rPr>
          <w:color w:val="auto"/>
          <w:sz w:val="22"/>
          <w:szCs w:val="22"/>
          <w:lang w:val="hu-HU"/>
        </w:rPr>
        <w:t>alkalmazásakor humán vonatkozásban különleges kockázat nem várható</w:t>
      </w:r>
      <w:r w:rsidRPr="00AA3F64">
        <w:rPr>
          <w:color w:val="auto"/>
          <w:sz w:val="22"/>
          <w:szCs w:val="22"/>
          <w:lang w:val="hu-HU"/>
        </w:rPr>
        <w:t>.</w:t>
      </w:r>
    </w:p>
    <w:p w14:paraId="68D6109C" w14:textId="77777777" w:rsidR="00837FA7" w:rsidRPr="00AA3F64" w:rsidRDefault="00837FA7" w:rsidP="00BF22C9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r w:rsidRPr="00AA3F64">
        <w:rPr>
          <w:color w:val="auto"/>
          <w:sz w:val="22"/>
          <w:szCs w:val="22"/>
          <w:lang w:val="hu-HU"/>
        </w:rPr>
        <w:t>A hERG</w:t>
      </w:r>
      <w:r w:rsidRPr="00AA3F64">
        <w:rPr>
          <w:color w:val="auto"/>
          <w:sz w:val="22"/>
          <w:szCs w:val="22"/>
          <w:lang w:val="hu-HU"/>
        </w:rPr>
        <w:noBreakHyphen/>
        <w:t xml:space="preserve">re </w:t>
      </w:r>
      <w:r w:rsidRPr="00AA3F64">
        <w:rPr>
          <w:rFonts w:eastAsia="Times New Roman"/>
          <w:color w:val="auto"/>
          <w:sz w:val="22"/>
          <w:szCs w:val="22"/>
          <w:lang w:val="hu-HU"/>
        </w:rPr>
        <w:t>(</w:t>
      </w:r>
      <w:r w:rsidRPr="00AA3F64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t>human Ether</w:t>
      </w:r>
      <w:r w:rsidRPr="00AA3F64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à</w:t>
      </w:r>
      <w:r w:rsidRPr="00AA3F64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go</w:t>
      </w:r>
      <w:r w:rsidRPr="00AA3F64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go Related Gene) kifejtett hatást vizsgáló specifikus teszteket nem értékelték.</w:t>
      </w:r>
      <w:r w:rsidRPr="00AA3F64">
        <w:rPr>
          <w:color w:val="auto"/>
          <w:sz w:val="22"/>
          <w:szCs w:val="22"/>
          <w:lang w:val="hu-HU"/>
        </w:rPr>
        <w:t xml:space="preserve"> A következő mellékhatásokat klinikai vizsgálatokban nem tapasztalták, állatkísértekben viszont igen</w:t>
      </w:r>
      <w:r w:rsidR="00F9472F" w:rsidRPr="00AA3F64">
        <w:rPr>
          <w:color w:val="auto"/>
          <w:sz w:val="22"/>
          <w:szCs w:val="22"/>
          <w:lang w:val="hu-HU"/>
        </w:rPr>
        <w:t>,</w:t>
      </w:r>
      <w:r w:rsidRPr="00AA3F64">
        <w:rPr>
          <w:color w:val="auto"/>
          <w:sz w:val="22"/>
          <w:szCs w:val="22"/>
          <w:lang w:val="hu-HU"/>
        </w:rPr>
        <w:t xml:space="preserve"> a klinikai</w:t>
      </w:r>
      <w:r w:rsidR="00F9472F" w:rsidRPr="00AA3F64">
        <w:rPr>
          <w:color w:val="auto"/>
          <w:sz w:val="22"/>
          <w:szCs w:val="22"/>
          <w:lang w:val="hu-HU"/>
        </w:rPr>
        <w:t>hoz</w:t>
      </w:r>
      <w:r w:rsidRPr="00AA3F64">
        <w:rPr>
          <w:color w:val="auto"/>
          <w:sz w:val="22"/>
          <w:szCs w:val="22"/>
          <w:lang w:val="hu-HU"/>
        </w:rPr>
        <w:t xml:space="preserve"> hasonló expozíciós szintek mellett: egerekben és patkányokban,</w:t>
      </w:r>
      <w:r w:rsidR="00DA4CA7" w:rsidRPr="00AA3F64">
        <w:rPr>
          <w:color w:val="auto"/>
          <w:sz w:val="22"/>
          <w:szCs w:val="22"/>
          <w:lang w:val="hu-HU"/>
        </w:rPr>
        <w:t xml:space="preserve"> az</w:t>
      </w:r>
      <w:r w:rsidRPr="00AA3F64">
        <w:rPr>
          <w:color w:val="auto"/>
          <w:sz w:val="22"/>
          <w:szCs w:val="22"/>
          <w:lang w:val="hu-HU"/>
        </w:rPr>
        <w:t xml:space="preserve"> ismételt </w:t>
      </w:r>
      <w:r w:rsidR="00DA4CA7" w:rsidRPr="00AA3F64">
        <w:rPr>
          <w:color w:val="auto"/>
          <w:sz w:val="22"/>
          <w:szCs w:val="22"/>
          <w:lang w:val="hu-HU"/>
        </w:rPr>
        <w:t xml:space="preserve">adagolású </w:t>
      </w:r>
      <w:r w:rsidRPr="00AA3F64">
        <w:rPr>
          <w:color w:val="auto"/>
          <w:sz w:val="22"/>
          <w:szCs w:val="22"/>
          <w:lang w:val="hu-HU"/>
        </w:rPr>
        <w:t>dózistoxicitási vizsgálatokban, valószínűleg a rozuvasztatin farmakológiai hatásának tulajdonítható patológiás szöveti elváltozásokat a májban</w:t>
      </w:r>
      <w:r w:rsidR="00DA4CA7" w:rsidRPr="00AA3F64">
        <w:rPr>
          <w:color w:val="auto"/>
          <w:sz w:val="22"/>
          <w:szCs w:val="22"/>
          <w:lang w:val="hu-HU"/>
        </w:rPr>
        <w:t>,</w:t>
      </w:r>
      <w:r w:rsidRPr="00AA3F64">
        <w:rPr>
          <w:color w:val="auto"/>
          <w:sz w:val="22"/>
          <w:szCs w:val="22"/>
          <w:lang w:val="hu-HU"/>
        </w:rPr>
        <w:t xml:space="preserve"> </w:t>
      </w:r>
      <w:r w:rsidR="00DA4CA7" w:rsidRPr="00AA3F64">
        <w:rPr>
          <w:color w:val="auto"/>
          <w:sz w:val="22"/>
          <w:szCs w:val="22"/>
          <w:lang w:val="hu-HU"/>
        </w:rPr>
        <w:t xml:space="preserve">míg kutyákban </w:t>
      </w:r>
      <w:r w:rsidRPr="00AA3F64">
        <w:rPr>
          <w:color w:val="auto"/>
          <w:sz w:val="22"/>
          <w:szCs w:val="22"/>
          <w:lang w:val="hu-HU"/>
        </w:rPr>
        <w:t>kisebb mértékben az epehólyag érintettségét figyelték meg</w:t>
      </w:r>
      <w:r w:rsidR="00F9472F" w:rsidRPr="00AA3F64">
        <w:rPr>
          <w:color w:val="auto"/>
          <w:sz w:val="22"/>
          <w:szCs w:val="22"/>
          <w:lang w:val="hu-HU"/>
        </w:rPr>
        <w:t>.</w:t>
      </w:r>
      <w:r w:rsidRPr="00AA3F64">
        <w:rPr>
          <w:color w:val="auto"/>
          <w:sz w:val="22"/>
          <w:szCs w:val="22"/>
          <w:lang w:val="hu-HU"/>
        </w:rPr>
        <w:t xml:space="preserve"> </w:t>
      </w:r>
      <w:r w:rsidR="00F9472F" w:rsidRPr="00AA3F64">
        <w:rPr>
          <w:color w:val="auto"/>
          <w:sz w:val="22"/>
          <w:szCs w:val="22"/>
          <w:lang w:val="hu-HU"/>
        </w:rPr>
        <w:t>M</w:t>
      </w:r>
      <w:r w:rsidRPr="00AA3F64">
        <w:rPr>
          <w:color w:val="auto"/>
          <w:sz w:val="22"/>
          <w:szCs w:val="22"/>
          <w:lang w:val="hu-HU"/>
        </w:rPr>
        <w:t>ajmokban azonban hasonlót nem tapasztaltak. Továbbá nagyobb dózisok mellett, majmokban és kutyákban a herékre kifejtett toxikus hatást tapasztaltak. Patkányokban a reproduktív toxicitás egyértelműen megmutatkozott az egy alomban született kölykök csökkent számában, a kisebb születési súlyokban</w:t>
      </w:r>
      <w:r w:rsidR="00F9472F" w:rsidRPr="00AA3F64">
        <w:rPr>
          <w:color w:val="auto"/>
          <w:sz w:val="22"/>
          <w:szCs w:val="22"/>
          <w:lang w:val="hu-HU"/>
        </w:rPr>
        <w:t>,</w:t>
      </w:r>
      <w:r w:rsidRPr="00AA3F64">
        <w:rPr>
          <w:color w:val="auto"/>
          <w:sz w:val="22"/>
          <w:szCs w:val="22"/>
          <w:lang w:val="hu-HU"/>
        </w:rPr>
        <w:t xml:space="preserve"> valamint az életképesség csökkenésében. Ezt a hatást az anyaállatra nézve toxikus dózisok mellett figyelték meg, amikor is a szisztémás expozíciók a terápiás expozíciós szintet többszörösen meghaladták.</w:t>
      </w:r>
    </w:p>
    <w:p w14:paraId="77482422" w14:textId="77777777" w:rsidR="00837FA7" w:rsidRPr="00AA3F64" w:rsidRDefault="00837FA7" w:rsidP="0063040C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</w:p>
    <w:p w14:paraId="259F2909" w14:textId="77777777" w:rsidR="00035646" w:rsidRPr="00AA3F64" w:rsidRDefault="00EE686D" w:rsidP="003F44A6">
      <w:pPr>
        <w:widowControl w:val="0"/>
        <w:rPr>
          <w:rFonts w:cs="Times New Roman"/>
          <w:iCs/>
          <w:sz w:val="22"/>
          <w:u w:val="single"/>
        </w:rPr>
      </w:pPr>
      <w:r w:rsidRPr="00AA3F64">
        <w:rPr>
          <w:rFonts w:cs="Times New Roman"/>
          <w:iCs/>
          <w:sz w:val="22"/>
          <w:u w:val="single"/>
        </w:rPr>
        <w:t>Ezetimib</w:t>
      </w:r>
    </w:p>
    <w:p w14:paraId="65F5FB56" w14:textId="77777777" w:rsidR="00EE686D" w:rsidRPr="00AA3F64" w:rsidRDefault="00EE686D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ezetimib krónikus toxicitását vizsgáló állatkísérletekben egyetlen szervet sem azonosítottak a toxikus hatások célszerveként. Négy héten át ezetimibbel kezelt (≥</w:t>
      </w:r>
      <w:r w:rsidR="005D7DCC" w:rsidRPr="00AA3F64">
        <w:rPr>
          <w:rFonts w:cs="Times New Roman"/>
          <w:sz w:val="22"/>
        </w:rPr>
        <w:t> </w:t>
      </w:r>
      <w:r w:rsidRPr="00AA3F64">
        <w:rPr>
          <w:rFonts w:cs="Times New Roman"/>
          <w:sz w:val="22"/>
        </w:rPr>
        <w:t>0,03 mg/ttkg/nap) kutyákban az epehólyagban lévő epe koleszterin</w:t>
      </w:r>
      <w:r w:rsidR="00E235DB" w:rsidRPr="00AA3F64">
        <w:rPr>
          <w:rFonts w:cs="Times New Roman"/>
          <w:sz w:val="22"/>
        </w:rPr>
        <w:t>-</w:t>
      </w:r>
      <w:r w:rsidRPr="00AA3F64">
        <w:rPr>
          <w:rFonts w:cs="Times New Roman"/>
          <w:sz w:val="22"/>
        </w:rPr>
        <w:t>koncentrációja 2,5-3,5-szörös növekedést mutatott. Ugyanakkor a kutyák</w:t>
      </w:r>
      <w:r w:rsidR="00035646" w:rsidRPr="00AA3F64">
        <w:rPr>
          <w:rFonts w:cs="Times New Roman"/>
          <w:sz w:val="22"/>
        </w:rPr>
        <w:t>kal</w:t>
      </w:r>
      <w:r w:rsidRPr="00AA3F64">
        <w:rPr>
          <w:rFonts w:cs="Times New Roman"/>
          <w:sz w:val="22"/>
        </w:rPr>
        <w:t xml:space="preserve"> végzett, a napi 300 mg/ttkg dózis alkalmazását is elérő egyéves vizsgálatban a cholelithiasis vagy egyéb hepatobili</w:t>
      </w:r>
      <w:r w:rsidR="00DA4CA7" w:rsidRPr="00AA3F64">
        <w:rPr>
          <w:rFonts w:cs="Times New Roman"/>
          <w:sz w:val="22"/>
        </w:rPr>
        <w:t>a</w:t>
      </w:r>
      <w:r w:rsidRPr="00AA3F64">
        <w:rPr>
          <w:rFonts w:cs="Times New Roman"/>
          <w:sz w:val="22"/>
        </w:rPr>
        <w:t>ris hatások előfordulási gyakorisága nem növekedett. A fenti adatok humán relevanciája nem ismert. Az ezetimib terápiás alkalmazásához kapcsolódó kőképződés veszélye nem zárható ki.</w:t>
      </w:r>
    </w:p>
    <w:p w14:paraId="28B7ED82" w14:textId="77777777" w:rsidR="00EE686D" w:rsidRPr="00AA3F64" w:rsidRDefault="00EE686D" w:rsidP="00BF22C9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r w:rsidRPr="00AA3F64">
        <w:rPr>
          <w:color w:val="auto"/>
          <w:sz w:val="22"/>
          <w:szCs w:val="22"/>
          <w:lang w:val="hu-HU"/>
        </w:rPr>
        <w:t>Az ezetimib nem befolyásolta a hím és nőstény patkányok fertilitását, nem mutatott teratogén hatást patkányon és nyúlon, és nem befolyásolta a pre- és postnatalis fejlődést. A napi 1000 mg/ttkg ismételt dózisokkal kezelt vemhes patkányokban és nyulakban az ezetimib átjutott a placentán.</w:t>
      </w:r>
    </w:p>
    <w:p w14:paraId="331F50D8" w14:textId="77777777" w:rsidR="00EE686D" w:rsidRPr="00AA3F64" w:rsidRDefault="00EE686D" w:rsidP="00BF22C9">
      <w:pPr>
        <w:widowControl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Az ezetimib és lovasztatin együttadása embryolethalis hatásokat mutatott.</w:t>
      </w:r>
    </w:p>
    <w:p w14:paraId="536D4649" w14:textId="77777777" w:rsidR="00EE686D" w:rsidRPr="00AA3F64" w:rsidRDefault="00EE686D" w:rsidP="0063040C">
      <w:pPr>
        <w:pStyle w:val="Normal1"/>
        <w:tabs>
          <w:tab w:val="left" w:pos="567"/>
        </w:tabs>
        <w:suppressAutoHyphens w:val="0"/>
        <w:rPr>
          <w:i/>
          <w:color w:val="auto"/>
          <w:sz w:val="22"/>
          <w:szCs w:val="22"/>
          <w:lang w:val="hu-HU"/>
        </w:rPr>
      </w:pPr>
    </w:p>
    <w:p w14:paraId="222E33DD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61887ADA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AA3F64">
        <w:rPr>
          <w:rFonts w:cs="Times New Roman"/>
          <w:b/>
          <w:bCs/>
          <w:sz w:val="22"/>
        </w:rPr>
        <w:t>6.</w:t>
      </w:r>
      <w:r w:rsidRPr="00AA3F64">
        <w:rPr>
          <w:rFonts w:cs="Times New Roman"/>
          <w:b/>
          <w:bCs/>
          <w:sz w:val="22"/>
        </w:rPr>
        <w:tab/>
        <w:t>GYÓGYSZERÉSZETI JELLEMZŐK</w:t>
      </w:r>
    </w:p>
    <w:p w14:paraId="4BDDE7AB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B0D693C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AA3F64">
        <w:rPr>
          <w:rFonts w:cs="Times New Roman"/>
          <w:b/>
          <w:sz w:val="22"/>
        </w:rPr>
        <w:t>6.1</w:t>
      </w:r>
      <w:r w:rsidRPr="00AA3F64">
        <w:rPr>
          <w:rFonts w:cs="Times New Roman"/>
          <w:b/>
          <w:sz w:val="22"/>
        </w:rPr>
        <w:tab/>
        <w:t>Segédanyagok felsorolása</w:t>
      </w:r>
    </w:p>
    <w:p w14:paraId="6C8ADBAA" w14:textId="77777777" w:rsidR="00120F83" w:rsidRPr="00AA3F64" w:rsidRDefault="00120F83" w:rsidP="0063040C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261A03CB" w14:textId="77777777" w:rsidR="0089503E" w:rsidRPr="00AA3F64" w:rsidRDefault="0089503E" w:rsidP="00AA3F64">
      <w:pPr>
        <w:pStyle w:val="Szvegtrzs"/>
        <w:suppressAutoHyphens w:val="0"/>
        <w:spacing w:after="0"/>
        <w:rPr>
          <w:color w:val="auto"/>
          <w:sz w:val="22"/>
          <w:szCs w:val="22"/>
          <w:u w:val="single"/>
        </w:rPr>
      </w:pPr>
      <w:r w:rsidRPr="00AA3F64">
        <w:rPr>
          <w:color w:val="auto"/>
          <w:sz w:val="22"/>
          <w:szCs w:val="22"/>
          <w:u w:val="single"/>
        </w:rPr>
        <w:t>Tablet</w:t>
      </w:r>
      <w:r w:rsidR="00711946" w:rsidRPr="00AA3F64">
        <w:rPr>
          <w:color w:val="auto"/>
          <w:sz w:val="22"/>
          <w:szCs w:val="22"/>
          <w:u w:val="single"/>
        </w:rPr>
        <w:t>tamag</w:t>
      </w:r>
      <w:r w:rsidRPr="00AA3F64" w:rsidDel="0089503E">
        <w:rPr>
          <w:color w:val="auto"/>
          <w:sz w:val="22"/>
          <w:szCs w:val="22"/>
          <w:u w:val="single"/>
        </w:rPr>
        <w:t xml:space="preserve"> </w:t>
      </w:r>
    </w:p>
    <w:p w14:paraId="4F10401D" w14:textId="77777777" w:rsidR="00856871" w:rsidRPr="00AA3F64" w:rsidRDefault="003A2910" w:rsidP="00AA3F64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</w:t>
      </w:r>
      <w:r w:rsidR="00685436" w:rsidRPr="00AA3F64">
        <w:rPr>
          <w:color w:val="auto"/>
          <w:sz w:val="22"/>
          <w:szCs w:val="22"/>
        </w:rPr>
        <w:t>ikrokristályos cellulóz</w:t>
      </w:r>
      <w:r w:rsidR="00344085" w:rsidRPr="00AA3F64">
        <w:rPr>
          <w:color w:val="auto"/>
          <w:sz w:val="22"/>
          <w:szCs w:val="22"/>
        </w:rPr>
        <w:t xml:space="preserve"> (</w:t>
      </w:r>
      <w:r w:rsidR="0089503E" w:rsidRPr="00AA3F64">
        <w:rPr>
          <w:color w:val="auto"/>
          <w:sz w:val="22"/>
          <w:szCs w:val="22"/>
        </w:rPr>
        <w:t>E 460)</w:t>
      </w:r>
    </w:p>
    <w:p w14:paraId="3D78694F" w14:textId="77777777" w:rsidR="003F44A6" w:rsidRPr="00AA3F64" w:rsidRDefault="003A2910" w:rsidP="00AA3F64">
      <w:pPr>
        <w:rPr>
          <w:rFonts w:cs="Times New Roman"/>
          <w:sz w:val="22"/>
        </w:rPr>
      </w:pPr>
      <w:r>
        <w:rPr>
          <w:rFonts w:cs="Times New Roman"/>
          <w:sz w:val="22"/>
        </w:rPr>
        <w:t>v</w:t>
      </w:r>
      <w:r w:rsidR="003F44A6" w:rsidRPr="00AA3F64">
        <w:rPr>
          <w:rFonts w:cs="Times New Roman"/>
          <w:sz w:val="22"/>
        </w:rPr>
        <w:t>ízmentes</w:t>
      </w:r>
      <w:r>
        <w:rPr>
          <w:rFonts w:cs="Times New Roman"/>
          <w:sz w:val="22"/>
        </w:rPr>
        <w:t>,</w:t>
      </w:r>
      <w:r w:rsidR="003F44A6" w:rsidRPr="00AA3F64">
        <w:rPr>
          <w:rFonts w:cs="Times New Roman"/>
          <w:sz w:val="22"/>
        </w:rPr>
        <w:t xml:space="preserve"> kolloid szilícium</w:t>
      </w:r>
      <w:r w:rsidR="003F44A6" w:rsidRPr="00AA3F64">
        <w:rPr>
          <w:rFonts w:cs="Times New Roman"/>
          <w:sz w:val="22"/>
        </w:rPr>
        <w:noBreakHyphen/>
        <w:t>dioxid (E 551)]</w:t>
      </w:r>
    </w:p>
    <w:p w14:paraId="4F6CCE32" w14:textId="77777777" w:rsidR="0089503E" w:rsidRPr="00AA3F64" w:rsidRDefault="003A2910" w:rsidP="00AA3F64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</w:t>
      </w:r>
      <w:r w:rsidR="0089503E" w:rsidRPr="00AA3F64">
        <w:rPr>
          <w:color w:val="auto"/>
          <w:sz w:val="22"/>
          <w:szCs w:val="22"/>
        </w:rPr>
        <w:t>agnézium-sztearát (E 572)</w:t>
      </w:r>
    </w:p>
    <w:p w14:paraId="1C2F2D7B" w14:textId="77777777" w:rsidR="0089503E" w:rsidRPr="00AA3F64" w:rsidRDefault="003A2910" w:rsidP="00AA3F64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</w:t>
      </w:r>
      <w:r w:rsidR="0089503E" w:rsidRPr="00AA3F64">
        <w:rPr>
          <w:color w:val="auto"/>
          <w:sz w:val="22"/>
          <w:szCs w:val="22"/>
        </w:rPr>
        <w:t>ovidon (E 1201)</w:t>
      </w:r>
    </w:p>
    <w:p w14:paraId="58F08EF0" w14:textId="77777777" w:rsidR="00856871" w:rsidRPr="00AA3F64" w:rsidRDefault="003A2910" w:rsidP="00AA3F64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</w:t>
      </w:r>
      <w:r w:rsidR="00685436" w:rsidRPr="00AA3F64">
        <w:rPr>
          <w:color w:val="auto"/>
          <w:sz w:val="22"/>
          <w:szCs w:val="22"/>
        </w:rPr>
        <w:t>roszkarmellóz-nátrium</w:t>
      </w:r>
      <w:r w:rsidR="0089503E" w:rsidRPr="00AA3F64">
        <w:rPr>
          <w:color w:val="auto"/>
          <w:sz w:val="22"/>
          <w:szCs w:val="22"/>
        </w:rPr>
        <w:t xml:space="preserve"> (E 468)</w:t>
      </w:r>
    </w:p>
    <w:p w14:paraId="1FA8836D" w14:textId="77777777" w:rsidR="00856871" w:rsidRPr="00AA3F64" w:rsidRDefault="003A2910" w:rsidP="00AA3F64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</w:t>
      </w:r>
      <w:r w:rsidR="00685436" w:rsidRPr="00AA3F64">
        <w:rPr>
          <w:color w:val="auto"/>
          <w:sz w:val="22"/>
          <w:szCs w:val="22"/>
        </w:rPr>
        <w:t>átrium-lauril</w:t>
      </w:r>
      <w:r w:rsidR="0045170F" w:rsidRPr="00AA3F64">
        <w:rPr>
          <w:color w:val="auto"/>
          <w:sz w:val="22"/>
          <w:szCs w:val="22"/>
        </w:rPr>
        <w:t>-</w:t>
      </w:r>
      <w:r w:rsidR="00685436" w:rsidRPr="00AA3F64">
        <w:rPr>
          <w:color w:val="auto"/>
          <w:sz w:val="22"/>
          <w:szCs w:val="22"/>
        </w:rPr>
        <w:t>szulfát</w:t>
      </w:r>
      <w:r w:rsidR="0089503E" w:rsidRPr="00AA3F64">
        <w:rPr>
          <w:color w:val="auto"/>
          <w:sz w:val="22"/>
          <w:szCs w:val="22"/>
        </w:rPr>
        <w:t xml:space="preserve"> (</w:t>
      </w:r>
      <w:r w:rsidR="009C3ABB">
        <w:rPr>
          <w:color w:val="auto"/>
          <w:sz w:val="22"/>
          <w:szCs w:val="22"/>
        </w:rPr>
        <w:t>E</w:t>
      </w:r>
      <w:r w:rsidR="0089503E" w:rsidRPr="00AA3F64">
        <w:rPr>
          <w:color w:val="auto"/>
          <w:sz w:val="22"/>
          <w:szCs w:val="22"/>
        </w:rPr>
        <w:t> 487)</w:t>
      </w:r>
    </w:p>
    <w:p w14:paraId="1EC6B834" w14:textId="77777777" w:rsidR="0089503E" w:rsidRPr="00AA3F64" w:rsidRDefault="003A2910" w:rsidP="00AA3F64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</w:t>
      </w:r>
      <w:r w:rsidR="0089503E" w:rsidRPr="00AA3F64">
        <w:rPr>
          <w:color w:val="auto"/>
          <w:sz w:val="22"/>
          <w:szCs w:val="22"/>
        </w:rPr>
        <w:t>aktóz-monohidrát</w:t>
      </w:r>
    </w:p>
    <w:p w14:paraId="489560EE" w14:textId="77777777" w:rsidR="00711946" w:rsidRPr="00AA3F64" w:rsidRDefault="003A2910" w:rsidP="00711946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</w:t>
      </w:r>
      <w:r w:rsidR="00711946" w:rsidRPr="00AA3F64">
        <w:rPr>
          <w:color w:val="auto"/>
          <w:sz w:val="22"/>
          <w:szCs w:val="22"/>
        </w:rPr>
        <w:t>ipromellóz (E 464)</w:t>
      </w:r>
    </w:p>
    <w:p w14:paraId="25B47396" w14:textId="77777777" w:rsidR="0089503E" w:rsidRPr="00AA3F64" w:rsidRDefault="0089503E" w:rsidP="000037AE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16C31544" w14:textId="77777777" w:rsidR="0089503E" w:rsidRPr="00AA3F64" w:rsidRDefault="00711946" w:rsidP="000037AE">
      <w:pPr>
        <w:pStyle w:val="Default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AA3F64">
        <w:rPr>
          <w:rFonts w:ascii="Times New Roman" w:hAnsi="Times New Roman" w:cs="Times New Roman"/>
          <w:color w:val="auto"/>
          <w:sz w:val="22"/>
          <w:szCs w:val="22"/>
          <w:u w:val="single"/>
        </w:rPr>
        <w:t>Filmbevonat</w:t>
      </w:r>
    </w:p>
    <w:p w14:paraId="55138806" w14:textId="77777777" w:rsidR="005B2FDB" w:rsidRDefault="005B2FDB" w:rsidP="004413FE">
      <w:pPr>
        <w:pStyle w:val="Szvegtrzs"/>
        <w:suppressAutoHyphens w:val="0"/>
        <w:spacing w:after="0"/>
        <w:rPr>
          <w:rFonts w:eastAsia="Times New Roman"/>
          <w:color w:val="auto"/>
          <w:sz w:val="22"/>
          <w:szCs w:val="22"/>
          <w:lang w:eastAsia="hu-HU"/>
        </w:rPr>
      </w:pPr>
      <w:r w:rsidRPr="005B2FDB">
        <w:rPr>
          <w:rFonts w:eastAsia="Times New Roman"/>
          <w:color w:val="auto"/>
          <w:sz w:val="22"/>
          <w:szCs w:val="22"/>
          <w:lang w:eastAsia="hu-HU"/>
        </w:rPr>
        <w:t>Opadry White, amely az alábbiakat tartalmazza:</w:t>
      </w:r>
    </w:p>
    <w:p w14:paraId="69564277" w14:textId="77777777" w:rsidR="003F44A6" w:rsidRPr="00AA3F64" w:rsidRDefault="003A2910" w:rsidP="004413FE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</w:t>
      </w:r>
      <w:r w:rsidR="003F44A6" w:rsidRPr="00AA3F64">
        <w:rPr>
          <w:color w:val="auto"/>
          <w:sz w:val="22"/>
          <w:szCs w:val="22"/>
        </w:rPr>
        <w:t>aktóz-monohidrát</w:t>
      </w:r>
    </w:p>
    <w:p w14:paraId="2D40CBD6" w14:textId="77777777" w:rsidR="0089503E" w:rsidRPr="00AA3F64" w:rsidRDefault="003A2910" w:rsidP="00AA3F64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</w:t>
      </w:r>
      <w:r w:rsidR="00711946" w:rsidRPr="00AA3F64">
        <w:rPr>
          <w:color w:val="auto"/>
          <w:sz w:val="22"/>
          <w:szCs w:val="22"/>
        </w:rPr>
        <w:t xml:space="preserve">ipromellóz </w:t>
      </w:r>
      <w:r w:rsidR="0089503E" w:rsidRPr="00AA3F64">
        <w:rPr>
          <w:color w:val="auto"/>
          <w:sz w:val="22"/>
          <w:szCs w:val="22"/>
        </w:rPr>
        <w:t>(E</w:t>
      </w:r>
      <w:r w:rsidR="00711946" w:rsidRPr="00AA3F64">
        <w:rPr>
          <w:color w:val="auto"/>
          <w:sz w:val="22"/>
          <w:szCs w:val="22"/>
        </w:rPr>
        <w:t> </w:t>
      </w:r>
      <w:r w:rsidR="0089503E" w:rsidRPr="00AA3F64">
        <w:rPr>
          <w:color w:val="auto"/>
          <w:sz w:val="22"/>
          <w:szCs w:val="22"/>
        </w:rPr>
        <w:t>464)</w:t>
      </w:r>
    </w:p>
    <w:p w14:paraId="29D8AD35" w14:textId="77777777" w:rsidR="003F44A6" w:rsidRPr="00AA3F64" w:rsidRDefault="003A2910" w:rsidP="00AA3F64">
      <w:pPr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t</w:t>
      </w:r>
      <w:r w:rsidR="003F44A6" w:rsidRPr="00AA3F64">
        <w:rPr>
          <w:rFonts w:cs="Times New Roman"/>
          <w:sz w:val="22"/>
        </w:rPr>
        <w:t>itán-dioxid (E</w:t>
      </w:r>
      <w:r w:rsidR="00711946" w:rsidRPr="00AA3F64">
        <w:rPr>
          <w:rFonts w:cs="Times New Roman"/>
          <w:sz w:val="22"/>
        </w:rPr>
        <w:t> </w:t>
      </w:r>
      <w:r w:rsidR="003F44A6" w:rsidRPr="00AA3F64">
        <w:rPr>
          <w:rFonts w:cs="Times New Roman"/>
          <w:sz w:val="22"/>
        </w:rPr>
        <w:t>171),</w:t>
      </w:r>
    </w:p>
    <w:p w14:paraId="78798345" w14:textId="77777777" w:rsidR="0089503E" w:rsidRPr="00AA3F64" w:rsidRDefault="003A2910" w:rsidP="00AA3F6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m</w:t>
      </w:r>
      <w:r w:rsidR="0089503E" w:rsidRPr="00AA3F64">
        <w:rPr>
          <w:rFonts w:ascii="Times New Roman" w:hAnsi="Times New Roman" w:cs="Times New Roman"/>
          <w:color w:val="auto"/>
          <w:sz w:val="22"/>
          <w:szCs w:val="22"/>
        </w:rPr>
        <w:t>a</w:t>
      </w:r>
      <w:r w:rsidR="00711946" w:rsidRPr="00AA3F64">
        <w:rPr>
          <w:rFonts w:ascii="Times New Roman" w:hAnsi="Times New Roman" w:cs="Times New Roman"/>
          <w:color w:val="auto"/>
          <w:sz w:val="22"/>
          <w:szCs w:val="22"/>
        </w:rPr>
        <w:t>k</w:t>
      </w:r>
      <w:r w:rsidR="0089503E" w:rsidRPr="00AA3F64">
        <w:rPr>
          <w:rFonts w:ascii="Times New Roman" w:hAnsi="Times New Roman" w:cs="Times New Roman"/>
          <w:color w:val="auto"/>
          <w:sz w:val="22"/>
          <w:szCs w:val="22"/>
        </w:rPr>
        <w:t>rogol (E</w:t>
      </w:r>
      <w:r w:rsidR="00711946" w:rsidRPr="00AA3F64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89503E" w:rsidRPr="00AA3F64">
        <w:rPr>
          <w:rFonts w:ascii="Times New Roman" w:hAnsi="Times New Roman" w:cs="Times New Roman"/>
          <w:color w:val="auto"/>
          <w:sz w:val="22"/>
          <w:szCs w:val="22"/>
        </w:rPr>
        <w:t>1521)</w:t>
      </w:r>
    </w:p>
    <w:p w14:paraId="68ADF708" w14:textId="77777777" w:rsidR="0089503E" w:rsidRPr="00AA3F64" w:rsidRDefault="0089503E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74EAEF9B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AA3F64">
        <w:rPr>
          <w:rFonts w:cs="Times New Roman"/>
          <w:b/>
          <w:sz w:val="22"/>
        </w:rPr>
        <w:t>6.2</w:t>
      </w:r>
      <w:r w:rsidRPr="00AA3F64">
        <w:rPr>
          <w:rFonts w:cs="Times New Roman"/>
          <w:b/>
          <w:sz w:val="22"/>
        </w:rPr>
        <w:tab/>
        <w:t>Inkompatibilitások</w:t>
      </w:r>
    </w:p>
    <w:p w14:paraId="73F6F741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647872D2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Nem értelmezhető.</w:t>
      </w:r>
    </w:p>
    <w:p w14:paraId="7BD9C604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6C8E7E96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AA3F64">
        <w:rPr>
          <w:rFonts w:cs="Times New Roman"/>
          <w:b/>
          <w:sz w:val="22"/>
        </w:rPr>
        <w:t>6.3</w:t>
      </w:r>
      <w:r w:rsidRPr="00AA3F64">
        <w:rPr>
          <w:rFonts w:cs="Times New Roman"/>
          <w:b/>
          <w:sz w:val="22"/>
        </w:rPr>
        <w:tab/>
        <w:t>Felhasználhatósági id</w:t>
      </w:r>
      <w:r w:rsidRPr="00AA3F64">
        <w:rPr>
          <w:rFonts w:cs="Times New Roman"/>
          <w:sz w:val="22"/>
        </w:rPr>
        <w:t>ő</w:t>
      </w:r>
      <w:r w:rsidRPr="00AA3F64">
        <w:rPr>
          <w:rFonts w:cs="Times New Roman"/>
          <w:b/>
          <w:sz w:val="22"/>
        </w:rPr>
        <w:t>tartam</w:t>
      </w:r>
    </w:p>
    <w:p w14:paraId="319B3981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2AF9CAD4" w14:textId="77777777" w:rsidR="00120F83" w:rsidRPr="00AA3F64" w:rsidRDefault="00344085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>3</w:t>
      </w:r>
      <w:r w:rsidR="00C1671B" w:rsidRPr="00AA3F64">
        <w:rPr>
          <w:rFonts w:cs="Times New Roman"/>
          <w:sz w:val="22"/>
        </w:rPr>
        <w:t> </w:t>
      </w:r>
      <w:r w:rsidR="0089503E" w:rsidRPr="00AA3F64">
        <w:rPr>
          <w:rFonts w:cs="Times New Roman"/>
          <w:sz w:val="22"/>
        </w:rPr>
        <w:t>év</w:t>
      </w:r>
    </w:p>
    <w:p w14:paraId="4BE6ED00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751EE580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AA3F64">
        <w:rPr>
          <w:rFonts w:cs="Times New Roman"/>
          <w:b/>
          <w:sz w:val="22"/>
        </w:rPr>
        <w:t>6.4</w:t>
      </w:r>
      <w:r w:rsidRPr="00AA3F64">
        <w:rPr>
          <w:rFonts w:cs="Times New Roman"/>
          <w:b/>
          <w:sz w:val="22"/>
        </w:rPr>
        <w:tab/>
        <w:t>Különleges tárolási előírások</w:t>
      </w:r>
    </w:p>
    <w:p w14:paraId="3D574ACC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58DD5225" w14:textId="77777777" w:rsidR="006B1590" w:rsidRPr="00AA3F64" w:rsidRDefault="006B1590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bCs/>
          <w:sz w:val="22"/>
        </w:rPr>
      </w:pPr>
      <w:r w:rsidRPr="00AA3F64">
        <w:rPr>
          <w:rFonts w:cs="Times New Roman"/>
          <w:noProof/>
          <w:sz w:val="22"/>
        </w:rPr>
        <w:t>Ez a gyógyszer különleges tárolási hőmérsékletet nem igényel.</w:t>
      </w:r>
    </w:p>
    <w:p w14:paraId="3DA52DB5" w14:textId="77777777" w:rsidR="00120F83" w:rsidRPr="00AA3F64" w:rsidRDefault="00120F83" w:rsidP="00AA3F64">
      <w:pPr>
        <w:widowControl w:val="0"/>
        <w:tabs>
          <w:tab w:val="left" w:pos="567"/>
        </w:tabs>
        <w:rPr>
          <w:rFonts w:cs="Times New Roman"/>
          <w:noProof/>
          <w:sz w:val="22"/>
        </w:rPr>
      </w:pPr>
      <w:r w:rsidRPr="00AA3F64">
        <w:rPr>
          <w:rFonts w:cs="Times New Roman"/>
          <w:noProof/>
          <w:sz w:val="22"/>
        </w:rPr>
        <w:t xml:space="preserve">A </w:t>
      </w:r>
      <w:r w:rsidR="00035646" w:rsidRPr="00AA3F64">
        <w:rPr>
          <w:rFonts w:cs="Times New Roman"/>
          <w:noProof/>
          <w:sz w:val="22"/>
        </w:rPr>
        <w:t xml:space="preserve">nedvességtől és </w:t>
      </w:r>
      <w:r w:rsidRPr="00AA3F64">
        <w:rPr>
          <w:rFonts w:cs="Times New Roman"/>
          <w:noProof/>
          <w:sz w:val="22"/>
        </w:rPr>
        <w:t>fénytől való védelem érdekében az eredeti csomagolásban tárolandó.</w:t>
      </w:r>
    </w:p>
    <w:p w14:paraId="04D7518C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536024B3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AA3F64">
        <w:rPr>
          <w:rFonts w:cs="Times New Roman"/>
          <w:b/>
          <w:sz w:val="22"/>
        </w:rPr>
        <w:t>6.5</w:t>
      </w:r>
      <w:r w:rsidRPr="00AA3F64">
        <w:rPr>
          <w:rFonts w:cs="Times New Roman"/>
          <w:b/>
          <w:sz w:val="22"/>
        </w:rPr>
        <w:tab/>
        <w:t>Csomagolás típusa</w:t>
      </w:r>
      <w:r w:rsidR="003A2910">
        <w:rPr>
          <w:rFonts w:cs="Times New Roman"/>
          <w:b/>
          <w:sz w:val="22"/>
        </w:rPr>
        <w:t xml:space="preserve"> és</w:t>
      </w:r>
      <w:r w:rsidRPr="00AA3F64">
        <w:rPr>
          <w:rFonts w:cs="Times New Roman"/>
          <w:b/>
          <w:sz w:val="22"/>
        </w:rPr>
        <w:t xml:space="preserve"> kiszerelése</w:t>
      </w:r>
    </w:p>
    <w:p w14:paraId="2A6CD3C0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</w:p>
    <w:p w14:paraId="2C0435BB" w14:textId="77777777" w:rsidR="00856871" w:rsidRPr="00AA3F64" w:rsidRDefault="00580494" w:rsidP="00AA3F64">
      <w:pPr>
        <w:pStyle w:val="Szvegtrzs"/>
        <w:suppressAutoHyphens w:val="0"/>
        <w:spacing w:after="0"/>
        <w:rPr>
          <w:color w:val="auto"/>
          <w:sz w:val="22"/>
          <w:szCs w:val="22"/>
        </w:rPr>
      </w:pPr>
      <w:r w:rsidRPr="00AA3F64">
        <w:rPr>
          <w:color w:val="auto"/>
          <w:sz w:val="22"/>
          <w:szCs w:val="22"/>
        </w:rPr>
        <w:t xml:space="preserve">30 db </w:t>
      </w:r>
      <w:r w:rsidR="001749CE" w:rsidRPr="00AA3F64">
        <w:rPr>
          <w:color w:val="auto"/>
          <w:sz w:val="22"/>
          <w:szCs w:val="22"/>
        </w:rPr>
        <w:t>film</w:t>
      </w:r>
      <w:r w:rsidRPr="00AA3F64">
        <w:rPr>
          <w:color w:val="auto"/>
          <w:sz w:val="22"/>
          <w:szCs w:val="22"/>
        </w:rPr>
        <w:t>tabletta PA/Al/PVC//Al buborékcsomagolásban és dobozban.</w:t>
      </w:r>
    </w:p>
    <w:p w14:paraId="388E1DA0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3F136309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AA3F64">
        <w:rPr>
          <w:rFonts w:cs="Times New Roman"/>
          <w:b/>
          <w:sz w:val="22"/>
        </w:rPr>
        <w:t>6.6</w:t>
      </w:r>
      <w:r w:rsidRPr="00AA3F64">
        <w:rPr>
          <w:rFonts w:cs="Times New Roman"/>
          <w:b/>
          <w:sz w:val="22"/>
        </w:rPr>
        <w:tab/>
        <w:t>A megsemmisítésre vonatkozó különleges óvintézkedések és egyéb a készítmény kezelésével kapcsolatos információk</w:t>
      </w:r>
    </w:p>
    <w:p w14:paraId="65CB16ED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3B3B66F4" w14:textId="77777777" w:rsidR="00120F83" w:rsidRPr="00AA3F64" w:rsidRDefault="00BA4906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HG Mincho Light J" w:cs="Times New Roman"/>
          <w:sz w:val="22"/>
        </w:rPr>
      </w:pPr>
      <w:r w:rsidRPr="00AA3F64">
        <w:rPr>
          <w:rFonts w:eastAsia="HG Mincho Light J" w:cs="Times New Roman"/>
          <w:sz w:val="22"/>
        </w:rPr>
        <w:t>Bármilyen fel nem használt gyógyszer, illetve hulladékanyag megsemmisítését a gyógyszerekre vonatkozó előírások szerint kell végrehajtani.</w:t>
      </w:r>
    </w:p>
    <w:p w14:paraId="70E964D9" w14:textId="77777777" w:rsidR="00BA4906" w:rsidRPr="00AA3F64" w:rsidRDefault="00BA4906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bookmarkStart w:id="8" w:name="_Hlk106010168"/>
    </w:p>
    <w:p w14:paraId="44CEBA3D" w14:textId="77777777" w:rsidR="00520BA2" w:rsidRPr="00AA3F64" w:rsidRDefault="00520BA2" w:rsidP="00AA3F64">
      <w:pPr>
        <w:widowControl w:val="0"/>
        <w:tabs>
          <w:tab w:val="left" w:pos="567"/>
        </w:tabs>
        <w:rPr>
          <w:rFonts w:eastAsia="HG Mincho Light J" w:cs="Times New Roman"/>
          <w:color w:val="000000"/>
          <w:sz w:val="22"/>
        </w:rPr>
      </w:pPr>
      <w:r w:rsidRPr="00AA3F64">
        <w:rPr>
          <w:rFonts w:eastAsia="HG Mincho Light J" w:cs="Times New Roman"/>
          <w:b/>
          <w:bCs/>
          <w:color w:val="000000"/>
          <w:sz w:val="22"/>
        </w:rPr>
        <w:t>Megjegyzés:</w:t>
      </w:r>
      <w:r w:rsidRPr="00AA3F64">
        <w:rPr>
          <w:rFonts w:eastAsia="HG Mincho Light J" w:cs="Times New Roman"/>
          <w:color w:val="000000"/>
          <w:sz w:val="22"/>
        </w:rPr>
        <w:t xml:space="preserve"> </w:t>
      </w:r>
      <w:r w:rsidR="00711946" w:rsidRPr="00AA3F64">
        <w:rPr>
          <w:sz w:val="22"/>
        </w:rPr>
        <w:sym w:font="Wingdings" w:char="F058"/>
      </w:r>
      <w:r w:rsidRPr="00AA3F64">
        <w:rPr>
          <w:rFonts w:cs="Times New Roman"/>
          <w:sz w:val="22"/>
        </w:rPr>
        <w:t xml:space="preserve"> (egy keresztes)</w:t>
      </w:r>
    </w:p>
    <w:p w14:paraId="49CB9518" w14:textId="77777777" w:rsidR="00520BA2" w:rsidRPr="00AA3F64" w:rsidRDefault="00520BA2" w:rsidP="00AA3F64">
      <w:pPr>
        <w:widowControl w:val="0"/>
        <w:tabs>
          <w:tab w:val="left" w:pos="567"/>
        </w:tabs>
        <w:rPr>
          <w:rFonts w:eastAsia="HG Mincho Light J" w:cs="Times New Roman"/>
          <w:b/>
          <w:bCs/>
          <w:color w:val="000000"/>
          <w:sz w:val="22"/>
        </w:rPr>
      </w:pPr>
      <w:r w:rsidRPr="00AA3F64">
        <w:rPr>
          <w:rFonts w:eastAsia="HG Mincho Light J" w:cs="Times New Roman"/>
          <w:b/>
          <w:bCs/>
          <w:color w:val="000000"/>
          <w:sz w:val="22"/>
        </w:rPr>
        <w:t xml:space="preserve">Osztályozás: </w:t>
      </w:r>
      <w:r w:rsidRPr="00AA3F64">
        <w:rPr>
          <w:rFonts w:eastAsia="HG Mincho Light J" w:cs="Times New Roman"/>
          <w:b/>
          <w:color w:val="000000"/>
          <w:sz w:val="22"/>
        </w:rPr>
        <w:t>II. csoport</w:t>
      </w:r>
    </w:p>
    <w:p w14:paraId="222398E1" w14:textId="77777777" w:rsidR="00520BA2" w:rsidRPr="00AA3F64" w:rsidRDefault="00520BA2" w:rsidP="00AA3F64">
      <w:pPr>
        <w:widowControl w:val="0"/>
        <w:tabs>
          <w:tab w:val="left" w:pos="567"/>
        </w:tabs>
        <w:rPr>
          <w:rFonts w:eastAsia="HG Mincho Light J" w:cs="Times New Roman"/>
          <w:color w:val="000000"/>
          <w:sz w:val="22"/>
        </w:rPr>
      </w:pPr>
      <w:r w:rsidRPr="00AA3F64">
        <w:rPr>
          <w:rFonts w:eastAsia="HG Mincho Light J" w:cs="Times New Roman"/>
          <w:color w:val="000000"/>
          <w:sz w:val="22"/>
        </w:rPr>
        <w:t xml:space="preserve">Kizárólag orvosi rendelvényhez kötött gyógyszer (V). </w:t>
      </w:r>
    </w:p>
    <w:p w14:paraId="4AACBD70" w14:textId="77777777" w:rsidR="00C1671B" w:rsidRPr="00AA3F64" w:rsidRDefault="00C1671B" w:rsidP="00AA3F64">
      <w:pPr>
        <w:widowControl w:val="0"/>
        <w:tabs>
          <w:tab w:val="left" w:pos="567"/>
        </w:tabs>
        <w:rPr>
          <w:rFonts w:eastAsia="HG Mincho Light J" w:cs="Times New Roman"/>
          <w:color w:val="000000"/>
          <w:sz w:val="22"/>
        </w:rPr>
      </w:pPr>
    </w:p>
    <w:bookmarkEnd w:id="8"/>
    <w:p w14:paraId="5FEC5963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092E13CB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AA3F64">
        <w:rPr>
          <w:rFonts w:cs="Times New Roman"/>
          <w:b/>
          <w:sz w:val="22"/>
        </w:rPr>
        <w:t>7.</w:t>
      </w:r>
      <w:r w:rsidRPr="00AA3F64">
        <w:rPr>
          <w:rFonts w:cs="Times New Roman"/>
          <w:b/>
          <w:sz w:val="22"/>
        </w:rPr>
        <w:tab/>
        <w:t>A FORGALOMBA HOZATALI ENGEDÉLY JOGOSULTJA</w:t>
      </w:r>
    </w:p>
    <w:p w14:paraId="47BA0AA4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</w:p>
    <w:p w14:paraId="473722C0" w14:textId="77777777" w:rsidR="00120F83" w:rsidRPr="00AA3F64" w:rsidRDefault="00120F83" w:rsidP="00AA3F64">
      <w:pPr>
        <w:pStyle w:val="Normal2"/>
        <w:tabs>
          <w:tab w:val="left" w:pos="567"/>
        </w:tabs>
        <w:suppressAutoHyphens w:val="0"/>
        <w:rPr>
          <w:sz w:val="22"/>
          <w:szCs w:val="22"/>
        </w:rPr>
      </w:pPr>
      <w:r w:rsidRPr="00AA3F64">
        <w:rPr>
          <w:sz w:val="22"/>
          <w:szCs w:val="22"/>
        </w:rPr>
        <w:t>Richter Gedeon Nyrt.</w:t>
      </w:r>
    </w:p>
    <w:p w14:paraId="293CEC2E" w14:textId="77777777" w:rsidR="00120F83" w:rsidRPr="00AA3F64" w:rsidRDefault="00120F83" w:rsidP="00AA3F64">
      <w:pPr>
        <w:pStyle w:val="Normal2"/>
        <w:tabs>
          <w:tab w:val="left" w:pos="567"/>
        </w:tabs>
        <w:suppressAutoHyphens w:val="0"/>
        <w:rPr>
          <w:sz w:val="22"/>
          <w:szCs w:val="22"/>
        </w:rPr>
      </w:pPr>
      <w:r w:rsidRPr="00AA3F64">
        <w:rPr>
          <w:sz w:val="22"/>
          <w:szCs w:val="22"/>
        </w:rPr>
        <w:t>1103 Budapest</w:t>
      </w:r>
    </w:p>
    <w:p w14:paraId="213D5EAE" w14:textId="77777777" w:rsidR="00120F83" w:rsidRPr="00AA3F64" w:rsidRDefault="00120F83" w:rsidP="00AA3F64">
      <w:pPr>
        <w:pStyle w:val="Normal2"/>
        <w:tabs>
          <w:tab w:val="left" w:pos="567"/>
        </w:tabs>
        <w:suppressAutoHyphens w:val="0"/>
        <w:rPr>
          <w:sz w:val="22"/>
          <w:szCs w:val="22"/>
        </w:rPr>
      </w:pPr>
      <w:r w:rsidRPr="00AA3F64">
        <w:rPr>
          <w:sz w:val="22"/>
          <w:szCs w:val="22"/>
        </w:rPr>
        <w:t>Gyömrői út 19-21.</w:t>
      </w:r>
    </w:p>
    <w:p w14:paraId="4A65F501" w14:textId="77777777" w:rsidR="00120F83" w:rsidRPr="00AA3F64" w:rsidRDefault="00120F83" w:rsidP="00AA3F64">
      <w:pPr>
        <w:pStyle w:val="Normal2"/>
        <w:tabs>
          <w:tab w:val="left" w:pos="567"/>
        </w:tabs>
        <w:suppressAutoHyphens w:val="0"/>
        <w:rPr>
          <w:sz w:val="22"/>
          <w:szCs w:val="22"/>
        </w:rPr>
      </w:pPr>
      <w:r w:rsidRPr="00AA3F64">
        <w:rPr>
          <w:sz w:val="22"/>
          <w:szCs w:val="22"/>
        </w:rPr>
        <w:t>Magyarország</w:t>
      </w:r>
    </w:p>
    <w:p w14:paraId="4474FF41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57713CED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2E3B218C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AA3F64">
        <w:rPr>
          <w:rFonts w:cs="Times New Roman"/>
          <w:b/>
          <w:sz w:val="22"/>
        </w:rPr>
        <w:t>8.</w:t>
      </w:r>
      <w:r w:rsidRPr="00AA3F64">
        <w:rPr>
          <w:rFonts w:cs="Times New Roman"/>
          <w:b/>
          <w:sz w:val="22"/>
        </w:rPr>
        <w:tab/>
        <w:t>A FORGALOMBA HOZATALI ENGEDÉLY SZÁMA</w:t>
      </w:r>
    </w:p>
    <w:p w14:paraId="2D82BC58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</w:p>
    <w:p w14:paraId="0B805690" w14:textId="77777777" w:rsidR="00C1671B" w:rsidRDefault="00407BA2" w:rsidP="00AA3F64">
      <w:pPr>
        <w:rPr>
          <w:rFonts w:cs="Times New Roman"/>
          <w:sz w:val="22"/>
        </w:rPr>
      </w:pPr>
      <w:r w:rsidRPr="00407BA2">
        <w:rPr>
          <w:rFonts w:cs="Times New Roman"/>
          <w:sz w:val="22"/>
        </w:rPr>
        <w:t>OGYI-T-23413/03</w:t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  <w:t>30×</w:t>
      </w:r>
      <w:r>
        <w:rPr>
          <w:rFonts w:cs="Times New Roman"/>
          <w:sz w:val="22"/>
        </w:rPr>
        <w:tab/>
      </w:r>
      <w:r w:rsidRPr="00407BA2">
        <w:rPr>
          <w:rFonts w:cs="Times New Roman"/>
          <w:sz w:val="22"/>
        </w:rPr>
        <w:t>PA/Al/PVC//Al buborékcsomagolás</w:t>
      </w:r>
    </w:p>
    <w:p w14:paraId="55857694" w14:textId="77777777" w:rsidR="00407BA2" w:rsidRPr="00AA3F64" w:rsidRDefault="00407BA2" w:rsidP="00AA3F64">
      <w:pPr>
        <w:rPr>
          <w:rFonts w:cs="Times New Roman"/>
          <w:sz w:val="22"/>
        </w:rPr>
      </w:pPr>
    </w:p>
    <w:p w14:paraId="7C22E24E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6150C2AB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b/>
          <w:sz w:val="22"/>
        </w:rPr>
      </w:pPr>
      <w:r w:rsidRPr="00AA3F64">
        <w:rPr>
          <w:rFonts w:cs="Times New Roman"/>
          <w:b/>
          <w:sz w:val="22"/>
        </w:rPr>
        <w:t>9.</w:t>
      </w:r>
      <w:r w:rsidRPr="00AA3F64">
        <w:rPr>
          <w:rFonts w:cs="Times New Roman"/>
          <w:b/>
          <w:sz w:val="22"/>
        </w:rPr>
        <w:tab/>
        <w:t xml:space="preserve">A FORGALOMBA HOZATALI ENGEDÉLY </w:t>
      </w:r>
      <w:r w:rsidR="003A2910">
        <w:rPr>
          <w:rFonts w:cs="Times New Roman"/>
          <w:b/>
          <w:sz w:val="22"/>
        </w:rPr>
        <w:t xml:space="preserve">ELSŐ </w:t>
      </w:r>
      <w:r w:rsidRPr="00AA3F64">
        <w:rPr>
          <w:rFonts w:cs="Times New Roman"/>
          <w:b/>
          <w:sz w:val="22"/>
        </w:rPr>
        <w:t>KIADÁSÁNAK</w:t>
      </w:r>
      <w:r w:rsidR="00DA4CA7" w:rsidRPr="00AA3F64">
        <w:rPr>
          <w:rFonts w:cs="Times New Roman"/>
          <w:b/>
          <w:sz w:val="22"/>
        </w:rPr>
        <w:t xml:space="preserve"> </w:t>
      </w:r>
      <w:r w:rsidRPr="00AA3F64">
        <w:rPr>
          <w:rFonts w:cs="Times New Roman"/>
          <w:b/>
          <w:sz w:val="22"/>
        </w:rPr>
        <w:t>/</w:t>
      </w:r>
      <w:r w:rsidR="00DA4CA7" w:rsidRPr="00AA3F64">
        <w:rPr>
          <w:rFonts w:cs="Times New Roman"/>
          <w:b/>
          <w:sz w:val="22"/>
        </w:rPr>
        <w:t xml:space="preserve"> </w:t>
      </w:r>
      <w:r w:rsidRPr="00AA3F64">
        <w:rPr>
          <w:rFonts w:cs="Times New Roman"/>
          <w:b/>
          <w:sz w:val="22"/>
        </w:rPr>
        <w:t>MEGÚJÍTÁSÁNAK</w:t>
      </w:r>
      <w:r w:rsidR="00C1671B" w:rsidRPr="00AA3F64">
        <w:rPr>
          <w:rFonts w:cs="Times New Roman"/>
          <w:b/>
          <w:sz w:val="22"/>
        </w:rPr>
        <w:t xml:space="preserve"> </w:t>
      </w:r>
      <w:r w:rsidRPr="00AA3F64">
        <w:rPr>
          <w:rFonts w:cs="Times New Roman"/>
          <w:b/>
          <w:sz w:val="22"/>
        </w:rPr>
        <w:t>DÁTUMA</w:t>
      </w:r>
    </w:p>
    <w:p w14:paraId="72490F88" w14:textId="77777777" w:rsidR="00120F83" w:rsidRPr="00AA3F64" w:rsidRDefault="00120F83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77E5C672" w14:textId="77777777" w:rsidR="00407BA2" w:rsidRPr="00AA3F64" w:rsidRDefault="00DA4CA7" w:rsidP="00407BA2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 w:rsidRPr="00AA3F64">
        <w:rPr>
          <w:rFonts w:cs="Times New Roman"/>
          <w:sz w:val="22"/>
        </w:rPr>
        <w:t xml:space="preserve">A forgalomba hozatali engedély első kiadásának dátuma: </w:t>
      </w:r>
      <w:r w:rsidR="00407BA2">
        <w:rPr>
          <w:rFonts w:cs="Times New Roman"/>
          <w:sz w:val="22"/>
        </w:rPr>
        <w:t>2023. június 22.</w:t>
      </w:r>
    </w:p>
    <w:p w14:paraId="44FAEEF0" w14:textId="77777777" w:rsidR="00C1671B" w:rsidRPr="00AA3F64" w:rsidRDefault="00C1671B" w:rsidP="00AA3F64">
      <w:pPr>
        <w:rPr>
          <w:rFonts w:cs="Times New Roman"/>
          <w:sz w:val="22"/>
        </w:rPr>
      </w:pPr>
    </w:p>
    <w:p w14:paraId="69AD39D6" w14:textId="77777777" w:rsidR="005E2D16" w:rsidRPr="00AA3F64" w:rsidRDefault="005E2D16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</w:p>
    <w:p w14:paraId="3590BFFA" w14:textId="77777777" w:rsidR="00120F83" w:rsidRPr="00AA3F64" w:rsidRDefault="00BA4906" w:rsidP="00AA3F6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rFonts w:cs="Times New Roman"/>
          <w:sz w:val="22"/>
        </w:rPr>
      </w:pPr>
      <w:r w:rsidRPr="00AA3F64">
        <w:rPr>
          <w:rFonts w:cs="Times New Roman"/>
          <w:b/>
          <w:sz w:val="22"/>
        </w:rPr>
        <w:t>10.</w:t>
      </w:r>
      <w:r w:rsidR="00120F83" w:rsidRPr="00AA3F64">
        <w:rPr>
          <w:rFonts w:cs="Times New Roman"/>
          <w:b/>
          <w:sz w:val="22"/>
        </w:rPr>
        <w:tab/>
        <w:t>A SZÖVEG ELLEN</w:t>
      </w:r>
      <w:r w:rsidR="00120F83" w:rsidRPr="00AA3F64">
        <w:rPr>
          <w:rFonts w:cs="Times New Roman"/>
          <w:sz w:val="22"/>
        </w:rPr>
        <w:t>Ő</w:t>
      </w:r>
      <w:r w:rsidR="00120F83" w:rsidRPr="00AA3F64">
        <w:rPr>
          <w:rFonts w:cs="Times New Roman"/>
          <w:b/>
          <w:sz w:val="22"/>
        </w:rPr>
        <w:t>RZÉSÉNEK DÁTUMA</w:t>
      </w:r>
    </w:p>
    <w:p w14:paraId="0D21AF9E" w14:textId="77777777" w:rsidR="00DF0DE0" w:rsidRPr="00AA3F64" w:rsidRDefault="00DF0DE0" w:rsidP="00AA3F64">
      <w:pPr>
        <w:rPr>
          <w:rFonts w:cs="Times New Roman"/>
          <w:sz w:val="22"/>
        </w:rPr>
      </w:pPr>
    </w:p>
    <w:p w14:paraId="605AF30C" w14:textId="6FCCE148" w:rsidR="00837FA7" w:rsidRPr="00AA3F64" w:rsidRDefault="004B4B86" w:rsidP="00AA3F64">
      <w:pPr>
        <w:widowControl w:val="0"/>
        <w:tabs>
          <w:tab w:val="left" w:pos="567"/>
        </w:tabs>
        <w:autoSpaceDE w:val="0"/>
        <w:autoSpaceDN w:val="0"/>
        <w:adjustRightInd w:val="0"/>
        <w:rPr>
          <w:rFonts w:cs="Times New Roman"/>
          <w:sz w:val="22"/>
        </w:rPr>
      </w:pPr>
      <w:r>
        <w:rPr>
          <w:rFonts w:cs="Times New Roman"/>
          <w:sz w:val="22"/>
        </w:rPr>
        <w:t>2026. augusztus 28.</w:t>
      </w:r>
    </w:p>
    <w:sectPr w:rsidR="00837FA7" w:rsidRPr="00AA3F64" w:rsidSect="003F44A6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7" w:h="16840" w:code="9"/>
      <w:pgMar w:top="1134" w:right="1418" w:bottom="1134" w:left="1418" w:header="737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D8E33" w14:textId="77777777" w:rsidR="00180E89" w:rsidRDefault="00180E89">
      <w:r>
        <w:separator/>
      </w:r>
    </w:p>
  </w:endnote>
  <w:endnote w:type="continuationSeparator" w:id="0">
    <w:p w14:paraId="6DC908B7" w14:textId="77777777" w:rsidR="00180E89" w:rsidRDefault="00180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9B7CC" w14:textId="77777777" w:rsidR="007C672F" w:rsidRDefault="007C672F" w:rsidP="00120F8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45CF0B0" w14:textId="77777777" w:rsidR="007C672F" w:rsidRDefault="007C672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60E74" w14:textId="77777777" w:rsidR="007C672F" w:rsidRPr="00811F44" w:rsidRDefault="007C672F" w:rsidP="00071E85">
    <w:pPr>
      <w:pStyle w:val="llb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5FE0E" w14:textId="21EB67D1" w:rsidR="007C672F" w:rsidRPr="000C679A" w:rsidRDefault="004B4B86">
    <w:pPr>
      <w:pStyle w:val="llb"/>
      <w:rPr>
        <w:sz w:val="18"/>
        <w:szCs w:val="18"/>
      </w:rPr>
    </w:pPr>
    <w:r w:rsidRPr="004B4B86">
      <w:rPr>
        <w:sz w:val="18"/>
        <w:szCs w:val="18"/>
      </w:rPr>
      <w:t>NNGYK/ETGY/17459/2026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41D78" w14:textId="77777777" w:rsidR="00180E89" w:rsidRDefault="00180E89">
      <w:r>
        <w:separator/>
      </w:r>
    </w:p>
  </w:footnote>
  <w:footnote w:type="continuationSeparator" w:id="0">
    <w:p w14:paraId="47A51872" w14:textId="77777777" w:rsidR="00180E89" w:rsidRDefault="00180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29FD2" w14:textId="77777777" w:rsidR="007C672F" w:rsidRDefault="007C672F" w:rsidP="00120F8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53A1EA4" w14:textId="77777777" w:rsidR="007C672F" w:rsidRDefault="007C672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BC8B6" w14:textId="1D71A5A0" w:rsidR="007C672F" w:rsidRPr="00D972D2" w:rsidRDefault="007C672F" w:rsidP="00976304">
    <w:pPr>
      <w:pStyle w:val="lfej"/>
      <w:jc w:val="center"/>
      <w:rPr>
        <w:sz w:val="18"/>
        <w:szCs w:val="18"/>
      </w:rPr>
    </w:pPr>
    <w:r w:rsidRPr="00D972D2">
      <w:rPr>
        <w:sz w:val="18"/>
        <w:szCs w:val="18"/>
      </w:rPr>
      <w:fldChar w:fldCharType="begin"/>
    </w:r>
    <w:r w:rsidRPr="00D972D2">
      <w:rPr>
        <w:sz w:val="18"/>
        <w:szCs w:val="18"/>
      </w:rPr>
      <w:instrText>PAGE   \* MERGEFORMAT</w:instrText>
    </w:r>
    <w:r w:rsidRPr="00D972D2">
      <w:rPr>
        <w:sz w:val="18"/>
        <w:szCs w:val="18"/>
      </w:rPr>
      <w:fldChar w:fldCharType="separate"/>
    </w:r>
    <w:r w:rsidR="00836CF3">
      <w:rPr>
        <w:noProof/>
        <w:sz w:val="18"/>
        <w:szCs w:val="18"/>
      </w:rPr>
      <w:t>20</w:t>
    </w:r>
    <w:r w:rsidRPr="00D972D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0FBC"/>
    <w:multiLevelType w:val="hybridMultilevel"/>
    <w:tmpl w:val="85020EE4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54450"/>
    <w:multiLevelType w:val="hybridMultilevel"/>
    <w:tmpl w:val="CCE27E54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43AAF"/>
    <w:multiLevelType w:val="hybridMultilevel"/>
    <w:tmpl w:val="0EEE02E6"/>
    <w:lvl w:ilvl="0" w:tplc="EAE041AE">
      <w:numFmt w:val="bullet"/>
      <w:lvlText w:val="-"/>
      <w:lvlJc w:val="left"/>
      <w:pPr>
        <w:ind w:left="930" w:hanging="57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86A2F"/>
    <w:multiLevelType w:val="hybridMultilevel"/>
    <w:tmpl w:val="B386A6DC"/>
    <w:lvl w:ilvl="0" w:tplc="D304D5D8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5D12BD"/>
    <w:multiLevelType w:val="hybridMultilevel"/>
    <w:tmpl w:val="8A927B0E"/>
    <w:lvl w:ilvl="0" w:tplc="EC2C0E80">
      <w:numFmt w:val="bullet"/>
      <w:lvlText w:val="-"/>
      <w:lvlJc w:val="left"/>
      <w:pPr>
        <w:ind w:left="930" w:hanging="57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C42BF"/>
    <w:multiLevelType w:val="hybridMultilevel"/>
    <w:tmpl w:val="94BC840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95A16"/>
    <w:multiLevelType w:val="hybridMultilevel"/>
    <w:tmpl w:val="8D022F2E"/>
    <w:lvl w:ilvl="0" w:tplc="83D86AA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542F20"/>
    <w:multiLevelType w:val="hybridMultilevel"/>
    <w:tmpl w:val="8326D302"/>
    <w:lvl w:ilvl="0" w:tplc="E0E6523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8240C"/>
    <w:multiLevelType w:val="hybridMultilevel"/>
    <w:tmpl w:val="9CCCB1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361185"/>
    <w:multiLevelType w:val="hybridMultilevel"/>
    <w:tmpl w:val="C106A2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733B70"/>
    <w:multiLevelType w:val="hybridMultilevel"/>
    <w:tmpl w:val="D5B4EBDA"/>
    <w:lvl w:ilvl="0" w:tplc="040E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7"/>
  </w:num>
  <w:num w:numId="8">
    <w:abstractNumId w:val="1"/>
  </w:num>
  <w:num w:numId="9">
    <w:abstractNumId w:val="4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F83"/>
    <w:rsid w:val="0000095A"/>
    <w:rsid w:val="00001273"/>
    <w:rsid w:val="00002AF0"/>
    <w:rsid w:val="00003154"/>
    <w:rsid w:val="000037AE"/>
    <w:rsid w:val="0000683C"/>
    <w:rsid w:val="00010D26"/>
    <w:rsid w:val="00011241"/>
    <w:rsid w:val="00011BAA"/>
    <w:rsid w:val="00011C0E"/>
    <w:rsid w:val="00013271"/>
    <w:rsid w:val="00014761"/>
    <w:rsid w:val="00016A47"/>
    <w:rsid w:val="00017358"/>
    <w:rsid w:val="00017487"/>
    <w:rsid w:val="00023F3F"/>
    <w:rsid w:val="0002499D"/>
    <w:rsid w:val="00026A36"/>
    <w:rsid w:val="00032965"/>
    <w:rsid w:val="000332F9"/>
    <w:rsid w:val="00033748"/>
    <w:rsid w:val="00033C74"/>
    <w:rsid w:val="00035646"/>
    <w:rsid w:val="0004190F"/>
    <w:rsid w:val="00042DE9"/>
    <w:rsid w:val="00043B4C"/>
    <w:rsid w:val="000449E6"/>
    <w:rsid w:val="00044B8A"/>
    <w:rsid w:val="00046CCF"/>
    <w:rsid w:val="000476BD"/>
    <w:rsid w:val="00051629"/>
    <w:rsid w:val="0005408B"/>
    <w:rsid w:val="00055056"/>
    <w:rsid w:val="00055DFB"/>
    <w:rsid w:val="0005728A"/>
    <w:rsid w:val="00057EC1"/>
    <w:rsid w:val="00060B8E"/>
    <w:rsid w:val="0006305F"/>
    <w:rsid w:val="00063321"/>
    <w:rsid w:val="000633A7"/>
    <w:rsid w:val="00070DC2"/>
    <w:rsid w:val="00070F49"/>
    <w:rsid w:val="000711B5"/>
    <w:rsid w:val="00071B3A"/>
    <w:rsid w:val="00071CAD"/>
    <w:rsid w:val="00071E85"/>
    <w:rsid w:val="000721C9"/>
    <w:rsid w:val="00073C80"/>
    <w:rsid w:val="0007733E"/>
    <w:rsid w:val="00077F58"/>
    <w:rsid w:val="00080929"/>
    <w:rsid w:val="0008140E"/>
    <w:rsid w:val="0008259A"/>
    <w:rsid w:val="00082D68"/>
    <w:rsid w:val="00083195"/>
    <w:rsid w:val="00086DE9"/>
    <w:rsid w:val="000878D6"/>
    <w:rsid w:val="00087E3E"/>
    <w:rsid w:val="0009055D"/>
    <w:rsid w:val="00090E3D"/>
    <w:rsid w:val="00091896"/>
    <w:rsid w:val="00093B82"/>
    <w:rsid w:val="00096A52"/>
    <w:rsid w:val="00097117"/>
    <w:rsid w:val="0009718B"/>
    <w:rsid w:val="000A0CEB"/>
    <w:rsid w:val="000A1DCF"/>
    <w:rsid w:val="000A203F"/>
    <w:rsid w:val="000A29DF"/>
    <w:rsid w:val="000A4369"/>
    <w:rsid w:val="000A555D"/>
    <w:rsid w:val="000A7A4B"/>
    <w:rsid w:val="000B13E4"/>
    <w:rsid w:val="000B2D40"/>
    <w:rsid w:val="000B60D2"/>
    <w:rsid w:val="000C3573"/>
    <w:rsid w:val="000C4D32"/>
    <w:rsid w:val="000C623F"/>
    <w:rsid w:val="000C679A"/>
    <w:rsid w:val="000D1B5C"/>
    <w:rsid w:val="000D256B"/>
    <w:rsid w:val="000D2F12"/>
    <w:rsid w:val="000D4B5C"/>
    <w:rsid w:val="000D4D67"/>
    <w:rsid w:val="000D52BF"/>
    <w:rsid w:val="000D5828"/>
    <w:rsid w:val="000E1526"/>
    <w:rsid w:val="000E1B5D"/>
    <w:rsid w:val="000E4A54"/>
    <w:rsid w:val="000F270F"/>
    <w:rsid w:val="000F33BA"/>
    <w:rsid w:val="000F3967"/>
    <w:rsid w:val="000F46D3"/>
    <w:rsid w:val="0010015E"/>
    <w:rsid w:val="0010019D"/>
    <w:rsid w:val="0010579F"/>
    <w:rsid w:val="0010603E"/>
    <w:rsid w:val="001064A9"/>
    <w:rsid w:val="00107575"/>
    <w:rsid w:val="00113EA8"/>
    <w:rsid w:val="00114176"/>
    <w:rsid w:val="0011651C"/>
    <w:rsid w:val="001165BB"/>
    <w:rsid w:val="001177B4"/>
    <w:rsid w:val="00120F83"/>
    <w:rsid w:val="00121B68"/>
    <w:rsid w:val="00123347"/>
    <w:rsid w:val="001252BA"/>
    <w:rsid w:val="001264BB"/>
    <w:rsid w:val="00126751"/>
    <w:rsid w:val="00127551"/>
    <w:rsid w:val="00133B28"/>
    <w:rsid w:val="0013632A"/>
    <w:rsid w:val="001378EA"/>
    <w:rsid w:val="00140FD1"/>
    <w:rsid w:val="00141791"/>
    <w:rsid w:val="00142287"/>
    <w:rsid w:val="0014429F"/>
    <w:rsid w:val="00144438"/>
    <w:rsid w:val="00144B96"/>
    <w:rsid w:val="00153F6F"/>
    <w:rsid w:val="00154136"/>
    <w:rsid w:val="001558D0"/>
    <w:rsid w:val="001559E0"/>
    <w:rsid w:val="00155F6B"/>
    <w:rsid w:val="00160D6A"/>
    <w:rsid w:val="00161CC3"/>
    <w:rsid w:val="00162697"/>
    <w:rsid w:val="001635C9"/>
    <w:rsid w:val="00165A62"/>
    <w:rsid w:val="00170B95"/>
    <w:rsid w:val="00171BD7"/>
    <w:rsid w:val="001749CE"/>
    <w:rsid w:val="00180E89"/>
    <w:rsid w:val="00183771"/>
    <w:rsid w:val="00183FE2"/>
    <w:rsid w:val="00184882"/>
    <w:rsid w:val="00185867"/>
    <w:rsid w:val="00194396"/>
    <w:rsid w:val="00194918"/>
    <w:rsid w:val="001963B1"/>
    <w:rsid w:val="0019689F"/>
    <w:rsid w:val="001A38F4"/>
    <w:rsid w:val="001A396F"/>
    <w:rsid w:val="001B0501"/>
    <w:rsid w:val="001B0B49"/>
    <w:rsid w:val="001B0D83"/>
    <w:rsid w:val="001B1128"/>
    <w:rsid w:val="001B295C"/>
    <w:rsid w:val="001B5064"/>
    <w:rsid w:val="001B7B99"/>
    <w:rsid w:val="001C234E"/>
    <w:rsid w:val="001C29F2"/>
    <w:rsid w:val="001C3530"/>
    <w:rsid w:val="001C3EA6"/>
    <w:rsid w:val="001C5DB5"/>
    <w:rsid w:val="001C6254"/>
    <w:rsid w:val="001C6471"/>
    <w:rsid w:val="001C77A8"/>
    <w:rsid w:val="001D198A"/>
    <w:rsid w:val="001D29F9"/>
    <w:rsid w:val="001D440C"/>
    <w:rsid w:val="001D62CA"/>
    <w:rsid w:val="001D6A52"/>
    <w:rsid w:val="001E0EF9"/>
    <w:rsid w:val="001E2111"/>
    <w:rsid w:val="001E299F"/>
    <w:rsid w:val="001E2A62"/>
    <w:rsid w:val="001E348E"/>
    <w:rsid w:val="001E3A1A"/>
    <w:rsid w:val="001E5A19"/>
    <w:rsid w:val="001E5BB6"/>
    <w:rsid w:val="001F1DFC"/>
    <w:rsid w:val="001F1FD0"/>
    <w:rsid w:val="001F2566"/>
    <w:rsid w:val="001F3297"/>
    <w:rsid w:val="001F3CE8"/>
    <w:rsid w:val="001F6669"/>
    <w:rsid w:val="001F765F"/>
    <w:rsid w:val="00203201"/>
    <w:rsid w:val="0020475D"/>
    <w:rsid w:val="00205BD9"/>
    <w:rsid w:val="0021028D"/>
    <w:rsid w:val="0021587A"/>
    <w:rsid w:val="002160A3"/>
    <w:rsid w:val="00223D3C"/>
    <w:rsid w:val="0022443B"/>
    <w:rsid w:val="002245B8"/>
    <w:rsid w:val="00225FD6"/>
    <w:rsid w:val="00226C51"/>
    <w:rsid w:val="002302C7"/>
    <w:rsid w:val="002351CB"/>
    <w:rsid w:val="00237457"/>
    <w:rsid w:val="00241CFD"/>
    <w:rsid w:val="00243D06"/>
    <w:rsid w:val="002500E4"/>
    <w:rsid w:val="00253386"/>
    <w:rsid w:val="0025390C"/>
    <w:rsid w:val="00253EE1"/>
    <w:rsid w:val="002567B4"/>
    <w:rsid w:val="00260108"/>
    <w:rsid w:val="002602F0"/>
    <w:rsid w:val="00262C7E"/>
    <w:rsid w:val="00263A4C"/>
    <w:rsid w:val="00265FE1"/>
    <w:rsid w:val="00270136"/>
    <w:rsid w:val="002722B6"/>
    <w:rsid w:val="00272ABB"/>
    <w:rsid w:val="0027419A"/>
    <w:rsid w:val="00276D0F"/>
    <w:rsid w:val="00277032"/>
    <w:rsid w:val="00280BBC"/>
    <w:rsid w:val="002812FA"/>
    <w:rsid w:val="00283447"/>
    <w:rsid w:val="00287B99"/>
    <w:rsid w:val="00291482"/>
    <w:rsid w:val="00296AD8"/>
    <w:rsid w:val="0029771C"/>
    <w:rsid w:val="002A7563"/>
    <w:rsid w:val="002B0DFB"/>
    <w:rsid w:val="002B0F47"/>
    <w:rsid w:val="002B5AA7"/>
    <w:rsid w:val="002B7F17"/>
    <w:rsid w:val="002C0567"/>
    <w:rsid w:val="002C0C3F"/>
    <w:rsid w:val="002C2D0F"/>
    <w:rsid w:val="002C4026"/>
    <w:rsid w:val="002C588E"/>
    <w:rsid w:val="002C632A"/>
    <w:rsid w:val="002C6F0E"/>
    <w:rsid w:val="002C70D4"/>
    <w:rsid w:val="002C7FBB"/>
    <w:rsid w:val="002D0858"/>
    <w:rsid w:val="002D1A44"/>
    <w:rsid w:val="002D270D"/>
    <w:rsid w:val="002D3B35"/>
    <w:rsid w:val="002E2233"/>
    <w:rsid w:val="002E4080"/>
    <w:rsid w:val="002E5991"/>
    <w:rsid w:val="002E71BD"/>
    <w:rsid w:val="002E7350"/>
    <w:rsid w:val="002E7482"/>
    <w:rsid w:val="002F4A7E"/>
    <w:rsid w:val="002F5E46"/>
    <w:rsid w:val="003011E1"/>
    <w:rsid w:val="00302212"/>
    <w:rsid w:val="00302389"/>
    <w:rsid w:val="00306818"/>
    <w:rsid w:val="00307164"/>
    <w:rsid w:val="003074D5"/>
    <w:rsid w:val="00307A19"/>
    <w:rsid w:val="0031101C"/>
    <w:rsid w:val="0031544E"/>
    <w:rsid w:val="00316AE2"/>
    <w:rsid w:val="00321A25"/>
    <w:rsid w:val="00330181"/>
    <w:rsid w:val="003308D8"/>
    <w:rsid w:val="00330C48"/>
    <w:rsid w:val="003322AF"/>
    <w:rsid w:val="003322F0"/>
    <w:rsid w:val="003349F4"/>
    <w:rsid w:val="003353DD"/>
    <w:rsid w:val="00336488"/>
    <w:rsid w:val="00337595"/>
    <w:rsid w:val="00337A6C"/>
    <w:rsid w:val="00344085"/>
    <w:rsid w:val="00345258"/>
    <w:rsid w:val="003476C5"/>
    <w:rsid w:val="003500FA"/>
    <w:rsid w:val="00352CAB"/>
    <w:rsid w:val="00353809"/>
    <w:rsid w:val="00353FB8"/>
    <w:rsid w:val="00354C16"/>
    <w:rsid w:val="00355994"/>
    <w:rsid w:val="003561A5"/>
    <w:rsid w:val="00357526"/>
    <w:rsid w:val="00362ACD"/>
    <w:rsid w:val="00363D60"/>
    <w:rsid w:val="00365B23"/>
    <w:rsid w:val="00366A44"/>
    <w:rsid w:val="00366E1E"/>
    <w:rsid w:val="00367740"/>
    <w:rsid w:val="00372E17"/>
    <w:rsid w:val="00377D32"/>
    <w:rsid w:val="00380A70"/>
    <w:rsid w:val="00381CA5"/>
    <w:rsid w:val="003861BB"/>
    <w:rsid w:val="00391072"/>
    <w:rsid w:val="003928C3"/>
    <w:rsid w:val="00395EC4"/>
    <w:rsid w:val="003966B2"/>
    <w:rsid w:val="00397832"/>
    <w:rsid w:val="003A078E"/>
    <w:rsid w:val="003A26C7"/>
    <w:rsid w:val="003A2910"/>
    <w:rsid w:val="003A32BD"/>
    <w:rsid w:val="003A34E2"/>
    <w:rsid w:val="003A524E"/>
    <w:rsid w:val="003A589B"/>
    <w:rsid w:val="003A5D69"/>
    <w:rsid w:val="003A7C5B"/>
    <w:rsid w:val="003B08AB"/>
    <w:rsid w:val="003B127B"/>
    <w:rsid w:val="003B1675"/>
    <w:rsid w:val="003B1C1E"/>
    <w:rsid w:val="003B48A3"/>
    <w:rsid w:val="003B6994"/>
    <w:rsid w:val="003B69B0"/>
    <w:rsid w:val="003B70DB"/>
    <w:rsid w:val="003B77FB"/>
    <w:rsid w:val="003C1392"/>
    <w:rsid w:val="003C22A0"/>
    <w:rsid w:val="003C629C"/>
    <w:rsid w:val="003C648E"/>
    <w:rsid w:val="003C673E"/>
    <w:rsid w:val="003D06BF"/>
    <w:rsid w:val="003D1CF7"/>
    <w:rsid w:val="003D1EE8"/>
    <w:rsid w:val="003D6951"/>
    <w:rsid w:val="003E0464"/>
    <w:rsid w:val="003E084B"/>
    <w:rsid w:val="003E1848"/>
    <w:rsid w:val="003E236B"/>
    <w:rsid w:val="003E3EEF"/>
    <w:rsid w:val="003E5617"/>
    <w:rsid w:val="003F43EC"/>
    <w:rsid w:val="003F44A6"/>
    <w:rsid w:val="003F57DB"/>
    <w:rsid w:val="00400836"/>
    <w:rsid w:val="004016A7"/>
    <w:rsid w:val="004016FB"/>
    <w:rsid w:val="00402997"/>
    <w:rsid w:val="00406A82"/>
    <w:rsid w:val="0040769E"/>
    <w:rsid w:val="00407BA2"/>
    <w:rsid w:val="00411A3B"/>
    <w:rsid w:val="00412446"/>
    <w:rsid w:val="00412AB5"/>
    <w:rsid w:val="0041364C"/>
    <w:rsid w:val="0041511D"/>
    <w:rsid w:val="00420652"/>
    <w:rsid w:val="004208EE"/>
    <w:rsid w:val="00420E68"/>
    <w:rsid w:val="004232E4"/>
    <w:rsid w:val="00423646"/>
    <w:rsid w:val="00424EF3"/>
    <w:rsid w:val="00427F3F"/>
    <w:rsid w:val="00434994"/>
    <w:rsid w:val="004413FE"/>
    <w:rsid w:val="00441978"/>
    <w:rsid w:val="00445DDE"/>
    <w:rsid w:val="00447E91"/>
    <w:rsid w:val="004503A1"/>
    <w:rsid w:val="0045170F"/>
    <w:rsid w:val="0045426A"/>
    <w:rsid w:val="00455F1E"/>
    <w:rsid w:val="00456AC7"/>
    <w:rsid w:val="00460C1B"/>
    <w:rsid w:val="00466519"/>
    <w:rsid w:val="004670BD"/>
    <w:rsid w:val="004703BE"/>
    <w:rsid w:val="0047050C"/>
    <w:rsid w:val="00471A0F"/>
    <w:rsid w:val="00471D27"/>
    <w:rsid w:val="004743BD"/>
    <w:rsid w:val="004746CA"/>
    <w:rsid w:val="00475552"/>
    <w:rsid w:val="00475A93"/>
    <w:rsid w:val="0047638A"/>
    <w:rsid w:val="004763FC"/>
    <w:rsid w:val="00480598"/>
    <w:rsid w:val="00482E63"/>
    <w:rsid w:val="00483B62"/>
    <w:rsid w:val="004845EE"/>
    <w:rsid w:val="00484614"/>
    <w:rsid w:val="00484E49"/>
    <w:rsid w:val="004853F3"/>
    <w:rsid w:val="004858BF"/>
    <w:rsid w:val="00486841"/>
    <w:rsid w:val="004879DB"/>
    <w:rsid w:val="0049024C"/>
    <w:rsid w:val="00491CE4"/>
    <w:rsid w:val="00494A5D"/>
    <w:rsid w:val="004953D9"/>
    <w:rsid w:val="00495421"/>
    <w:rsid w:val="004A05B4"/>
    <w:rsid w:val="004A0C4B"/>
    <w:rsid w:val="004A3D5E"/>
    <w:rsid w:val="004A66D3"/>
    <w:rsid w:val="004B20FD"/>
    <w:rsid w:val="004B2889"/>
    <w:rsid w:val="004B4B86"/>
    <w:rsid w:val="004B5420"/>
    <w:rsid w:val="004B5991"/>
    <w:rsid w:val="004B6C02"/>
    <w:rsid w:val="004B6E88"/>
    <w:rsid w:val="004B783A"/>
    <w:rsid w:val="004C0B43"/>
    <w:rsid w:val="004C0CB2"/>
    <w:rsid w:val="004C37AC"/>
    <w:rsid w:val="004C5CAF"/>
    <w:rsid w:val="004C69D1"/>
    <w:rsid w:val="004D173E"/>
    <w:rsid w:val="004D480C"/>
    <w:rsid w:val="004D5771"/>
    <w:rsid w:val="004E02DD"/>
    <w:rsid w:val="004E0409"/>
    <w:rsid w:val="004E1CD5"/>
    <w:rsid w:val="004E20A4"/>
    <w:rsid w:val="004E335B"/>
    <w:rsid w:val="004E54B3"/>
    <w:rsid w:val="004E6004"/>
    <w:rsid w:val="004E6325"/>
    <w:rsid w:val="004E63D5"/>
    <w:rsid w:val="004E6AC1"/>
    <w:rsid w:val="004F272D"/>
    <w:rsid w:val="004F35D8"/>
    <w:rsid w:val="004F4D79"/>
    <w:rsid w:val="004F5B92"/>
    <w:rsid w:val="004F5FC7"/>
    <w:rsid w:val="004F65D9"/>
    <w:rsid w:val="004F79E2"/>
    <w:rsid w:val="004F7E2A"/>
    <w:rsid w:val="00502EA9"/>
    <w:rsid w:val="00503717"/>
    <w:rsid w:val="00503E8B"/>
    <w:rsid w:val="005059ED"/>
    <w:rsid w:val="005067C3"/>
    <w:rsid w:val="00510A08"/>
    <w:rsid w:val="00513CDF"/>
    <w:rsid w:val="00515600"/>
    <w:rsid w:val="00517527"/>
    <w:rsid w:val="00517927"/>
    <w:rsid w:val="005206A4"/>
    <w:rsid w:val="00520982"/>
    <w:rsid w:val="00520BA2"/>
    <w:rsid w:val="00525730"/>
    <w:rsid w:val="00526B96"/>
    <w:rsid w:val="00526E62"/>
    <w:rsid w:val="00527E58"/>
    <w:rsid w:val="005303A5"/>
    <w:rsid w:val="0053067C"/>
    <w:rsid w:val="005308CA"/>
    <w:rsid w:val="0053110E"/>
    <w:rsid w:val="00533460"/>
    <w:rsid w:val="0053363F"/>
    <w:rsid w:val="00535D71"/>
    <w:rsid w:val="00537308"/>
    <w:rsid w:val="005422F3"/>
    <w:rsid w:val="00543145"/>
    <w:rsid w:val="00544453"/>
    <w:rsid w:val="00550B4C"/>
    <w:rsid w:val="00552FAD"/>
    <w:rsid w:val="0055348B"/>
    <w:rsid w:val="0055480C"/>
    <w:rsid w:val="00555320"/>
    <w:rsid w:val="00555474"/>
    <w:rsid w:val="00556E0B"/>
    <w:rsid w:val="00557162"/>
    <w:rsid w:val="0055757D"/>
    <w:rsid w:val="005626FC"/>
    <w:rsid w:val="00564BC0"/>
    <w:rsid w:val="00565D36"/>
    <w:rsid w:val="005704FE"/>
    <w:rsid w:val="005718AC"/>
    <w:rsid w:val="00572A49"/>
    <w:rsid w:val="0057360D"/>
    <w:rsid w:val="00576018"/>
    <w:rsid w:val="00576B52"/>
    <w:rsid w:val="00580494"/>
    <w:rsid w:val="0058197A"/>
    <w:rsid w:val="00581ACE"/>
    <w:rsid w:val="00581FFC"/>
    <w:rsid w:val="00583E05"/>
    <w:rsid w:val="005860F9"/>
    <w:rsid w:val="00587429"/>
    <w:rsid w:val="00587EC4"/>
    <w:rsid w:val="00590502"/>
    <w:rsid w:val="00590DCB"/>
    <w:rsid w:val="00596B62"/>
    <w:rsid w:val="005970C6"/>
    <w:rsid w:val="00597D51"/>
    <w:rsid w:val="005A0DED"/>
    <w:rsid w:val="005A2FED"/>
    <w:rsid w:val="005A5956"/>
    <w:rsid w:val="005A5F3A"/>
    <w:rsid w:val="005A65BF"/>
    <w:rsid w:val="005A6A91"/>
    <w:rsid w:val="005A7504"/>
    <w:rsid w:val="005A78AF"/>
    <w:rsid w:val="005B1AC9"/>
    <w:rsid w:val="005B2FDB"/>
    <w:rsid w:val="005B31BE"/>
    <w:rsid w:val="005B351C"/>
    <w:rsid w:val="005B4883"/>
    <w:rsid w:val="005B71E0"/>
    <w:rsid w:val="005C1933"/>
    <w:rsid w:val="005C3E44"/>
    <w:rsid w:val="005C54C1"/>
    <w:rsid w:val="005C68CC"/>
    <w:rsid w:val="005C78E0"/>
    <w:rsid w:val="005C7C79"/>
    <w:rsid w:val="005D053E"/>
    <w:rsid w:val="005D3E5F"/>
    <w:rsid w:val="005D47BC"/>
    <w:rsid w:val="005D4D5C"/>
    <w:rsid w:val="005D7073"/>
    <w:rsid w:val="005D7DCC"/>
    <w:rsid w:val="005E1F1F"/>
    <w:rsid w:val="005E2D16"/>
    <w:rsid w:val="005E31CF"/>
    <w:rsid w:val="005E4F62"/>
    <w:rsid w:val="005E6EF8"/>
    <w:rsid w:val="005E736F"/>
    <w:rsid w:val="005E73D9"/>
    <w:rsid w:val="005F124D"/>
    <w:rsid w:val="005F167E"/>
    <w:rsid w:val="005F4029"/>
    <w:rsid w:val="005F6C5A"/>
    <w:rsid w:val="0060049D"/>
    <w:rsid w:val="00600B34"/>
    <w:rsid w:val="00600E9E"/>
    <w:rsid w:val="006012F0"/>
    <w:rsid w:val="00601AF4"/>
    <w:rsid w:val="00603360"/>
    <w:rsid w:val="00604452"/>
    <w:rsid w:val="00605247"/>
    <w:rsid w:val="006063AD"/>
    <w:rsid w:val="00607E2A"/>
    <w:rsid w:val="00607FFA"/>
    <w:rsid w:val="0061434C"/>
    <w:rsid w:val="00614D5D"/>
    <w:rsid w:val="00615B98"/>
    <w:rsid w:val="0062090C"/>
    <w:rsid w:val="006213AB"/>
    <w:rsid w:val="0062170F"/>
    <w:rsid w:val="0062248D"/>
    <w:rsid w:val="006226A6"/>
    <w:rsid w:val="00623F38"/>
    <w:rsid w:val="00627042"/>
    <w:rsid w:val="0063040C"/>
    <w:rsid w:val="00631073"/>
    <w:rsid w:val="006346C8"/>
    <w:rsid w:val="006457FA"/>
    <w:rsid w:val="00646473"/>
    <w:rsid w:val="00646490"/>
    <w:rsid w:val="006510C7"/>
    <w:rsid w:val="00652847"/>
    <w:rsid w:val="00652AEE"/>
    <w:rsid w:val="00655052"/>
    <w:rsid w:val="00657DE0"/>
    <w:rsid w:val="0066090D"/>
    <w:rsid w:val="0066197C"/>
    <w:rsid w:val="0066450C"/>
    <w:rsid w:val="0066477C"/>
    <w:rsid w:val="00665AD9"/>
    <w:rsid w:val="00667F53"/>
    <w:rsid w:val="00671B32"/>
    <w:rsid w:val="00671C4E"/>
    <w:rsid w:val="00672B2C"/>
    <w:rsid w:val="00672CA0"/>
    <w:rsid w:val="0067353F"/>
    <w:rsid w:val="00674985"/>
    <w:rsid w:val="00675968"/>
    <w:rsid w:val="00675EDE"/>
    <w:rsid w:val="006775EE"/>
    <w:rsid w:val="00684A03"/>
    <w:rsid w:val="00685436"/>
    <w:rsid w:val="0068741E"/>
    <w:rsid w:val="006907E6"/>
    <w:rsid w:val="00690C87"/>
    <w:rsid w:val="00691528"/>
    <w:rsid w:val="00692A5A"/>
    <w:rsid w:val="0069572E"/>
    <w:rsid w:val="00696DC0"/>
    <w:rsid w:val="006A0207"/>
    <w:rsid w:val="006A0904"/>
    <w:rsid w:val="006A196F"/>
    <w:rsid w:val="006A1BE1"/>
    <w:rsid w:val="006A2CD7"/>
    <w:rsid w:val="006A34D4"/>
    <w:rsid w:val="006A3D3D"/>
    <w:rsid w:val="006A50F2"/>
    <w:rsid w:val="006A5ACD"/>
    <w:rsid w:val="006A6BCB"/>
    <w:rsid w:val="006A7702"/>
    <w:rsid w:val="006B1590"/>
    <w:rsid w:val="006B3FCB"/>
    <w:rsid w:val="006B4E2D"/>
    <w:rsid w:val="006B60CB"/>
    <w:rsid w:val="006B7AE7"/>
    <w:rsid w:val="006C1A21"/>
    <w:rsid w:val="006C1B5E"/>
    <w:rsid w:val="006C42DF"/>
    <w:rsid w:val="006C53D0"/>
    <w:rsid w:val="006C5991"/>
    <w:rsid w:val="006C632D"/>
    <w:rsid w:val="006C6923"/>
    <w:rsid w:val="006C7BF2"/>
    <w:rsid w:val="006C7F7B"/>
    <w:rsid w:val="006D0C35"/>
    <w:rsid w:val="006D4127"/>
    <w:rsid w:val="006D5CC4"/>
    <w:rsid w:val="006D7864"/>
    <w:rsid w:val="006E0D10"/>
    <w:rsid w:val="006E0EFD"/>
    <w:rsid w:val="006E186C"/>
    <w:rsid w:val="006E1E47"/>
    <w:rsid w:val="006E345D"/>
    <w:rsid w:val="006E4163"/>
    <w:rsid w:val="006F1AC1"/>
    <w:rsid w:val="006F3A39"/>
    <w:rsid w:val="006F5A9B"/>
    <w:rsid w:val="006F67D7"/>
    <w:rsid w:val="006F6CD9"/>
    <w:rsid w:val="00700186"/>
    <w:rsid w:val="00700538"/>
    <w:rsid w:val="00700FAB"/>
    <w:rsid w:val="007030AB"/>
    <w:rsid w:val="007031AC"/>
    <w:rsid w:val="00704BDF"/>
    <w:rsid w:val="007073B3"/>
    <w:rsid w:val="00707A46"/>
    <w:rsid w:val="007108D0"/>
    <w:rsid w:val="00711811"/>
    <w:rsid w:val="00711898"/>
    <w:rsid w:val="00711946"/>
    <w:rsid w:val="00715017"/>
    <w:rsid w:val="007162D2"/>
    <w:rsid w:val="007168FC"/>
    <w:rsid w:val="00716D57"/>
    <w:rsid w:val="00717971"/>
    <w:rsid w:val="00720334"/>
    <w:rsid w:val="0072224B"/>
    <w:rsid w:val="00724194"/>
    <w:rsid w:val="00724D45"/>
    <w:rsid w:val="007272A7"/>
    <w:rsid w:val="00727958"/>
    <w:rsid w:val="00730E1B"/>
    <w:rsid w:val="00731BA1"/>
    <w:rsid w:val="00733571"/>
    <w:rsid w:val="00733C22"/>
    <w:rsid w:val="00735E5D"/>
    <w:rsid w:val="007363B3"/>
    <w:rsid w:val="00736E9E"/>
    <w:rsid w:val="00742334"/>
    <w:rsid w:val="00743209"/>
    <w:rsid w:val="00744F07"/>
    <w:rsid w:val="00746D74"/>
    <w:rsid w:val="007471C7"/>
    <w:rsid w:val="00750B3B"/>
    <w:rsid w:val="007527B6"/>
    <w:rsid w:val="0075644B"/>
    <w:rsid w:val="007568A9"/>
    <w:rsid w:val="00756A9A"/>
    <w:rsid w:val="00761EFD"/>
    <w:rsid w:val="00762025"/>
    <w:rsid w:val="00763512"/>
    <w:rsid w:val="0076398C"/>
    <w:rsid w:val="007669A3"/>
    <w:rsid w:val="007677AC"/>
    <w:rsid w:val="007678D2"/>
    <w:rsid w:val="00770067"/>
    <w:rsid w:val="00770922"/>
    <w:rsid w:val="00770E04"/>
    <w:rsid w:val="00771AF8"/>
    <w:rsid w:val="00772941"/>
    <w:rsid w:val="00772994"/>
    <w:rsid w:val="00775762"/>
    <w:rsid w:val="00776B33"/>
    <w:rsid w:val="00776FAF"/>
    <w:rsid w:val="0077772B"/>
    <w:rsid w:val="00777A9A"/>
    <w:rsid w:val="00777D78"/>
    <w:rsid w:val="00780EE1"/>
    <w:rsid w:val="00784979"/>
    <w:rsid w:val="00784C24"/>
    <w:rsid w:val="00787249"/>
    <w:rsid w:val="00790BF2"/>
    <w:rsid w:val="00790C7A"/>
    <w:rsid w:val="00791523"/>
    <w:rsid w:val="00791E0D"/>
    <w:rsid w:val="00793979"/>
    <w:rsid w:val="007947BF"/>
    <w:rsid w:val="00794D77"/>
    <w:rsid w:val="007A0AED"/>
    <w:rsid w:val="007A113E"/>
    <w:rsid w:val="007A5B9B"/>
    <w:rsid w:val="007A6DD4"/>
    <w:rsid w:val="007A72E9"/>
    <w:rsid w:val="007A787E"/>
    <w:rsid w:val="007B14CD"/>
    <w:rsid w:val="007C0185"/>
    <w:rsid w:val="007C3783"/>
    <w:rsid w:val="007C5FEA"/>
    <w:rsid w:val="007C672F"/>
    <w:rsid w:val="007D1490"/>
    <w:rsid w:val="007D1AD1"/>
    <w:rsid w:val="007D5443"/>
    <w:rsid w:val="007D5AE1"/>
    <w:rsid w:val="007D6352"/>
    <w:rsid w:val="007D7177"/>
    <w:rsid w:val="007D71D5"/>
    <w:rsid w:val="007E0872"/>
    <w:rsid w:val="007E120B"/>
    <w:rsid w:val="007E2051"/>
    <w:rsid w:val="007E4226"/>
    <w:rsid w:val="007E4D5E"/>
    <w:rsid w:val="007E741D"/>
    <w:rsid w:val="007E78F4"/>
    <w:rsid w:val="007F2181"/>
    <w:rsid w:val="007F29ED"/>
    <w:rsid w:val="007F3495"/>
    <w:rsid w:val="007F400C"/>
    <w:rsid w:val="007F6AB5"/>
    <w:rsid w:val="008002D6"/>
    <w:rsid w:val="008007D6"/>
    <w:rsid w:val="00800F36"/>
    <w:rsid w:val="008014D1"/>
    <w:rsid w:val="0080169F"/>
    <w:rsid w:val="00805699"/>
    <w:rsid w:val="0080726C"/>
    <w:rsid w:val="008072FD"/>
    <w:rsid w:val="0081047A"/>
    <w:rsid w:val="00811453"/>
    <w:rsid w:val="00811774"/>
    <w:rsid w:val="00811A72"/>
    <w:rsid w:val="00811BD7"/>
    <w:rsid w:val="00811F44"/>
    <w:rsid w:val="00814280"/>
    <w:rsid w:val="008142A6"/>
    <w:rsid w:val="00814878"/>
    <w:rsid w:val="008200E9"/>
    <w:rsid w:val="00821CD8"/>
    <w:rsid w:val="008229B8"/>
    <w:rsid w:val="00824587"/>
    <w:rsid w:val="00825223"/>
    <w:rsid w:val="00827AF3"/>
    <w:rsid w:val="00827CD2"/>
    <w:rsid w:val="008306F0"/>
    <w:rsid w:val="00830909"/>
    <w:rsid w:val="0083125C"/>
    <w:rsid w:val="00832021"/>
    <w:rsid w:val="00836CF3"/>
    <w:rsid w:val="00837FA7"/>
    <w:rsid w:val="0084129F"/>
    <w:rsid w:val="00842104"/>
    <w:rsid w:val="0084224C"/>
    <w:rsid w:val="008425DF"/>
    <w:rsid w:val="00844632"/>
    <w:rsid w:val="00844DA7"/>
    <w:rsid w:val="00846E5C"/>
    <w:rsid w:val="00856871"/>
    <w:rsid w:val="0086477C"/>
    <w:rsid w:val="00865B44"/>
    <w:rsid w:val="00866DE2"/>
    <w:rsid w:val="00872386"/>
    <w:rsid w:val="00874C6D"/>
    <w:rsid w:val="00877149"/>
    <w:rsid w:val="008809F3"/>
    <w:rsid w:val="008817CF"/>
    <w:rsid w:val="008836A9"/>
    <w:rsid w:val="008845A5"/>
    <w:rsid w:val="00884C99"/>
    <w:rsid w:val="0089144D"/>
    <w:rsid w:val="00891541"/>
    <w:rsid w:val="00891BC2"/>
    <w:rsid w:val="00893BE9"/>
    <w:rsid w:val="0089417B"/>
    <w:rsid w:val="00894EB0"/>
    <w:rsid w:val="0089503E"/>
    <w:rsid w:val="0089601C"/>
    <w:rsid w:val="00896046"/>
    <w:rsid w:val="008A1051"/>
    <w:rsid w:val="008A46E1"/>
    <w:rsid w:val="008A4AE6"/>
    <w:rsid w:val="008A524A"/>
    <w:rsid w:val="008A5A84"/>
    <w:rsid w:val="008A6B58"/>
    <w:rsid w:val="008A6DDC"/>
    <w:rsid w:val="008B318A"/>
    <w:rsid w:val="008B433F"/>
    <w:rsid w:val="008B6A24"/>
    <w:rsid w:val="008C0CA5"/>
    <w:rsid w:val="008C0F12"/>
    <w:rsid w:val="008C1CC8"/>
    <w:rsid w:val="008C3C0F"/>
    <w:rsid w:val="008C6F60"/>
    <w:rsid w:val="008C7BE3"/>
    <w:rsid w:val="008D07AA"/>
    <w:rsid w:val="008D1BB9"/>
    <w:rsid w:val="008D28F4"/>
    <w:rsid w:val="008E10AB"/>
    <w:rsid w:val="008E1486"/>
    <w:rsid w:val="008E1B73"/>
    <w:rsid w:val="008E5BE4"/>
    <w:rsid w:val="008E624D"/>
    <w:rsid w:val="008F0D73"/>
    <w:rsid w:val="008F12C4"/>
    <w:rsid w:val="008F26AF"/>
    <w:rsid w:val="008F6430"/>
    <w:rsid w:val="00901B08"/>
    <w:rsid w:val="0090357A"/>
    <w:rsid w:val="00903829"/>
    <w:rsid w:val="00904289"/>
    <w:rsid w:val="00905370"/>
    <w:rsid w:val="00910BA0"/>
    <w:rsid w:val="00910D3A"/>
    <w:rsid w:val="00911B03"/>
    <w:rsid w:val="00912FB1"/>
    <w:rsid w:val="00913A2D"/>
    <w:rsid w:val="009140E6"/>
    <w:rsid w:val="00914736"/>
    <w:rsid w:val="009160BF"/>
    <w:rsid w:val="00917F7E"/>
    <w:rsid w:val="00921622"/>
    <w:rsid w:val="00921A3E"/>
    <w:rsid w:val="009225E2"/>
    <w:rsid w:val="0092346A"/>
    <w:rsid w:val="0092435F"/>
    <w:rsid w:val="00924652"/>
    <w:rsid w:val="00924FF0"/>
    <w:rsid w:val="00926760"/>
    <w:rsid w:val="00926EE1"/>
    <w:rsid w:val="00926FD6"/>
    <w:rsid w:val="00927166"/>
    <w:rsid w:val="00927D34"/>
    <w:rsid w:val="009302C2"/>
    <w:rsid w:val="009309CC"/>
    <w:rsid w:val="009322F6"/>
    <w:rsid w:val="009338E5"/>
    <w:rsid w:val="00934CDE"/>
    <w:rsid w:val="009350D0"/>
    <w:rsid w:val="00937235"/>
    <w:rsid w:val="0094347C"/>
    <w:rsid w:val="00950B52"/>
    <w:rsid w:val="0095410B"/>
    <w:rsid w:val="00954801"/>
    <w:rsid w:val="00955791"/>
    <w:rsid w:val="00956FF5"/>
    <w:rsid w:val="00957B79"/>
    <w:rsid w:val="00962ADA"/>
    <w:rsid w:val="00962EFA"/>
    <w:rsid w:val="00963030"/>
    <w:rsid w:val="00964115"/>
    <w:rsid w:val="00965059"/>
    <w:rsid w:val="009660F6"/>
    <w:rsid w:val="009674A9"/>
    <w:rsid w:val="00967AD5"/>
    <w:rsid w:val="00972B12"/>
    <w:rsid w:val="0097305E"/>
    <w:rsid w:val="00975F8F"/>
    <w:rsid w:val="00976304"/>
    <w:rsid w:val="009834B8"/>
    <w:rsid w:val="0098391B"/>
    <w:rsid w:val="00984BB8"/>
    <w:rsid w:val="00987690"/>
    <w:rsid w:val="00990F04"/>
    <w:rsid w:val="00990F1A"/>
    <w:rsid w:val="00992019"/>
    <w:rsid w:val="00993533"/>
    <w:rsid w:val="0099654E"/>
    <w:rsid w:val="00996F4D"/>
    <w:rsid w:val="00997E18"/>
    <w:rsid w:val="009A189C"/>
    <w:rsid w:val="009A1E36"/>
    <w:rsid w:val="009A5977"/>
    <w:rsid w:val="009B510C"/>
    <w:rsid w:val="009B546E"/>
    <w:rsid w:val="009B7CC8"/>
    <w:rsid w:val="009C28AA"/>
    <w:rsid w:val="009C3230"/>
    <w:rsid w:val="009C3ABB"/>
    <w:rsid w:val="009C56D2"/>
    <w:rsid w:val="009C6C6B"/>
    <w:rsid w:val="009C74DE"/>
    <w:rsid w:val="009D1587"/>
    <w:rsid w:val="009D2E68"/>
    <w:rsid w:val="009D4418"/>
    <w:rsid w:val="009D4DDA"/>
    <w:rsid w:val="009D648A"/>
    <w:rsid w:val="009D6ECD"/>
    <w:rsid w:val="009E0AA0"/>
    <w:rsid w:val="009E4158"/>
    <w:rsid w:val="009E4D75"/>
    <w:rsid w:val="009E5B71"/>
    <w:rsid w:val="009E7096"/>
    <w:rsid w:val="009F0291"/>
    <w:rsid w:val="009F12EF"/>
    <w:rsid w:val="009F1A95"/>
    <w:rsid w:val="009F1EF7"/>
    <w:rsid w:val="009F24B2"/>
    <w:rsid w:val="009F4EE7"/>
    <w:rsid w:val="009F5618"/>
    <w:rsid w:val="009F63B0"/>
    <w:rsid w:val="009F6743"/>
    <w:rsid w:val="009F686F"/>
    <w:rsid w:val="00A01164"/>
    <w:rsid w:val="00A02356"/>
    <w:rsid w:val="00A0589E"/>
    <w:rsid w:val="00A12F47"/>
    <w:rsid w:val="00A13407"/>
    <w:rsid w:val="00A1708F"/>
    <w:rsid w:val="00A21A91"/>
    <w:rsid w:val="00A23A31"/>
    <w:rsid w:val="00A243D4"/>
    <w:rsid w:val="00A248CD"/>
    <w:rsid w:val="00A25194"/>
    <w:rsid w:val="00A268B0"/>
    <w:rsid w:val="00A33002"/>
    <w:rsid w:val="00A3335D"/>
    <w:rsid w:val="00A34968"/>
    <w:rsid w:val="00A4039D"/>
    <w:rsid w:val="00A4233B"/>
    <w:rsid w:val="00A42624"/>
    <w:rsid w:val="00A452BF"/>
    <w:rsid w:val="00A459F4"/>
    <w:rsid w:val="00A50365"/>
    <w:rsid w:val="00A504FB"/>
    <w:rsid w:val="00A5487D"/>
    <w:rsid w:val="00A54B92"/>
    <w:rsid w:val="00A558A3"/>
    <w:rsid w:val="00A6012B"/>
    <w:rsid w:val="00A60DC9"/>
    <w:rsid w:val="00A61285"/>
    <w:rsid w:val="00A62991"/>
    <w:rsid w:val="00A6690B"/>
    <w:rsid w:val="00A66B5D"/>
    <w:rsid w:val="00A67288"/>
    <w:rsid w:val="00A67E1A"/>
    <w:rsid w:val="00A7278A"/>
    <w:rsid w:val="00A72B60"/>
    <w:rsid w:val="00A73098"/>
    <w:rsid w:val="00A73D6C"/>
    <w:rsid w:val="00A73EFC"/>
    <w:rsid w:val="00A763F2"/>
    <w:rsid w:val="00A76DC4"/>
    <w:rsid w:val="00A80D0C"/>
    <w:rsid w:val="00A8158E"/>
    <w:rsid w:val="00A84701"/>
    <w:rsid w:val="00A851D1"/>
    <w:rsid w:val="00A86B87"/>
    <w:rsid w:val="00A87285"/>
    <w:rsid w:val="00A91087"/>
    <w:rsid w:val="00A931EF"/>
    <w:rsid w:val="00A952D9"/>
    <w:rsid w:val="00A95543"/>
    <w:rsid w:val="00A95E12"/>
    <w:rsid w:val="00A9691A"/>
    <w:rsid w:val="00A96977"/>
    <w:rsid w:val="00AA0D88"/>
    <w:rsid w:val="00AA1893"/>
    <w:rsid w:val="00AA39D7"/>
    <w:rsid w:val="00AA3F64"/>
    <w:rsid w:val="00AA4144"/>
    <w:rsid w:val="00AA5521"/>
    <w:rsid w:val="00AA6FE1"/>
    <w:rsid w:val="00AA71BE"/>
    <w:rsid w:val="00AA722E"/>
    <w:rsid w:val="00AB22A8"/>
    <w:rsid w:val="00AB3FA4"/>
    <w:rsid w:val="00AB44D0"/>
    <w:rsid w:val="00AB458D"/>
    <w:rsid w:val="00AB4C03"/>
    <w:rsid w:val="00AB5BCB"/>
    <w:rsid w:val="00AB6E28"/>
    <w:rsid w:val="00AC1F7D"/>
    <w:rsid w:val="00AC1FB8"/>
    <w:rsid w:val="00AC326B"/>
    <w:rsid w:val="00AC3423"/>
    <w:rsid w:val="00AC4C87"/>
    <w:rsid w:val="00AC649D"/>
    <w:rsid w:val="00AC7F0A"/>
    <w:rsid w:val="00AD0224"/>
    <w:rsid w:val="00AD0ED2"/>
    <w:rsid w:val="00AE09AC"/>
    <w:rsid w:val="00AE171F"/>
    <w:rsid w:val="00AE6E39"/>
    <w:rsid w:val="00AE75E3"/>
    <w:rsid w:val="00AF0831"/>
    <w:rsid w:val="00AF3408"/>
    <w:rsid w:val="00AF4767"/>
    <w:rsid w:val="00AF4B74"/>
    <w:rsid w:val="00AF5347"/>
    <w:rsid w:val="00B00EAE"/>
    <w:rsid w:val="00B01B13"/>
    <w:rsid w:val="00B02B9E"/>
    <w:rsid w:val="00B03C4A"/>
    <w:rsid w:val="00B06CC7"/>
    <w:rsid w:val="00B101DE"/>
    <w:rsid w:val="00B1056C"/>
    <w:rsid w:val="00B12445"/>
    <w:rsid w:val="00B143BC"/>
    <w:rsid w:val="00B146F4"/>
    <w:rsid w:val="00B177ED"/>
    <w:rsid w:val="00B213C7"/>
    <w:rsid w:val="00B2327D"/>
    <w:rsid w:val="00B25162"/>
    <w:rsid w:val="00B257A5"/>
    <w:rsid w:val="00B26BAA"/>
    <w:rsid w:val="00B30050"/>
    <w:rsid w:val="00B32EE3"/>
    <w:rsid w:val="00B35DD7"/>
    <w:rsid w:val="00B375F1"/>
    <w:rsid w:val="00B37F3F"/>
    <w:rsid w:val="00B40122"/>
    <w:rsid w:val="00B405CA"/>
    <w:rsid w:val="00B417C2"/>
    <w:rsid w:val="00B41883"/>
    <w:rsid w:val="00B42934"/>
    <w:rsid w:val="00B43B34"/>
    <w:rsid w:val="00B45D11"/>
    <w:rsid w:val="00B4634A"/>
    <w:rsid w:val="00B467F1"/>
    <w:rsid w:val="00B5117B"/>
    <w:rsid w:val="00B55A1E"/>
    <w:rsid w:val="00B57606"/>
    <w:rsid w:val="00B57BED"/>
    <w:rsid w:val="00B604CE"/>
    <w:rsid w:val="00B613C6"/>
    <w:rsid w:val="00B6236A"/>
    <w:rsid w:val="00B6427B"/>
    <w:rsid w:val="00B64A69"/>
    <w:rsid w:val="00B70B7B"/>
    <w:rsid w:val="00B737B7"/>
    <w:rsid w:val="00B81E2E"/>
    <w:rsid w:val="00B81FE1"/>
    <w:rsid w:val="00B82A53"/>
    <w:rsid w:val="00B87742"/>
    <w:rsid w:val="00B91C12"/>
    <w:rsid w:val="00B93647"/>
    <w:rsid w:val="00B944BF"/>
    <w:rsid w:val="00B968B3"/>
    <w:rsid w:val="00B96FBC"/>
    <w:rsid w:val="00B97992"/>
    <w:rsid w:val="00BA0257"/>
    <w:rsid w:val="00BA1F4F"/>
    <w:rsid w:val="00BA2F5A"/>
    <w:rsid w:val="00BA2F61"/>
    <w:rsid w:val="00BA308A"/>
    <w:rsid w:val="00BA4906"/>
    <w:rsid w:val="00BB1011"/>
    <w:rsid w:val="00BB2468"/>
    <w:rsid w:val="00BB476C"/>
    <w:rsid w:val="00BB5414"/>
    <w:rsid w:val="00BB7260"/>
    <w:rsid w:val="00BC25EF"/>
    <w:rsid w:val="00BC515C"/>
    <w:rsid w:val="00BC5E96"/>
    <w:rsid w:val="00BC6E78"/>
    <w:rsid w:val="00BC7A19"/>
    <w:rsid w:val="00BD5A46"/>
    <w:rsid w:val="00BD7841"/>
    <w:rsid w:val="00BE0C57"/>
    <w:rsid w:val="00BE0D59"/>
    <w:rsid w:val="00BE1B32"/>
    <w:rsid w:val="00BE3298"/>
    <w:rsid w:val="00BE452B"/>
    <w:rsid w:val="00BF1CC7"/>
    <w:rsid w:val="00BF22C9"/>
    <w:rsid w:val="00BF2E22"/>
    <w:rsid w:val="00BF5F6D"/>
    <w:rsid w:val="00BF643C"/>
    <w:rsid w:val="00C029D5"/>
    <w:rsid w:val="00C02EA6"/>
    <w:rsid w:val="00C05D38"/>
    <w:rsid w:val="00C07DDA"/>
    <w:rsid w:val="00C10751"/>
    <w:rsid w:val="00C1114A"/>
    <w:rsid w:val="00C1671B"/>
    <w:rsid w:val="00C16EAB"/>
    <w:rsid w:val="00C1763F"/>
    <w:rsid w:val="00C2003E"/>
    <w:rsid w:val="00C2045B"/>
    <w:rsid w:val="00C2051B"/>
    <w:rsid w:val="00C22750"/>
    <w:rsid w:val="00C253FB"/>
    <w:rsid w:val="00C26E6A"/>
    <w:rsid w:val="00C27F2B"/>
    <w:rsid w:val="00C31286"/>
    <w:rsid w:val="00C32D23"/>
    <w:rsid w:val="00C32DBE"/>
    <w:rsid w:val="00C36255"/>
    <w:rsid w:val="00C37EFF"/>
    <w:rsid w:val="00C41AD6"/>
    <w:rsid w:val="00C439BF"/>
    <w:rsid w:val="00C452AD"/>
    <w:rsid w:val="00C461D4"/>
    <w:rsid w:val="00C5075A"/>
    <w:rsid w:val="00C5241B"/>
    <w:rsid w:val="00C5306D"/>
    <w:rsid w:val="00C531FD"/>
    <w:rsid w:val="00C57639"/>
    <w:rsid w:val="00C57927"/>
    <w:rsid w:val="00C62EBF"/>
    <w:rsid w:val="00C63CCB"/>
    <w:rsid w:val="00C63DD2"/>
    <w:rsid w:val="00C64E0D"/>
    <w:rsid w:val="00C6670E"/>
    <w:rsid w:val="00C668B6"/>
    <w:rsid w:val="00C67439"/>
    <w:rsid w:val="00C70EF0"/>
    <w:rsid w:val="00C723F3"/>
    <w:rsid w:val="00C725A4"/>
    <w:rsid w:val="00C74B28"/>
    <w:rsid w:val="00C76569"/>
    <w:rsid w:val="00C77F84"/>
    <w:rsid w:val="00C77F95"/>
    <w:rsid w:val="00C8050C"/>
    <w:rsid w:val="00C81DA9"/>
    <w:rsid w:val="00C826F9"/>
    <w:rsid w:val="00C84269"/>
    <w:rsid w:val="00C84BD4"/>
    <w:rsid w:val="00C8677B"/>
    <w:rsid w:val="00C86BC9"/>
    <w:rsid w:val="00C86CEA"/>
    <w:rsid w:val="00C91627"/>
    <w:rsid w:val="00C929B4"/>
    <w:rsid w:val="00C92CF7"/>
    <w:rsid w:val="00C962F0"/>
    <w:rsid w:val="00C9651C"/>
    <w:rsid w:val="00C96B80"/>
    <w:rsid w:val="00C97CF9"/>
    <w:rsid w:val="00CA0C93"/>
    <w:rsid w:val="00CA2294"/>
    <w:rsid w:val="00CA3196"/>
    <w:rsid w:val="00CA4114"/>
    <w:rsid w:val="00CA4C23"/>
    <w:rsid w:val="00CB0ECE"/>
    <w:rsid w:val="00CB1A3E"/>
    <w:rsid w:val="00CB4CB4"/>
    <w:rsid w:val="00CB5303"/>
    <w:rsid w:val="00CC032F"/>
    <w:rsid w:val="00CC5061"/>
    <w:rsid w:val="00CC6944"/>
    <w:rsid w:val="00CC71C2"/>
    <w:rsid w:val="00CC7436"/>
    <w:rsid w:val="00CD0568"/>
    <w:rsid w:val="00CD3E2E"/>
    <w:rsid w:val="00CD632F"/>
    <w:rsid w:val="00CD7D84"/>
    <w:rsid w:val="00CE2572"/>
    <w:rsid w:val="00CE46E4"/>
    <w:rsid w:val="00CE5113"/>
    <w:rsid w:val="00CE5911"/>
    <w:rsid w:val="00CE5E77"/>
    <w:rsid w:val="00CF3847"/>
    <w:rsid w:val="00CF39C5"/>
    <w:rsid w:val="00CF456F"/>
    <w:rsid w:val="00CF52A0"/>
    <w:rsid w:val="00CF6BF0"/>
    <w:rsid w:val="00D01A0C"/>
    <w:rsid w:val="00D03796"/>
    <w:rsid w:val="00D041DE"/>
    <w:rsid w:val="00D04448"/>
    <w:rsid w:val="00D048E1"/>
    <w:rsid w:val="00D04B0D"/>
    <w:rsid w:val="00D06753"/>
    <w:rsid w:val="00D10102"/>
    <w:rsid w:val="00D122CD"/>
    <w:rsid w:val="00D12A1A"/>
    <w:rsid w:val="00D134D2"/>
    <w:rsid w:val="00D1785C"/>
    <w:rsid w:val="00D211A0"/>
    <w:rsid w:val="00D21D66"/>
    <w:rsid w:val="00D22575"/>
    <w:rsid w:val="00D229B6"/>
    <w:rsid w:val="00D27C52"/>
    <w:rsid w:val="00D33334"/>
    <w:rsid w:val="00D33AFD"/>
    <w:rsid w:val="00D33BC5"/>
    <w:rsid w:val="00D35172"/>
    <w:rsid w:val="00D36899"/>
    <w:rsid w:val="00D37204"/>
    <w:rsid w:val="00D37BFC"/>
    <w:rsid w:val="00D37CCC"/>
    <w:rsid w:val="00D40C14"/>
    <w:rsid w:val="00D41AA0"/>
    <w:rsid w:val="00D467FF"/>
    <w:rsid w:val="00D46BDD"/>
    <w:rsid w:val="00D46C50"/>
    <w:rsid w:val="00D4759D"/>
    <w:rsid w:val="00D50593"/>
    <w:rsid w:val="00D50AC0"/>
    <w:rsid w:val="00D50E8E"/>
    <w:rsid w:val="00D51199"/>
    <w:rsid w:val="00D5158F"/>
    <w:rsid w:val="00D51F3D"/>
    <w:rsid w:val="00D53157"/>
    <w:rsid w:val="00D557F7"/>
    <w:rsid w:val="00D5645C"/>
    <w:rsid w:val="00D60423"/>
    <w:rsid w:val="00D60E48"/>
    <w:rsid w:val="00D6426E"/>
    <w:rsid w:val="00D64458"/>
    <w:rsid w:val="00D646D9"/>
    <w:rsid w:val="00D6564F"/>
    <w:rsid w:val="00D66080"/>
    <w:rsid w:val="00D67013"/>
    <w:rsid w:val="00D672B2"/>
    <w:rsid w:val="00D6773B"/>
    <w:rsid w:val="00D67A5D"/>
    <w:rsid w:val="00D71314"/>
    <w:rsid w:val="00D743ED"/>
    <w:rsid w:val="00D74D93"/>
    <w:rsid w:val="00D75344"/>
    <w:rsid w:val="00D76690"/>
    <w:rsid w:val="00D76B56"/>
    <w:rsid w:val="00D7762C"/>
    <w:rsid w:val="00D77FEE"/>
    <w:rsid w:val="00D8135D"/>
    <w:rsid w:val="00D81FDE"/>
    <w:rsid w:val="00D82D8D"/>
    <w:rsid w:val="00D82E10"/>
    <w:rsid w:val="00D84DBF"/>
    <w:rsid w:val="00D8653B"/>
    <w:rsid w:val="00D87EB9"/>
    <w:rsid w:val="00D90886"/>
    <w:rsid w:val="00D910C2"/>
    <w:rsid w:val="00D94E1D"/>
    <w:rsid w:val="00D96FAA"/>
    <w:rsid w:val="00D972D2"/>
    <w:rsid w:val="00D97CB2"/>
    <w:rsid w:val="00DA3E4C"/>
    <w:rsid w:val="00DA493C"/>
    <w:rsid w:val="00DA4CA7"/>
    <w:rsid w:val="00DA54E8"/>
    <w:rsid w:val="00DA76D4"/>
    <w:rsid w:val="00DA7EA0"/>
    <w:rsid w:val="00DB0AD7"/>
    <w:rsid w:val="00DB27C3"/>
    <w:rsid w:val="00DB36AE"/>
    <w:rsid w:val="00DB4460"/>
    <w:rsid w:val="00DB5C7D"/>
    <w:rsid w:val="00DB7545"/>
    <w:rsid w:val="00DC189B"/>
    <w:rsid w:val="00DC199C"/>
    <w:rsid w:val="00DC2FDA"/>
    <w:rsid w:val="00DC48C0"/>
    <w:rsid w:val="00DC6C77"/>
    <w:rsid w:val="00DC6CD9"/>
    <w:rsid w:val="00DC6E0C"/>
    <w:rsid w:val="00DC7B6F"/>
    <w:rsid w:val="00DD0FE9"/>
    <w:rsid w:val="00DD1251"/>
    <w:rsid w:val="00DE1E5F"/>
    <w:rsid w:val="00DE41E5"/>
    <w:rsid w:val="00DE5223"/>
    <w:rsid w:val="00DE60C4"/>
    <w:rsid w:val="00DE6C6B"/>
    <w:rsid w:val="00DE7781"/>
    <w:rsid w:val="00DE7990"/>
    <w:rsid w:val="00DF0048"/>
    <w:rsid w:val="00DF050A"/>
    <w:rsid w:val="00DF0DE0"/>
    <w:rsid w:val="00DF1A8D"/>
    <w:rsid w:val="00DF4625"/>
    <w:rsid w:val="00DF4720"/>
    <w:rsid w:val="00DF4C1F"/>
    <w:rsid w:val="00DF558C"/>
    <w:rsid w:val="00DF5F59"/>
    <w:rsid w:val="00DF7A1F"/>
    <w:rsid w:val="00E00038"/>
    <w:rsid w:val="00E00602"/>
    <w:rsid w:val="00E008A4"/>
    <w:rsid w:val="00E00D23"/>
    <w:rsid w:val="00E032A5"/>
    <w:rsid w:val="00E0612F"/>
    <w:rsid w:val="00E06424"/>
    <w:rsid w:val="00E10DEB"/>
    <w:rsid w:val="00E11977"/>
    <w:rsid w:val="00E11EAD"/>
    <w:rsid w:val="00E13F3F"/>
    <w:rsid w:val="00E15586"/>
    <w:rsid w:val="00E235DB"/>
    <w:rsid w:val="00E23ED3"/>
    <w:rsid w:val="00E24453"/>
    <w:rsid w:val="00E24DFA"/>
    <w:rsid w:val="00E3173E"/>
    <w:rsid w:val="00E31EB8"/>
    <w:rsid w:val="00E33E80"/>
    <w:rsid w:val="00E374DD"/>
    <w:rsid w:val="00E4333E"/>
    <w:rsid w:val="00E475C8"/>
    <w:rsid w:val="00E47733"/>
    <w:rsid w:val="00E47DF2"/>
    <w:rsid w:val="00E47E03"/>
    <w:rsid w:val="00E546C9"/>
    <w:rsid w:val="00E5493F"/>
    <w:rsid w:val="00E578C5"/>
    <w:rsid w:val="00E603AF"/>
    <w:rsid w:val="00E60431"/>
    <w:rsid w:val="00E62657"/>
    <w:rsid w:val="00E65ABC"/>
    <w:rsid w:val="00E66E11"/>
    <w:rsid w:val="00E70015"/>
    <w:rsid w:val="00E704E1"/>
    <w:rsid w:val="00E70FBD"/>
    <w:rsid w:val="00E726F2"/>
    <w:rsid w:val="00E73737"/>
    <w:rsid w:val="00E74221"/>
    <w:rsid w:val="00E80737"/>
    <w:rsid w:val="00E80AC7"/>
    <w:rsid w:val="00E81FFA"/>
    <w:rsid w:val="00E856A1"/>
    <w:rsid w:val="00E865F3"/>
    <w:rsid w:val="00E86E8F"/>
    <w:rsid w:val="00E91426"/>
    <w:rsid w:val="00E9195A"/>
    <w:rsid w:val="00E92408"/>
    <w:rsid w:val="00E95805"/>
    <w:rsid w:val="00EA0EC1"/>
    <w:rsid w:val="00EA5208"/>
    <w:rsid w:val="00EA5DFF"/>
    <w:rsid w:val="00EB0EA9"/>
    <w:rsid w:val="00EB4B73"/>
    <w:rsid w:val="00EB509A"/>
    <w:rsid w:val="00EB6190"/>
    <w:rsid w:val="00EB7F9F"/>
    <w:rsid w:val="00EC11FE"/>
    <w:rsid w:val="00EC2D25"/>
    <w:rsid w:val="00EC2E06"/>
    <w:rsid w:val="00EC3A44"/>
    <w:rsid w:val="00EC515D"/>
    <w:rsid w:val="00EC68C4"/>
    <w:rsid w:val="00EC74A9"/>
    <w:rsid w:val="00EC7501"/>
    <w:rsid w:val="00ED1886"/>
    <w:rsid w:val="00ED1B19"/>
    <w:rsid w:val="00ED1FC7"/>
    <w:rsid w:val="00ED52E5"/>
    <w:rsid w:val="00ED58E8"/>
    <w:rsid w:val="00EE04AB"/>
    <w:rsid w:val="00EE133D"/>
    <w:rsid w:val="00EE1561"/>
    <w:rsid w:val="00EE2613"/>
    <w:rsid w:val="00EE26B8"/>
    <w:rsid w:val="00EE5B93"/>
    <w:rsid w:val="00EE686D"/>
    <w:rsid w:val="00EE6898"/>
    <w:rsid w:val="00EE7466"/>
    <w:rsid w:val="00EE794F"/>
    <w:rsid w:val="00EF0425"/>
    <w:rsid w:val="00EF2ADE"/>
    <w:rsid w:val="00EF72D3"/>
    <w:rsid w:val="00EF7DFD"/>
    <w:rsid w:val="00F00655"/>
    <w:rsid w:val="00F007FD"/>
    <w:rsid w:val="00F0090B"/>
    <w:rsid w:val="00F00B82"/>
    <w:rsid w:val="00F0174D"/>
    <w:rsid w:val="00F01B89"/>
    <w:rsid w:val="00F03F92"/>
    <w:rsid w:val="00F042D6"/>
    <w:rsid w:val="00F04B9D"/>
    <w:rsid w:val="00F05F45"/>
    <w:rsid w:val="00F06DC4"/>
    <w:rsid w:val="00F120B9"/>
    <w:rsid w:val="00F126F8"/>
    <w:rsid w:val="00F1293A"/>
    <w:rsid w:val="00F13BE0"/>
    <w:rsid w:val="00F171CA"/>
    <w:rsid w:val="00F1793E"/>
    <w:rsid w:val="00F17E06"/>
    <w:rsid w:val="00F20D18"/>
    <w:rsid w:val="00F2584E"/>
    <w:rsid w:val="00F32382"/>
    <w:rsid w:val="00F32A96"/>
    <w:rsid w:val="00F33149"/>
    <w:rsid w:val="00F35D2A"/>
    <w:rsid w:val="00F449EB"/>
    <w:rsid w:val="00F45FD5"/>
    <w:rsid w:val="00F50D40"/>
    <w:rsid w:val="00F54882"/>
    <w:rsid w:val="00F54BBC"/>
    <w:rsid w:val="00F5561A"/>
    <w:rsid w:val="00F60F81"/>
    <w:rsid w:val="00F6177A"/>
    <w:rsid w:val="00F66368"/>
    <w:rsid w:val="00F66DD4"/>
    <w:rsid w:val="00F70B9A"/>
    <w:rsid w:val="00F71625"/>
    <w:rsid w:val="00F7231E"/>
    <w:rsid w:val="00F72385"/>
    <w:rsid w:val="00F803F7"/>
    <w:rsid w:val="00F8114A"/>
    <w:rsid w:val="00F81928"/>
    <w:rsid w:val="00F85255"/>
    <w:rsid w:val="00F870BE"/>
    <w:rsid w:val="00F9219F"/>
    <w:rsid w:val="00F92B75"/>
    <w:rsid w:val="00F9472F"/>
    <w:rsid w:val="00F969E7"/>
    <w:rsid w:val="00F97166"/>
    <w:rsid w:val="00F97479"/>
    <w:rsid w:val="00FA1B8B"/>
    <w:rsid w:val="00FA6AF3"/>
    <w:rsid w:val="00FB1077"/>
    <w:rsid w:val="00FB4CA0"/>
    <w:rsid w:val="00FB599A"/>
    <w:rsid w:val="00FB7802"/>
    <w:rsid w:val="00FC1651"/>
    <w:rsid w:val="00FC1AC9"/>
    <w:rsid w:val="00FC2C5D"/>
    <w:rsid w:val="00FC4F37"/>
    <w:rsid w:val="00FC60DF"/>
    <w:rsid w:val="00FC704B"/>
    <w:rsid w:val="00FC7721"/>
    <w:rsid w:val="00FD0196"/>
    <w:rsid w:val="00FD0E49"/>
    <w:rsid w:val="00FD1599"/>
    <w:rsid w:val="00FD3A4D"/>
    <w:rsid w:val="00FD547C"/>
    <w:rsid w:val="00FD5B1F"/>
    <w:rsid w:val="00FD70B2"/>
    <w:rsid w:val="00FE09E1"/>
    <w:rsid w:val="00FE1223"/>
    <w:rsid w:val="00FE2464"/>
    <w:rsid w:val="00FE2623"/>
    <w:rsid w:val="00FE286E"/>
    <w:rsid w:val="00FE2B4D"/>
    <w:rsid w:val="00FE361A"/>
    <w:rsid w:val="00FE37A1"/>
    <w:rsid w:val="00FE5488"/>
    <w:rsid w:val="00FE6AE1"/>
    <w:rsid w:val="00FF34BC"/>
    <w:rsid w:val="00FF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5FCBD1D"/>
  <w15:chartTrackingRefBased/>
  <w15:docId w15:val="{2CF9B57A-71CD-4846-9F28-D05893E5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20F83"/>
    <w:rPr>
      <w:rFonts w:eastAsia="Calibri" w:cs="Calibri"/>
      <w:sz w:val="24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120F83"/>
    <w:pPr>
      <w:spacing w:before="100" w:beforeAutospacing="1" w:after="100" w:afterAutospacing="1"/>
    </w:pPr>
    <w:rPr>
      <w:rFonts w:eastAsia="Times New Roman" w:cs="Times New Roman"/>
      <w:szCs w:val="24"/>
      <w:lang w:eastAsia="hu-HU"/>
    </w:rPr>
  </w:style>
  <w:style w:type="paragraph" w:customStyle="1" w:styleId="WW-Szvegtrzs2">
    <w:name w:val="WW-Szövegtörzs 2"/>
    <w:basedOn w:val="Norml"/>
    <w:rsid w:val="00120F83"/>
    <w:pPr>
      <w:widowControl w:val="0"/>
      <w:suppressAutoHyphens/>
    </w:pPr>
    <w:rPr>
      <w:rFonts w:eastAsia="HG Mincho Light J" w:cs="Times New Roman"/>
      <w:color w:val="000000"/>
      <w:sz w:val="26"/>
      <w:szCs w:val="24"/>
    </w:rPr>
  </w:style>
  <w:style w:type="paragraph" w:styleId="lfej">
    <w:name w:val="header"/>
    <w:basedOn w:val="Norml"/>
    <w:link w:val="lfejChar"/>
    <w:uiPriority w:val="99"/>
    <w:unhideWhenUsed/>
    <w:rsid w:val="00120F83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120F83"/>
    <w:rPr>
      <w:rFonts w:eastAsia="Calibri" w:cs="Calibri"/>
      <w:sz w:val="24"/>
      <w:szCs w:val="22"/>
      <w:lang w:val="hu-HU" w:eastAsia="en-US" w:bidi="ar-SA"/>
    </w:rPr>
  </w:style>
  <w:style w:type="paragraph" w:styleId="llb">
    <w:name w:val="footer"/>
    <w:basedOn w:val="Norml"/>
    <w:link w:val="llbChar"/>
    <w:uiPriority w:val="99"/>
    <w:unhideWhenUsed/>
    <w:rsid w:val="00120F83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120F83"/>
    <w:rPr>
      <w:rFonts w:eastAsia="Calibri" w:cs="Calibri"/>
      <w:sz w:val="24"/>
      <w:szCs w:val="22"/>
      <w:lang w:val="hu-HU" w:eastAsia="en-US" w:bidi="ar-SA"/>
    </w:rPr>
  </w:style>
  <w:style w:type="paragraph" w:customStyle="1" w:styleId="Normal2">
    <w:name w:val="Normal2"/>
    <w:basedOn w:val="Norml"/>
    <w:rsid w:val="00120F83"/>
    <w:pPr>
      <w:widowControl w:val="0"/>
      <w:suppressAutoHyphens/>
    </w:pPr>
    <w:rPr>
      <w:rFonts w:eastAsia="Times New Roman" w:cs="Times New Roman"/>
      <w:szCs w:val="24"/>
      <w:lang w:eastAsia="hu-HU" w:bidi="hu-HU"/>
    </w:rPr>
  </w:style>
  <w:style w:type="character" w:styleId="Oldalszm">
    <w:name w:val="page number"/>
    <w:basedOn w:val="Bekezdsalapbettpusa"/>
    <w:rsid w:val="00120F83"/>
  </w:style>
  <w:style w:type="paragraph" w:customStyle="1" w:styleId="Normal1">
    <w:name w:val="Normal1"/>
    <w:basedOn w:val="Norml"/>
    <w:rsid w:val="00120F83"/>
    <w:pPr>
      <w:widowControl w:val="0"/>
      <w:suppressAutoHyphens/>
    </w:pPr>
    <w:rPr>
      <w:rFonts w:eastAsia="HG Mincho Light J" w:cs="Times New Roman"/>
      <w:color w:val="000000"/>
      <w:sz w:val="20"/>
      <w:szCs w:val="24"/>
      <w:lang w:val="en-US"/>
    </w:rPr>
  </w:style>
  <w:style w:type="paragraph" w:styleId="Szvegtrzs">
    <w:name w:val="Body Text"/>
    <w:basedOn w:val="Norml"/>
    <w:rsid w:val="00C029D5"/>
    <w:pPr>
      <w:widowControl w:val="0"/>
      <w:suppressAutoHyphens/>
      <w:spacing w:after="120"/>
    </w:pPr>
    <w:rPr>
      <w:rFonts w:eastAsia="HG Mincho Light J" w:cs="Times New Roman"/>
      <w:color w:val="000000"/>
      <w:szCs w:val="24"/>
    </w:rPr>
  </w:style>
  <w:style w:type="character" w:customStyle="1" w:styleId="Kiemelt">
    <w:name w:val="Kiemelt"/>
    <w:rsid w:val="00837FA7"/>
    <w:rPr>
      <w:i/>
      <w:iCs/>
    </w:rPr>
  </w:style>
  <w:style w:type="paragraph" w:styleId="Buborkszveg">
    <w:name w:val="Balloon Text"/>
    <w:basedOn w:val="Norml"/>
    <w:link w:val="BuborkszvegChar"/>
    <w:rsid w:val="00427F3F"/>
    <w:rPr>
      <w:rFonts w:ascii="Tahoma" w:hAnsi="Tahoma" w:cs="Times New Roman"/>
      <w:sz w:val="16"/>
      <w:szCs w:val="16"/>
      <w:lang w:val="x-none"/>
    </w:rPr>
  </w:style>
  <w:style w:type="character" w:customStyle="1" w:styleId="BuborkszvegChar">
    <w:name w:val="Buborékszöveg Char"/>
    <w:link w:val="Buborkszveg"/>
    <w:rsid w:val="00427F3F"/>
    <w:rPr>
      <w:rFonts w:ascii="Tahoma" w:eastAsia="Calibri" w:hAnsi="Tahoma" w:cs="Tahoma"/>
      <w:sz w:val="16"/>
      <w:szCs w:val="16"/>
      <w:lang w:eastAsia="en-US"/>
    </w:rPr>
  </w:style>
  <w:style w:type="character" w:styleId="Jegyzethivatkozs">
    <w:name w:val="annotation reference"/>
    <w:rsid w:val="00E23ED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E23ED3"/>
    <w:rPr>
      <w:rFonts w:cs="Times New Roman"/>
      <w:sz w:val="20"/>
      <w:szCs w:val="20"/>
      <w:lang w:val="x-none"/>
    </w:rPr>
  </w:style>
  <w:style w:type="character" w:customStyle="1" w:styleId="JegyzetszvegChar">
    <w:name w:val="Jegyzetszöveg Char"/>
    <w:link w:val="Jegyzetszveg"/>
    <w:rsid w:val="00E23ED3"/>
    <w:rPr>
      <w:rFonts w:eastAsia="Calibri" w:cs="Calibri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rsid w:val="00E23ED3"/>
    <w:rPr>
      <w:b/>
      <w:bCs/>
    </w:rPr>
  </w:style>
  <w:style w:type="character" w:customStyle="1" w:styleId="MegjegyzstrgyaChar">
    <w:name w:val="Megjegyzés tárgya Char"/>
    <w:link w:val="Megjegyzstrgya"/>
    <w:rsid w:val="00E23ED3"/>
    <w:rPr>
      <w:rFonts w:eastAsia="Calibri" w:cs="Calibri"/>
      <w:b/>
      <w:bCs/>
      <w:lang w:eastAsia="en-US"/>
    </w:rPr>
  </w:style>
  <w:style w:type="paragraph" w:styleId="Vltozat">
    <w:name w:val="Revision"/>
    <w:hidden/>
    <w:uiPriority w:val="99"/>
    <w:semiHidden/>
    <w:rsid w:val="00E23ED3"/>
    <w:rPr>
      <w:rFonts w:eastAsia="Calibri" w:cs="Calibri"/>
      <w:sz w:val="24"/>
      <w:szCs w:val="22"/>
      <w:lang w:eastAsia="en-US"/>
    </w:rPr>
  </w:style>
  <w:style w:type="paragraph" w:customStyle="1" w:styleId="EMEATableLeft">
    <w:name w:val="EMEA Table Left"/>
    <w:basedOn w:val="Norml"/>
    <w:rsid w:val="00D46BDD"/>
    <w:pPr>
      <w:keepNext/>
      <w:keepLines/>
    </w:pPr>
    <w:rPr>
      <w:rFonts w:eastAsia="MS Mincho" w:cs="Times New Roman"/>
      <w:sz w:val="22"/>
      <w:lang w:val="en-GB"/>
    </w:rPr>
  </w:style>
  <w:style w:type="paragraph" w:customStyle="1" w:styleId="A-TableText">
    <w:name w:val="A-Table Text"/>
    <w:uiPriority w:val="99"/>
    <w:rsid w:val="00DE41E5"/>
    <w:pPr>
      <w:spacing w:before="60" w:after="60"/>
    </w:pPr>
    <w:rPr>
      <w:sz w:val="22"/>
      <w:lang w:val="en-GB" w:eastAsia="en-US"/>
    </w:rPr>
  </w:style>
  <w:style w:type="paragraph" w:customStyle="1" w:styleId="A-TableHeader">
    <w:name w:val="A-Table Header"/>
    <w:next w:val="A-TableText"/>
    <w:rsid w:val="00DE41E5"/>
    <w:pPr>
      <w:keepNext/>
      <w:spacing w:before="60" w:after="60"/>
    </w:pPr>
    <w:rPr>
      <w:b/>
      <w:sz w:val="22"/>
      <w:lang w:val="en-GB" w:eastAsia="en-US"/>
    </w:rPr>
  </w:style>
  <w:style w:type="paragraph" w:customStyle="1" w:styleId="A-TableTitle">
    <w:name w:val="A-Table Title"/>
    <w:next w:val="Norml"/>
    <w:rsid w:val="00DE41E5"/>
    <w:pPr>
      <w:keepNext/>
      <w:tabs>
        <w:tab w:val="left" w:pos="1800"/>
      </w:tabs>
      <w:spacing w:after="120" w:line="280" w:lineRule="atLeast"/>
      <w:ind w:left="1800" w:hanging="1800"/>
    </w:pPr>
    <w:rPr>
      <w:b/>
      <w:sz w:val="24"/>
      <w:lang w:val="en-GB" w:eastAsia="en-US"/>
    </w:rPr>
  </w:style>
  <w:style w:type="character" w:styleId="Hiperhivatkozs">
    <w:name w:val="Hyperlink"/>
    <w:uiPriority w:val="99"/>
    <w:unhideWhenUsed/>
    <w:rsid w:val="007B14CD"/>
    <w:rPr>
      <w:color w:val="0000FF"/>
      <w:u w:val="single"/>
    </w:rPr>
  </w:style>
  <w:style w:type="paragraph" w:customStyle="1" w:styleId="Default">
    <w:name w:val="Default"/>
    <w:rsid w:val="004208E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Body">
    <w:name w:val="Body"/>
    <w:basedOn w:val="Norml"/>
    <w:link w:val="BodyChar"/>
    <w:locked/>
    <w:rsid w:val="00353809"/>
    <w:pPr>
      <w:ind w:firstLine="288"/>
      <w:jc w:val="both"/>
    </w:pPr>
    <w:rPr>
      <w:rFonts w:ascii="Arial" w:eastAsia="Times New Roman" w:hAnsi="Arial" w:cs="Times New Roman"/>
      <w:sz w:val="20"/>
      <w:szCs w:val="24"/>
      <w:lang w:val="en-US"/>
    </w:rPr>
  </w:style>
  <w:style w:type="paragraph" w:customStyle="1" w:styleId="ExtraSpace">
    <w:name w:val="Extra Space"/>
    <w:basedOn w:val="Norml"/>
    <w:next w:val="Body"/>
    <w:uiPriority w:val="99"/>
    <w:locked/>
    <w:rsid w:val="00353809"/>
    <w:pPr>
      <w:spacing w:line="120" w:lineRule="exact"/>
    </w:pPr>
    <w:rPr>
      <w:rFonts w:ascii="Arial" w:eastAsia="Times New Roman" w:hAnsi="Arial" w:cs="Times New Roman"/>
      <w:color w:val="00FF00"/>
      <w:sz w:val="20"/>
      <w:szCs w:val="24"/>
      <w:lang w:val="en-US"/>
    </w:rPr>
  </w:style>
  <w:style w:type="paragraph" w:customStyle="1" w:styleId="Footnote">
    <w:name w:val="Footnote"/>
    <w:basedOn w:val="Norml"/>
    <w:next w:val="Body"/>
    <w:uiPriority w:val="99"/>
    <w:locked/>
    <w:rsid w:val="00353809"/>
    <w:pPr>
      <w:keepLines/>
      <w:tabs>
        <w:tab w:val="right" w:pos="317"/>
        <w:tab w:val="left" w:pos="346"/>
      </w:tabs>
      <w:ind w:left="346" w:hanging="346"/>
    </w:pPr>
    <w:rPr>
      <w:rFonts w:ascii="Arial" w:eastAsia="Times New Roman" w:hAnsi="Arial" w:cs="Times New Roman"/>
      <w:sz w:val="14"/>
      <w:szCs w:val="24"/>
      <w:lang w:val="en-US"/>
    </w:rPr>
  </w:style>
  <w:style w:type="paragraph" w:customStyle="1" w:styleId="Tablecentered">
    <w:name w:val="Table: centered"/>
    <w:basedOn w:val="Norml"/>
    <w:uiPriority w:val="99"/>
    <w:locked/>
    <w:rsid w:val="00353809"/>
    <w:pPr>
      <w:keepNext/>
      <w:keepLines/>
      <w:jc w:val="center"/>
    </w:pPr>
    <w:rPr>
      <w:rFonts w:ascii="Arial" w:eastAsia="Times New Roman" w:hAnsi="Arial" w:cs="Times New Roman"/>
      <w:sz w:val="14"/>
      <w:szCs w:val="24"/>
      <w:lang w:val="en-US"/>
    </w:rPr>
  </w:style>
  <w:style w:type="paragraph" w:customStyle="1" w:styleId="Tablenormal">
    <w:name w:val="Table: normal"/>
    <w:basedOn w:val="Norml"/>
    <w:uiPriority w:val="99"/>
    <w:locked/>
    <w:rsid w:val="00353809"/>
    <w:pPr>
      <w:keepNext/>
      <w:keepLines/>
    </w:pPr>
    <w:rPr>
      <w:rFonts w:ascii="Arial" w:eastAsia="Times New Roman" w:hAnsi="Arial" w:cs="Times New Roman"/>
      <w:sz w:val="14"/>
      <w:szCs w:val="24"/>
      <w:lang w:val="en-US"/>
    </w:rPr>
  </w:style>
  <w:style w:type="character" w:customStyle="1" w:styleId="BodyChar">
    <w:name w:val="Body Char"/>
    <w:link w:val="Body"/>
    <w:rsid w:val="00353809"/>
    <w:rPr>
      <w:rFonts w:ascii="Arial" w:hAnsi="Arial"/>
      <w:szCs w:val="24"/>
      <w:lang w:val="en-US" w:eastAsia="en-US"/>
    </w:rPr>
  </w:style>
  <w:style w:type="paragraph" w:styleId="HTML-kntformzott">
    <w:name w:val="HTML Preformatted"/>
    <w:basedOn w:val="Norml"/>
    <w:link w:val="HTML-kntformzottChar"/>
    <w:uiPriority w:val="99"/>
    <w:unhideWhenUsed/>
    <w:rsid w:val="007471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link w:val="HTML-kntformzott"/>
    <w:uiPriority w:val="99"/>
    <w:rsid w:val="007471C7"/>
    <w:rPr>
      <w:rFonts w:ascii="Courier New" w:hAnsi="Courier New" w:cs="Courier New"/>
    </w:rPr>
  </w:style>
  <w:style w:type="character" w:customStyle="1" w:styleId="y2iqfc">
    <w:name w:val="y2iqfc"/>
    <w:basedOn w:val="Bekezdsalapbettpusa"/>
    <w:rsid w:val="00747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2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74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6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74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72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5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92C9F-386B-44B8-800F-3384DD27A8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E5E358-08FD-4C70-91EE-AF41AE298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D36121-8D70-4CCB-B13B-3314B1E3612C}">
  <ds:schemaRefs>
    <ds:schemaRef ds:uri="http://www.w3.org/XML/1998/namespace"/>
    <ds:schemaRef ds:uri="http://schemas.microsoft.com/office/2006/metadata/properties"/>
    <ds:schemaRef ds:uri="891cce82-80a3-4f9d-897f-e31b6bedda70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2c325633-5125-4e96-a0a6-9fcd5cfb1c70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2C10A9C5-5E86-4E54-9BAD-5DEC240C4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8472</Words>
  <Characters>61708</Characters>
  <Application>Microsoft Office Word</Application>
  <DocSecurity>0</DocSecurity>
  <Lines>514</Lines>
  <Paragraphs>140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Richter Gedeon Rt.</Company>
  <LinksUpToDate>false</LinksUpToDate>
  <CharactersWithSpaces>70040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RG Rt.</dc:creator>
  <cp:keywords/>
  <cp:lastModifiedBy>HU OGYI 49.1</cp:lastModifiedBy>
  <cp:revision>4</cp:revision>
  <cp:lastPrinted>2018-11-15T17:33:00Z</cp:lastPrinted>
  <dcterms:created xsi:type="dcterms:W3CDTF">2026-08-18T13:06:00Z</dcterms:created>
  <dcterms:modified xsi:type="dcterms:W3CDTF">2026-08-31T13:52:00Z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