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310F" w14:textId="77777777" w:rsidR="000911B7" w:rsidRPr="00224BE9" w:rsidRDefault="000911B7" w:rsidP="00E66BD7">
      <w:pPr>
        <w:keepNext/>
        <w:rPr>
          <w:b/>
          <w:sz w:val="22"/>
          <w:szCs w:val="22"/>
        </w:rPr>
      </w:pPr>
      <w:r w:rsidRPr="00224BE9">
        <w:rPr>
          <w:b/>
          <w:sz w:val="22"/>
          <w:szCs w:val="22"/>
        </w:rPr>
        <w:t>1.</w:t>
      </w:r>
      <w:r w:rsidRPr="00224BE9">
        <w:rPr>
          <w:b/>
          <w:sz w:val="22"/>
          <w:szCs w:val="22"/>
        </w:rPr>
        <w:tab/>
        <w:t>A GYÓGYSZER</w:t>
      </w:r>
      <w:r w:rsidR="0026278B" w:rsidRPr="00224BE9">
        <w:rPr>
          <w:b/>
          <w:sz w:val="22"/>
          <w:szCs w:val="22"/>
        </w:rPr>
        <w:t xml:space="preserve"> </w:t>
      </w:r>
      <w:r w:rsidRPr="00224BE9">
        <w:rPr>
          <w:b/>
          <w:sz w:val="22"/>
          <w:szCs w:val="22"/>
        </w:rPr>
        <w:t>NEVE</w:t>
      </w:r>
    </w:p>
    <w:p w14:paraId="1C03FCC5" w14:textId="77777777" w:rsidR="000911B7" w:rsidRPr="00224BE9" w:rsidRDefault="000911B7" w:rsidP="00E66BD7">
      <w:pPr>
        <w:keepNext/>
        <w:rPr>
          <w:sz w:val="22"/>
          <w:szCs w:val="22"/>
        </w:rPr>
      </w:pPr>
    </w:p>
    <w:p w14:paraId="6004CFD5" w14:textId="2B17B390" w:rsidR="000911B7" w:rsidRPr="00224BE9" w:rsidRDefault="009E3556" w:rsidP="00E66BD7">
      <w:pPr>
        <w:rPr>
          <w:sz w:val="22"/>
          <w:szCs w:val="22"/>
          <w:shd w:val="clear" w:color="FFFFFF" w:fill="FFFFFF"/>
        </w:rPr>
      </w:pPr>
      <w:r w:rsidRPr="00224BE9">
        <w:rPr>
          <w:sz w:val="22"/>
          <w:szCs w:val="22"/>
          <w:shd w:val="clear" w:color="FFFFFF" w:fill="FFFFFF"/>
        </w:rPr>
        <w:t>Azibactim</w:t>
      </w:r>
      <w:r w:rsidR="000911B7" w:rsidRPr="00224BE9">
        <w:rPr>
          <w:sz w:val="22"/>
          <w:szCs w:val="22"/>
          <w:shd w:val="clear" w:color="FFFFFF" w:fill="FFFFFF"/>
        </w:rPr>
        <w:t xml:space="preserve"> 500</w:t>
      </w:r>
      <w:r w:rsidR="003C0493">
        <w:rPr>
          <w:sz w:val="22"/>
          <w:szCs w:val="22"/>
          <w:shd w:val="clear" w:color="FFFFFF" w:fill="FFFFFF"/>
        </w:rPr>
        <w:t> mg</w:t>
      </w:r>
      <w:r w:rsidR="000911B7" w:rsidRPr="00224BE9">
        <w:rPr>
          <w:sz w:val="22"/>
          <w:szCs w:val="22"/>
          <w:shd w:val="clear" w:color="FFFFFF" w:fill="FFFFFF"/>
        </w:rPr>
        <w:t xml:space="preserve"> filmtabletta</w:t>
      </w:r>
    </w:p>
    <w:p w14:paraId="33A5F60C" w14:textId="77777777" w:rsidR="000911B7" w:rsidRPr="00224BE9" w:rsidRDefault="000911B7" w:rsidP="00E66BD7">
      <w:pPr>
        <w:rPr>
          <w:sz w:val="22"/>
          <w:szCs w:val="22"/>
        </w:rPr>
      </w:pPr>
    </w:p>
    <w:p w14:paraId="00DCF1C5" w14:textId="77777777" w:rsidR="000911B7" w:rsidRPr="00224BE9" w:rsidRDefault="000911B7" w:rsidP="00E66BD7">
      <w:pPr>
        <w:rPr>
          <w:sz w:val="22"/>
          <w:szCs w:val="22"/>
        </w:rPr>
      </w:pPr>
    </w:p>
    <w:p w14:paraId="3733CA04" w14:textId="77777777" w:rsidR="000911B7" w:rsidRPr="00224BE9" w:rsidRDefault="000911B7" w:rsidP="00E66BD7">
      <w:pPr>
        <w:keepNext/>
        <w:rPr>
          <w:b/>
          <w:sz w:val="22"/>
          <w:szCs w:val="22"/>
        </w:rPr>
      </w:pPr>
      <w:r w:rsidRPr="00224BE9">
        <w:rPr>
          <w:b/>
          <w:sz w:val="22"/>
          <w:szCs w:val="22"/>
        </w:rPr>
        <w:t>2.</w:t>
      </w:r>
      <w:r w:rsidRPr="00224BE9">
        <w:rPr>
          <w:b/>
          <w:sz w:val="22"/>
          <w:szCs w:val="22"/>
        </w:rPr>
        <w:tab/>
        <w:t>MINŐSÉGI ÉS MENNYISÉGI ÖSSZETÉTEL</w:t>
      </w:r>
    </w:p>
    <w:p w14:paraId="58D9BED0" w14:textId="77777777" w:rsidR="000911B7" w:rsidRPr="00224BE9" w:rsidRDefault="000911B7" w:rsidP="00E66BD7">
      <w:pPr>
        <w:keepNext/>
        <w:rPr>
          <w:sz w:val="22"/>
          <w:szCs w:val="22"/>
        </w:rPr>
      </w:pPr>
    </w:p>
    <w:p w14:paraId="347A222E" w14:textId="47505B27" w:rsidR="000911B7" w:rsidRPr="00224BE9" w:rsidRDefault="000911B7" w:rsidP="00E66BD7">
      <w:pPr>
        <w:rPr>
          <w:sz w:val="22"/>
          <w:szCs w:val="22"/>
        </w:rPr>
      </w:pPr>
      <w:r w:rsidRPr="00224BE9">
        <w:rPr>
          <w:sz w:val="22"/>
          <w:szCs w:val="22"/>
        </w:rPr>
        <w:t>500</w:t>
      </w:r>
      <w:r w:rsidR="003C0493">
        <w:rPr>
          <w:sz w:val="22"/>
          <w:szCs w:val="22"/>
        </w:rPr>
        <w:t> mg</w:t>
      </w:r>
      <w:r w:rsidRPr="00224BE9">
        <w:rPr>
          <w:sz w:val="22"/>
          <w:szCs w:val="22"/>
        </w:rPr>
        <w:t xml:space="preserve"> azitromicin</w:t>
      </w:r>
      <w:r w:rsidR="009C6E0E" w:rsidRPr="00224BE9">
        <w:rPr>
          <w:sz w:val="22"/>
          <w:szCs w:val="22"/>
        </w:rPr>
        <w:t>t tartalmaz</w:t>
      </w:r>
      <w:r w:rsidRPr="00224BE9">
        <w:rPr>
          <w:sz w:val="22"/>
          <w:szCs w:val="22"/>
        </w:rPr>
        <w:t xml:space="preserve"> (azitromicin-dihidrát formájában) filmtablettánként.</w:t>
      </w:r>
    </w:p>
    <w:p w14:paraId="4C7E18C6" w14:textId="77777777" w:rsidR="000911B7" w:rsidRPr="00224BE9" w:rsidRDefault="000911B7" w:rsidP="00E66BD7">
      <w:pPr>
        <w:rPr>
          <w:sz w:val="22"/>
          <w:szCs w:val="22"/>
        </w:rPr>
      </w:pPr>
    </w:p>
    <w:p w14:paraId="1C894A82" w14:textId="77777777" w:rsidR="000911B7" w:rsidRPr="00224BE9" w:rsidRDefault="000911B7" w:rsidP="00E66BD7">
      <w:pPr>
        <w:rPr>
          <w:sz w:val="22"/>
          <w:szCs w:val="22"/>
        </w:rPr>
      </w:pPr>
      <w:r w:rsidRPr="00224BE9">
        <w:rPr>
          <w:sz w:val="22"/>
          <w:szCs w:val="22"/>
        </w:rPr>
        <w:t xml:space="preserve">A segédanyagok </w:t>
      </w:r>
      <w:r w:rsidR="00F14581" w:rsidRPr="00224BE9">
        <w:rPr>
          <w:sz w:val="22"/>
          <w:szCs w:val="22"/>
        </w:rPr>
        <w:t xml:space="preserve">teljes listáját </w:t>
      </w:r>
      <w:r w:rsidRPr="00224BE9">
        <w:rPr>
          <w:sz w:val="22"/>
          <w:szCs w:val="22"/>
        </w:rPr>
        <w:t>lásd a 6.1</w:t>
      </w:r>
      <w:r w:rsidR="00C72FE1" w:rsidRPr="00224BE9">
        <w:rPr>
          <w:sz w:val="22"/>
          <w:szCs w:val="22"/>
        </w:rPr>
        <w:t> pont</w:t>
      </w:r>
      <w:r w:rsidRPr="00224BE9">
        <w:rPr>
          <w:sz w:val="22"/>
          <w:szCs w:val="22"/>
        </w:rPr>
        <w:t>ban.</w:t>
      </w:r>
    </w:p>
    <w:p w14:paraId="59FC2A40" w14:textId="77777777" w:rsidR="000911B7" w:rsidRPr="00224BE9" w:rsidRDefault="000911B7" w:rsidP="00E66BD7">
      <w:pPr>
        <w:rPr>
          <w:sz w:val="22"/>
          <w:szCs w:val="22"/>
        </w:rPr>
      </w:pPr>
    </w:p>
    <w:p w14:paraId="39EDCEF7" w14:textId="77777777" w:rsidR="00C14545" w:rsidRPr="00224BE9" w:rsidRDefault="00C14545" w:rsidP="00E66BD7">
      <w:pPr>
        <w:rPr>
          <w:sz w:val="22"/>
          <w:szCs w:val="22"/>
        </w:rPr>
      </w:pPr>
    </w:p>
    <w:p w14:paraId="73299AEA" w14:textId="77777777" w:rsidR="000911B7" w:rsidRPr="00224BE9" w:rsidRDefault="000911B7" w:rsidP="00E66BD7">
      <w:pPr>
        <w:keepNext/>
        <w:rPr>
          <w:b/>
          <w:sz w:val="22"/>
          <w:szCs w:val="22"/>
        </w:rPr>
      </w:pPr>
      <w:r w:rsidRPr="00224BE9">
        <w:rPr>
          <w:b/>
          <w:sz w:val="22"/>
          <w:szCs w:val="22"/>
        </w:rPr>
        <w:t>3.</w:t>
      </w:r>
      <w:r w:rsidRPr="00224BE9">
        <w:rPr>
          <w:b/>
          <w:sz w:val="22"/>
          <w:szCs w:val="22"/>
        </w:rPr>
        <w:tab/>
        <w:t>GYÓGYSZERFORMA</w:t>
      </w:r>
    </w:p>
    <w:p w14:paraId="1E290443" w14:textId="77777777" w:rsidR="000911B7" w:rsidRPr="00224BE9" w:rsidRDefault="000911B7" w:rsidP="00E66BD7">
      <w:pPr>
        <w:keepNext/>
        <w:rPr>
          <w:sz w:val="22"/>
          <w:szCs w:val="22"/>
        </w:rPr>
      </w:pPr>
    </w:p>
    <w:p w14:paraId="26953E8E" w14:textId="77777777" w:rsidR="000911B7" w:rsidRPr="00224BE9" w:rsidRDefault="000911B7" w:rsidP="00E66BD7">
      <w:pPr>
        <w:rPr>
          <w:sz w:val="22"/>
          <w:szCs w:val="22"/>
        </w:rPr>
      </w:pPr>
      <w:r w:rsidRPr="00224BE9">
        <w:rPr>
          <w:sz w:val="22"/>
          <w:szCs w:val="22"/>
        </w:rPr>
        <w:t>Filmtabletta</w:t>
      </w:r>
      <w:r w:rsidR="00F14581" w:rsidRPr="00224BE9">
        <w:rPr>
          <w:sz w:val="22"/>
          <w:szCs w:val="22"/>
        </w:rPr>
        <w:t>.</w:t>
      </w:r>
    </w:p>
    <w:p w14:paraId="468D9A9D" w14:textId="77777777" w:rsidR="009E3556" w:rsidRPr="00224BE9" w:rsidRDefault="009E3556" w:rsidP="00E66BD7">
      <w:pPr>
        <w:widowControl w:val="0"/>
        <w:suppressAutoHyphens w:val="0"/>
        <w:rPr>
          <w:sz w:val="22"/>
          <w:szCs w:val="22"/>
        </w:rPr>
      </w:pPr>
      <w:bookmarkStart w:id="0" w:name="_Hlk103940485"/>
      <w:r w:rsidRPr="00224BE9">
        <w:rPr>
          <w:sz w:val="22"/>
          <w:szCs w:val="22"/>
        </w:rPr>
        <w:t xml:space="preserve">Fehér, </w:t>
      </w:r>
      <w:r w:rsidR="00950B10" w:rsidRPr="00224BE9">
        <w:rPr>
          <w:sz w:val="22"/>
          <w:szCs w:val="22"/>
        </w:rPr>
        <w:t>hosszúkás</w:t>
      </w:r>
      <w:r w:rsidRPr="00224BE9">
        <w:rPr>
          <w:sz w:val="22"/>
          <w:szCs w:val="22"/>
        </w:rPr>
        <w:t xml:space="preserve">, mindkét oldalán domború filmtabletta. </w:t>
      </w:r>
    </w:p>
    <w:bookmarkEnd w:id="0"/>
    <w:p w14:paraId="41714862" w14:textId="77777777" w:rsidR="00C14545" w:rsidRPr="00224BE9" w:rsidRDefault="00C14545" w:rsidP="00E66BD7">
      <w:pPr>
        <w:rPr>
          <w:sz w:val="22"/>
          <w:szCs w:val="22"/>
        </w:rPr>
      </w:pPr>
    </w:p>
    <w:p w14:paraId="31F2BF27" w14:textId="77777777" w:rsidR="000911B7" w:rsidRPr="00224BE9" w:rsidRDefault="000911B7" w:rsidP="00C408BC">
      <w:pPr>
        <w:tabs>
          <w:tab w:val="left" w:pos="8220"/>
        </w:tabs>
        <w:rPr>
          <w:sz w:val="22"/>
          <w:szCs w:val="22"/>
        </w:rPr>
      </w:pPr>
    </w:p>
    <w:p w14:paraId="489C160E" w14:textId="77777777" w:rsidR="000911B7" w:rsidRPr="00224BE9" w:rsidRDefault="000911B7" w:rsidP="00E66BD7">
      <w:pPr>
        <w:keepNext/>
        <w:rPr>
          <w:b/>
          <w:sz w:val="22"/>
          <w:szCs w:val="22"/>
        </w:rPr>
      </w:pPr>
      <w:r w:rsidRPr="00224BE9">
        <w:rPr>
          <w:b/>
          <w:sz w:val="22"/>
          <w:szCs w:val="22"/>
        </w:rPr>
        <w:t>4.</w:t>
      </w:r>
      <w:r w:rsidRPr="00224BE9">
        <w:rPr>
          <w:b/>
          <w:sz w:val="22"/>
          <w:szCs w:val="22"/>
        </w:rPr>
        <w:tab/>
        <w:t>KLINIKAI JELLEMZŐK</w:t>
      </w:r>
    </w:p>
    <w:p w14:paraId="368B16DA" w14:textId="77777777" w:rsidR="00224BE9" w:rsidRPr="00224BE9" w:rsidRDefault="00224BE9" w:rsidP="00224BE9">
      <w:pPr>
        <w:suppressAutoHyphens w:val="0"/>
        <w:rPr>
          <w:sz w:val="22"/>
          <w:szCs w:val="22"/>
          <w:lang w:eastAsia="en-US"/>
        </w:rPr>
      </w:pPr>
    </w:p>
    <w:p w14:paraId="10F875A0"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4.1</w:t>
      </w:r>
      <w:r w:rsidRPr="00224BE9">
        <w:rPr>
          <w:b/>
          <w:sz w:val="22"/>
          <w:szCs w:val="22"/>
          <w:lang w:eastAsia="en-US"/>
        </w:rPr>
        <w:tab/>
        <w:t>Terápiás javallatok</w:t>
      </w:r>
    </w:p>
    <w:p w14:paraId="26C53918" w14:textId="77777777" w:rsidR="00224BE9" w:rsidRPr="00224BE9" w:rsidRDefault="00224BE9" w:rsidP="00224BE9">
      <w:pPr>
        <w:suppressAutoHyphens w:val="0"/>
        <w:rPr>
          <w:sz w:val="22"/>
          <w:szCs w:val="22"/>
          <w:lang w:eastAsia="en-US"/>
        </w:rPr>
      </w:pPr>
    </w:p>
    <w:p w14:paraId="772C0982" w14:textId="6AC28DD2" w:rsidR="00224BE9" w:rsidRPr="00224BE9" w:rsidRDefault="00224BE9" w:rsidP="00224BE9">
      <w:pPr>
        <w:suppressAutoHyphens w:val="0"/>
        <w:rPr>
          <w:sz w:val="22"/>
          <w:szCs w:val="22"/>
          <w:lang w:eastAsia="en-US"/>
        </w:rPr>
      </w:pPr>
      <w:r w:rsidRPr="00224BE9">
        <w:rPr>
          <w:sz w:val="22"/>
          <w:szCs w:val="22"/>
          <w:lang w:eastAsia="en-US"/>
        </w:rPr>
        <w:t>Az Azibactim filmtabletta a következő fertőzések kezelésére javallt legalább 45</w:t>
      </w:r>
      <w:r w:rsidR="003C0493">
        <w:rPr>
          <w:sz w:val="22"/>
          <w:szCs w:val="22"/>
          <w:lang w:eastAsia="en-US"/>
        </w:rPr>
        <w:t> kg</w:t>
      </w:r>
      <w:r w:rsidRPr="00224BE9">
        <w:rPr>
          <w:sz w:val="22"/>
          <w:szCs w:val="22"/>
          <w:lang w:eastAsia="en-US"/>
        </w:rPr>
        <w:t>-os testtömegű felnőttek, serdülők és 12</w:t>
      </w:r>
      <w:r w:rsidR="003C0493">
        <w:rPr>
          <w:sz w:val="22"/>
          <w:szCs w:val="22"/>
          <w:lang w:eastAsia="en-US"/>
        </w:rPr>
        <w:t> év</w:t>
      </w:r>
      <w:r w:rsidRPr="00224BE9">
        <w:rPr>
          <w:sz w:val="22"/>
          <w:szCs w:val="22"/>
          <w:lang w:eastAsia="en-US"/>
        </w:rPr>
        <w:t>es és idősebb gyermekek esetében (lásd 4.4 és 5.1</w:t>
      </w:r>
      <w:r w:rsidR="00DE5A63">
        <w:rPr>
          <w:sz w:val="22"/>
          <w:szCs w:val="22"/>
          <w:lang w:eastAsia="en-US"/>
        </w:rPr>
        <w:t> pont</w:t>
      </w:r>
      <w:r w:rsidRPr="00224BE9">
        <w:rPr>
          <w:sz w:val="22"/>
          <w:szCs w:val="22"/>
          <w:lang w:eastAsia="en-US"/>
        </w:rPr>
        <w:t>):</w:t>
      </w:r>
    </w:p>
    <w:p w14:paraId="37AE16B6" w14:textId="77777777" w:rsidR="00224BE9" w:rsidRDefault="00224BE9" w:rsidP="00224BE9">
      <w:pPr>
        <w:numPr>
          <w:ilvl w:val="0"/>
          <w:numId w:val="12"/>
        </w:numPr>
        <w:tabs>
          <w:tab w:val="num" w:pos="567"/>
        </w:tabs>
        <w:suppressAutoHyphens w:val="0"/>
        <w:ind w:hanging="720"/>
        <w:rPr>
          <w:sz w:val="22"/>
          <w:szCs w:val="22"/>
          <w:lang w:eastAsia="en-US"/>
        </w:rPr>
      </w:pPr>
      <w:r w:rsidRPr="00EF1044">
        <w:rPr>
          <w:i/>
          <w:iCs/>
          <w:sz w:val="22"/>
          <w:szCs w:val="22"/>
          <w:lang w:eastAsia="en-US"/>
        </w:rPr>
        <w:t>Streptococcus</w:t>
      </w:r>
      <w:r w:rsidRPr="00224BE9">
        <w:rPr>
          <w:sz w:val="22"/>
          <w:szCs w:val="22"/>
          <w:lang w:eastAsia="en-US"/>
        </w:rPr>
        <w:t xml:space="preserve"> okozta akut tonsillitis és pharyngitis</w:t>
      </w:r>
      <w:r>
        <w:rPr>
          <w:sz w:val="22"/>
          <w:szCs w:val="22"/>
          <w:lang w:eastAsia="en-US"/>
        </w:rPr>
        <w:t>;</w:t>
      </w:r>
    </w:p>
    <w:p w14:paraId="148E5A37" w14:textId="77777777" w:rsidR="00224BE9" w:rsidRDefault="00224BE9" w:rsidP="00224BE9">
      <w:pPr>
        <w:numPr>
          <w:ilvl w:val="0"/>
          <w:numId w:val="12"/>
        </w:numPr>
        <w:tabs>
          <w:tab w:val="num" w:pos="567"/>
        </w:tabs>
        <w:suppressAutoHyphens w:val="0"/>
        <w:ind w:left="567" w:hanging="567"/>
        <w:rPr>
          <w:sz w:val="22"/>
          <w:szCs w:val="22"/>
          <w:lang w:eastAsia="en-US"/>
        </w:rPr>
      </w:pPr>
      <w:r w:rsidRPr="00224BE9">
        <w:rPr>
          <w:sz w:val="22"/>
          <w:szCs w:val="22"/>
          <w:lang w:eastAsia="en-US"/>
        </w:rPr>
        <w:t>akut bakteriális sinusitis</w:t>
      </w:r>
      <w:r>
        <w:rPr>
          <w:sz w:val="22"/>
          <w:szCs w:val="22"/>
          <w:lang w:eastAsia="en-US"/>
        </w:rPr>
        <w:t>;</w:t>
      </w:r>
    </w:p>
    <w:p w14:paraId="70298C00" w14:textId="77777777" w:rsidR="00224BE9" w:rsidRDefault="00224BE9" w:rsidP="00224BE9">
      <w:pPr>
        <w:numPr>
          <w:ilvl w:val="0"/>
          <w:numId w:val="12"/>
        </w:numPr>
        <w:tabs>
          <w:tab w:val="num" w:pos="567"/>
        </w:tabs>
        <w:suppressAutoHyphens w:val="0"/>
        <w:ind w:left="567" w:hanging="567"/>
        <w:rPr>
          <w:sz w:val="22"/>
          <w:szCs w:val="22"/>
          <w:lang w:eastAsia="en-US"/>
        </w:rPr>
      </w:pPr>
      <w:r w:rsidRPr="00224BE9">
        <w:rPr>
          <w:sz w:val="22"/>
          <w:szCs w:val="22"/>
          <w:lang w:eastAsia="en-US"/>
        </w:rPr>
        <w:t>akut bakteriális otitis media</w:t>
      </w:r>
      <w:r>
        <w:rPr>
          <w:sz w:val="22"/>
          <w:szCs w:val="22"/>
          <w:lang w:eastAsia="en-US"/>
        </w:rPr>
        <w:t>;</w:t>
      </w:r>
    </w:p>
    <w:p w14:paraId="0C025D13" w14:textId="77777777" w:rsidR="00224BE9" w:rsidRDefault="00224BE9" w:rsidP="00224BE9">
      <w:pPr>
        <w:numPr>
          <w:ilvl w:val="0"/>
          <w:numId w:val="12"/>
        </w:numPr>
        <w:tabs>
          <w:tab w:val="num" w:pos="567"/>
        </w:tabs>
        <w:suppressAutoHyphens w:val="0"/>
        <w:ind w:left="567" w:hanging="567"/>
        <w:rPr>
          <w:sz w:val="22"/>
          <w:szCs w:val="22"/>
          <w:lang w:eastAsia="en-US"/>
        </w:rPr>
      </w:pPr>
      <w:r w:rsidRPr="00224BE9">
        <w:rPr>
          <w:sz w:val="22"/>
          <w:szCs w:val="22"/>
          <w:lang w:eastAsia="en-US"/>
        </w:rPr>
        <w:t>területen szerzett pneumonia (CAP)</w:t>
      </w:r>
      <w:r>
        <w:rPr>
          <w:sz w:val="22"/>
          <w:szCs w:val="22"/>
          <w:lang w:eastAsia="en-US"/>
        </w:rPr>
        <w:t>;</w:t>
      </w:r>
    </w:p>
    <w:p w14:paraId="4EDF1278" w14:textId="77777777" w:rsidR="00224BE9" w:rsidRDefault="00224BE9" w:rsidP="00224BE9">
      <w:pPr>
        <w:numPr>
          <w:ilvl w:val="0"/>
          <w:numId w:val="12"/>
        </w:numPr>
        <w:tabs>
          <w:tab w:val="num" w:pos="567"/>
        </w:tabs>
        <w:suppressAutoHyphens w:val="0"/>
        <w:ind w:left="567" w:hanging="567"/>
        <w:rPr>
          <w:sz w:val="22"/>
          <w:szCs w:val="22"/>
          <w:lang w:eastAsia="en-US"/>
        </w:rPr>
      </w:pPr>
      <w:r w:rsidRPr="00224BE9">
        <w:rPr>
          <w:sz w:val="22"/>
          <w:szCs w:val="22"/>
          <w:lang w:eastAsia="en-US"/>
        </w:rPr>
        <w:t>akut bakteriális bőr- és lágyrészfertőzések (ABSSSI)</w:t>
      </w:r>
      <w:r>
        <w:rPr>
          <w:sz w:val="22"/>
          <w:szCs w:val="22"/>
          <w:lang w:eastAsia="en-US"/>
        </w:rPr>
        <w:t>;</w:t>
      </w:r>
    </w:p>
    <w:p w14:paraId="15358D4D" w14:textId="77777777" w:rsidR="00224BE9" w:rsidRDefault="00224BE9" w:rsidP="00224BE9">
      <w:pPr>
        <w:numPr>
          <w:ilvl w:val="0"/>
          <w:numId w:val="12"/>
        </w:numPr>
        <w:tabs>
          <w:tab w:val="num" w:pos="567"/>
        </w:tabs>
        <w:suppressAutoHyphens w:val="0"/>
        <w:ind w:left="567" w:hanging="567"/>
        <w:rPr>
          <w:sz w:val="22"/>
          <w:szCs w:val="22"/>
          <w:lang w:eastAsia="en-US"/>
        </w:rPr>
      </w:pPr>
      <w:r>
        <w:rPr>
          <w:sz w:val="22"/>
          <w:szCs w:val="22"/>
          <w:lang w:eastAsia="en-US"/>
        </w:rPr>
        <w:t>e</w:t>
      </w:r>
      <w:r w:rsidRPr="00224BE9">
        <w:rPr>
          <w:sz w:val="22"/>
          <w:szCs w:val="22"/>
          <w:lang w:eastAsia="en-US"/>
        </w:rPr>
        <w:t>rythema migrans (korai lokalizált Lyme-kór)</w:t>
      </w:r>
      <w:r>
        <w:rPr>
          <w:sz w:val="22"/>
          <w:szCs w:val="22"/>
          <w:lang w:eastAsia="en-US"/>
        </w:rPr>
        <w:t>;</w:t>
      </w:r>
    </w:p>
    <w:p w14:paraId="6EBA4FF9" w14:textId="77777777" w:rsidR="00224BE9" w:rsidRDefault="00224BE9" w:rsidP="00224BE9">
      <w:pPr>
        <w:numPr>
          <w:ilvl w:val="0"/>
          <w:numId w:val="12"/>
        </w:numPr>
        <w:tabs>
          <w:tab w:val="num" w:pos="567"/>
        </w:tabs>
        <w:suppressAutoHyphens w:val="0"/>
        <w:ind w:left="567" w:hanging="567"/>
        <w:rPr>
          <w:sz w:val="22"/>
          <w:szCs w:val="22"/>
          <w:lang w:eastAsia="en-US"/>
        </w:rPr>
      </w:pPr>
      <w:r>
        <w:rPr>
          <w:sz w:val="22"/>
          <w:szCs w:val="22"/>
          <w:lang w:eastAsia="en-US"/>
        </w:rPr>
        <w:t>p</w:t>
      </w:r>
      <w:r w:rsidRPr="00224BE9">
        <w:rPr>
          <w:sz w:val="22"/>
          <w:szCs w:val="22"/>
          <w:lang w:eastAsia="en-US"/>
        </w:rPr>
        <w:t>eriodontalis tályogok és periodontitis</w:t>
      </w:r>
      <w:r>
        <w:rPr>
          <w:sz w:val="22"/>
          <w:szCs w:val="22"/>
          <w:lang w:eastAsia="en-US"/>
        </w:rPr>
        <w:t>;</w:t>
      </w:r>
    </w:p>
    <w:p w14:paraId="6EFE3ED8" w14:textId="427A73D3" w:rsidR="00224BE9" w:rsidRPr="00224BE9" w:rsidRDefault="00224BE9" w:rsidP="00224BE9">
      <w:pPr>
        <w:numPr>
          <w:ilvl w:val="0"/>
          <w:numId w:val="12"/>
        </w:numPr>
        <w:tabs>
          <w:tab w:val="num" w:pos="567"/>
        </w:tabs>
        <w:suppressAutoHyphens w:val="0"/>
        <w:ind w:left="567" w:hanging="567"/>
        <w:rPr>
          <w:sz w:val="22"/>
          <w:szCs w:val="22"/>
          <w:lang w:eastAsia="en-US"/>
        </w:rPr>
      </w:pPr>
      <w:r w:rsidRPr="00224BE9">
        <w:rPr>
          <w:i/>
          <w:iCs/>
          <w:sz w:val="22"/>
          <w:szCs w:val="22"/>
          <w:lang w:eastAsia="en-US"/>
        </w:rPr>
        <w:t>Chlamydia trachomatis</w:t>
      </w:r>
      <w:r w:rsidRPr="00224BE9">
        <w:rPr>
          <w:sz w:val="22"/>
          <w:szCs w:val="22"/>
          <w:lang w:eastAsia="en-US"/>
        </w:rPr>
        <w:t xml:space="preserve"> okozta urethritis és cervicitis</w:t>
      </w:r>
      <w:r>
        <w:rPr>
          <w:sz w:val="22"/>
          <w:szCs w:val="22"/>
          <w:lang w:eastAsia="en-US"/>
        </w:rPr>
        <w:t>.</w:t>
      </w:r>
    </w:p>
    <w:p w14:paraId="2ABDC940" w14:textId="77777777" w:rsidR="00224BE9" w:rsidRPr="00224BE9" w:rsidRDefault="00224BE9" w:rsidP="00224BE9">
      <w:pPr>
        <w:suppressAutoHyphens w:val="0"/>
        <w:rPr>
          <w:sz w:val="22"/>
          <w:szCs w:val="22"/>
          <w:lang w:eastAsia="en-US"/>
        </w:rPr>
      </w:pPr>
    </w:p>
    <w:p w14:paraId="4DDE5B90" w14:textId="231C7D70" w:rsidR="00224BE9" w:rsidRPr="00224BE9" w:rsidRDefault="00224BE9" w:rsidP="00224BE9">
      <w:pPr>
        <w:suppressAutoHyphens w:val="0"/>
        <w:rPr>
          <w:sz w:val="22"/>
          <w:szCs w:val="22"/>
          <w:lang w:eastAsia="en-US"/>
        </w:rPr>
      </w:pPr>
      <w:r w:rsidRPr="00224BE9">
        <w:rPr>
          <w:sz w:val="22"/>
          <w:szCs w:val="22"/>
          <w:lang w:eastAsia="en-US"/>
        </w:rPr>
        <w:t>Az Azibactim filmtabletta krónikus bronchitis akut exacerbációjának kezelésére javallt felnőtt betegeknél.</w:t>
      </w:r>
    </w:p>
    <w:p w14:paraId="666B8FCF" w14:textId="77777777" w:rsidR="00224BE9" w:rsidRPr="00224BE9" w:rsidRDefault="00224BE9" w:rsidP="00224BE9">
      <w:pPr>
        <w:suppressAutoHyphens w:val="0"/>
        <w:rPr>
          <w:sz w:val="22"/>
          <w:szCs w:val="22"/>
          <w:lang w:eastAsia="en-US"/>
        </w:rPr>
      </w:pPr>
    </w:p>
    <w:p w14:paraId="4778D2A3" w14:textId="77777777" w:rsidR="00224BE9" w:rsidRPr="00224BE9" w:rsidRDefault="00224BE9" w:rsidP="00224BE9">
      <w:pPr>
        <w:suppressAutoHyphens w:val="0"/>
        <w:rPr>
          <w:sz w:val="22"/>
          <w:szCs w:val="22"/>
          <w:lang w:eastAsia="en-US"/>
        </w:rPr>
      </w:pPr>
      <w:r w:rsidRPr="00224BE9">
        <w:rPr>
          <w:sz w:val="22"/>
          <w:szCs w:val="22"/>
          <w:lang w:eastAsia="en-US"/>
        </w:rPr>
        <w:t>Figyelembe kell venni az antibakteriális gyógyszerek megfelelő alkalmazására vonatkozó hivatalos ajánlásokat.</w:t>
      </w:r>
    </w:p>
    <w:p w14:paraId="01359A46" w14:textId="77777777" w:rsidR="00224BE9" w:rsidRPr="00224BE9" w:rsidRDefault="00224BE9" w:rsidP="00224BE9">
      <w:pPr>
        <w:suppressAutoHyphens w:val="0"/>
        <w:rPr>
          <w:sz w:val="22"/>
          <w:szCs w:val="22"/>
          <w:lang w:eastAsia="en-US"/>
        </w:rPr>
      </w:pPr>
    </w:p>
    <w:p w14:paraId="006C27DB"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4.2</w:t>
      </w:r>
      <w:r w:rsidRPr="00224BE9">
        <w:rPr>
          <w:b/>
          <w:sz w:val="22"/>
          <w:szCs w:val="22"/>
          <w:lang w:eastAsia="en-US"/>
        </w:rPr>
        <w:tab/>
        <w:t>Adagolás és alkalmazás</w:t>
      </w:r>
    </w:p>
    <w:p w14:paraId="5041A76B" w14:textId="77777777" w:rsidR="00224BE9" w:rsidRPr="00224BE9" w:rsidRDefault="00224BE9" w:rsidP="00224BE9">
      <w:pPr>
        <w:suppressAutoHyphens w:val="0"/>
        <w:rPr>
          <w:sz w:val="22"/>
          <w:szCs w:val="22"/>
          <w:lang w:eastAsia="en-US"/>
        </w:rPr>
      </w:pPr>
    </w:p>
    <w:p w14:paraId="01C09551"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Adagolás</w:t>
      </w:r>
    </w:p>
    <w:p w14:paraId="542CFCB2" w14:textId="77777777" w:rsidR="00224BE9" w:rsidRPr="00224BE9" w:rsidRDefault="00224BE9" w:rsidP="00224BE9">
      <w:pPr>
        <w:suppressAutoHyphens w:val="0"/>
        <w:rPr>
          <w:sz w:val="22"/>
          <w:szCs w:val="22"/>
          <w:u w:val="single"/>
          <w:lang w:eastAsia="en-US"/>
        </w:rPr>
      </w:pPr>
    </w:p>
    <w:p w14:paraId="5CE72250" w14:textId="5E2CCF93" w:rsidR="00224BE9" w:rsidRPr="00224BE9" w:rsidRDefault="00224BE9" w:rsidP="00224BE9">
      <w:pPr>
        <w:suppressAutoHyphens w:val="0"/>
        <w:rPr>
          <w:i/>
          <w:iCs/>
          <w:sz w:val="22"/>
          <w:szCs w:val="22"/>
          <w:lang w:eastAsia="en-US"/>
        </w:rPr>
      </w:pPr>
      <w:r w:rsidRPr="00224BE9">
        <w:rPr>
          <w:i/>
          <w:iCs/>
          <w:sz w:val="22"/>
          <w:szCs w:val="22"/>
          <w:lang w:eastAsia="en-US"/>
        </w:rPr>
        <w:t>Legalább 45</w:t>
      </w:r>
      <w:r w:rsidR="003C0493">
        <w:rPr>
          <w:i/>
          <w:iCs/>
          <w:sz w:val="22"/>
          <w:szCs w:val="22"/>
          <w:lang w:eastAsia="en-US"/>
        </w:rPr>
        <w:t> kg</w:t>
      </w:r>
      <w:r w:rsidRPr="00224BE9">
        <w:rPr>
          <w:i/>
          <w:iCs/>
          <w:sz w:val="22"/>
          <w:szCs w:val="22"/>
          <w:lang w:eastAsia="en-US"/>
        </w:rPr>
        <w:t>-os testtömegű felnőttek, serdülők</w:t>
      </w:r>
      <w:r w:rsidRPr="00224BE9">
        <w:rPr>
          <w:sz w:val="22"/>
          <w:lang w:eastAsia="en-US"/>
        </w:rPr>
        <w:t xml:space="preserve"> </w:t>
      </w:r>
      <w:r w:rsidRPr="00224BE9">
        <w:rPr>
          <w:i/>
          <w:iCs/>
          <w:sz w:val="22"/>
          <w:szCs w:val="22"/>
          <w:lang w:eastAsia="en-US"/>
        </w:rPr>
        <w:t>és 12</w:t>
      </w:r>
      <w:r w:rsidR="003C0493">
        <w:rPr>
          <w:i/>
          <w:iCs/>
          <w:sz w:val="22"/>
          <w:szCs w:val="22"/>
          <w:lang w:eastAsia="en-US"/>
        </w:rPr>
        <w:t> év</w:t>
      </w:r>
      <w:r w:rsidRPr="00224BE9">
        <w:rPr>
          <w:i/>
          <w:iCs/>
          <w:sz w:val="22"/>
          <w:szCs w:val="22"/>
          <w:lang w:eastAsia="en-US"/>
        </w:rPr>
        <w:t>es és idősebb gyermekek</w:t>
      </w:r>
    </w:p>
    <w:p w14:paraId="2A1C4C41" w14:textId="77777777" w:rsidR="00224BE9" w:rsidRPr="00224BE9" w:rsidRDefault="00224BE9" w:rsidP="00224BE9">
      <w:pPr>
        <w:suppressAutoHyphens w:val="0"/>
        <w:rPr>
          <w:sz w:val="22"/>
          <w:szCs w:val="22"/>
          <w:lang w:eastAsia="en-US"/>
        </w:rPr>
      </w:pPr>
      <w:r w:rsidRPr="00224BE9">
        <w:rPr>
          <w:sz w:val="22"/>
          <w:szCs w:val="22"/>
          <w:lang w:eastAsia="en-US"/>
        </w:rPr>
        <w:t>Az azitromicint naponta egyszer kell alkalmazni.</w:t>
      </w:r>
    </w:p>
    <w:p w14:paraId="1AA61063" w14:textId="77777777" w:rsidR="00224BE9" w:rsidRPr="00224BE9" w:rsidRDefault="00224BE9" w:rsidP="00224BE9">
      <w:pPr>
        <w:suppressAutoHyphens w:val="0"/>
        <w:rPr>
          <w:sz w:val="22"/>
          <w:szCs w:val="22"/>
          <w:lang w:eastAsia="en-US"/>
        </w:rPr>
      </w:pPr>
    </w:p>
    <w:p w14:paraId="6FCF7756" w14:textId="4CB53C71" w:rsidR="00224BE9" w:rsidRPr="00224BE9" w:rsidRDefault="00224BE9" w:rsidP="00EF1044">
      <w:pPr>
        <w:suppressAutoHyphens w:val="0"/>
        <w:rPr>
          <w:sz w:val="22"/>
          <w:szCs w:val="22"/>
          <w:lang w:eastAsia="en-US"/>
        </w:rPr>
      </w:pPr>
      <w:bookmarkStart w:id="1" w:name="_Hlk208866131"/>
      <w:r w:rsidRPr="00224BE9">
        <w:rPr>
          <w:sz w:val="22"/>
          <w:szCs w:val="22"/>
          <w:lang w:eastAsia="en-US"/>
        </w:rPr>
        <w:t>1. táblázat: Adagolási ajánlások legalább 45</w:t>
      </w:r>
      <w:r w:rsidR="003C0493">
        <w:rPr>
          <w:sz w:val="22"/>
          <w:szCs w:val="22"/>
          <w:lang w:eastAsia="en-US"/>
        </w:rPr>
        <w:t> kg</w:t>
      </w:r>
      <w:r w:rsidRPr="00224BE9">
        <w:rPr>
          <w:sz w:val="22"/>
          <w:szCs w:val="22"/>
          <w:lang w:eastAsia="en-US"/>
        </w:rPr>
        <w:t>-os testtömegű felnőttek, serdülők és 12</w:t>
      </w:r>
      <w:r w:rsidR="003C0493">
        <w:rPr>
          <w:sz w:val="22"/>
          <w:szCs w:val="22"/>
          <w:lang w:eastAsia="en-US"/>
        </w:rPr>
        <w:t> év</w:t>
      </w:r>
      <w:r w:rsidRPr="00224BE9">
        <w:rPr>
          <w:sz w:val="22"/>
          <w:szCs w:val="22"/>
          <w:lang w:eastAsia="en-US"/>
        </w:rPr>
        <w:t>es és idősebb gyermekek számára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211"/>
      </w:tblGrid>
      <w:tr w:rsidR="00224BE9" w:rsidRPr="00224BE9" w14:paraId="2B312395" w14:textId="77777777" w:rsidTr="00F80076">
        <w:tc>
          <w:tcPr>
            <w:tcW w:w="5070" w:type="dxa"/>
          </w:tcPr>
          <w:p w14:paraId="05220220" w14:textId="77777777" w:rsidR="00224BE9" w:rsidRPr="00224BE9" w:rsidRDefault="00224BE9" w:rsidP="00224BE9">
            <w:pPr>
              <w:widowControl w:val="0"/>
              <w:rPr>
                <w:sz w:val="22"/>
                <w:szCs w:val="22"/>
                <w:lang w:eastAsia="en-US"/>
              </w:rPr>
            </w:pPr>
            <w:bookmarkStart w:id="2" w:name="_Hlk208866153"/>
            <w:bookmarkEnd w:id="1"/>
            <w:r w:rsidRPr="00224BE9">
              <w:rPr>
                <w:sz w:val="22"/>
                <w:szCs w:val="22"/>
                <w:lang w:eastAsia="en-US"/>
              </w:rPr>
              <w:t>Javallat</w:t>
            </w:r>
          </w:p>
        </w:tc>
        <w:tc>
          <w:tcPr>
            <w:tcW w:w="4211" w:type="dxa"/>
          </w:tcPr>
          <w:p w14:paraId="04B83E0D" w14:textId="77777777" w:rsidR="00224BE9" w:rsidRPr="00224BE9" w:rsidRDefault="00224BE9" w:rsidP="00224BE9">
            <w:pPr>
              <w:widowControl w:val="0"/>
              <w:rPr>
                <w:sz w:val="22"/>
                <w:szCs w:val="22"/>
                <w:lang w:eastAsia="en-US"/>
              </w:rPr>
            </w:pPr>
            <w:r w:rsidRPr="00224BE9">
              <w:rPr>
                <w:sz w:val="22"/>
                <w:szCs w:val="22"/>
                <w:lang w:eastAsia="en-US"/>
              </w:rPr>
              <w:t>Az azitromicin adagolási rendje</w:t>
            </w:r>
          </w:p>
        </w:tc>
      </w:tr>
      <w:tr w:rsidR="00224BE9" w:rsidRPr="00224BE9" w14:paraId="701FB8CD" w14:textId="77777777" w:rsidTr="00F80076">
        <w:tc>
          <w:tcPr>
            <w:tcW w:w="5070" w:type="dxa"/>
          </w:tcPr>
          <w:p w14:paraId="172EE113" w14:textId="77777777" w:rsidR="00224BE9" w:rsidRPr="00224BE9" w:rsidRDefault="00224BE9" w:rsidP="00224BE9">
            <w:pPr>
              <w:widowControl w:val="0"/>
              <w:rPr>
                <w:sz w:val="22"/>
                <w:szCs w:val="22"/>
                <w:lang w:eastAsia="en-US"/>
              </w:rPr>
            </w:pPr>
            <w:r w:rsidRPr="00EF1044">
              <w:rPr>
                <w:i/>
                <w:iCs/>
                <w:sz w:val="22"/>
                <w:szCs w:val="22"/>
                <w:lang w:eastAsia="en-US"/>
              </w:rPr>
              <w:t>Streptococcus</w:t>
            </w:r>
            <w:r w:rsidRPr="00224BE9">
              <w:rPr>
                <w:sz w:val="22"/>
                <w:szCs w:val="22"/>
                <w:lang w:eastAsia="en-US"/>
              </w:rPr>
              <w:t xml:space="preserve"> okozta akut tonsillitis és pharyngitis</w:t>
            </w:r>
          </w:p>
          <w:p w14:paraId="7C7D567D" w14:textId="77777777" w:rsidR="00224BE9" w:rsidRPr="00224BE9" w:rsidRDefault="00224BE9" w:rsidP="00224BE9">
            <w:pPr>
              <w:widowControl w:val="0"/>
              <w:rPr>
                <w:sz w:val="22"/>
                <w:szCs w:val="22"/>
                <w:lang w:eastAsia="en-US"/>
              </w:rPr>
            </w:pPr>
          </w:p>
          <w:p w14:paraId="6F6BE947" w14:textId="77777777" w:rsidR="00224BE9" w:rsidRPr="00224BE9" w:rsidRDefault="00224BE9" w:rsidP="00224BE9">
            <w:pPr>
              <w:widowControl w:val="0"/>
              <w:rPr>
                <w:sz w:val="22"/>
                <w:szCs w:val="22"/>
                <w:lang w:eastAsia="en-US"/>
              </w:rPr>
            </w:pPr>
            <w:r w:rsidRPr="00224BE9">
              <w:rPr>
                <w:sz w:val="22"/>
                <w:szCs w:val="22"/>
                <w:lang w:eastAsia="en-US"/>
              </w:rPr>
              <w:t>Akut bakteriális sinusitis</w:t>
            </w:r>
          </w:p>
          <w:p w14:paraId="19E129FA" w14:textId="77777777" w:rsidR="00224BE9" w:rsidRPr="00224BE9" w:rsidRDefault="00224BE9" w:rsidP="00224BE9">
            <w:pPr>
              <w:widowControl w:val="0"/>
              <w:rPr>
                <w:sz w:val="22"/>
                <w:szCs w:val="22"/>
                <w:lang w:eastAsia="en-US"/>
              </w:rPr>
            </w:pPr>
          </w:p>
          <w:p w14:paraId="6E1425EC" w14:textId="77777777" w:rsidR="00224BE9" w:rsidRPr="00224BE9" w:rsidRDefault="00224BE9" w:rsidP="00224BE9">
            <w:pPr>
              <w:widowControl w:val="0"/>
              <w:rPr>
                <w:sz w:val="22"/>
                <w:szCs w:val="22"/>
                <w:lang w:eastAsia="en-US"/>
              </w:rPr>
            </w:pPr>
            <w:r w:rsidRPr="00224BE9">
              <w:rPr>
                <w:sz w:val="22"/>
                <w:szCs w:val="22"/>
                <w:lang w:eastAsia="en-US"/>
              </w:rPr>
              <w:t>Akut bakteriális otitis media</w:t>
            </w:r>
          </w:p>
          <w:p w14:paraId="15FFC13A" w14:textId="77777777" w:rsidR="00224BE9" w:rsidRPr="00224BE9" w:rsidRDefault="00224BE9" w:rsidP="00224BE9">
            <w:pPr>
              <w:widowControl w:val="0"/>
              <w:rPr>
                <w:sz w:val="22"/>
                <w:szCs w:val="22"/>
                <w:lang w:eastAsia="en-US"/>
              </w:rPr>
            </w:pPr>
          </w:p>
          <w:p w14:paraId="0FA49687" w14:textId="77777777" w:rsidR="00224BE9" w:rsidRPr="00224BE9" w:rsidRDefault="00224BE9" w:rsidP="00224BE9">
            <w:pPr>
              <w:widowControl w:val="0"/>
              <w:rPr>
                <w:sz w:val="22"/>
                <w:szCs w:val="22"/>
                <w:lang w:eastAsia="en-US"/>
              </w:rPr>
            </w:pPr>
            <w:r w:rsidRPr="00224BE9">
              <w:rPr>
                <w:sz w:val="22"/>
                <w:szCs w:val="22"/>
                <w:lang w:eastAsia="en-US"/>
              </w:rPr>
              <w:t>Krónikus bronchitis akut exacerbációja</w:t>
            </w:r>
            <w:r w:rsidRPr="00EF1044">
              <w:rPr>
                <w:sz w:val="22"/>
                <w:szCs w:val="22"/>
                <w:lang w:eastAsia="en-US"/>
              </w:rPr>
              <w:t>*</w:t>
            </w:r>
          </w:p>
          <w:p w14:paraId="382F8552" w14:textId="77777777" w:rsidR="00224BE9" w:rsidRPr="00224BE9" w:rsidRDefault="00224BE9" w:rsidP="00224BE9">
            <w:pPr>
              <w:widowControl w:val="0"/>
              <w:rPr>
                <w:sz w:val="22"/>
                <w:szCs w:val="22"/>
                <w:lang w:eastAsia="en-US"/>
              </w:rPr>
            </w:pPr>
          </w:p>
          <w:p w14:paraId="121A712F" w14:textId="77777777" w:rsidR="00224BE9" w:rsidRPr="00224BE9" w:rsidRDefault="00224BE9" w:rsidP="00224BE9">
            <w:pPr>
              <w:widowControl w:val="0"/>
              <w:rPr>
                <w:sz w:val="22"/>
                <w:szCs w:val="22"/>
                <w:lang w:eastAsia="en-US"/>
              </w:rPr>
            </w:pPr>
            <w:r w:rsidRPr="00224BE9">
              <w:rPr>
                <w:sz w:val="22"/>
                <w:szCs w:val="22"/>
                <w:lang w:eastAsia="en-US"/>
              </w:rPr>
              <w:lastRenderedPageBreak/>
              <w:t>Területen szerzett pneumonia</w:t>
            </w:r>
            <w:r w:rsidRPr="00224BE9">
              <w:rPr>
                <w:sz w:val="22"/>
                <w:szCs w:val="22"/>
                <w:vertAlign w:val="superscript"/>
                <w:lang w:eastAsia="en-US"/>
              </w:rPr>
              <w:t>#</w:t>
            </w:r>
          </w:p>
          <w:p w14:paraId="1B74DC1D" w14:textId="77777777" w:rsidR="00224BE9" w:rsidRPr="00224BE9" w:rsidRDefault="00224BE9" w:rsidP="00224BE9">
            <w:pPr>
              <w:widowControl w:val="0"/>
              <w:rPr>
                <w:sz w:val="22"/>
                <w:szCs w:val="22"/>
                <w:lang w:eastAsia="en-US"/>
              </w:rPr>
            </w:pPr>
          </w:p>
          <w:p w14:paraId="0CD15CA7" w14:textId="77777777" w:rsidR="00224BE9" w:rsidRDefault="00224BE9" w:rsidP="00224BE9">
            <w:pPr>
              <w:widowControl w:val="0"/>
              <w:rPr>
                <w:sz w:val="22"/>
                <w:szCs w:val="22"/>
                <w:lang w:eastAsia="en-US"/>
              </w:rPr>
            </w:pPr>
            <w:r w:rsidRPr="00224BE9">
              <w:rPr>
                <w:sz w:val="22"/>
                <w:szCs w:val="22"/>
                <w:lang w:eastAsia="en-US"/>
              </w:rPr>
              <w:t>Akut bakteriális bőr- és lágyrészfertőzések</w:t>
            </w:r>
          </w:p>
          <w:p w14:paraId="60725011" w14:textId="77777777" w:rsidR="008647DB" w:rsidRDefault="008647DB" w:rsidP="00224BE9">
            <w:pPr>
              <w:widowControl w:val="0"/>
              <w:rPr>
                <w:sz w:val="22"/>
                <w:szCs w:val="22"/>
                <w:lang w:eastAsia="en-US"/>
              </w:rPr>
            </w:pPr>
          </w:p>
          <w:p w14:paraId="6D2CF550" w14:textId="1318CA6B" w:rsidR="008647DB" w:rsidRPr="00224BE9" w:rsidRDefault="008647DB" w:rsidP="00224BE9">
            <w:pPr>
              <w:widowControl w:val="0"/>
              <w:rPr>
                <w:sz w:val="22"/>
                <w:szCs w:val="22"/>
                <w:lang w:eastAsia="en-US"/>
              </w:rPr>
            </w:pPr>
            <w:r w:rsidRPr="008647DB">
              <w:rPr>
                <w:sz w:val="22"/>
                <w:szCs w:val="22"/>
                <w:lang w:eastAsia="en-US"/>
              </w:rPr>
              <w:t>Periodontalis tályogok és periodontitis</w:t>
            </w:r>
          </w:p>
        </w:tc>
        <w:tc>
          <w:tcPr>
            <w:tcW w:w="4211" w:type="dxa"/>
          </w:tcPr>
          <w:p w14:paraId="70CBE16A" w14:textId="77777777" w:rsidR="00224BE9" w:rsidRPr="00224BE9" w:rsidRDefault="00224BE9" w:rsidP="00224BE9">
            <w:pPr>
              <w:widowControl w:val="0"/>
              <w:rPr>
                <w:sz w:val="22"/>
                <w:szCs w:val="22"/>
                <w:lang w:eastAsia="en-US"/>
              </w:rPr>
            </w:pPr>
          </w:p>
          <w:p w14:paraId="58939A50" w14:textId="77777777" w:rsidR="00224BE9" w:rsidRPr="00224BE9" w:rsidRDefault="00224BE9" w:rsidP="00224BE9">
            <w:pPr>
              <w:widowControl w:val="0"/>
              <w:rPr>
                <w:sz w:val="22"/>
                <w:szCs w:val="22"/>
                <w:lang w:eastAsia="en-US"/>
              </w:rPr>
            </w:pPr>
          </w:p>
          <w:p w14:paraId="462F8394" w14:textId="77777777" w:rsidR="00983D99" w:rsidRDefault="00983D99" w:rsidP="00224BE9">
            <w:pPr>
              <w:widowControl w:val="0"/>
              <w:rPr>
                <w:sz w:val="22"/>
                <w:szCs w:val="22"/>
                <w:lang w:eastAsia="en-US"/>
              </w:rPr>
            </w:pPr>
          </w:p>
          <w:p w14:paraId="2EF11959" w14:textId="77777777" w:rsidR="00983D99" w:rsidRDefault="00983D99" w:rsidP="00224BE9">
            <w:pPr>
              <w:widowControl w:val="0"/>
              <w:rPr>
                <w:sz w:val="22"/>
                <w:szCs w:val="22"/>
                <w:lang w:eastAsia="en-US"/>
              </w:rPr>
            </w:pPr>
          </w:p>
          <w:p w14:paraId="551461B6" w14:textId="77777777" w:rsidR="00983D99" w:rsidRDefault="00983D99" w:rsidP="00224BE9">
            <w:pPr>
              <w:widowControl w:val="0"/>
              <w:rPr>
                <w:sz w:val="22"/>
                <w:szCs w:val="22"/>
                <w:lang w:eastAsia="en-US"/>
              </w:rPr>
            </w:pPr>
          </w:p>
          <w:p w14:paraId="735A7531" w14:textId="77777777" w:rsidR="00983D99" w:rsidRDefault="00983D99" w:rsidP="00224BE9">
            <w:pPr>
              <w:widowControl w:val="0"/>
              <w:rPr>
                <w:sz w:val="22"/>
                <w:szCs w:val="22"/>
                <w:lang w:eastAsia="en-US"/>
              </w:rPr>
            </w:pPr>
          </w:p>
          <w:p w14:paraId="3193E42D" w14:textId="5992E4A5" w:rsidR="00224BE9" w:rsidRPr="00224BE9" w:rsidRDefault="00224BE9" w:rsidP="00224BE9">
            <w:pPr>
              <w:widowControl w:val="0"/>
              <w:rPr>
                <w:sz w:val="22"/>
                <w:szCs w:val="22"/>
                <w:lang w:eastAsia="en-US"/>
              </w:rPr>
            </w:pPr>
            <w:r w:rsidRPr="00224BE9">
              <w:rPr>
                <w:sz w:val="22"/>
                <w:szCs w:val="22"/>
                <w:lang w:eastAsia="en-US"/>
              </w:rPr>
              <w:t>500</w:t>
            </w:r>
            <w:r w:rsidR="003C0493">
              <w:rPr>
                <w:sz w:val="22"/>
                <w:szCs w:val="22"/>
                <w:lang w:eastAsia="en-US"/>
              </w:rPr>
              <w:t> mg</w:t>
            </w:r>
            <w:r w:rsidRPr="00224BE9">
              <w:rPr>
                <w:sz w:val="22"/>
                <w:szCs w:val="22"/>
                <w:lang w:eastAsia="en-US"/>
              </w:rPr>
              <w:t>/nap 3 napig</w:t>
            </w:r>
          </w:p>
          <w:p w14:paraId="34E27E9A" w14:textId="3768819A" w:rsidR="00224BE9" w:rsidRPr="00224BE9" w:rsidRDefault="00224BE9" w:rsidP="00224BE9">
            <w:pPr>
              <w:widowControl w:val="0"/>
              <w:rPr>
                <w:sz w:val="22"/>
                <w:szCs w:val="22"/>
                <w:lang w:eastAsia="en-US"/>
              </w:rPr>
            </w:pPr>
          </w:p>
        </w:tc>
      </w:tr>
      <w:tr w:rsidR="008647DB" w:rsidRPr="008647DB" w14:paraId="387F771D" w14:textId="77777777" w:rsidTr="00F80076">
        <w:tc>
          <w:tcPr>
            <w:tcW w:w="5070" w:type="dxa"/>
          </w:tcPr>
          <w:p w14:paraId="203FBABD" w14:textId="2C2A2F82" w:rsidR="008647DB" w:rsidRPr="008647DB" w:rsidRDefault="008647DB" w:rsidP="008647DB">
            <w:pPr>
              <w:widowControl w:val="0"/>
              <w:tabs>
                <w:tab w:val="left" w:pos="1399"/>
              </w:tabs>
              <w:rPr>
                <w:i/>
                <w:iCs/>
                <w:sz w:val="22"/>
                <w:szCs w:val="22"/>
                <w:lang w:eastAsia="en-US"/>
              </w:rPr>
            </w:pPr>
            <w:r w:rsidRPr="00EF1044">
              <w:rPr>
                <w:sz w:val="22"/>
                <w:szCs w:val="22"/>
              </w:rPr>
              <w:t>Erythema migrans (korai lokalizált Lyme-kór)</w:t>
            </w:r>
          </w:p>
        </w:tc>
        <w:tc>
          <w:tcPr>
            <w:tcW w:w="4211" w:type="dxa"/>
          </w:tcPr>
          <w:p w14:paraId="47EBB4AF" w14:textId="419AE2B8" w:rsidR="008647DB" w:rsidRPr="008647DB" w:rsidRDefault="008647DB" w:rsidP="008647DB">
            <w:pPr>
              <w:widowControl w:val="0"/>
              <w:ind w:firstLine="32"/>
              <w:rPr>
                <w:sz w:val="22"/>
                <w:szCs w:val="22"/>
                <w:lang w:eastAsia="en-US"/>
              </w:rPr>
            </w:pPr>
            <w:r w:rsidRPr="00EF1044">
              <w:rPr>
                <w:sz w:val="22"/>
                <w:szCs w:val="22"/>
              </w:rPr>
              <w:t>1000</w:t>
            </w:r>
            <w:r w:rsidR="003C0493">
              <w:rPr>
                <w:sz w:val="22"/>
                <w:szCs w:val="22"/>
              </w:rPr>
              <w:t> mg</w:t>
            </w:r>
            <w:r w:rsidRPr="00EF1044">
              <w:rPr>
                <w:sz w:val="22"/>
                <w:szCs w:val="22"/>
              </w:rPr>
              <w:t xml:space="preserve"> az 1. napon, amelyet 500</w:t>
            </w:r>
            <w:r w:rsidR="003C0493">
              <w:rPr>
                <w:sz w:val="22"/>
                <w:szCs w:val="22"/>
              </w:rPr>
              <w:t> mg</w:t>
            </w:r>
            <w:r w:rsidRPr="00EF1044">
              <w:rPr>
                <w:sz w:val="22"/>
                <w:szCs w:val="22"/>
              </w:rPr>
              <w:t>/nap követ a 2–10. napon</w:t>
            </w:r>
          </w:p>
        </w:tc>
      </w:tr>
      <w:tr w:rsidR="00224BE9" w:rsidRPr="00224BE9" w14:paraId="4B8ABC69" w14:textId="77777777" w:rsidTr="00F80076">
        <w:tc>
          <w:tcPr>
            <w:tcW w:w="5070" w:type="dxa"/>
          </w:tcPr>
          <w:p w14:paraId="0C018F08" w14:textId="77777777" w:rsidR="00224BE9" w:rsidRPr="00224BE9" w:rsidRDefault="00224BE9" w:rsidP="00224BE9">
            <w:pPr>
              <w:widowControl w:val="0"/>
              <w:tabs>
                <w:tab w:val="left" w:pos="1399"/>
              </w:tabs>
              <w:rPr>
                <w:sz w:val="22"/>
                <w:szCs w:val="22"/>
                <w:lang w:eastAsia="en-US"/>
              </w:rPr>
            </w:pPr>
            <w:r w:rsidRPr="00224BE9">
              <w:rPr>
                <w:i/>
                <w:iCs/>
                <w:sz w:val="22"/>
                <w:szCs w:val="22"/>
                <w:lang w:eastAsia="en-US"/>
              </w:rPr>
              <w:t>Chlamydia trachomatis</w:t>
            </w:r>
            <w:r w:rsidRPr="00224BE9">
              <w:rPr>
                <w:sz w:val="22"/>
                <w:szCs w:val="22"/>
                <w:lang w:eastAsia="en-US"/>
              </w:rPr>
              <w:t xml:space="preserve"> okozta urethritis és cervicitis</w:t>
            </w:r>
          </w:p>
          <w:p w14:paraId="32D8D171" w14:textId="77777777" w:rsidR="00224BE9" w:rsidRPr="00224BE9" w:rsidRDefault="00224BE9" w:rsidP="00224BE9">
            <w:pPr>
              <w:widowControl w:val="0"/>
              <w:tabs>
                <w:tab w:val="left" w:pos="1399"/>
              </w:tabs>
              <w:rPr>
                <w:sz w:val="22"/>
                <w:szCs w:val="22"/>
                <w:lang w:eastAsia="en-US"/>
              </w:rPr>
            </w:pPr>
          </w:p>
        </w:tc>
        <w:tc>
          <w:tcPr>
            <w:tcW w:w="4211" w:type="dxa"/>
          </w:tcPr>
          <w:p w14:paraId="42E7A3FB" w14:textId="700953A0" w:rsidR="00224BE9" w:rsidRPr="00224BE9" w:rsidRDefault="00224BE9" w:rsidP="00224BE9">
            <w:pPr>
              <w:widowControl w:val="0"/>
              <w:ind w:firstLine="32"/>
              <w:rPr>
                <w:sz w:val="22"/>
                <w:szCs w:val="22"/>
                <w:lang w:eastAsia="en-US"/>
              </w:rPr>
            </w:pPr>
            <w:r w:rsidRPr="00224BE9">
              <w:rPr>
                <w:sz w:val="22"/>
                <w:szCs w:val="22"/>
                <w:lang w:eastAsia="en-US"/>
              </w:rPr>
              <w:t>1000</w:t>
            </w:r>
            <w:r w:rsidR="003C0493">
              <w:rPr>
                <w:sz w:val="22"/>
                <w:szCs w:val="22"/>
                <w:lang w:eastAsia="en-US"/>
              </w:rPr>
              <w:t> mg</w:t>
            </w:r>
            <w:r w:rsidRPr="00224BE9">
              <w:rPr>
                <w:sz w:val="22"/>
                <w:szCs w:val="22"/>
                <w:lang w:eastAsia="en-US"/>
              </w:rPr>
              <w:t xml:space="preserve"> egyszeri dózis</w:t>
            </w:r>
          </w:p>
        </w:tc>
      </w:tr>
      <w:tr w:rsidR="00224BE9" w:rsidRPr="00224BE9" w14:paraId="3F51A699" w14:textId="77777777" w:rsidTr="00F80076">
        <w:tc>
          <w:tcPr>
            <w:tcW w:w="9281" w:type="dxa"/>
            <w:gridSpan w:val="2"/>
          </w:tcPr>
          <w:p w14:paraId="246AD506" w14:textId="77777777" w:rsidR="00224BE9" w:rsidRPr="00224BE9" w:rsidRDefault="00224BE9" w:rsidP="00224BE9">
            <w:pPr>
              <w:widowControl w:val="0"/>
              <w:rPr>
                <w:sz w:val="22"/>
                <w:szCs w:val="22"/>
                <w:lang w:eastAsia="en-US"/>
              </w:rPr>
            </w:pPr>
            <w:r w:rsidRPr="00EF1044">
              <w:rPr>
                <w:sz w:val="22"/>
                <w:szCs w:val="22"/>
                <w:lang w:eastAsia="en-US"/>
              </w:rPr>
              <w:t>*</w:t>
            </w:r>
            <w:r w:rsidRPr="00224BE9">
              <w:rPr>
                <w:sz w:val="22"/>
                <w:szCs w:val="22"/>
                <w:lang w:eastAsia="en-US"/>
              </w:rPr>
              <w:t xml:space="preserve"> kizárólag felnőttek kezelésére</w:t>
            </w:r>
          </w:p>
          <w:p w14:paraId="317B0898" w14:textId="77777777" w:rsidR="00224BE9" w:rsidRPr="00224BE9" w:rsidRDefault="00224BE9" w:rsidP="00224BE9">
            <w:pPr>
              <w:widowControl w:val="0"/>
              <w:rPr>
                <w:sz w:val="22"/>
                <w:szCs w:val="22"/>
                <w:lang w:eastAsia="en-US"/>
              </w:rPr>
            </w:pPr>
            <w:r w:rsidRPr="00224BE9">
              <w:rPr>
                <w:sz w:val="22"/>
                <w:szCs w:val="22"/>
                <w:vertAlign w:val="superscript"/>
                <w:lang w:eastAsia="en-US"/>
              </w:rPr>
              <w:t>#</w:t>
            </w:r>
            <w:r w:rsidRPr="00224BE9">
              <w:rPr>
                <w:sz w:val="22"/>
                <w:szCs w:val="22"/>
                <w:lang w:eastAsia="en-US"/>
              </w:rPr>
              <w:t xml:space="preserve"> ha klinikailag indokolt, felnőttek esetében az intravénás adagolást oralis kezelés követheti a 7–10 napos teljes kezelési idő befejezése érdekében (a részletekért olvassa el az azitromicin intravénás gyógyszerformáinak alkalmazási előírását).</w:t>
            </w:r>
          </w:p>
          <w:p w14:paraId="580578A6" w14:textId="77777777" w:rsidR="00224BE9" w:rsidRPr="00224BE9" w:rsidRDefault="00224BE9" w:rsidP="00224BE9">
            <w:pPr>
              <w:widowControl w:val="0"/>
              <w:rPr>
                <w:sz w:val="22"/>
                <w:szCs w:val="22"/>
                <w:lang w:eastAsia="en-US"/>
              </w:rPr>
            </w:pPr>
          </w:p>
          <w:p w14:paraId="64F25271" w14:textId="77777777" w:rsidR="00224BE9" w:rsidRPr="00224BE9" w:rsidRDefault="00224BE9" w:rsidP="00224BE9">
            <w:pPr>
              <w:widowControl w:val="0"/>
              <w:rPr>
                <w:sz w:val="22"/>
                <w:szCs w:val="22"/>
                <w:lang w:eastAsia="en-US"/>
              </w:rPr>
            </w:pPr>
            <w:r w:rsidRPr="00224BE9">
              <w:rPr>
                <w:sz w:val="22"/>
                <w:szCs w:val="22"/>
                <w:lang w:eastAsia="en-US"/>
              </w:rPr>
              <w:t>Figyelembe kell venni az egyes javallatokra vonatkozóan a frissített kezelési irányelvekben javasolt kezelési rendeket, dózisokat és kezelési időtartamot.</w:t>
            </w:r>
          </w:p>
        </w:tc>
      </w:tr>
      <w:bookmarkEnd w:id="2"/>
    </w:tbl>
    <w:p w14:paraId="3A71047D" w14:textId="77777777" w:rsidR="00224BE9" w:rsidRPr="00224BE9" w:rsidRDefault="00224BE9" w:rsidP="00224BE9">
      <w:pPr>
        <w:suppressAutoHyphens w:val="0"/>
        <w:rPr>
          <w:sz w:val="22"/>
          <w:szCs w:val="22"/>
          <w:lang w:eastAsia="en-US"/>
        </w:rPr>
      </w:pPr>
    </w:p>
    <w:p w14:paraId="1CC5FF23" w14:textId="77777777" w:rsidR="00224BE9" w:rsidRPr="00224BE9" w:rsidRDefault="00224BE9" w:rsidP="00224BE9">
      <w:pPr>
        <w:suppressAutoHyphens w:val="0"/>
        <w:rPr>
          <w:i/>
          <w:iCs/>
          <w:sz w:val="22"/>
          <w:szCs w:val="22"/>
          <w:lang w:eastAsia="en-US"/>
        </w:rPr>
      </w:pPr>
      <w:bookmarkStart w:id="3" w:name="_Hlk208866178"/>
      <w:r w:rsidRPr="00224BE9">
        <w:rPr>
          <w:i/>
          <w:iCs/>
          <w:sz w:val="22"/>
          <w:szCs w:val="22"/>
          <w:lang w:eastAsia="en-US"/>
        </w:rPr>
        <w:t>Kihagyott dózis</w:t>
      </w:r>
    </w:p>
    <w:p w14:paraId="72D99F61" w14:textId="67664BA7" w:rsidR="00224BE9" w:rsidRPr="00224BE9" w:rsidRDefault="00224BE9" w:rsidP="00224BE9">
      <w:pPr>
        <w:suppressAutoHyphens w:val="0"/>
        <w:rPr>
          <w:sz w:val="22"/>
          <w:szCs w:val="22"/>
          <w:lang w:eastAsia="en-US"/>
        </w:rPr>
      </w:pPr>
      <w:r w:rsidRPr="00224BE9">
        <w:rPr>
          <w:sz w:val="22"/>
          <w:szCs w:val="22"/>
          <w:lang w:eastAsia="en-US"/>
        </w:rPr>
        <w:t>Ha 12</w:t>
      </w:r>
      <w:r w:rsidR="00983D99">
        <w:rPr>
          <w:sz w:val="22"/>
          <w:szCs w:val="22"/>
          <w:lang w:eastAsia="en-US"/>
        </w:rPr>
        <w:t> ór</w:t>
      </w:r>
      <w:r w:rsidRPr="00224BE9">
        <w:rPr>
          <w:sz w:val="22"/>
          <w:szCs w:val="22"/>
          <w:lang w:eastAsia="en-US"/>
        </w:rPr>
        <w:t>a vagy ennél kevesebb idő telt el a kihagyott dózis után, akkor a betegnek azt kell tanácsolni, hogy vegye azt be a lehető leghamarabb, és a következő dózist az előírt megszokott időben vegye be. Ha 12</w:t>
      </w:r>
      <w:r w:rsidR="00983D99">
        <w:rPr>
          <w:sz w:val="22"/>
          <w:szCs w:val="22"/>
          <w:lang w:eastAsia="en-US"/>
        </w:rPr>
        <w:t> ór</w:t>
      </w:r>
      <w:r w:rsidRPr="00224BE9">
        <w:rPr>
          <w:sz w:val="22"/>
          <w:szCs w:val="22"/>
          <w:lang w:eastAsia="en-US"/>
        </w:rPr>
        <w:t>ánál több idő telt el a szokásos bevétel időpontja után, a betegnek azt kell tanácsolni, hogy várjon a következő dózis bevételének előírt idejéig.</w:t>
      </w:r>
    </w:p>
    <w:p w14:paraId="21C438E3" w14:textId="77777777" w:rsidR="00224BE9" w:rsidRPr="00224BE9" w:rsidRDefault="00224BE9" w:rsidP="00224BE9">
      <w:pPr>
        <w:suppressAutoHyphens w:val="0"/>
        <w:rPr>
          <w:i/>
          <w:iCs/>
          <w:sz w:val="22"/>
          <w:szCs w:val="22"/>
          <w:lang w:eastAsia="en-US"/>
        </w:rPr>
      </w:pPr>
    </w:p>
    <w:p w14:paraId="7FC71E9F" w14:textId="77777777" w:rsidR="00224BE9" w:rsidRPr="00224BE9" w:rsidRDefault="00224BE9" w:rsidP="00224BE9">
      <w:pPr>
        <w:suppressAutoHyphens w:val="0"/>
        <w:rPr>
          <w:i/>
          <w:iCs/>
          <w:sz w:val="22"/>
          <w:szCs w:val="22"/>
          <w:u w:val="single"/>
          <w:lang w:eastAsia="en-US"/>
        </w:rPr>
      </w:pPr>
      <w:r w:rsidRPr="00224BE9">
        <w:rPr>
          <w:i/>
          <w:iCs/>
          <w:sz w:val="22"/>
          <w:szCs w:val="22"/>
          <w:u w:val="single"/>
          <w:lang w:eastAsia="en-US"/>
        </w:rPr>
        <w:t>Különleges betegcsoportok</w:t>
      </w:r>
    </w:p>
    <w:p w14:paraId="14EEC8E1" w14:textId="77777777" w:rsidR="00224BE9" w:rsidRPr="00224BE9" w:rsidRDefault="00224BE9" w:rsidP="00224BE9">
      <w:pPr>
        <w:suppressAutoHyphens w:val="0"/>
        <w:rPr>
          <w:i/>
          <w:iCs/>
          <w:sz w:val="22"/>
          <w:szCs w:val="22"/>
          <w:u w:val="single"/>
          <w:lang w:eastAsia="en-US"/>
        </w:rPr>
      </w:pPr>
    </w:p>
    <w:p w14:paraId="279D10D1" w14:textId="77777777" w:rsidR="00224BE9" w:rsidRPr="00224BE9" w:rsidRDefault="00224BE9" w:rsidP="00224BE9">
      <w:pPr>
        <w:suppressAutoHyphens w:val="0"/>
        <w:rPr>
          <w:i/>
          <w:iCs/>
          <w:sz w:val="22"/>
          <w:szCs w:val="22"/>
          <w:lang w:eastAsia="en-US"/>
        </w:rPr>
      </w:pPr>
      <w:r w:rsidRPr="00224BE9">
        <w:rPr>
          <w:i/>
          <w:iCs/>
          <w:sz w:val="22"/>
          <w:szCs w:val="22"/>
          <w:lang w:eastAsia="en-US"/>
        </w:rPr>
        <w:t>Vesekárosodás</w:t>
      </w:r>
    </w:p>
    <w:p w14:paraId="4F9AFACA" w14:textId="389B46DB" w:rsidR="00224BE9" w:rsidRPr="00224BE9" w:rsidRDefault="00224BE9" w:rsidP="00224BE9">
      <w:pPr>
        <w:suppressAutoHyphens w:val="0"/>
        <w:rPr>
          <w:sz w:val="22"/>
          <w:szCs w:val="22"/>
          <w:lang w:eastAsia="en-US"/>
        </w:rPr>
      </w:pPr>
      <w:r w:rsidRPr="00224BE9">
        <w:rPr>
          <w:sz w:val="22"/>
          <w:szCs w:val="22"/>
          <w:lang w:eastAsia="en-US"/>
        </w:rPr>
        <w:t>Nincs szükség dózismódosításra a legalább 10 ml/perc GFR-értékű betegeknél. Az azitromicin elővigyázatossággal alkalmazandó a 10 ml/percnél alacsonyabb GFR-értékű betegeknél (lásd 5.2</w:t>
      </w:r>
      <w:r w:rsidR="00DE5A63">
        <w:rPr>
          <w:sz w:val="22"/>
          <w:szCs w:val="22"/>
          <w:lang w:eastAsia="en-US"/>
        </w:rPr>
        <w:t> pont</w:t>
      </w:r>
      <w:r w:rsidRPr="00224BE9">
        <w:rPr>
          <w:sz w:val="22"/>
          <w:szCs w:val="22"/>
          <w:lang w:eastAsia="en-US"/>
        </w:rPr>
        <w:t>).</w:t>
      </w:r>
    </w:p>
    <w:p w14:paraId="0794018F" w14:textId="77777777" w:rsidR="00224BE9" w:rsidRPr="00224BE9" w:rsidRDefault="00224BE9" w:rsidP="00224BE9">
      <w:pPr>
        <w:suppressAutoHyphens w:val="0"/>
        <w:rPr>
          <w:sz w:val="22"/>
          <w:szCs w:val="22"/>
          <w:lang w:eastAsia="en-US"/>
        </w:rPr>
      </w:pPr>
    </w:p>
    <w:p w14:paraId="540C8D2F" w14:textId="77777777" w:rsidR="00224BE9" w:rsidRPr="00224BE9" w:rsidRDefault="00224BE9" w:rsidP="00224BE9">
      <w:pPr>
        <w:suppressAutoHyphens w:val="0"/>
        <w:rPr>
          <w:i/>
          <w:iCs/>
          <w:sz w:val="22"/>
          <w:szCs w:val="22"/>
          <w:lang w:eastAsia="en-US"/>
        </w:rPr>
      </w:pPr>
      <w:r w:rsidRPr="00224BE9">
        <w:rPr>
          <w:i/>
          <w:iCs/>
          <w:sz w:val="22"/>
          <w:szCs w:val="22"/>
          <w:lang w:eastAsia="en-US"/>
        </w:rPr>
        <w:t>Májkárosodás</w:t>
      </w:r>
    </w:p>
    <w:p w14:paraId="009133CC" w14:textId="53942F70" w:rsidR="00224BE9" w:rsidRPr="00224BE9" w:rsidRDefault="00224BE9" w:rsidP="00224BE9">
      <w:pPr>
        <w:suppressAutoHyphens w:val="0"/>
        <w:rPr>
          <w:sz w:val="22"/>
          <w:szCs w:val="22"/>
          <w:lang w:eastAsia="en-US"/>
        </w:rPr>
      </w:pPr>
      <w:r w:rsidRPr="00224BE9">
        <w:rPr>
          <w:sz w:val="22"/>
          <w:szCs w:val="22"/>
          <w:lang w:eastAsia="en-US"/>
        </w:rPr>
        <w:t>Nincs szükség dózismódosításra az enyhe (Child–Pugh A stádium) vagy közepesen súlyos májkárosodásban (Child–Pugh B stádium) szenvedő betegeknél (lásd 5.2</w:t>
      </w:r>
      <w:r w:rsidR="00DE5A63">
        <w:rPr>
          <w:sz w:val="22"/>
          <w:szCs w:val="22"/>
          <w:lang w:eastAsia="en-US"/>
        </w:rPr>
        <w:t> pont</w:t>
      </w:r>
      <w:r w:rsidRPr="00224BE9">
        <w:rPr>
          <w:sz w:val="22"/>
          <w:szCs w:val="22"/>
          <w:lang w:eastAsia="en-US"/>
        </w:rPr>
        <w:t>). Súlyos májkárosodásra (Child–Pugh C stádium) vonatkozóan nincsenek rendelkezésre álló adatok.</w:t>
      </w:r>
      <w:r w:rsidRPr="00224BE9">
        <w:rPr>
          <w:sz w:val="22"/>
          <w:lang w:eastAsia="en-US"/>
        </w:rPr>
        <w:t xml:space="preserve"> </w:t>
      </w:r>
      <w:r w:rsidRPr="00224BE9">
        <w:rPr>
          <w:sz w:val="22"/>
          <w:szCs w:val="22"/>
          <w:lang w:eastAsia="en-US"/>
        </w:rPr>
        <w:t>Az azitromicin ezért elővigyázatossággal alkalmazandó ezeknél a betegeknél (lásd 4.4</w:t>
      </w:r>
      <w:r w:rsidR="00DE5A63">
        <w:rPr>
          <w:sz w:val="22"/>
          <w:szCs w:val="22"/>
          <w:lang w:eastAsia="en-US"/>
        </w:rPr>
        <w:t> pont</w:t>
      </w:r>
      <w:r w:rsidRPr="00224BE9">
        <w:rPr>
          <w:sz w:val="22"/>
          <w:szCs w:val="22"/>
          <w:lang w:eastAsia="en-US"/>
        </w:rPr>
        <w:t>).</w:t>
      </w:r>
    </w:p>
    <w:p w14:paraId="5D7CC5EA" w14:textId="77777777" w:rsidR="00224BE9" w:rsidRPr="00224BE9" w:rsidRDefault="00224BE9" w:rsidP="00224BE9">
      <w:pPr>
        <w:suppressAutoHyphens w:val="0"/>
        <w:rPr>
          <w:sz w:val="22"/>
          <w:szCs w:val="22"/>
          <w:lang w:eastAsia="en-US"/>
        </w:rPr>
      </w:pPr>
    </w:p>
    <w:p w14:paraId="16C193AE" w14:textId="77777777" w:rsidR="00224BE9" w:rsidRPr="00224BE9" w:rsidRDefault="00224BE9" w:rsidP="00224BE9">
      <w:pPr>
        <w:suppressAutoHyphens w:val="0"/>
        <w:rPr>
          <w:i/>
          <w:iCs/>
          <w:sz w:val="22"/>
          <w:szCs w:val="22"/>
          <w:lang w:eastAsia="en-US"/>
        </w:rPr>
      </w:pPr>
      <w:r w:rsidRPr="00224BE9">
        <w:rPr>
          <w:i/>
          <w:iCs/>
          <w:sz w:val="22"/>
          <w:szCs w:val="22"/>
          <w:lang w:eastAsia="en-US"/>
        </w:rPr>
        <w:t>Idősek</w:t>
      </w:r>
    </w:p>
    <w:p w14:paraId="1B4B27D8" w14:textId="727108B6" w:rsidR="00224BE9" w:rsidRPr="00224BE9" w:rsidRDefault="00224BE9" w:rsidP="00224BE9">
      <w:pPr>
        <w:suppressAutoHyphens w:val="0"/>
        <w:rPr>
          <w:sz w:val="22"/>
          <w:szCs w:val="22"/>
          <w:lang w:eastAsia="en-US"/>
        </w:rPr>
      </w:pPr>
      <w:r w:rsidRPr="00224BE9">
        <w:rPr>
          <w:sz w:val="22"/>
          <w:szCs w:val="22"/>
          <w:lang w:eastAsia="en-US"/>
        </w:rPr>
        <w:t>Nincs szükség dózismódosításra az idős betegeknél (lásd 5.2</w:t>
      </w:r>
      <w:r w:rsidR="00DE5A63">
        <w:rPr>
          <w:sz w:val="22"/>
          <w:szCs w:val="22"/>
          <w:lang w:eastAsia="en-US"/>
        </w:rPr>
        <w:t> pont</w:t>
      </w:r>
      <w:r w:rsidRPr="00224BE9">
        <w:rPr>
          <w:sz w:val="22"/>
          <w:szCs w:val="22"/>
          <w:lang w:eastAsia="en-US"/>
        </w:rPr>
        <w:t xml:space="preserve">). Mivel időseknél nagyobb a valószínűsége a proarrhythmiás állapotok előfordulásának, különös elővigyázatosság javasolt a szívritmuszavar és a </w:t>
      </w:r>
      <w:r w:rsidR="00FE649B">
        <w:rPr>
          <w:i/>
          <w:iCs/>
          <w:sz w:val="22"/>
          <w:szCs w:val="22"/>
          <w:lang w:eastAsia="en-US"/>
        </w:rPr>
        <w:t>t</w:t>
      </w:r>
      <w:r w:rsidR="00983D99" w:rsidRPr="00983D99">
        <w:rPr>
          <w:i/>
          <w:iCs/>
          <w:sz w:val="22"/>
          <w:szCs w:val="22"/>
          <w:lang w:eastAsia="en-US"/>
        </w:rPr>
        <w:t>orsades de pointes</w:t>
      </w:r>
      <w:r w:rsidRPr="00224BE9">
        <w:rPr>
          <w:sz w:val="22"/>
          <w:szCs w:val="22"/>
          <w:lang w:eastAsia="en-US"/>
        </w:rPr>
        <w:t xml:space="preserve"> kialakulásának kockázata miatt (lásd 4.4</w:t>
      </w:r>
      <w:r w:rsidR="00DE5A63">
        <w:rPr>
          <w:sz w:val="22"/>
          <w:szCs w:val="22"/>
          <w:lang w:eastAsia="en-US"/>
        </w:rPr>
        <w:t> pont</w:t>
      </w:r>
      <w:r w:rsidRPr="00224BE9">
        <w:rPr>
          <w:sz w:val="22"/>
          <w:szCs w:val="22"/>
          <w:lang w:eastAsia="en-US"/>
        </w:rPr>
        <w:t>).</w:t>
      </w:r>
    </w:p>
    <w:p w14:paraId="2D4454B3" w14:textId="77777777" w:rsidR="00224BE9" w:rsidRPr="00224BE9" w:rsidRDefault="00224BE9" w:rsidP="00224BE9">
      <w:pPr>
        <w:suppressAutoHyphens w:val="0"/>
        <w:rPr>
          <w:sz w:val="22"/>
          <w:szCs w:val="22"/>
          <w:lang w:eastAsia="en-US"/>
        </w:rPr>
      </w:pPr>
    </w:p>
    <w:p w14:paraId="31721897" w14:textId="77777777" w:rsidR="00224BE9" w:rsidRPr="00224BE9" w:rsidRDefault="00224BE9" w:rsidP="00224BE9">
      <w:pPr>
        <w:suppressAutoHyphens w:val="0"/>
        <w:rPr>
          <w:i/>
          <w:iCs/>
          <w:sz w:val="22"/>
          <w:szCs w:val="22"/>
          <w:lang w:eastAsia="en-US"/>
        </w:rPr>
      </w:pPr>
      <w:r w:rsidRPr="00224BE9">
        <w:rPr>
          <w:i/>
          <w:iCs/>
          <w:sz w:val="22"/>
          <w:szCs w:val="22"/>
          <w:lang w:eastAsia="en-US"/>
        </w:rPr>
        <w:t>Gyermekek és serdülők</w:t>
      </w:r>
    </w:p>
    <w:p w14:paraId="35BA9D0A" w14:textId="77777777" w:rsidR="008647DB" w:rsidRDefault="00224BE9" w:rsidP="00224BE9">
      <w:pPr>
        <w:suppressAutoHyphens w:val="0"/>
        <w:rPr>
          <w:sz w:val="22"/>
          <w:lang w:eastAsia="en-US"/>
        </w:rPr>
      </w:pPr>
      <w:r w:rsidRPr="00224BE9">
        <w:rPr>
          <w:sz w:val="22"/>
          <w:szCs w:val="22"/>
          <w:lang w:eastAsia="en-US"/>
        </w:rPr>
        <w:t>Az Azibactim filmtablettának nincs releváns alkalmazása a krónikus bronchitis akut exacerbációjának kezelésére vonatkozóan gyermekek és serdülők esetében.</w:t>
      </w:r>
    </w:p>
    <w:p w14:paraId="04CE7DD2" w14:textId="77777777" w:rsidR="008647DB" w:rsidRDefault="008647DB" w:rsidP="00224BE9">
      <w:pPr>
        <w:suppressAutoHyphens w:val="0"/>
        <w:rPr>
          <w:sz w:val="22"/>
          <w:lang w:eastAsia="en-US"/>
        </w:rPr>
      </w:pPr>
    </w:p>
    <w:p w14:paraId="0126303A" w14:textId="4BD69DAE" w:rsidR="00224BE9" w:rsidRPr="00224BE9" w:rsidRDefault="00224BE9" w:rsidP="00224BE9">
      <w:pPr>
        <w:suppressAutoHyphens w:val="0"/>
        <w:rPr>
          <w:sz w:val="22"/>
          <w:szCs w:val="22"/>
          <w:lang w:eastAsia="en-US"/>
        </w:rPr>
      </w:pPr>
      <w:r w:rsidRPr="00224BE9">
        <w:rPr>
          <w:sz w:val="22"/>
          <w:szCs w:val="22"/>
          <w:lang w:eastAsia="en-US"/>
        </w:rPr>
        <w:t>Elérhetők egyéb gyógyszerformák, amelyek megfelelőbbek lehetnek olyan betegek kezelésére, akik nem képesek lenyelni a tablettát, valamint a 45</w:t>
      </w:r>
      <w:r w:rsidR="003C0493">
        <w:rPr>
          <w:sz w:val="22"/>
          <w:szCs w:val="22"/>
          <w:lang w:eastAsia="en-US"/>
        </w:rPr>
        <w:t> kg</w:t>
      </w:r>
      <w:r w:rsidRPr="00224BE9">
        <w:rPr>
          <w:sz w:val="22"/>
          <w:szCs w:val="22"/>
          <w:lang w:eastAsia="en-US"/>
        </w:rPr>
        <w:t>-nál kisebb testtömegű gyermekek és serdülők számára.</w:t>
      </w:r>
    </w:p>
    <w:p w14:paraId="3114CC9B" w14:textId="77777777" w:rsidR="00224BE9" w:rsidRPr="00224BE9" w:rsidRDefault="00224BE9" w:rsidP="00224BE9">
      <w:pPr>
        <w:suppressAutoHyphens w:val="0"/>
        <w:rPr>
          <w:sz w:val="22"/>
          <w:szCs w:val="22"/>
          <w:u w:val="single"/>
          <w:lang w:eastAsia="en-US"/>
        </w:rPr>
      </w:pPr>
    </w:p>
    <w:p w14:paraId="05FA1E3F"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Az alkalmazás módja</w:t>
      </w:r>
    </w:p>
    <w:p w14:paraId="6766FDE3" w14:textId="77777777" w:rsidR="00224BE9" w:rsidRPr="00224BE9" w:rsidRDefault="00224BE9" w:rsidP="00224BE9">
      <w:pPr>
        <w:suppressAutoHyphens w:val="0"/>
        <w:rPr>
          <w:sz w:val="22"/>
          <w:szCs w:val="22"/>
          <w:u w:val="single"/>
          <w:lang w:eastAsia="en-US"/>
        </w:rPr>
      </w:pPr>
    </w:p>
    <w:p w14:paraId="7526C8FD" w14:textId="77777777" w:rsidR="00224BE9" w:rsidRPr="00224BE9" w:rsidRDefault="00224BE9" w:rsidP="00224BE9">
      <w:pPr>
        <w:suppressAutoHyphens w:val="0"/>
        <w:rPr>
          <w:iCs/>
          <w:sz w:val="22"/>
          <w:szCs w:val="22"/>
          <w:lang w:eastAsia="en-US"/>
        </w:rPr>
      </w:pPr>
      <w:r w:rsidRPr="00224BE9">
        <w:rPr>
          <w:sz w:val="22"/>
          <w:szCs w:val="22"/>
          <w:lang w:eastAsia="en-US"/>
        </w:rPr>
        <w:t>Szájon át történő alkalmazásra.</w:t>
      </w:r>
    </w:p>
    <w:p w14:paraId="6BF97A0F" w14:textId="2329B73E" w:rsidR="00224BE9" w:rsidRPr="00224BE9" w:rsidRDefault="00224BE9" w:rsidP="00224BE9">
      <w:pPr>
        <w:suppressAutoHyphens w:val="0"/>
        <w:rPr>
          <w:iCs/>
          <w:sz w:val="22"/>
          <w:szCs w:val="22"/>
          <w:lang w:eastAsia="en-US"/>
        </w:rPr>
      </w:pPr>
      <w:r w:rsidRPr="00224BE9">
        <w:rPr>
          <w:iCs/>
          <w:sz w:val="22"/>
          <w:szCs w:val="22"/>
          <w:lang w:eastAsia="en-US"/>
        </w:rPr>
        <w:t>A</w:t>
      </w:r>
      <w:r w:rsidR="008647DB">
        <w:rPr>
          <w:iCs/>
          <w:sz w:val="22"/>
          <w:szCs w:val="22"/>
          <w:lang w:eastAsia="en-US"/>
        </w:rPr>
        <w:t xml:space="preserve"> tablettát</w:t>
      </w:r>
      <w:r w:rsidRPr="00224BE9">
        <w:rPr>
          <w:iCs/>
          <w:sz w:val="22"/>
          <w:szCs w:val="22"/>
          <w:lang w:eastAsia="en-US"/>
        </w:rPr>
        <w:t xml:space="preserve"> naponta egyszer, egészben lenyelve, étkezés közben vagy attól függetlenül kell bevenni. A közvetlenül étkezés előtti bevétel javíthatja a gastrointestinalis tolerálhatóságot.</w:t>
      </w:r>
    </w:p>
    <w:p w14:paraId="602F4038" w14:textId="77777777" w:rsidR="00224BE9" w:rsidRPr="00224BE9" w:rsidRDefault="00224BE9" w:rsidP="00224BE9">
      <w:pPr>
        <w:suppressAutoHyphens w:val="0"/>
        <w:rPr>
          <w:iCs/>
          <w:sz w:val="22"/>
          <w:szCs w:val="22"/>
          <w:lang w:eastAsia="en-US"/>
        </w:rPr>
      </w:pPr>
    </w:p>
    <w:bookmarkEnd w:id="3"/>
    <w:p w14:paraId="0FBF9FE7"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4.3</w:t>
      </w:r>
      <w:r w:rsidRPr="00224BE9">
        <w:rPr>
          <w:b/>
          <w:sz w:val="22"/>
          <w:szCs w:val="22"/>
          <w:lang w:eastAsia="en-US"/>
        </w:rPr>
        <w:tab/>
        <w:t>Ellenjavallatok</w:t>
      </w:r>
    </w:p>
    <w:p w14:paraId="4566288D" w14:textId="77777777" w:rsidR="00224BE9" w:rsidRPr="00224BE9" w:rsidRDefault="00224BE9" w:rsidP="00224BE9">
      <w:pPr>
        <w:suppressAutoHyphens w:val="0"/>
        <w:rPr>
          <w:sz w:val="22"/>
          <w:szCs w:val="22"/>
          <w:lang w:eastAsia="en-US"/>
        </w:rPr>
      </w:pPr>
    </w:p>
    <w:p w14:paraId="7B2E7592" w14:textId="409747DA" w:rsidR="00224BE9" w:rsidRPr="00224BE9" w:rsidRDefault="00224BE9" w:rsidP="00224BE9">
      <w:pPr>
        <w:suppressAutoHyphens w:val="0"/>
        <w:rPr>
          <w:sz w:val="22"/>
          <w:szCs w:val="22"/>
          <w:lang w:eastAsia="en-US"/>
        </w:rPr>
      </w:pPr>
      <w:r w:rsidRPr="00224BE9">
        <w:rPr>
          <w:sz w:val="22"/>
          <w:szCs w:val="22"/>
          <w:lang w:eastAsia="en-US"/>
        </w:rPr>
        <w:lastRenderedPageBreak/>
        <w:t>A készítmény hatóanyagával, az eritromicinnel, bármely makrolid, illetve ketolid antibiotikummal vagy a készítmény 6.1</w:t>
      </w:r>
      <w:r w:rsidR="00DE5A63">
        <w:rPr>
          <w:sz w:val="22"/>
          <w:szCs w:val="22"/>
          <w:lang w:eastAsia="en-US"/>
        </w:rPr>
        <w:t> pont</w:t>
      </w:r>
      <w:r w:rsidRPr="00224BE9">
        <w:rPr>
          <w:sz w:val="22"/>
          <w:szCs w:val="22"/>
          <w:lang w:eastAsia="en-US"/>
        </w:rPr>
        <w:t>ban felsorolt bármely segédanyagával szembeni túlérzékenység.</w:t>
      </w:r>
    </w:p>
    <w:p w14:paraId="406165C3" w14:textId="77777777" w:rsidR="00224BE9" w:rsidRPr="00224BE9" w:rsidRDefault="00224BE9" w:rsidP="00224BE9">
      <w:pPr>
        <w:suppressAutoHyphens w:val="0"/>
        <w:rPr>
          <w:sz w:val="22"/>
          <w:szCs w:val="22"/>
          <w:lang w:eastAsia="en-US"/>
        </w:rPr>
      </w:pPr>
    </w:p>
    <w:p w14:paraId="7389D044"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4.4</w:t>
      </w:r>
      <w:r w:rsidRPr="00224BE9">
        <w:rPr>
          <w:b/>
          <w:sz w:val="22"/>
          <w:szCs w:val="22"/>
          <w:lang w:eastAsia="en-US"/>
        </w:rPr>
        <w:tab/>
        <w:t>Különleges figyelmeztetések és az alkalmazással kapcsolatos óvintézkedések</w:t>
      </w:r>
    </w:p>
    <w:p w14:paraId="0907A629" w14:textId="77777777" w:rsidR="00224BE9" w:rsidRPr="00224BE9" w:rsidRDefault="00224BE9" w:rsidP="00224BE9">
      <w:pPr>
        <w:tabs>
          <w:tab w:val="left" w:pos="567"/>
        </w:tabs>
        <w:suppressAutoHyphens w:val="0"/>
        <w:rPr>
          <w:b/>
          <w:sz w:val="22"/>
          <w:szCs w:val="22"/>
          <w:lang w:eastAsia="en-US"/>
        </w:rPr>
      </w:pPr>
    </w:p>
    <w:p w14:paraId="057E2447" w14:textId="77777777" w:rsidR="00224BE9" w:rsidRPr="00224BE9" w:rsidRDefault="00224BE9" w:rsidP="00224BE9">
      <w:pPr>
        <w:suppressAutoHyphens w:val="0"/>
        <w:autoSpaceDE w:val="0"/>
        <w:autoSpaceDN w:val="0"/>
        <w:adjustRightInd w:val="0"/>
        <w:rPr>
          <w:color w:val="000000"/>
          <w:sz w:val="22"/>
          <w:szCs w:val="22"/>
          <w:u w:val="single"/>
          <w:lang w:eastAsia="en-US"/>
        </w:rPr>
      </w:pPr>
      <w:bookmarkStart w:id="4" w:name="_Hlk208866914"/>
      <w:r w:rsidRPr="00224BE9">
        <w:rPr>
          <w:color w:val="000000"/>
          <w:sz w:val="22"/>
          <w:szCs w:val="22"/>
          <w:u w:val="single"/>
          <w:lang w:eastAsia="en-US"/>
        </w:rPr>
        <w:t xml:space="preserve">Lehetséges rezisztencia </w:t>
      </w:r>
    </w:p>
    <w:p w14:paraId="53425FCE" w14:textId="1A060C46" w:rsidR="00224BE9" w:rsidRPr="00224BE9" w:rsidRDefault="00224BE9" w:rsidP="00224BE9">
      <w:pPr>
        <w:tabs>
          <w:tab w:val="left" w:pos="567"/>
        </w:tabs>
        <w:suppressAutoHyphens w:val="0"/>
        <w:rPr>
          <w:b/>
          <w:sz w:val="22"/>
          <w:szCs w:val="22"/>
          <w:lang w:eastAsia="en-US"/>
        </w:rPr>
      </w:pPr>
      <w:r w:rsidRPr="00224BE9">
        <w:rPr>
          <w:sz w:val="22"/>
          <w:szCs w:val="22"/>
          <w:lang w:eastAsia="en-US"/>
        </w:rPr>
        <w:t>Az azitromicin elősegítheti a rezisztencia kialakulását a kezelés vége után tartósan fennmaradó, lassan csökkenő plazma- és szöveti szintek miatt (lásd 5.2</w:t>
      </w:r>
      <w:r w:rsidR="00DE5A63">
        <w:rPr>
          <w:sz w:val="22"/>
          <w:szCs w:val="22"/>
          <w:lang w:eastAsia="en-US"/>
        </w:rPr>
        <w:t> pont</w:t>
      </w:r>
      <w:r w:rsidRPr="00224BE9">
        <w:rPr>
          <w:sz w:val="22"/>
          <w:szCs w:val="22"/>
          <w:lang w:eastAsia="en-US"/>
        </w:rPr>
        <w:t>). Kizárólag az előny és a kockázat alapos mérlegelését követően kezdhető el az azitromicin-kezelés, figyelembe véve a rezisztencia helyi prevalenciáját; illetve akkor, amikor a preferált kezelési rend nem javallt.</w:t>
      </w:r>
    </w:p>
    <w:p w14:paraId="34623B87" w14:textId="77777777" w:rsidR="00224BE9" w:rsidRPr="00224BE9" w:rsidRDefault="00224BE9" w:rsidP="00224BE9">
      <w:pPr>
        <w:suppressAutoHyphens w:val="0"/>
        <w:rPr>
          <w:sz w:val="22"/>
          <w:szCs w:val="22"/>
          <w:lang w:eastAsia="en-US"/>
        </w:rPr>
      </w:pPr>
    </w:p>
    <w:p w14:paraId="37926DC7"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Súlyos bőr- és túlérzékenységi reakciók</w:t>
      </w:r>
    </w:p>
    <w:p w14:paraId="078A4CEE" w14:textId="3F8AD89B" w:rsidR="00224BE9" w:rsidRPr="00224BE9" w:rsidRDefault="00224BE9" w:rsidP="00224BE9">
      <w:pPr>
        <w:suppressAutoHyphens w:val="0"/>
        <w:rPr>
          <w:sz w:val="22"/>
          <w:szCs w:val="22"/>
          <w:lang w:eastAsia="en-US"/>
        </w:rPr>
      </w:pPr>
      <w:r w:rsidRPr="00224BE9">
        <w:rPr>
          <w:sz w:val="22"/>
          <w:szCs w:val="22"/>
          <w:lang w:eastAsia="en-US"/>
        </w:rPr>
        <w:t>Az azitromicin-kezeléssel kapcsolatban beszámoltak ritka, súlyos allergiás reakciókról, többek között (ritkán halálos kimenetelű) angiooedemáról és anaphylaxiáról, illetve bőrt érintő, súlyos mellékhatásokról (severe cutaneous adverse reactions, SCAR), beleértve a Stevens–Johnson-szindrómát (SJS), a toxicus epidermalis necrolysist (TEN), az eosinophiliával és szisztémás tünetekkel járó gyógyszerreakciót (drug reaction with eosinophilia and systemic symptoms; DRESS) és az akut generalizált exanthemás pustulosist (AGEP), amelyek életveszélyesek vagy halálos kimenetelűek lehetnek (lásd 4.8</w:t>
      </w:r>
      <w:r w:rsidR="00DE5A63">
        <w:rPr>
          <w:sz w:val="22"/>
          <w:szCs w:val="22"/>
          <w:lang w:eastAsia="en-US"/>
        </w:rPr>
        <w:t> pont</w:t>
      </w:r>
      <w:r w:rsidRPr="00224BE9">
        <w:rPr>
          <w:sz w:val="22"/>
          <w:szCs w:val="22"/>
          <w:lang w:eastAsia="en-US"/>
        </w:rPr>
        <w:t>). A gyógyszer felírásakor a betegeket tájékoztatni kell a jelekről és a tünetekről, illetve szoros monitorozásuk szükséges a bőrreakciók tekintetében.</w:t>
      </w:r>
    </w:p>
    <w:p w14:paraId="5FB5ED92" w14:textId="77777777" w:rsidR="00224BE9" w:rsidRPr="00224BE9" w:rsidRDefault="00224BE9" w:rsidP="00224BE9">
      <w:pPr>
        <w:suppressAutoHyphens w:val="0"/>
        <w:rPr>
          <w:sz w:val="22"/>
          <w:szCs w:val="22"/>
          <w:lang w:eastAsia="en-US"/>
        </w:rPr>
      </w:pPr>
      <w:r w:rsidRPr="00224BE9">
        <w:rPr>
          <w:sz w:val="22"/>
          <w:szCs w:val="22"/>
          <w:lang w:eastAsia="en-US"/>
        </w:rPr>
        <w:t xml:space="preserve">Az azitromicin ezen reakcióinak némelyike ismétlődő tüneteket okozott és hosszabb időtartamú megfigyelést és kezelést igényelt. </w:t>
      </w:r>
    </w:p>
    <w:p w14:paraId="6167F332" w14:textId="77777777" w:rsidR="00224BE9" w:rsidRPr="00224BE9" w:rsidRDefault="00224BE9" w:rsidP="00224BE9">
      <w:pPr>
        <w:suppressAutoHyphens w:val="0"/>
        <w:rPr>
          <w:sz w:val="22"/>
          <w:szCs w:val="22"/>
          <w:lang w:eastAsia="en-US"/>
        </w:rPr>
      </w:pPr>
      <w:r w:rsidRPr="00224BE9">
        <w:rPr>
          <w:sz w:val="22"/>
          <w:szCs w:val="22"/>
          <w:lang w:eastAsia="en-US"/>
        </w:rPr>
        <w:t>Ha allergiás reakció alakul ki, akkor az azitromicin-kezelést le kell állítani és a megfelelő kezelést kell indítani. A kezelőorvosoknak tisztában kell lenniük azzal, hogy az allergiás tünetek újra megjelenhetnek, ha a tüneti terápiát abbahagyják.</w:t>
      </w:r>
    </w:p>
    <w:p w14:paraId="6BE9BA59" w14:textId="77777777" w:rsidR="00224BE9" w:rsidRPr="00224BE9" w:rsidRDefault="00224BE9" w:rsidP="00224BE9">
      <w:pPr>
        <w:suppressAutoHyphens w:val="0"/>
        <w:rPr>
          <w:sz w:val="22"/>
          <w:szCs w:val="22"/>
          <w:lang w:eastAsia="en-US"/>
        </w:rPr>
      </w:pPr>
    </w:p>
    <w:p w14:paraId="009EEBD6"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QT-megnyúlás</w:t>
      </w:r>
    </w:p>
    <w:p w14:paraId="6BCA1BD3" w14:textId="350FA4AC" w:rsidR="00224BE9" w:rsidRPr="00224BE9" w:rsidRDefault="00224BE9" w:rsidP="00224BE9">
      <w:pPr>
        <w:suppressAutoHyphens w:val="0"/>
        <w:rPr>
          <w:sz w:val="22"/>
          <w:szCs w:val="22"/>
          <w:lang w:eastAsia="en-US"/>
        </w:rPr>
      </w:pPr>
      <w:r w:rsidRPr="00224BE9">
        <w:rPr>
          <w:sz w:val="22"/>
          <w:szCs w:val="22"/>
          <w:lang w:eastAsia="en-US"/>
        </w:rPr>
        <w:t xml:space="preserve">A cardialis arrhythmia és a </w:t>
      </w:r>
      <w:r w:rsidR="00FE649B">
        <w:rPr>
          <w:i/>
          <w:iCs/>
          <w:sz w:val="22"/>
          <w:szCs w:val="22"/>
          <w:lang w:eastAsia="en-US"/>
        </w:rPr>
        <w:t>t</w:t>
      </w:r>
      <w:r w:rsidR="00983D99" w:rsidRPr="00983D99">
        <w:rPr>
          <w:i/>
          <w:iCs/>
          <w:sz w:val="22"/>
          <w:szCs w:val="22"/>
          <w:lang w:eastAsia="en-US"/>
        </w:rPr>
        <w:t>orsades de pointes</w:t>
      </w:r>
      <w:r w:rsidRPr="00224BE9">
        <w:rPr>
          <w:sz w:val="22"/>
          <w:szCs w:val="22"/>
          <w:lang w:eastAsia="en-US"/>
        </w:rPr>
        <w:t xml:space="preserve"> kialakulására kockázatot jelentő megnyúlt cardialis repolarisatiót és QT-intervallumot figyeltek meg makrolidokkal történő kezelés során, beleértve az azitromicint (lásd 4.8</w:t>
      </w:r>
      <w:r w:rsidR="00DE5A63">
        <w:rPr>
          <w:sz w:val="22"/>
          <w:szCs w:val="22"/>
          <w:lang w:eastAsia="en-US"/>
        </w:rPr>
        <w:t> pont</w:t>
      </w:r>
      <w:r w:rsidRPr="00224BE9">
        <w:rPr>
          <w:sz w:val="22"/>
          <w:szCs w:val="22"/>
          <w:lang w:eastAsia="en-US"/>
        </w:rPr>
        <w:t>). Ennek következtében, mivel a következő esetek kamrai arrhythmiák (</w:t>
      </w:r>
      <w:r w:rsidR="00FE649B">
        <w:rPr>
          <w:i/>
          <w:iCs/>
          <w:sz w:val="22"/>
          <w:szCs w:val="22"/>
          <w:lang w:eastAsia="en-US"/>
        </w:rPr>
        <w:t>t</w:t>
      </w:r>
      <w:r w:rsidR="00983D99" w:rsidRPr="00983D99">
        <w:rPr>
          <w:i/>
          <w:iCs/>
          <w:sz w:val="22"/>
          <w:szCs w:val="22"/>
          <w:lang w:eastAsia="en-US"/>
        </w:rPr>
        <w:t>orsades de pointes</w:t>
      </w:r>
      <w:r w:rsidRPr="00224BE9">
        <w:rPr>
          <w:sz w:val="22"/>
          <w:szCs w:val="22"/>
          <w:lang w:eastAsia="en-US"/>
        </w:rPr>
        <w:t>-t beleértve) fokozott kockázatához vezethetnek, amelyek szívmegállást okozhatnak, az azitromicin csak kellő körültekintéssel alkalmazható a jelenleg proarrhythmiás állapottal érintett betegeknél (különösen nőknél és időseknél), például az alábbi esetekben:</w:t>
      </w:r>
    </w:p>
    <w:p w14:paraId="439A5880" w14:textId="79CBABA1" w:rsidR="00224BE9" w:rsidRPr="00224BE9" w:rsidRDefault="00224BE9" w:rsidP="00EF1044">
      <w:pPr>
        <w:suppressAutoHyphens w:val="0"/>
        <w:ind w:left="567" w:hanging="567"/>
        <w:rPr>
          <w:sz w:val="22"/>
          <w:szCs w:val="22"/>
          <w:lang w:eastAsia="en-US"/>
        </w:rPr>
      </w:pPr>
      <w:r w:rsidRPr="00224BE9">
        <w:rPr>
          <w:sz w:val="22"/>
          <w:szCs w:val="22"/>
          <w:lang w:eastAsia="en-US"/>
        </w:rPr>
        <w:t>•</w:t>
      </w:r>
      <w:r w:rsidRPr="00224BE9">
        <w:rPr>
          <w:sz w:val="22"/>
          <w:szCs w:val="22"/>
          <w:lang w:eastAsia="en-US"/>
        </w:rPr>
        <w:tab/>
        <w:t>Veleszületett vagy diagnosztizált QT-megnyúlás</w:t>
      </w:r>
    </w:p>
    <w:p w14:paraId="13420CA1" w14:textId="44A9A1DB" w:rsidR="00224BE9" w:rsidRPr="00224BE9" w:rsidRDefault="00224BE9" w:rsidP="00EF1044">
      <w:pPr>
        <w:suppressAutoHyphens w:val="0"/>
        <w:ind w:left="567" w:hanging="567"/>
        <w:rPr>
          <w:sz w:val="22"/>
          <w:szCs w:val="22"/>
          <w:lang w:eastAsia="en-US"/>
        </w:rPr>
      </w:pPr>
      <w:r w:rsidRPr="00224BE9">
        <w:rPr>
          <w:sz w:val="22"/>
          <w:szCs w:val="22"/>
          <w:lang w:eastAsia="en-US"/>
        </w:rPr>
        <w:t>•</w:t>
      </w:r>
      <w:r w:rsidRPr="00224BE9">
        <w:rPr>
          <w:sz w:val="22"/>
          <w:szCs w:val="22"/>
          <w:lang w:eastAsia="en-US"/>
        </w:rPr>
        <w:tab/>
        <w:t>Jelenleg kapott kezelés más, ismerten a QT-intervallum megnyúlását okozó hatóanyaggal (lásd 4.5</w:t>
      </w:r>
      <w:r w:rsidR="00DE5A63">
        <w:rPr>
          <w:sz w:val="22"/>
          <w:szCs w:val="22"/>
          <w:lang w:eastAsia="en-US"/>
        </w:rPr>
        <w:t> pont</w:t>
      </w:r>
      <w:r w:rsidRPr="00224BE9">
        <w:rPr>
          <w:sz w:val="22"/>
          <w:szCs w:val="22"/>
          <w:lang w:eastAsia="en-US"/>
        </w:rPr>
        <w:t>)</w:t>
      </w:r>
    </w:p>
    <w:p w14:paraId="67EB4611" w14:textId="0D3A662E" w:rsidR="00224BE9" w:rsidRPr="00224BE9" w:rsidRDefault="00224BE9" w:rsidP="00EF1044">
      <w:pPr>
        <w:suppressAutoHyphens w:val="0"/>
        <w:ind w:left="567" w:hanging="567"/>
        <w:rPr>
          <w:sz w:val="22"/>
          <w:szCs w:val="22"/>
          <w:lang w:eastAsia="en-US"/>
        </w:rPr>
      </w:pPr>
      <w:r w:rsidRPr="00224BE9">
        <w:rPr>
          <w:sz w:val="22"/>
          <w:szCs w:val="22"/>
          <w:lang w:eastAsia="en-US"/>
        </w:rPr>
        <w:t>•</w:t>
      </w:r>
      <w:r w:rsidRPr="00224BE9">
        <w:rPr>
          <w:sz w:val="22"/>
          <w:szCs w:val="22"/>
          <w:lang w:eastAsia="en-US"/>
        </w:rPr>
        <w:tab/>
        <w:t>Elektrolitzavar, különösen hypokalaemia és hypomagnesaemia eseteiben</w:t>
      </w:r>
    </w:p>
    <w:p w14:paraId="47EBE240" w14:textId="0948E34F" w:rsidR="00224BE9" w:rsidRPr="00224BE9" w:rsidRDefault="00224BE9" w:rsidP="00EF1044">
      <w:pPr>
        <w:suppressAutoHyphens w:val="0"/>
        <w:ind w:left="567" w:hanging="567"/>
        <w:rPr>
          <w:sz w:val="22"/>
          <w:szCs w:val="22"/>
          <w:lang w:eastAsia="en-US"/>
        </w:rPr>
      </w:pPr>
      <w:r w:rsidRPr="00224BE9">
        <w:rPr>
          <w:sz w:val="22"/>
          <w:szCs w:val="22"/>
          <w:lang w:eastAsia="en-US"/>
        </w:rPr>
        <w:t>•</w:t>
      </w:r>
      <w:r w:rsidRPr="00224BE9">
        <w:rPr>
          <w:sz w:val="22"/>
          <w:szCs w:val="22"/>
          <w:lang w:eastAsia="en-US"/>
        </w:rPr>
        <w:tab/>
        <w:t>Klinikailag releváns bradycardia, cardialis arrhythmia vagy súlyos szívelégtelenség</w:t>
      </w:r>
    </w:p>
    <w:p w14:paraId="3F53968E" w14:textId="71ADD589" w:rsidR="00224BE9" w:rsidRPr="00224BE9" w:rsidRDefault="00224BE9" w:rsidP="00EF1044">
      <w:pPr>
        <w:suppressAutoHyphens w:val="0"/>
        <w:ind w:left="567" w:hanging="567"/>
        <w:rPr>
          <w:sz w:val="22"/>
          <w:szCs w:val="22"/>
          <w:lang w:eastAsia="en-US"/>
        </w:rPr>
      </w:pPr>
      <w:r w:rsidRPr="00224BE9">
        <w:rPr>
          <w:sz w:val="22"/>
          <w:szCs w:val="22"/>
          <w:lang w:eastAsia="en-US"/>
        </w:rPr>
        <w:t>•</w:t>
      </w:r>
      <w:r w:rsidRPr="00224BE9">
        <w:rPr>
          <w:sz w:val="22"/>
          <w:szCs w:val="22"/>
          <w:lang w:eastAsia="en-US"/>
        </w:rPr>
        <w:tab/>
        <w:t>Idős betegek: Az idős betegek fogékonyabbak lehetnek a gyógyszer QT-intervallumra kifejtett hatásaira.</w:t>
      </w:r>
    </w:p>
    <w:p w14:paraId="04C38F3F" w14:textId="77777777" w:rsidR="00224BE9" w:rsidRPr="00224BE9" w:rsidRDefault="00224BE9" w:rsidP="00224BE9">
      <w:pPr>
        <w:suppressAutoHyphens w:val="0"/>
        <w:rPr>
          <w:sz w:val="22"/>
          <w:szCs w:val="22"/>
          <w:lang w:eastAsia="en-US"/>
        </w:rPr>
      </w:pPr>
    </w:p>
    <w:p w14:paraId="5D5B0634"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Hepatotoxicitás</w:t>
      </w:r>
    </w:p>
    <w:p w14:paraId="0809DA14" w14:textId="03A93F2F" w:rsidR="00224BE9" w:rsidRPr="00224BE9" w:rsidRDefault="00224BE9" w:rsidP="00224BE9">
      <w:pPr>
        <w:suppressAutoHyphens w:val="0"/>
        <w:rPr>
          <w:sz w:val="22"/>
          <w:szCs w:val="22"/>
          <w:lang w:eastAsia="en-US"/>
        </w:rPr>
      </w:pPr>
      <w:r w:rsidRPr="00224BE9">
        <w:rPr>
          <w:sz w:val="22"/>
          <w:szCs w:val="22"/>
          <w:lang w:eastAsia="en-US"/>
        </w:rPr>
        <w:t xml:space="preserve">Mivel a máj az azitromicin fő eliminációs útvonala, az azitromicin csak kellő </w:t>
      </w:r>
      <w:r w:rsidRPr="00224BE9">
        <w:rPr>
          <w:sz w:val="22"/>
          <w:szCs w:val="22"/>
          <w:lang w:eastAsia="ar-SA"/>
        </w:rPr>
        <w:t>körültekintéssel adható jelentős májbetegségben szenvedő betegeknek</w:t>
      </w:r>
      <w:r w:rsidRPr="00224BE9">
        <w:rPr>
          <w:sz w:val="22"/>
          <w:szCs w:val="22"/>
          <w:lang w:eastAsia="en-US"/>
        </w:rPr>
        <w:t>. Potenciálisan életveszélyes májelégtelenséghez vezető fulmináns hepatitis eseteiről számoltak be az azitromicin kapcsán.</w:t>
      </w:r>
      <w:r w:rsidRPr="00224BE9">
        <w:rPr>
          <w:sz w:val="22"/>
          <w:lang w:eastAsia="en-US"/>
        </w:rPr>
        <w:t xml:space="preserve"> </w:t>
      </w:r>
      <w:r w:rsidRPr="00224BE9">
        <w:rPr>
          <w:sz w:val="22"/>
          <w:szCs w:val="22"/>
          <w:lang w:eastAsia="en-US"/>
        </w:rPr>
        <w:t>Hepatitist, cholestaticus icterust, májnekrózist és májelégtelenséget jelentettek az azitrominnel kapcsolatban, néhány esetben halálos kimenetellel (lásd 4.8</w:t>
      </w:r>
      <w:r w:rsidR="00DE5A63">
        <w:rPr>
          <w:sz w:val="22"/>
          <w:szCs w:val="22"/>
          <w:lang w:eastAsia="en-US"/>
        </w:rPr>
        <w:t> pont</w:t>
      </w:r>
      <w:r w:rsidRPr="00224BE9">
        <w:rPr>
          <w:sz w:val="22"/>
          <w:szCs w:val="22"/>
          <w:lang w:eastAsia="en-US"/>
        </w:rPr>
        <w:t>).</w:t>
      </w:r>
    </w:p>
    <w:p w14:paraId="7CFFD4EE" w14:textId="77777777" w:rsidR="00224BE9" w:rsidRPr="00224BE9" w:rsidRDefault="00224BE9" w:rsidP="00224BE9">
      <w:pPr>
        <w:suppressAutoHyphens w:val="0"/>
        <w:rPr>
          <w:sz w:val="22"/>
          <w:szCs w:val="22"/>
          <w:lang w:eastAsia="en-US"/>
        </w:rPr>
      </w:pPr>
      <w:r w:rsidRPr="00224BE9">
        <w:rPr>
          <w:sz w:val="22"/>
          <w:szCs w:val="22"/>
          <w:lang w:eastAsia="en-US"/>
        </w:rPr>
        <w:t>Néhány beteg már korábban fennálló májbetegségben szenvedett vagy egyéb hepatotoxikus gyógyszert szedett.</w:t>
      </w:r>
    </w:p>
    <w:p w14:paraId="7D9899FB" w14:textId="77777777" w:rsidR="00224BE9" w:rsidRPr="00224BE9" w:rsidRDefault="00224BE9" w:rsidP="00224BE9">
      <w:pPr>
        <w:suppressAutoHyphens w:val="0"/>
        <w:rPr>
          <w:sz w:val="22"/>
          <w:szCs w:val="22"/>
          <w:lang w:eastAsia="en-US"/>
        </w:rPr>
      </w:pPr>
      <w:r w:rsidRPr="00224BE9">
        <w:rPr>
          <w:sz w:val="22"/>
          <w:szCs w:val="22"/>
          <w:lang w:eastAsia="en-US"/>
        </w:rPr>
        <w:t>Javasolni kell a betegeknek, hogy hagyják abba az azitromicin alkalmazását és keressék fel a kezelőorvosukat, ha májműködési zavarra utaló jelek vagy tünetek alakulnak ki, például hirtelen kialakuló asthenia, icterussal, sötét vizelettel, vérzési hajlammal vagy hepaticus encephalopathiával. Ilyen esetekben azonnali májfunkciós tesztek/vizsgálatok végezendők.</w:t>
      </w:r>
    </w:p>
    <w:p w14:paraId="62582532" w14:textId="77777777" w:rsidR="00224BE9" w:rsidRPr="00224BE9" w:rsidRDefault="00224BE9" w:rsidP="00224BE9">
      <w:pPr>
        <w:suppressAutoHyphens w:val="0"/>
        <w:rPr>
          <w:sz w:val="22"/>
          <w:szCs w:val="22"/>
          <w:lang w:eastAsia="en-US"/>
        </w:rPr>
      </w:pPr>
    </w:p>
    <w:p w14:paraId="6A97E878" w14:textId="77777777" w:rsidR="00224BE9" w:rsidRPr="00224BE9" w:rsidRDefault="00224BE9" w:rsidP="00224BE9">
      <w:pPr>
        <w:suppressAutoHyphens w:val="0"/>
        <w:rPr>
          <w:sz w:val="22"/>
          <w:szCs w:val="22"/>
          <w:u w:val="single"/>
          <w:lang w:eastAsia="en-US"/>
        </w:rPr>
      </w:pPr>
      <w:r w:rsidRPr="00224BE9">
        <w:rPr>
          <w:i/>
          <w:iCs/>
          <w:sz w:val="22"/>
          <w:szCs w:val="22"/>
          <w:u w:val="single"/>
          <w:lang w:eastAsia="en-US"/>
        </w:rPr>
        <w:t>Clostridioides difficile</w:t>
      </w:r>
      <w:r w:rsidRPr="00224BE9">
        <w:rPr>
          <w:sz w:val="22"/>
          <w:szCs w:val="22"/>
          <w:u w:val="single"/>
          <w:lang w:eastAsia="en-US"/>
        </w:rPr>
        <w:t>-asszociált hasmenés (CDAD), pseudomembranosus colitis</w:t>
      </w:r>
    </w:p>
    <w:p w14:paraId="60BE46B7" w14:textId="31B9C8FC" w:rsidR="00224BE9" w:rsidRPr="00224BE9" w:rsidRDefault="00224BE9" w:rsidP="00224BE9">
      <w:pPr>
        <w:suppressAutoHyphens w:val="0"/>
        <w:rPr>
          <w:sz w:val="22"/>
          <w:szCs w:val="22"/>
          <w:lang w:eastAsia="en-US"/>
        </w:rPr>
      </w:pPr>
      <w:r w:rsidRPr="00224BE9">
        <w:rPr>
          <w:sz w:val="22"/>
          <w:szCs w:val="22"/>
          <w:lang w:eastAsia="en-US"/>
        </w:rPr>
        <w:t>CDAD-t és a pseudomembranosus colitist jelentettek az azitrominnel kapcsolatosan, amelyek súlyossága az enyhe hasmenéstől a halálos kimenetelű colitisig terjedhet (lásd 4.8</w:t>
      </w:r>
      <w:r w:rsidR="00DE5A63">
        <w:rPr>
          <w:sz w:val="22"/>
          <w:szCs w:val="22"/>
          <w:lang w:eastAsia="en-US"/>
        </w:rPr>
        <w:t> pont</w:t>
      </w:r>
      <w:r w:rsidRPr="00224BE9">
        <w:rPr>
          <w:sz w:val="22"/>
          <w:szCs w:val="22"/>
          <w:lang w:eastAsia="en-US"/>
        </w:rPr>
        <w:t xml:space="preserve">). Figyelembe </w:t>
      </w:r>
      <w:r w:rsidRPr="00224BE9">
        <w:rPr>
          <w:sz w:val="22"/>
          <w:szCs w:val="22"/>
          <w:lang w:eastAsia="en-US"/>
        </w:rPr>
        <w:lastRenderedPageBreak/>
        <w:t xml:space="preserve">kell venni a CDAD és a pseudomembranosus colitis diagnózisának lehetőségét azoknál a betegeknél, akik hasmenéssel jelentkeznek az azitromicin alkalmazása alatt vagy azt követően. Fontolóra kell venni az azitromicinnel végzett kezelés leállítását és szupportív kezelések alkalmazását, </w:t>
      </w:r>
      <w:r w:rsidRPr="00224BE9">
        <w:rPr>
          <w:i/>
          <w:iCs/>
          <w:sz w:val="22"/>
          <w:szCs w:val="22"/>
          <w:lang w:eastAsia="en-US"/>
        </w:rPr>
        <w:t>C. difficile</w:t>
      </w:r>
      <w:r w:rsidRPr="00224BE9">
        <w:rPr>
          <w:sz w:val="22"/>
          <w:szCs w:val="22"/>
          <w:lang w:eastAsia="en-US"/>
        </w:rPr>
        <w:t xml:space="preserve"> elleni specifikus kezeléssel együttesen. Perisztaltikát gátló gyógyszerek nem alkalmazhatók.</w:t>
      </w:r>
    </w:p>
    <w:p w14:paraId="7EABD5BC" w14:textId="77777777" w:rsidR="00224BE9" w:rsidRPr="00224BE9" w:rsidRDefault="00224BE9" w:rsidP="00224BE9">
      <w:pPr>
        <w:suppressAutoHyphens w:val="0"/>
        <w:rPr>
          <w:sz w:val="22"/>
          <w:szCs w:val="22"/>
          <w:lang w:eastAsia="en-US"/>
        </w:rPr>
      </w:pPr>
    </w:p>
    <w:p w14:paraId="213385C9"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Nemi úton terjedő betegségek</w:t>
      </w:r>
    </w:p>
    <w:p w14:paraId="50A0267E" w14:textId="1404C26F" w:rsidR="00224BE9" w:rsidRPr="00224BE9" w:rsidRDefault="00224BE9" w:rsidP="00224BE9">
      <w:pPr>
        <w:suppressAutoHyphens w:val="0"/>
        <w:rPr>
          <w:sz w:val="22"/>
          <w:szCs w:val="22"/>
          <w:lang w:eastAsia="en-US"/>
        </w:rPr>
      </w:pPr>
      <w:r w:rsidRPr="00224BE9">
        <w:rPr>
          <w:sz w:val="22"/>
          <w:szCs w:val="22"/>
          <w:lang w:eastAsia="en-US"/>
        </w:rPr>
        <w:t xml:space="preserve">A </w:t>
      </w:r>
      <w:r w:rsidRPr="00224BE9">
        <w:rPr>
          <w:i/>
          <w:iCs/>
          <w:sz w:val="22"/>
          <w:szCs w:val="22"/>
          <w:lang w:eastAsia="en-US"/>
        </w:rPr>
        <w:t>Neisseria gonorrhoeae</w:t>
      </w:r>
      <w:r w:rsidRPr="00224BE9">
        <w:rPr>
          <w:sz w:val="22"/>
          <w:szCs w:val="22"/>
          <w:lang w:eastAsia="en-US"/>
        </w:rPr>
        <w:t xml:space="preserve"> nagy valószínűséggel rezisztenciát mutat a makrolidokkal szemben, így az azalid azitromicinnel szemben is (lásd 5.1</w:t>
      </w:r>
      <w:r w:rsidR="00DE5A63">
        <w:rPr>
          <w:sz w:val="22"/>
          <w:szCs w:val="22"/>
          <w:lang w:eastAsia="en-US"/>
        </w:rPr>
        <w:t> pont</w:t>
      </w:r>
      <w:r w:rsidRPr="00224BE9">
        <w:rPr>
          <w:sz w:val="22"/>
          <w:szCs w:val="22"/>
          <w:lang w:eastAsia="en-US"/>
        </w:rPr>
        <w:t>). Az azitromicin ezért nem ajánlott a szövődménymentes gonorrhoea kezelésére, kivéve akkor, ha a laboratóriumi eredmények alátámasztják az organizmus azitromicin iránti érzékenységét. Kezelés nélkül vagy nem optimálisan kezelve, ez az állapot kései szövődményekhez, infertilitáshoz és ectopiás terhességhez vezethet.</w:t>
      </w:r>
    </w:p>
    <w:p w14:paraId="2AF18BA3" w14:textId="77777777" w:rsidR="00224BE9" w:rsidRPr="00224BE9" w:rsidRDefault="00224BE9" w:rsidP="00224BE9">
      <w:pPr>
        <w:suppressAutoHyphens w:val="0"/>
        <w:rPr>
          <w:sz w:val="22"/>
          <w:szCs w:val="22"/>
          <w:u w:val="single"/>
          <w:lang w:eastAsia="en-US"/>
        </w:rPr>
      </w:pPr>
    </w:p>
    <w:p w14:paraId="0F86BA38" w14:textId="7BA15CB0" w:rsidR="00224BE9" w:rsidRPr="00224BE9" w:rsidRDefault="00224BE9" w:rsidP="00224BE9">
      <w:pPr>
        <w:suppressAutoHyphens w:val="0"/>
        <w:rPr>
          <w:sz w:val="22"/>
          <w:szCs w:val="22"/>
          <w:lang w:eastAsia="en-US"/>
        </w:rPr>
      </w:pPr>
      <w:r w:rsidRPr="00224BE9">
        <w:rPr>
          <w:sz w:val="22"/>
          <w:szCs w:val="22"/>
          <w:lang w:eastAsia="en-US"/>
        </w:rPr>
        <w:t xml:space="preserve">Ha fontolóra veszik továbbá az egyszeri dózisú azitromicin-kezelést </w:t>
      </w:r>
      <w:r w:rsidRPr="00224BE9">
        <w:rPr>
          <w:i/>
          <w:iCs/>
          <w:sz w:val="22"/>
          <w:szCs w:val="22"/>
          <w:lang w:eastAsia="en-US"/>
        </w:rPr>
        <w:t>N. gonorrhoeae</w:t>
      </w:r>
      <w:r w:rsidRPr="00224BE9">
        <w:rPr>
          <w:sz w:val="22"/>
          <w:szCs w:val="22"/>
          <w:lang w:eastAsia="en-US"/>
        </w:rPr>
        <w:t xml:space="preserve"> vagy </w:t>
      </w:r>
      <w:r w:rsidRPr="00224BE9">
        <w:rPr>
          <w:i/>
          <w:iCs/>
          <w:sz w:val="22"/>
          <w:szCs w:val="22"/>
          <w:lang w:eastAsia="en-US"/>
        </w:rPr>
        <w:t>C.</w:t>
      </w:r>
      <w:r w:rsidR="008647DB">
        <w:rPr>
          <w:i/>
          <w:iCs/>
          <w:sz w:val="22"/>
          <w:szCs w:val="22"/>
          <w:lang w:eastAsia="en-US"/>
        </w:rPr>
        <w:t> </w:t>
      </w:r>
      <w:r w:rsidRPr="00224BE9">
        <w:rPr>
          <w:i/>
          <w:iCs/>
          <w:sz w:val="22"/>
          <w:szCs w:val="22"/>
          <w:lang w:eastAsia="en-US"/>
        </w:rPr>
        <w:t>trachomatis</w:t>
      </w:r>
      <w:r w:rsidRPr="00224BE9">
        <w:rPr>
          <w:sz w:val="22"/>
          <w:szCs w:val="22"/>
          <w:lang w:eastAsia="en-US"/>
        </w:rPr>
        <w:t xml:space="preserve"> okozta urethritis és cervicitis kezelésére (lásd 4.2</w:t>
      </w:r>
      <w:r w:rsidR="00DE5A63">
        <w:rPr>
          <w:sz w:val="22"/>
          <w:szCs w:val="22"/>
          <w:lang w:eastAsia="en-US"/>
        </w:rPr>
        <w:t> pont</w:t>
      </w:r>
      <w:r w:rsidRPr="00224BE9">
        <w:rPr>
          <w:sz w:val="22"/>
          <w:szCs w:val="22"/>
          <w:lang w:eastAsia="en-US"/>
        </w:rPr>
        <w:t xml:space="preserve">), akkor az egyidejű </w:t>
      </w:r>
      <w:r w:rsidRPr="00224BE9">
        <w:rPr>
          <w:i/>
          <w:iCs/>
          <w:sz w:val="22"/>
          <w:szCs w:val="22"/>
          <w:lang w:eastAsia="en-US"/>
        </w:rPr>
        <w:t>Mycoplasma</w:t>
      </w:r>
      <w:r w:rsidR="008647DB">
        <w:rPr>
          <w:i/>
          <w:iCs/>
          <w:sz w:val="22"/>
          <w:szCs w:val="22"/>
          <w:lang w:eastAsia="en-US"/>
        </w:rPr>
        <w:t> </w:t>
      </w:r>
      <w:r w:rsidRPr="00224BE9">
        <w:rPr>
          <w:i/>
          <w:iCs/>
          <w:sz w:val="22"/>
          <w:szCs w:val="22"/>
          <w:lang w:eastAsia="en-US"/>
        </w:rPr>
        <w:t>genitalium</w:t>
      </w:r>
      <w:r w:rsidRPr="00224BE9">
        <w:rPr>
          <w:sz w:val="22"/>
          <w:szCs w:val="22"/>
          <w:lang w:eastAsia="en-US"/>
        </w:rPr>
        <w:t xml:space="preserve"> okozta urogenitalis fertőzést ki kell zárni az organizmus rezisztenciájának magas kialakulási kockázata miatt.</w:t>
      </w:r>
    </w:p>
    <w:p w14:paraId="3EA2AD31" w14:textId="77777777" w:rsidR="00224BE9" w:rsidRPr="00224BE9" w:rsidRDefault="00224BE9" w:rsidP="00224BE9">
      <w:pPr>
        <w:suppressAutoHyphens w:val="0"/>
        <w:rPr>
          <w:sz w:val="22"/>
          <w:szCs w:val="22"/>
          <w:lang w:eastAsia="en-US"/>
        </w:rPr>
      </w:pPr>
    </w:p>
    <w:p w14:paraId="01DB0925" w14:textId="77777777" w:rsidR="00224BE9" w:rsidRPr="00224BE9" w:rsidRDefault="00224BE9" w:rsidP="00224BE9">
      <w:pPr>
        <w:suppressAutoHyphens w:val="0"/>
        <w:rPr>
          <w:sz w:val="22"/>
          <w:szCs w:val="22"/>
          <w:lang w:eastAsia="en-US"/>
        </w:rPr>
      </w:pPr>
      <w:r w:rsidRPr="00224BE9">
        <w:rPr>
          <w:sz w:val="22"/>
          <w:szCs w:val="22"/>
          <w:lang w:eastAsia="en-US"/>
        </w:rPr>
        <w:t xml:space="preserve">Ezenkívül a </w:t>
      </w:r>
      <w:r w:rsidRPr="00224BE9">
        <w:rPr>
          <w:i/>
          <w:iCs/>
          <w:sz w:val="22"/>
          <w:szCs w:val="22"/>
          <w:lang w:eastAsia="en-US"/>
        </w:rPr>
        <w:t>Treponema pallidum</w:t>
      </w:r>
      <w:r w:rsidRPr="00224BE9">
        <w:rPr>
          <w:sz w:val="22"/>
          <w:szCs w:val="22"/>
          <w:lang w:eastAsia="en-US"/>
        </w:rPr>
        <w:t xml:space="preserve"> okozta egyidejű fertőzést is ki kell zárni, mivel a szifilisz lappangásának tünetei elfedve maradhatnak, amely késleltetheti a diagnózist.</w:t>
      </w:r>
    </w:p>
    <w:p w14:paraId="4AFA89D6" w14:textId="77777777" w:rsidR="00224BE9" w:rsidRPr="00224BE9" w:rsidRDefault="00224BE9" w:rsidP="00224BE9">
      <w:pPr>
        <w:suppressAutoHyphens w:val="0"/>
        <w:rPr>
          <w:sz w:val="22"/>
          <w:szCs w:val="22"/>
          <w:lang w:eastAsia="en-US"/>
        </w:rPr>
      </w:pPr>
    </w:p>
    <w:p w14:paraId="0886B5D5" w14:textId="77777777" w:rsidR="00224BE9" w:rsidRPr="00224BE9" w:rsidRDefault="00224BE9" w:rsidP="00224BE9">
      <w:pPr>
        <w:suppressAutoHyphens w:val="0"/>
        <w:rPr>
          <w:sz w:val="22"/>
          <w:szCs w:val="22"/>
          <w:lang w:eastAsia="en-US"/>
        </w:rPr>
      </w:pPr>
      <w:r w:rsidRPr="00224BE9">
        <w:rPr>
          <w:sz w:val="22"/>
          <w:szCs w:val="22"/>
          <w:lang w:eastAsia="en-US"/>
        </w:rPr>
        <w:t>Minden, nemi úton terjedő urogenitalis fertőzésben szenvedő betegnél megfelelő antibakteriális terápiát és mikrobiológiai utánkövető vizsgálatokat kell kezdeni.</w:t>
      </w:r>
    </w:p>
    <w:p w14:paraId="32FA63C1" w14:textId="77777777" w:rsidR="00224BE9" w:rsidRPr="00224BE9" w:rsidRDefault="00224BE9" w:rsidP="00224BE9">
      <w:pPr>
        <w:suppressAutoHyphens w:val="0"/>
        <w:rPr>
          <w:sz w:val="22"/>
          <w:szCs w:val="22"/>
          <w:lang w:eastAsia="en-US"/>
        </w:rPr>
      </w:pPr>
    </w:p>
    <w:p w14:paraId="4AD19F81"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 xml:space="preserve">Myasthenia gravis </w:t>
      </w:r>
    </w:p>
    <w:p w14:paraId="66E10123" w14:textId="2593E5F8" w:rsidR="00224BE9" w:rsidRPr="00224BE9" w:rsidRDefault="00224BE9" w:rsidP="00224BE9">
      <w:pPr>
        <w:suppressAutoHyphens w:val="0"/>
        <w:rPr>
          <w:sz w:val="22"/>
          <w:szCs w:val="22"/>
          <w:lang w:eastAsia="en-US"/>
        </w:rPr>
      </w:pPr>
      <w:r w:rsidRPr="00224BE9">
        <w:rPr>
          <w:sz w:val="22"/>
          <w:szCs w:val="22"/>
          <w:lang w:eastAsia="en-US"/>
        </w:rPr>
        <w:t>Myasthenia gravis tüneteinek exacerbációját és újonnan kialakult myasthenia szindrómát jelentettek azitromicint kapó betegeknél (lásd 4.8</w:t>
      </w:r>
      <w:r w:rsidR="00DE5A63">
        <w:rPr>
          <w:sz w:val="22"/>
          <w:szCs w:val="22"/>
          <w:lang w:eastAsia="en-US"/>
        </w:rPr>
        <w:t> pont</w:t>
      </w:r>
      <w:r w:rsidRPr="00224BE9">
        <w:rPr>
          <w:sz w:val="22"/>
          <w:szCs w:val="22"/>
          <w:lang w:eastAsia="en-US"/>
        </w:rPr>
        <w:t xml:space="preserve">). </w:t>
      </w:r>
    </w:p>
    <w:p w14:paraId="60F57D6B" w14:textId="77777777" w:rsidR="00224BE9" w:rsidRPr="00224BE9" w:rsidRDefault="00224BE9" w:rsidP="00224BE9">
      <w:pPr>
        <w:suppressAutoHyphens w:val="0"/>
        <w:rPr>
          <w:sz w:val="22"/>
          <w:szCs w:val="22"/>
          <w:lang w:eastAsia="en-US"/>
        </w:rPr>
      </w:pPr>
    </w:p>
    <w:p w14:paraId="44D96CAE"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 xml:space="preserve">Nem érzékeny organizmusok </w:t>
      </w:r>
    </w:p>
    <w:p w14:paraId="642B1DE2" w14:textId="77777777" w:rsidR="00224BE9" w:rsidRPr="00224BE9" w:rsidRDefault="00224BE9" w:rsidP="00224BE9">
      <w:pPr>
        <w:suppressAutoHyphens w:val="0"/>
        <w:rPr>
          <w:sz w:val="22"/>
          <w:szCs w:val="22"/>
          <w:lang w:eastAsia="en-US"/>
        </w:rPr>
      </w:pPr>
      <w:r w:rsidRPr="00224BE9">
        <w:rPr>
          <w:sz w:val="22"/>
          <w:szCs w:val="22"/>
          <w:lang w:eastAsia="en-US"/>
        </w:rPr>
        <w:t>Az azitromicin alkalmazása a nem érzékeny organizmusok túlszaporodását okozhatja. Ha felülfertőződés történik, akkor a kezelés megszakítása vagy más megfelelő kezelések válhatnak szükségessé.</w:t>
      </w:r>
    </w:p>
    <w:p w14:paraId="65265CA9" w14:textId="77777777" w:rsidR="00224BE9" w:rsidRPr="00224BE9" w:rsidRDefault="00224BE9" w:rsidP="00224BE9">
      <w:pPr>
        <w:suppressAutoHyphens w:val="0"/>
        <w:rPr>
          <w:sz w:val="22"/>
          <w:szCs w:val="22"/>
          <w:lang w:eastAsia="en-US"/>
        </w:rPr>
      </w:pPr>
    </w:p>
    <w:p w14:paraId="0BBDBF60"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Ergotszármazékok</w:t>
      </w:r>
    </w:p>
    <w:p w14:paraId="096382A5" w14:textId="77777777" w:rsidR="00224BE9" w:rsidRPr="00224BE9" w:rsidRDefault="00224BE9" w:rsidP="00224BE9">
      <w:pPr>
        <w:suppressAutoHyphens w:val="0"/>
        <w:rPr>
          <w:sz w:val="22"/>
          <w:szCs w:val="22"/>
          <w:lang w:eastAsia="en-US"/>
        </w:rPr>
      </w:pPr>
      <w:r w:rsidRPr="00224BE9">
        <w:rPr>
          <w:sz w:val="22"/>
          <w:szCs w:val="22"/>
          <w:lang w:eastAsia="en-US"/>
        </w:rPr>
        <w:t>Ergotszármazékot kapó betegeknél egyes makrolid antibiotikumokkal történő egyidejű alkalmazás ergotizmust váltott ki. Az ergotszármazékok és az azitromicin közötti interakció lehetőségét illetően nincsenek rendelkezésre álló adatok. Az ergotizmus elméleti lehetősége miatt ugyanakkor az azitromicin és az ergotszármazékok nem adhatók egyidejűleg.</w:t>
      </w:r>
    </w:p>
    <w:p w14:paraId="4997B355" w14:textId="77777777" w:rsidR="00224BE9" w:rsidRPr="00224BE9" w:rsidRDefault="00224BE9" w:rsidP="00224BE9">
      <w:pPr>
        <w:suppressAutoHyphens w:val="0"/>
        <w:rPr>
          <w:sz w:val="22"/>
          <w:szCs w:val="22"/>
          <w:lang w:eastAsia="en-US"/>
        </w:rPr>
      </w:pPr>
    </w:p>
    <w:p w14:paraId="5BC790FB" w14:textId="2D248119" w:rsidR="00224BE9" w:rsidRPr="00224BE9" w:rsidRDefault="00224BE9" w:rsidP="00224BE9">
      <w:pPr>
        <w:suppressAutoHyphens w:val="0"/>
        <w:rPr>
          <w:sz w:val="22"/>
          <w:szCs w:val="22"/>
          <w:u w:val="single"/>
          <w:lang w:eastAsia="en-US"/>
        </w:rPr>
      </w:pPr>
      <w:r w:rsidRPr="00224BE9">
        <w:rPr>
          <w:sz w:val="22"/>
          <w:szCs w:val="22"/>
          <w:u w:val="single"/>
          <w:lang w:eastAsia="en-US"/>
        </w:rPr>
        <w:t>Ismert hatású segédanyag</w:t>
      </w:r>
    </w:p>
    <w:bookmarkEnd w:id="4"/>
    <w:p w14:paraId="1211C381" w14:textId="77777777" w:rsidR="00224BE9" w:rsidRPr="00224BE9" w:rsidRDefault="00224BE9" w:rsidP="00224BE9">
      <w:pPr>
        <w:suppressAutoHyphens w:val="0"/>
        <w:rPr>
          <w:sz w:val="22"/>
          <w:szCs w:val="22"/>
          <w:lang w:eastAsia="en-US"/>
        </w:rPr>
      </w:pPr>
    </w:p>
    <w:p w14:paraId="5BD45542" w14:textId="77777777" w:rsidR="009E7086" w:rsidRPr="00E66BD7" w:rsidRDefault="009E7086" w:rsidP="009E7086">
      <w:pPr>
        <w:rPr>
          <w:sz w:val="22"/>
          <w:szCs w:val="22"/>
        </w:rPr>
      </w:pPr>
      <w:r w:rsidRPr="00E66BD7">
        <w:rPr>
          <w:sz w:val="22"/>
          <w:szCs w:val="22"/>
        </w:rPr>
        <w:t>A készítmény kevesebb mint 1 mmol (23 mg) nátriumot tartalmaz filmtablettánként, azaz gyakorlatilag „nátriummentes”.</w:t>
      </w:r>
    </w:p>
    <w:p w14:paraId="416097F2" w14:textId="77777777" w:rsidR="00224BE9" w:rsidRPr="00224BE9" w:rsidRDefault="00224BE9" w:rsidP="00224BE9">
      <w:pPr>
        <w:suppressAutoHyphens w:val="0"/>
        <w:rPr>
          <w:sz w:val="22"/>
          <w:szCs w:val="22"/>
          <w:lang w:eastAsia="en-US"/>
        </w:rPr>
      </w:pPr>
    </w:p>
    <w:p w14:paraId="31B1FCF3"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4.5</w:t>
      </w:r>
      <w:r w:rsidRPr="00224BE9">
        <w:rPr>
          <w:b/>
          <w:sz w:val="22"/>
          <w:szCs w:val="22"/>
          <w:lang w:eastAsia="en-US"/>
        </w:rPr>
        <w:tab/>
        <w:t>Gyógyszerkölcsönhatások és egyéb interakciók</w:t>
      </w:r>
    </w:p>
    <w:p w14:paraId="1441CE8C" w14:textId="77777777" w:rsidR="00224BE9" w:rsidRPr="00224BE9" w:rsidRDefault="00224BE9" w:rsidP="00224BE9">
      <w:pPr>
        <w:suppressAutoHyphens w:val="0"/>
        <w:rPr>
          <w:b/>
          <w:bCs/>
          <w:iCs/>
          <w:sz w:val="22"/>
          <w:szCs w:val="22"/>
          <w:lang w:eastAsia="en-US"/>
        </w:rPr>
      </w:pPr>
    </w:p>
    <w:p w14:paraId="3B9D8349" w14:textId="77777777" w:rsidR="00224BE9" w:rsidRPr="00224BE9" w:rsidRDefault="00224BE9" w:rsidP="00224BE9">
      <w:pPr>
        <w:suppressAutoHyphens w:val="0"/>
        <w:autoSpaceDE w:val="0"/>
        <w:autoSpaceDN w:val="0"/>
        <w:adjustRightInd w:val="0"/>
        <w:rPr>
          <w:color w:val="000000"/>
          <w:sz w:val="22"/>
          <w:szCs w:val="22"/>
          <w:lang w:eastAsia="en-US"/>
        </w:rPr>
      </w:pPr>
      <w:bookmarkStart w:id="5" w:name="_Hlk208867517"/>
      <w:r w:rsidRPr="00224BE9">
        <w:rPr>
          <w:color w:val="000000"/>
          <w:sz w:val="22"/>
          <w:szCs w:val="22"/>
          <w:lang w:eastAsia="en-US"/>
        </w:rPr>
        <w:t xml:space="preserve">Habár az azitromicin gyenge CYP450-inhibitor és nem kerül szignifikáns kölcsönhatásba a CYP450 szubsztrátjaival, a CYP3A4 gátlása nem zárható ki teljesen. Alacsony terápiás indexű CYP3A4 szubsztrátokkal való egyidejű alkalmazás esetén ezért kellő körültekintés ajánlott. </w:t>
      </w:r>
    </w:p>
    <w:p w14:paraId="24C26ABA" w14:textId="0FD1A33D" w:rsidR="00224BE9" w:rsidRPr="00224BE9" w:rsidRDefault="00224BE9" w:rsidP="00224BE9">
      <w:pPr>
        <w:suppressAutoHyphens w:val="0"/>
        <w:rPr>
          <w:b/>
          <w:bCs/>
          <w:iCs/>
          <w:sz w:val="22"/>
          <w:szCs w:val="22"/>
          <w:lang w:eastAsia="en-US"/>
        </w:rPr>
      </w:pPr>
      <w:r w:rsidRPr="00224BE9">
        <w:rPr>
          <w:sz w:val="22"/>
          <w:szCs w:val="22"/>
          <w:lang w:eastAsia="en-US"/>
        </w:rPr>
        <w:t>Az azitromicin a P-glikoprotein (P-gp) transzporter inhibitora. Az azitromicin egyidejű alkalmazása P-gp-szubsztrátokkal, például digoxinnal vagy kolchicinnel, megemelheti az expozíciójukat. Az alacsony terápiás indexű gyógyszerek esetében körültekintés, valamint klinikai és/vagy terápiás gyógyszerszint-monitorozás és szükség esetén dózismódosítás javasolt. Figyelembe kell venni ennek kapcsán az azitromicin viszonylag hosszú felezési idejét (lásd 5.2</w:t>
      </w:r>
      <w:r w:rsidR="00DE5A63">
        <w:rPr>
          <w:sz w:val="22"/>
          <w:szCs w:val="22"/>
          <w:lang w:eastAsia="en-US"/>
        </w:rPr>
        <w:t> pont</w:t>
      </w:r>
      <w:r w:rsidRPr="00224BE9">
        <w:rPr>
          <w:sz w:val="22"/>
          <w:szCs w:val="22"/>
          <w:lang w:eastAsia="en-US"/>
        </w:rPr>
        <w:t>).</w:t>
      </w:r>
    </w:p>
    <w:p w14:paraId="518527ED" w14:textId="77777777" w:rsidR="00224BE9" w:rsidRPr="00224BE9" w:rsidRDefault="00224BE9" w:rsidP="00224BE9">
      <w:pPr>
        <w:suppressAutoHyphens w:val="0"/>
        <w:rPr>
          <w:bCs/>
          <w:sz w:val="22"/>
          <w:szCs w:val="22"/>
          <w:lang w:eastAsia="en-US"/>
        </w:rPr>
      </w:pPr>
    </w:p>
    <w:p w14:paraId="7C599E70" w14:textId="77777777" w:rsidR="00224BE9" w:rsidRPr="00224BE9" w:rsidRDefault="00224BE9" w:rsidP="00224BE9">
      <w:pPr>
        <w:suppressAutoHyphens w:val="0"/>
        <w:rPr>
          <w:bCs/>
          <w:sz w:val="22"/>
          <w:szCs w:val="22"/>
          <w:u w:val="single"/>
          <w:lang w:eastAsia="en-US"/>
        </w:rPr>
      </w:pPr>
      <w:r w:rsidRPr="00224BE9">
        <w:rPr>
          <w:bCs/>
          <w:sz w:val="22"/>
          <w:szCs w:val="22"/>
          <w:u w:val="single"/>
          <w:lang w:eastAsia="en-US"/>
        </w:rPr>
        <w:t xml:space="preserve">A QT-intervallumot ismerten megnyújtó gyógyszerek </w:t>
      </w:r>
    </w:p>
    <w:p w14:paraId="15202BBF" w14:textId="7D83F9AB" w:rsidR="00224BE9" w:rsidRPr="00224BE9" w:rsidRDefault="00224BE9" w:rsidP="00224BE9">
      <w:pPr>
        <w:suppressAutoHyphens w:val="0"/>
        <w:rPr>
          <w:bCs/>
          <w:sz w:val="22"/>
          <w:szCs w:val="22"/>
          <w:lang w:eastAsia="en-US"/>
        </w:rPr>
      </w:pPr>
      <w:r w:rsidRPr="00224BE9">
        <w:rPr>
          <w:bCs/>
          <w:sz w:val="22"/>
          <w:szCs w:val="22"/>
          <w:lang w:eastAsia="en-US"/>
        </w:rPr>
        <w:t>Az azitromicin csak kellő körültekintéssel alkalmazható olyan betegeknél, akik a QT-intervallumot ismerten megnyújtó gyógyszereket (lásd 4.4</w:t>
      </w:r>
      <w:r w:rsidR="00DE5A63">
        <w:rPr>
          <w:bCs/>
          <w:sz w:val="22"/>
          <w:szCs w:val="22"/>
          <w:lang w:eastAsia="en-US"/>
        </w:rPr>
        <w:t> pont</w:t>
      </w:r>
      <w:r w:rsidRPr="00224BE9">
        <w:rPr>
          <w:bCs/>
          <w:sz w:val="22"/>
          <w:szCs w:val="22"/>
          <w:lang w:eastAsia="en-US"/>
        </w:rPr>
        <w:t xml:space="preserve">) kapnak, például I/A osztályú (pl. kinidint vagy </w:t>
      </w:r>
      <w:r w:rsidRPr="00224BE9">
        <w:rPr>
          <w:bCs/>
          <w:sz w:val="22"/>
          <w:szCs w:val="22"/>
          <w:lang w:eastAsia="en-US"/>
        </w:rPr>
        <w:lastRenderedPageBreak/>
        <w:t xml:space="preserve">prokainamidot) vagy III. osztályú antiarrhythmiás gyógyszereket (pl. dofetilidet, amiodaront vagy szotalolt), antipszichotikumokat (pl. pimozidot), antidepresszánsokat (pl. citaloprámot), fluorokinolonokat (pl. moxifloxacint vagy levofloxacint), ciszapridot, klorokint vagy hidroxiklorokint. </w:t>
      </w:r>
    </w:p>
    <w:p w14:paraId="0E3AF803" w14:textId="77777777" w:rsidR="00224BE9" w:rsidRPr="00224BE9" w:rsidRDefault="00224BE9" w:rsidP="00224BE9">
      <w:pPr>
        <w:suppressAutoHyphens w:val="0"/>
        <w:rPr>
          <w:bCs/>
          <w:iCs/>
          <w:sz w:val="22"/>
          <w:szCs w:val="22"/>
          <w:lang w:eastAsia="en-US"/>
        </w:rPr>
      </w:pPr>
      <w:r w:rsidRPr="00224BE9">
        <w:rPr>
          <w:bCs/>
          <w:sz w:val="22"/>
          <w:szCs w:val="22"/>
          <w:lang w:eastAsia="en-US"/>
        </w:rPr>
        <w:t>Az azitromicinre és más, esetlegesen egyidejűleg alkalmazott gyógyszerekre vonatkozó gyógyszerkölcsönhatásokat az alábbi táblázat és szöveg foglalja össze. A leírt gyógyszerkölcsönhatások az azitromicinnel végzett klinikai gyógyszer-gyógyszer interakciós vizsgálatokon alapulnak; vagy, ahol fel van tüntetve, az azitromicinnel esetlegesen előforduló lehetséges gyógyszerkölcsönhatások.</w:t>
      </w:r>
    </w:p>
    <w:p w14:paraId="0749325B" w14:textId="77777777" w:rsidR="00224BE9" w:rsidRPr="00224BE9" w:rsidRDefault="00224BE9" w:rsidP="00224BE9">
      <w:pPr>
        <w:suppressAutoHyphens w:val="0"/>
        <w:rPr>
          <w:sz w:val="22"/>
          <w:szCs w:val="22"/>
          <w:lang w:eastAsia="en-US"/>
        </w:rPr>
      </w:pPr>
    </w:p>
    <w:p w14:paraId="1E1D876E" w14:textId="77777777" w:rsidR="00224BE9" w:rsidRPr="00224BE9" w:rsidRDefault="00224BE9" w:rsidP="00224BE9">
      <w:pPr>
        <w:suppressAutoHyphens w:val="0"/>
        <w:rPr>
          <w:bCs/>
          <w:sz w:val="22"/>
          <w:szCs w:val="22"/>
          <w:lang w:eastAsia="en-US"/>
        </w:rPr>
      </w:pPr>
      <w:r w:rsidRPr="00224BE9">
        <w:rPr>
          <w:sz w:val="22"/>
          <w:szCs w:val="22"/>
          <w:lang w:eastAsia="en-US"/>
        </w:rPr>
        <w:t>2. táblázat: Az azitromicin és más gyógyszerek közötti klinikailag releváns gyógyszerkölcsönhatások</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308"/>
        <w:gridCol w:w="2308"/>
        <w:gridCol w:w="2308"/>
        <w:gridCol w:w="2308"/>
      </w:tblGrid>
      <w:tr w:rsidR="00224BE9" w:rsidRPr="00224BE9" w14:paraId="3558ADEE" w14:textId="77777777" w:rsidTr="00EF1044">
        <w:trPr>
          <w:trHeight w:val="328"/>
        </w:trPr>
        <w:tc>
          <w:tcPr>
            <w:tcW w:w="2308" w:type="dxa"/>
            <w:tcBorders>
              <w:top w:val="single" w:sz="4" w:space="0" w:color="auto"/>
              <w:left w:val="single" w:sz="4" w:space="0" w:color="auto"/>
              <w:bottom w:val="single" w:sz="4" w:space="0" w:color="auto"/>
              <w:right w:val="single" w:sz="4" w:space="0" w:color="auto"/>
            </w:tcBorders>
          </w:tcPr>
          <w:p w14:paraId="6DE14D8A"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 xml:space="preserve">Gyógyszer (terápiás terület) </w:t>
            </w:r>
          </w:p>
        </w:tc>
        <w:tc>
          <w:tcPr>
            <w:tcW w:w="2308" w:type="dxa"/>
            <w:tcBorders>
              <w:top w:val="single" w:sz="4" w:space="0" w:color="auto"/>
              <w:left w:val="single" w:sz="4" w:space="0" w:color="auto"/>
              <w:bottom w:val="single" w:sz="4" w:space="0" w:color="auto"/>
              <w:right w:val="single" w:sz="4" w:space="0" w:color="auto"/>
            </w:tcBorders>
          </w:tcPr>
          <w:p w14:paraId="7768AB61"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 xml:space="preserve">Interakció </w:t>
            </w:r>
          </w:p>
          <w:p w14:paraId="05839902"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 xml:space="preserve">Az expozícióra kifejtett hatás </w:t>
            </w:r>
          </w:p>
        </w:tc>
        <w:tc>
          <w:tcPr>
            <w:tcW w:w="2308" w:type="dxa"/>
            <w:tcBorders>
              <w:top w:val="single" w:sz="4" w:space="0" w:color="auto"/>
              <w:left w:val="single" w:sz="4" w:space="0" w:color="auto"/>
              <w:bottom w:val="single" w:sz="4" w:space="0" w:color="auto"/>
              <w:right w:val="single" w:sz="4" w:space="0" w:color="auto"/>
            </w:tcBorders>
          </w:tcPr>
          <w:p w14:paraId="2491A371"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 xml:space="preserve">Mechanizmus </w:t>
            </w:r>
          </w:p>
        </w:tc>
        <w:tc>
          <w:tcPr>
            <w:tcW w:w="2308" w:type="dxa"/>
            <w:tcBorders>
              <w:top w:val="single" w:sz="4" w:space="0" w:color="auto"/>
              <w:left w:val="single" w:sz="4" w:space="0" w:color="auto"/>
              <w:bottom w:val="single" w:sz="4" w:space="0" w:color="auto"/>
              <w:right w:val="single" w:sz="4" w:space="0" w:color="auto"/>
            </w:tcBorders>
          </w:tcPr>
          <w:p w14:paraId="0237E4F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 xml:space="preserve">Az egyidejű alkalmazásra vonatkozó ajánlás </w:t>
            </w:r>
          </w:p>
        </w:tc>
      </w:tr>
      <w:tr w:rsidR="00224BE9" w:rsidRPr="00224BE9" w14:paraId="5C0B176A" w14:textId="77777777" w:rsidTr="00EF1044">
        <w:trPr>
          <w:trHeight w:val="1045"/>
        </w:trPr>
        <w:tc>
          <w:tcPr>
            <w:tcW w:w="2308" w:type="dxa"/>
            <w:tcBorders>
              <w:top w:val="single" w:sz="4" w:space="0" w:color="auto"/>
              <w:left w:val="single" w:sz="4" w:space="0" w:color="auto"/>
              <w:bottom w:val="single" w:sz="4" w:space="0" w:color="auto"/>
              <w:right w:val="single" w:sz="4" w:space="0" w:color="auto"/>
            </w:tcBorders>
          </w:tcPr>
          <w:p w14:paraId="26154C25"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Atorvasztatin (HMG-CoA-reduktáz-inhibitor) </w:t>
            </w:r>
          </w:p>
          <w:p w14:paraId="1A16F944" w14:textId="77777777" w:rsidR="00224BE9" w:rsidRPr="00224BE9" w:rsidRDefault="00224BE9" w:rsidP="00224BE9">
            <w:pPr>
              <w:suppressAutoHyphens w:val="0"/>
              <w:autoSpaceDE w:val="0"/>
              <w:autoSpaceDN w:val="0"/>
              <w:adjustRightInd w:val="0"/>
              <w:rPr>
                <w:color w:val="000000"/>
                <w:sz w:val="22"/>
                <w:szCs w:val="22"/>
                <w:lang w:eastAsia="en-US"/>
              </w:rPr>
            </w:pPr>
          </w:p>
          <w:p w14:paraId="7E6566AA" w14:textId="13D8CE79"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Azitromicin 500</w:t>
            </w:r>
            <w:r w:rsidR="003C0493">
              <w:rPr>
                <w:color w:val="000000"/>
                <w:sz w:val="22"/>
                <w:szCs w:val="22"/>
                <w:lang w:eastAsia="en-US"/>
              </w:rPr>
              <w:t> mg</w:t>
            </w:r>
            <w:r w:rsidRPr="00224BE9">
              <w:rPr>
                <w:color w:val="000000"/>
                <w:sz w:val="22"/>
                <w:szCs w:val="22"/>
                <w:lang w:eastAsia="en-US"/>
              </w:rPr>
              <w:t xml:space="preserve"> oralisan naponta egyszer 3 napig. </w:t>
            </w:r>
          </w:p>
          <w:p w14:paraId="1320741B" w14:textId="77777777" w:rsidR="00224BE9" w:rsidRPr="00224BE9" w:rsidRDefault="00224BE9" w:rsidP="00224BE9">
            <w:pPr>
              <w:suppressAutoHyphens w:val="0"/>
              <w:autoSpaceDE w:val="0"/>
              <w:autoSpaceDN w:val="0"/>
              <w:adjustRightInd w:val="0"/>
              <w:rPr>
                <w:color w:val="000000"/>
                <w:sz w:val="22"/>
                <w:szCs w:val="22"/>
                <w:lang w:eastAsia="en-US"/>
              </w:rPr>
            </w:pPr>
          </w:p>
          <w:p w14:paraId="5F12FC75" w14:textId="6277B963"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Atorvasztatin 10</w:t>
            </w:r>
            <w:r w:rsidR="003C0493">
              <w:rPr>
                <w:color w:val="000000"/>
                <w:sz w:val="22"/>
                <w:szCs w:val="22"/>
                <w:lang w:eastAsia="en-US"/>
              </w:rPr>
              <w:t> mg</w:t>
            </w:r>
            <w:r w:rsidRPr="00224BE9">
              <w:rPr>
                <w:color w:val="000000"/>
                <w:sz w:val="22"/>
                <w:szCs w:val="22"/>
                <w:lang w:eastAsia="en-US"/>
              </w:rPr>
              <w:t xml:space="preserve"> oralisan naponta egyszer. </w:t>
            </w:r>
          </w:p>
        </w:tc>
        <w:tc>
          <w:tcPr>
            <w:tcW w:w="2308" w:type="dxa"/>
            <w:tcBorders>
              <w:top w:val="single" w:sz="4" w:space="0" w:color="auto"/>
              <w:left w:val="single" w:sz="4" w:space="0" w:color="auto"/>
              <w:bottom w:val="single" w:sz="4" w:space="0" w:color="auto"/>
              <w:right w:val="single" w:sz="4" w:space="0" w:color="auto"/>
            </w:tcBorders>
          </w:tcPr>
          <w:p w14:paraId="766C0DBC"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Azitromicin: ND </w:t>
            </w:r>
          </w:p>
          <w:p w14:paraId="2A57E174" w14:textId="77777777" w:rsidR="00224BE9" w:rsidRPr="00224BE9" w:rsidRDefault="00224BE9" w:rsidP="00224BE9">
            <w:pPr>
              <w:suppressAutoHyphens w:val="0"/>
              <w:autoSpaceDE w:val="0"/>
              <w:autoSpaceDN w:val="0"/>
              <w:adjustRightInd w:val="0"/>
              <w:rPr>
                <w:color w:val="000000"/>
                <w:sz w:val="22"/>
                <w:szCs w:val="22"/>
                <w:lang w:eastAsia="en-US"/>
              </w:rPr>
            </w:pPr>
          </w:p>
          <w:p w14:paraId="0870F83C" w14:textId="77777777" w:rsidR="00224BE9" w:rsidRPr="00224BE9" w:rsidRDefault="00224BE9" w:rsidP="00224BE9">
            <w:pPr>
              <w:suppressAutoHyphens w:val="0"/>
              <w:autoSpaceDE w:val="0"/>
              <w:autoSpaceDN w:val="0"/>
              <w:adjustRightInd w:val="0"/>
              <w:rPr>
                <w:color w:val="000000"/>
                <w:sz w:val="22"/>
                <w:szCs w:val="22"/>
                <w:lang w:eastAsia="en-US"/>
              </w:rPr>
            </w:pPr>
          </w:p>
          <w:p w14:paraId="70EFC825"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Atorvasztatin: </w:t>
            </w:r>
          </w:p>
          <w:p w14:paraId="39DE360B"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 AUC </w:t>
            </w:r>
          </w:p>
          <w:p w14:paraId="1CCC0E8D" w14:textId="77777777" w:rsidR="00224BE9" w:rsidRPr="00224BE9" w:rsidRDefault="00224BE9" w:rsidP="00224BE9">
            <w:pPr>
              <w:suppressAutoHyphens w:val="0"/>
              <w:autoSpaceDE w:val="0"/>
              <w:autoSpaceDN w:val="0"/>
              <w:adjustRightInd w:val="0"/>
              <w:rPr>
                <w:color w:val="000000"/>
                <w:sz w:val="14"/>
                <w:szCs w:val="14"/>
                <w:lang w:eastAsia="en-US"/>
              </w:rPr>
            </w:pPr>
            <w:r w:rsidRPr="00224BE9">
              <w:rPr>
                <w:color w:val="000000"/>
                <w:sz w:val="22"/>
                <w:szCs w:val="22"/>
                <w:lang w:eastAsia="en-US"/>
              </w:rPr>
              <w:t>↔ C</w:t>
            </w:r>
            <w:r w:rsidRPr="00224BE9">
              <w:rPr>
                <w:color w:val="000000"/>
                <w:sz w:val="14"/>
                <w:szCs w:val="14"/>
                <w:lang w:eastAsia="en-US"/>
              </w:rPr>
              <w:t xml:space="preserve">max </w:t>
            </w:r>
          </w:p>
        </w:tc>
        <w:tc>
          <w:tcPr>
            <w:tcW w:w="2308" w:type="dxa"/>
            <w:tcBorders>
              <w:top w:val="single" w:sz="4" w:space="0" w:color="auto"/>
              <w:left w:val="single" w:sz="4" w:space="0" w:color="auto"/>
              <w:bottom w:val="single" w:sz="4" w:space="0" w:color="auto"/>
              <w:right w:val="single" w:sz="4" w:space="0" w:color="auto"/>
            </w:tcBorders>
          </w:tcPr>
          <w:p w14:paraId="5B5706CC"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Az atorvasztatin CYP3A4- és P-gp-szubsztrát. </w:t>
            </w:r>
          </w:p>
        </w:tc>
        <w:tc>
          <w:tcPr>
            <w:tcW w:w="2308" w:type="dxa"/>
            <w:tcBorders>
              <w:top w:val="single" w:sz="4" w:space="0" w:color="auto"/>
              <w:left w:val="single" w:sz="4" w:space="0" w:color="auto"/>
              <w:bottom w:val="single" w:sz="4" w:space="0" w:color="auto"/>
              <w:right w:val="single" w:sz="4" w:space="0" w:color="auto"/>
            </w:tcBorders>
          </w:tcPr>
          <w:p w14:paraId="34AC9634"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Kellő körültekintéssel kell eljárni, mivel az azitromicint sztatinokkal egyidejűleg kapó betegeknél rhabdomyolysis eseteit jelentették a forgalomba hozatalt követően. </w:t>
            </w:r>
          </w:p>
        </w:tc>
      </w:tr>
      <w:tr w:rsidR="00224BE9" w:rsidRPr="00224BE9" w14:paraId="27BF7962" w14:textId="77777777" w:rsidTr="00EF1044">
        <w:trPr>
          <w:trHeight w:val="1045"/>
        </w:trPr>
        <w:tc>
          <w:tcPr>
            <w:tcW w:w="2308" w:type="dxa"/>
            <w:tcBorders>
              <w:top w:val="single" w:sz="4" w:space="0" w:color="auto"/>
              <w:left w:val="single" w:sz="4" w:space="0" w:color="auto"/>
              <w:bottom w:val="single" w:sz="4" w:space="0" w:color="auto"/>
              <w:right w:val="single" w:sz="4" w:space="0" w:color="auto"/>
            </w:tcBorders>
          </w:tcPr>
          <w:p w14:paraId="308E2523"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Ciklosporin (immunszuppresszáns)</w:t>
            </w:r>
          </w:p>
          <w:p w14:paraId="58336B35"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 </w:t>
            </w:r>
          </w:p>
          <w:p w14:paraId="47A4B2A2" w14:textId="4EEB54EA"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Azitromicin 500</w:t>
            </w:r>
            <w:r w:rsidR="003C0493">
              <w:rPr>
                <w:color w:val="000000"/>
                <w:sz w:val="22"/>
                <w:szCs w:val="22"/>
                <w:lang w:eastAsia="en-US"/>
              </w:rPr>
              <w:t> mg</w:t>
            </w:r>
            <w:r w:rsidRPr="00224BE9">
              <w:rPr>
                <w:color w:val="000000"/>
                <w:sz w:val="22"/>
                <w:szCs w:val="22"/>
                <w:lang w:eastAsia="en-US"/>
              </w:rPr>
              <w:t xml:space="preserve"> oralisan naponta egyszer 3 napig. </w:t>
            </w:r>
          </w:p>
          <w:p w14:paraId="1465DDA7" w14:textId="77777777" w:rsidR="00224BE9" w:rsidRPr="00224BE9" w:rsidRDefault="00224BE9" w:rsidP="00224BE9">
            <w:pPr>
              <w:suppressAutoHyphens w:val="0"/>
              <w:autoSpaceDE w:val="0"/>
              <w:autoSpaceDN w:val="0"/>
              <w:adjustRightInd w:val="0"/>
              <w:rPr>
                <w:color w:val="000000"/>
                <w:sz w:val="22"/>
                <w:szCs w:val="22"/>
                <w:lang w:eastAsia="en-US"/>
              </w:rPr>
            </w:pPr>
          </w:p>
          <w:p w14:paraId="22F4F941" w14:textId="7ABAEE3D"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Ciklosporin 10</w:t>
            </w:r>
            <w:r w:rsidR="003C0493">
              <w:rPr>
                <w:color w:val="000000"/>
                <w:sz w:val="22"/>
                <w:szCs w:val="22"/>
                <w:lang w:eastAsia="en-US"/>
              </w:rPr>
              <w:t> mg</w:t>
            </w:r>
            <w:r w:rsidRPr="00224BE9">
              <w:rPr>
                <w:color w:val="000000"/>
                <w:sz w:val="22"/>
                <w:szCs w:val="22"/>
                <w:lang w:eastAsia="en-US"/>
              </w:rPr>
              <w:t xml:space="preserve">/ttkg oralisan egyszeri dózisban. </w:t>
            </w:r>
          </w:p>
        </w:tc>
        <w:tc>
          <w:tcPr>
            <w:tcW w:w="2308" w:type="dxa"/>
            <w:tcBorders>
              <w:top w:val="single" w:sz="4" w:space="0" w:color="auto"/>
              <w:left w:val="single" w:sz="4" w:space="0" w:color="auto"/>
              <w:bottom w:val="single" w:sz="4" w:space="0" w:color="auto"/>
              <w:right w:val="single" w:sz="4" w:space="0" w:color="auto"/>
            </w:tcBorders>
          </w:tcPr>
          <w:p w14:paraId="2B0B0530"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Azitromicin: ND</w:t>
            </w:r>
          </w:p>
          <w:p w14:paraId="60D2BC5B"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 </w:t>
            </w:r>
          </w:p>
          <w:p w14:paraId="0F90D890"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Ciklosporin: </w:t>
            </w:r>
          </w:p>
          <w:p w14:paraId="42D0B633"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 AUC </w:t>
            </w:r>
          </w:p>
          <w:p w14:paraId="5BEA8A9B"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↑C</w:t>
            </w:r>
            <w:r w:rsidRPr="00224BE9">
              <w:rPr>
                <w:color w:val="000000"/>
                <w:sz w:val="14"/>
                <w:szCs w:val="14"/>
                <w:lang w:eastAsia="en-US"/>
              </w:rPr>
              <w:t xml:space="preserve">max </w:t>
            </w:r>
            <w:r w:rsidRPr="00224BE9">
              <w:rPr>
                <w:color w:val="000000"/>
                <w:sz w:val="22"/>
                <w:szCs w:val="22"/>
                <w:lang w:eastAsia="en-US"/>
              </w:rPr>
              <w:t xml:space="preserve">24% </w:t>
            </w:r>
          </w:p>
        </w:tc>
        <w:tc>
          <w:tcPr>
            <w:tcW w:w="2308" w:type="dxa"/>
            <w:tcBorders>
              <w:top w:val="single" w:sz="4" w:space="0" w:color="auto"/>
              <w:left w:val="single" w:sz="4" w:space="0" w:color="auto"/>
              <w:bottom w:val="single" w:sz="4" w:space="0" w:color="auto"/>
              <w:right w:val="single" w:sz="4" w:space="0" w:color="auto"/>
            </w:tcBorders>
          </w:tcPr>
          <w:p w14:paraId="4FD45278"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 ciklosporin alacsony terápiás indexű és/vagy epén keresztüli kiválasztásért versengő CYP3A4- és P-gp-szubsztrát. </w:t>
            </w:r>
          </w:p>
        </w:tc>
        <w:tc>
          <w:tcPr>
            <w:tcW w:w="2308" w:type="dxa"/>
            <w:tcBorders>
              <w:top w:val="single" w:sz="4" w:space="0" w:color="auto"/>
              <w:left w:val="single" w:sz="4" w:space="0" w:color="auto"/>
              <w:bottom w:val="single" w:sz="4" w:space="0" w:color="auto"/>
              <w:right w:val="single" w:sz="4" w:space="0" w:color="auto"/>
            </w:tcBorders>
          </w:tcPr>
          <w:p w14:paraId="1F6CB098"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Az azitromicin-kezelés alatt és azt követően szükség szerint klinikai megfigyelést és terápiás gyógyszerszint-monitorozást kell végezni. A ciklosporin dózisát módosítani kell, ha szükséges. </w:t>
            </w:r>
          </w:p>
        </w:tc>
      </w:tr>
      <w:tr w:rsidR="00224BE9" w:rsidRPr="00224BE9" w14:paraId="427CD5F9" w14:textId="77777777" w:rsidTr="00EF1044">
        <w:trPr>
          <w:trHeight w:val="1045"/>
        </w:trPr>
        <w:tc>
          <w:tcPr>
            <w:tcW w:w="2308" w:type="dxa"/>
            <w:tcBorders>
              <w:top w:val="single" w:sz="4" w:space="0" w:color="auto"/>
              <w:left w:val="single" w:sz="4" w:space="0" w:color="auto"/>
              <w:bottom w:val="single" w:sz="4" w:space="0" w:color="auto"/>
              <w:right w:val="single" w:sz="4" w:space="0" w:color="auto"/>
            </w:tcBorders>
          </w:tcPr>
          <w:p w14:paraId="77A066FC"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Kolchicin (köszvény kezelésére)</w:t>
            </w:r>
          </w:p>
        </w:tc>
        <w:tc>
          <w:tcPr>
            <w:tcW w:w="2308" w:type="dxa"/>
            <w:tcBorders>
              <w:top w:val="single" w:sz="4" w:space="0" w:color="auto"/>
              <w:left w:val="single" w:sz="4" w:space="0" w:color="auto"/>
              <w:bottom w:val="single" w:sz="4" w:space="0" w:color="auto"/>
              <w:right w:val="single" w:sz="4" w:space="0" w:color="auto"/>
            </w:tcBorders>
          </w:tcPr>
          <w:p w14:paraId="5F9BCF33"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Azitromicin: ND </w:t>
            </w:r>
          </w:p>
          <w:p w14:paraId="7768C8E4" w14:textId="77777777" w:rsidR="00224BE9" w:rsidRPr="00224BE9" w:rsidRDefault="00224BE9" w:rsidP="00224BE9">
            <w:pPr>
              <w:suppressAutoHyphens w:val="0"/>
              <w:autoSpaceDE w:val="0"/>
              <w:autoSpaceDN w:val="0"/>
              <w:adjustRightInd w:val="0"/>
              <w:rPr>
                <w:color w:val="000000"/>
                <w:sz w:val="22"/>
                <w:szCs w:val="22"/>
                <w:lang w:eastAsia="en-US"/>
              </w:rPr>
            </w:pPr>
          </w:p>
          <w:p w14:paraId="09EFCC37"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Kolchicin</w:t>
            </w:r>
            <w:r w:rsidRPr="00224BE9">
              <w:rPr>
                <w:i/>
                <w:iCs/>
                <w:color w:val="000000"/>
                <w:sz w:val="22"/>
                <w:szCs w:val="22"/>
                <w:lang w:eastAsia="en-US"/>
              </w:rPr>
              <w:t xml:space="preserve">: </w:t>
            </w:r>
          </w:p>
          <w:p w14:paraId="4F7A1759" w14:textId="77777777" w:rsidR="00224BE9" w:rsidRPr="00224BE9" w:rsidRDefault="00224BE9" w:rsidP="00224BE9">
            <w:pPr>
              <w:suppressAutoHyphens w:val="0"/>
              <w:autoSpaceDE w:val="0"/>
              <w:autoSpaceDN w:val="0"/>
              <w:adjustRightInd w:val="0"/>
              <w:rPr>
                <w:color w:val="000000"/>
                <w:sz w:val="14"/>
                <w:szCs w:val="14"/>
                <w:lang w:eastAsia="en-US"/>
              </w:rPr>
            </w:pPr>
            <w:r w:rsidRPr="00224BE9">
              <w:rPr>
                <w:color w:val="000000"/>
                <w:sz w:val="22"/>
                <w:szCs w:val="22"/>
                <w:lang w:eastAsia="en-US"/>
              </w:rPr>
              <w:t>↑ 57% AUC</w:t>
            </w:r>
            <w:r w:rsidRPr="00224BE9">
              <w:rPr>
                <w:color w:val="000000"/>
                <w:sz w:val="14"/>
                <w:szCs w:val="14"/>
                <w:lang w:eastAsia="en-US"/>
              </w:rPr>
              <w:t xml:space="preserve">0-t </w:t>
            </w:r>
          </w:p>
          <w:p w14:paraId="19DE821B"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22% C</w:t>
            </w:r>
            <w:r w:rsidRPr="00224BE9">
              <w:rPr>
                <w:color w:val="000000"/>
                <w:sz w:val="22"/>
                <w:szCs w:val="22"/>
                <w:vertAlign w:val="subscript"/>
                <w:lang w:eastAsia="en-US"/>
              </w:rPr>
              <w:t xml:space="preserve">max </w:t>
            </w:r>
          </w:p>
        </w:tc>
        <w:tc>
          <w:tcPr>
            <w:tcW w:w="2308" w:type="dxa"/>
            <w:tcBorders>
              <w:top w:val="single" w:sz="4" w:space="0" w:color="auto"/>
              <w:left w:val="single" w:sz="4" w:space="0" w:color="auto"/>
              <w:bottom w:val="single" w:sz="4" w:space="0" w:color="auto"/>
              <w:right w:val="single" w:sz="4" w:space="0" w:color="auto"/>
            </w:tcBorders>
          </w:tcPr>
          <w:p w14:paraId="0832184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 kolchicin alacsony terápiás indexű P-gp-szubsztrát.</w:t>
            </w:r>
          </w:p>
          <w:p w14:paraId="04DB41A8" w14:textId="77777777" w:rsidR="00224BE9" w:rsidRPr="00224BE9" w:rsidRDefault="00224BE9" w:rsidP="00224BE9">
            <w:pPr>
              <w:suppressAutoHyphens w:val="0"/>
              <w:autoSpaceDE w:val="0"/>
              <w:autoSpaceDN w:val="0"/>
              <w:adjustRightInd w:val="0"/>
              <w:rPr>
                <w:color w:val="000000"/>
                <w:sz w:val="22"/>
                <w:szCs w:val="22"/>
                <w:lang w:eastAsia="en-US"/>
              </w:rPr>
            </w:pPr>
          </w:p>
        </w:tc>
        <w:tc>
          <w:tcPr>
            <w:tcW w:w="2308" w:type="dxa"/>
            <w:tcBorders>
              <w:top w:val="single" w:sz="4" w:space="0" w:color="auto"/>
              <w:left w:val="single" w:sz="4" w:space="0" w:color="auto"/>
              <w:bottom w:val="single" w:sz="4" w:space="0" w:color="auto"/>
              <w:right w:val="single" w:sz="4" w:space="0" w:color="auto"/>
            </w:tcBorders>
          </w:tcPr>
          <w:p w14:paraId="6A726AEC"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 azitromicin-kezelés alatt és azt követően klinikai megfigyelés szükséges.</w:t>
            </w:r>
          </w:p>
        </w:tc>
      </w:tr>
      <w:tr w:rsidR="00224BE9" w:rsidRPr="00224BE9" w14:paraId="5DB2B740" w14:textId="77777777" w:rsidTr="00EF1044">
        <w:trPr>
          <w:trHeight w:val="1045"/>
        </w:trPr>
        <w:tc>
          <w:tcPr>
            <w:tcW w:w="2308" w:type="dxa"/>
            <w:tcBorders>
              <w:top w:val="single" w:sz="4" w:space="0" w:color="auto"/>
              <w:left w:val="single" w:sz="4" w:space="0" w:color="auto"/>
              <w:bottom w:val="single" w:sz="4" w:space="0" w:color="auto"/>
              <w:right w:val="single" w:sz="4" w:space="0" w:color="auto"/>
            </w:tcBorders>
          </w:tcPr>
          <w:p w14:paraId="4A297D0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Dabigatrán (oralis antikoaguláns)</w:t>
            </w:r>
          </w:p>
        </w:tc>
        <w:tc>
          <w:tcPr>
            <w:tcW w:w="2308" w:type="dxa"/>
            <w:tcBorders>
              <w:top w:val="single" w:sz="4" w:space="0" w:color="auto"/>
              <w:left w:val="single" w:sz="4" w:space="0" w:color="auto"/>
              <w:bottom w:val="single" w:sz="4" w:space="0" w:color="auto"/>
              <w:right w:val="single" w:sz="4" w:space="0" w:color="auto"/>
            </w:tcBorders>
          </w:tcPr>
          <w:p w14:paraId="34AF8CDB"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ND</w:t>
            </w:r>
          </w:p>
          <w:p w14:paraId="4DBB7052" w14:textId="77777777" w:rsidR="00224BE9" w:rsidRPr="00224BE9" w:rsidRDefault="00224BE9" w:rsidP="00224BE9">
            <w:pPr>
              <w:suppressAutoHyphens w:val="0"/>
              <w:autoSpaceDE w:val="0"/>
              <w:autoSpaceDN w:val="0"/>
              <w:adjustRightInd w:val="0"/>
              <w:rPr>
                <w:color w:val="000000"/>
                <w:sz w:val="22"/>
                <w:szCs w:val="22"/>
                <w:lang w:eastAsia="en-US"/>
              </w:rPr>
            </w:pPr>
          </w:p>
          <w:p w14:paraId="2AD0CD8F" w14:textId="77777777" w:rsidR="00224BE9" w:rsidRPr="00224BE9" w:rsidRDefault="00224BE9" w:rsidP="00224BE9">
            <w:pPr>
              <w:suppressAutoHyphens w:val="0"/>
              <w:autoSpaceDE w:val="0"/>
              <w:autoSpaceDN w:val="0"/>
              <w:adjustRightInd w:val="0"/>
              <w:rPr>
                <w:i/>
                <w:iCs/>
                <w:color w:val="000000"/>
                <w:sz w:val="22"/>
                <w:szCs w:val="22"/>
                <w:lang w:eastAsia="en-US"/>
              </w:rPr>
            </w:pPr>
            <w:r w:rsidRPr="00224BE9">
              <w:rPr>
                <w:i/>
                <w:iCs/>
                <w:color w:val="000000"/>
                <w:sz w:val="22"/>
                <w:szCs w:val="22"/>
                <w:lang w:eastAsia="en-US"/>
              </w:rPr>
              <w:t>Várhatóan:</w:t>
            </w:r>
          </w:p>
          <w:p w14:paraId="276AC3A3"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Dabigatrán</w:t>
            </w:r>
          </w:p>
        </w:tc>
        <w:tc>
          <w:tcPr>
            <w:tcW w:w="2308" w:type="dxa"/>
            <w:tcBorders>
              <w:top w:val="single" w:sz="4" w:space="0" w:color="auto"/>
              <w:left w:val="single" w:sz="4" w:space="0" w:color="auto"/>
              <w:bottom w:val="single" w:sz="4" w:space="0" w:color="auto"/>
              <w:right w:val="single" w:sz="4" w:space="0" w:color="auto"/>
            </w:tcBorders>
          </w:tcPr>
          <w:p w14:paraId="45E01224"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 dabigatrán alacsony terápiás indexű P-gp-szubsztrát.</w:t>
            </w:r>
          </w:p>
        </w:tc>
        <w:tc>
          <w:tcPr>
            <w:tcW w:w="2308" w:type="dxa"/>
            <w:tcBorders>
              <w:top w:val="single" w:sz="4" w:space="0" w:color="auto"/>
              <w:left w:val="single" w:sz="4" w:space="0" w:color="auto"/>
              <w:bottom w:val="single" w:sz="4" w:space="0" w:color="auto"/>
              <w:right w:val="single" w:sz="4" w:space="0" w:color="auto"/>
            </w:tcBorders>
          </w:tcPr>
          <w:p w14:paraId="4024C552"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Kellő körültekintéssel kell eljárni, mivel az azitromicint dabigatránnal egyidejűleg kapó betegeknél a vérzések fokozott kockázatára utalnak a forgalomba hozatalt követő adatok.</w:t>
            </w:r>
          </w:p>
        </w:tc>
      </w:tr>
      <w:tr w:rsidR="00224BE9" w:rsidRPr="00224BE9" w14:paraId="4382A0AD" w14:textId="77777777" w:rsidTr="00EF1044">
        <w:trPr>
          <w:trHeight w:val="1045"/>
        </w:trPr>
        <w:tc>
          <w:tcPr>
            <w:tcW w:w="2308" w:type="dxa"/>
            <w:tcBorders>
              <w:top w:val="single" w:sz="4" w:space="0" w:color="auto"/>
              <w:left w:val="single" w:sz="4" w:space="0" w:color="auto"/>
              <w:bottom w:val="single" w:sz="4" w:space="0" w:color="auto"/>
              <w:right w:val="single" w:sz="4" w:space="0" w:color="auto"/>
            </w:tcBorders>
          </w:tcPr>
          <w:p w14:paraId="2C2CF1A3"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Digoxin (szívglikozidok)</w:t>
            </w:r>
          </w:p>
        </w:tc>
        <w:tc>
          <w:tcPr>
            <w:tcW w:w="2308" w:type="dxa"/>
            <w:tcBorders>
              <w:top w:val="single" w:sz="4" w:space="0" w:color="auto"/>
              <w:left w:val="single" w:sz="4" w:space="0" w:color="auto"/>
              <w:bottom w:val="single" w:sz="4" w:space="0" w:color="auto"/>
              <w:right w:val="single" w:sz="4" w:space="0" w:color="auto"/>
            </w:tcBorders>
          </w:tcPr>
          <w:p w14:paraId="533EB675"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ND</w:t>
            </w:r>
          </w:p>
          <w:p w14:paraId="27EA81D8" w14:textId="77777777" w:rsidR="00224BE9" w:rsidRPr="00224BE9" w:rsidRDefault="00224BE9" w:rsidP="00224BE9">
            <w:pPr>
              <w:suppressAutoHyphens w:val="0"/>
              <w:autoSpaceDE w:val="0"/>
              <w:autoSpaceDN w:val="0"/>
              <w:adjustRightInd w:val="0"/>
              <w:rPr>
                <w:color w:val="000000"/>
                <w:sz w:val="22"/>
                <w:szCs w:val="22"/>
                <w:lang w:eastAsia="en-US"/>
              </w:rPr>
            </w:pPr>
          </w:p>
          <w:p w14:paraId="6A83FF0D" w14:textId="77777777" w:rsidR="00224BE9" w:rsidRPr="00224BE9" w:rsidRDefault="00224BE9" w:rsidP="00224BE9">
            <w:pPr>
              <w:suppressAutoHyphens w:val="0"/>
              <w:autoSpaceDE w:val="0"/>
              <w:autoSpaceDN w:val="0"/>
              <w:adjustRightInd w:val="0"/>
              <w:rPr>
                <w:i/>
                <w:iCs/>
                <w:color w:val="000000"/>
                <w:sz w:val="22"/>
                <w:szCs w:val="22"/>
                <w:lang w:eastAsia="en-US"/>
              </w:rPr>
            </w:pPr>
            <w:r w:rsidRPr="00224BE9">
              <w:rPr>
                <w:i/>
                <w:iCs/>
                <w:color w:val="000000"/>
                <w:sz w:val="22"/>
                <w:szCs w:val="22"/>
                <w:lang w:eastAsia="en-US"/>
              </w:rPr>
              <w:t>Várhatóan:</w:t>
            </w:r>
          </w:p>
          <w:p w14:paraId="64DC8FC7"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Digoxin</w:t>
            </w:r>
          </w:p>
        </w:tc>
        <w:tc>
          <w:tcPr>
            <w:tcW w:w="2308" w:type="dxa"/>
            <w:tcBorders>
              <w:top w:val="single" w:sz="4" w:space="0" w:color="auto"/>
              <w:left w:val="single" w:sz="4" w:space="0" w:color="auto"/>
              <w:bottom w:val="single" w:sz="4" w:space="0" w:color="auto"/>
              <w:right w:val="single" w:sz="4" w:space="0" w:color="auto"/>
            </w:tcBorders>
          </w:tcPr>
          <w:p w14:paraId="7C84C15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 digoxin alacsony terápiás indexű P-gp-szubsztrát.</w:t>
            </w:r>
          </w:p>
        </w:tc>
        <w:tc>
          <w:tcPr>
            <w:tcW w:w="2308" w:type="dxa"/>
            <w:tcBorders>
              <w:top w:val="single" w:sz="4" w:space="0" w:color="auto"/>
              <w:left w:val="single" w:sz="4" w:space="0" w:color="auto"/>
              <w:bottom w:val="single" w:sz="4" w:space="0" w:color="auto"/>
              <w:right w:val="single" w:sz="4" w:space="0" w:color="auto"/>
            </w:tcBorders>
          </w:tcPr>
          <w:p w14:paraId="0BFB51ED"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 azitromicin-kezelés alatt és azt követően szükség van klinikai megfigyelésre és esetlegesen a digoxin-szint monitorozására.</w:t>
            </w:r>
          </w:p>
        </w:tc>
      </w:tr>
      <w:tr w:rsidR="00224BE9" w:rsidRPr="00224BE9" w14:paraId="275B6CD3" w14:textId="77777777" w:rsidTr="00EF1044">
        <w:trPr>
          <w:trHeight w:val="1045"/>
        </w:trPr>
        <w:tc>
          <w:tcPr>
            <w:tcW w:w="2308" w:type="dxa"/>
            <w:tcBorders>
              <w:top w:val="single" w:sz="4" w:space="0" w:color="auto"/>
              <w:left w:val="single" w:sz="4" w:space="0" w:color="auto"/>
              <w:bottom w:val="single" w:sz="4" w:space="0" w:color="auto"/>
              <w:right w:val="single" w:sz="4" w:space="0" w:color="auto"/>
            </w:tcBorders>
          </w:tcPr>
          <w:p w14:paraId="055AF3CE"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lastRenderedPageBreak/>
              <w:t>Warfarin (oralis antikoaguláns)</w:t>
            </w:r>
          </w:p>
          <w:p w14:paraId="0D47C8FB" w14:textId="77777777" w:rsidR="00224BE9" w:rsidRPr="00224BE9" w:rsidRDefault="00224BE9" w:rsidP="00224BE9">
            <w:pPr>
              <w:suppressAutoHyphens w:val="0"/>
              <w:autoSpaceDE w:val="0"/>
              <w:autoSpaceDN w:val="0"/>
              <w:adjustRightInd w:val="0"/>
              <w:rPr>
                <w:color w:val="000000"/>
                <w:sz w:val="22"/>
                <w:szCs w:val="22"/>
                <w:lang w:eastAsia="en-US"/>
              </w:rPr>
            </w:pPr>
          </w:p>
          <w:p w14:paraId="15F5FFEE" w14:textId="1AAB61C5"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Azitromicin 500</w:t>
            </w:r>
            <w:r w:rsidR="003C0493">
              <w:rPr>
                <w:color w:val="000000"/>
                <w:sz w:val="22"/>
                <w:szCs w:val="22"/>
                <w:lang w:eastAsia="en-US"/>
              </w:rPr>
              <w:t> mg</w:t>
            </w:r>
            <w:r w:rsidRPr="00224BE9">
              <w:rPr>
                <w:color w:val="000000"/>
                <w:sz w:val="22"/>
                <w:szCs w:val="22"/>
                <w:lang w:eastAsia="en-US"/>
              </w:rPr>
              <w:t xml:space="preserve"> oralisan naponta egyszer 1 napig, majd 250</w:t>
            </w:r>
            <w:r w:rsidR="003C0493">
              <w:rPr>
                <w:color w:val="000000"/>
                <w:sz w:val="22"/>
                <w:szCs w:val="22"/>
                <w:lang w:eastAsia="en-US"/>
              </w:rPr>
              <w:t> mg</w:t>
            </w:r>
            <w:r w:rsidRPr="00224BE9">
              <w:rPr>
                <w:color w:val="000000"/>
                <w:sz w:val="22"/>
                <w:szCs w:val="22"/>
                <w:lang w:eastAsia="en-US"/>
              </w:rPr>
              <w:t xml:space="preserve"> oralisan naponta egyszer 4 napig.</w:t>
            </w:r>
          </w:p>
          <w:p w14:paraId="19681086" w14:textId="77777777" w:rsidR="00224BE9" w:rsidRPr="00224BE9" w:rsidRDefault="00224BE9" w:rsidP="00224BE9">
            <w:pPr>
              <w:suppressAutoHyphens w:val="0"/>
              <w:autoSpaceDE w:val="0"/>
              <w:autoSpaceDN w:val="0"/>
              <w:adjustRightInd w:val="0"/>
              <w:rPr>
                <w:color w:val="000000"/>
                <w:sz w:val="22"/>
                <w:szCs w:val="22"/>
                <w:lang w:eastAsia="en-US"/>
              </w:rPr>
            </w:pPr>
          </w:p>
          <w:p w14:paraId="484EADF6" w14:textId="16F873CA"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Warfarin 15</w:t>
            </w:r>
            <w:r w:rsidR="003C0493">
              <w:rPr>
                <w:color w:val="000000"/>
                <w:sz w:val="22"/>
                <w:szCs w:val="22"/>
                <w:lang w:eastAsia="en-US"/>
              </w:rPr>
              <w:t> mg</w:t>
            </w:r>
            <w:r w:rsidRPr="00224BE9">
              <w:rPr>
                <w:color w:val="000000"/>
                <w:sz w:val="22"/>
                <w:szCs w:val="22"/>
                <w:lang w:eastAsia="en-US"/>
              </w:rPr>
              <w:t xml:space="preserve"> oralisan egyszeri dózisként.</w:t>
            </w:r>
          </w:p>
        </w:tc>
        <w:tc>
          <w:tcPr>
            <w:tcW w:w="2308" w:type="dxa"/>
            <w:tcBorders>
              <w:top w:val="single" w:sz="4" w:space="0" w:color="auto"/>
              <w:left w:val="single" w:sz="4" w:space="0" w:color="auto"/>
              <w:bottom w:val="single" w:sz="4" w:space="0" w:color="auto"/>
              <w:right w:val="single" w:sz="4" w:space="0" w:color="auto"/>
            </w:tcBorders>
          </w:tcPr>
          <w:p w14:paraId="0D748293"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Azitromicin: ND</w:t>
            </w:r>
          </w:p>
          <w:p w14:paraId="49C1EA76" w14:textId="77777777" w:rsidR="00224BE9" w:rsidRPr="00224BE9" w:rsidRDefault="00224BE9" w:rsidP="00224BE9">
            <w:pPr>
              <w:suppressAutoHyphens w:val="0"/>
              <w:autoSpaceDE w:val="0"/>
              <w:autoSpaceDN w:val="0"/>
              <w:adjustRightInd w:val="0"/>
              <w:rPr>
                <w:color w:val="000000"/>
                <w:sz w:val="22"/>
                <w:szCs w:val="22"/>
                <w:lang w:eastAsia="en-US"/>
              </w:rPr>
            </w:pPr>
          </w:p>
          <w:p w14:paraId="2F4C9F63"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Warfarin: ND</w:t>
            </w:r>
          </w:p>
          <w:p w14:paraId="298B6FBC" w14:textId="77777777" w:rsidR="00224BE9" w:rsidRPr="00224BE9" w:rsidRDefault="00224BE9" w:rsidP="00224BE9">
            <w:pPr>
              <w:suppressAutoHyphens w:val="0"/>
              <w:autoSpaceDE w:val="0"/>
              <w:autoSpaceDN w:val="0"/>
              <w:adjustRightInd w:val="0"/>
              <w:rPr>
                <w:color w:val="000000"/>
                <w:sz w:val="22"/>
                <w:szCs w:val="22"/>
                <w:lang w:eastAsia="en-US"/>
              </w:rPr>
            </w:pPr>
          </w:p>
          <w:p w14:paraId="654A3FC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 klinikai gyógyszerinterakciós vizsgálat során nem volt változás a prothrombinidőben, de a forgalomba hozatalt követően fokozott antikoaguláns hatásról számoltak be az azitromicin és a kumarin típusú oralis antikoagulánsok egyidejű alkalmazásakor.</w:t>
            </w:r>
          </w:p>
        </w:tc>
        <w:tc>
          <w:tcPr>
            <w:tcW w:w="2308" w:type="dxa"/>
            <w:tcBorders>
              <w:top w:val="single" w:sz="4" w:space="0" w:color="auto"/>
              <w:left w:val="single" w:sz="4" w:space="0" w:color="auto"/>
              <w:bottom w:val="single" w:sz="4" w:space="0" w:color="auto"/>
              <w:right w:val="single" w:sz="4" w:space="0" w:color="auto"/>
            </w:tcBorders>
          </w:tcPr>
          <w:p w14:paraId="6C7ED119"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Nem ismert.</w:t>
            </w:r>
          </w:p>
        </w:tc>
        <w:tc>
          <w:tcPr>
            <w:tcW w:w="2308" w:type="dxa"/>
            <w:tcBorders>
              <w:top w:val="single" w:sz="4" w:space="0" w:color="auto"/>
              <w:left w:val="single" w:sz="4" w:space="0" w:color="auto"/>
              <w:bottom w:val="single" w:sz="4" w:space="0" w:color="auto"/>
              <w:right w:val="single" w:sz="4" w:space="0" w:color="auto"/>
            </w:tcBorders>
          </w:tcPr>
          <w:p w14:paraId="5828914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 prothrombinidő ellenőrzésének fokozott gyakorisága megfontolandó az azitromicin-kezelés során és azt követően.</w:t>
            </w:r>
          </w:p>
        </w:tc>
      </w:tr>
      <w:tr w:rsidR="00224BE9" w:rsidRPr="00224BE9" w14:paraId="0CB241ED" w14:textId="77777777" w:rsidTr="00EF1044">
        <w:trPr>
          <w:trHeight w:val="655"/>
        </w:trPr>
        <w:tc>
          <w:tcPr>
            <w:tcW w:w="9232" w:type="dxa"/>
            <w:gridSpan w:val="4"/>
            <w:tcBorders>
              <w:top w:val="single" w:sz="4" w:space="0" w:color="auto"/>
              <w:left w:val="single" w:sz="4" w:space="0" w:color="auto"/>
              <w:bottom w:val="single" w:sz="4" w:space="0" w:color="auto"/>
              <w:right w:val="single" w:sz="4" w:space="0" w:color="auto"/>
            </w:tcBorders>
          </w:tcPr>
          <w:p w14:paraId="796AAE6B"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Megjegyzés: a 10%-nál nagyobb, statisztikailag szignifikáns változásokat „↑” vagy „↓”, a változatlan értéket „↔”, a meghatározatlan (nem determinált) értéket pedig „ND” jelöli.</w:t>
            </w:r>
          </w:p>
        </w:tc>
      </w:tr>
    </w:tbl>
    <w:p w14:paraId="2D97C8BC" w14:textId="77777777" w:rsidR="00224BE9" w:rsidRPr="00224BE9" w:rsidRDefault="00224BE9" w:rsidP="00224BE9">
      <w:pPr>
        <w:suppressAutoHyphens w:val="0"/>
        <w:rPr>
          <w:bCs/>
          <w:iCs/>
          <w:sz w:val="22"/>
          <w:szCs w:val="22"/>
          <w:lang w:eastAsia="en-US"/>
        </w:rPr>
      </w:pPr>
      <w:r w:rsidRPr="00224BE9">
        <w:rPr>
          <w:bCs/>
          <w:iCs/>
          <w:sz w:val="22"/>
          <w:szCs w:val="22"/>
          <w:lang w:eastAsia="en-US"/>
        </w:rPr>
        <w:t>Nem figyeltek meg klinikailag releváns változást az azitromicin vagy az egyidejűleg alkalmazott gyógyszer expozíciójában a lehetséges gyógyszer-gyógyszer kölcsönhatásokat értékelő klinikai vizsgálatokban az alábbiakkal: oralis antacidumok (alumínium-hidroxid/magnézium-hidroxid), karbamazepin, cetirizin, cimetidin, efavirenz, flukonazol, metiprednizolon, midazolám, rifabutin, szildenafil, teofillin, triazolám, trimetoprim/szulfametoxazol és zidovudin.</w:t>
      </w:r>
      <w:r w:rsidRPr="00224BE9" w:rsidDel="0084221C">
        <w:rPr>
          <w:bCs/>
          <w:iCs/>
          <w:sz w:val="22"/>
          <w:szCs w:val="22"/>
          <w:lang w:eastAsia="en-US"/>
        </w:rPr>
        <w:t xml:space="preserve"> </w:t>
      </w:r>
    </w:p>
    <w:p w14:paraId="32FCB182" w14:textId="77777777" w:rsidR="00224BE9" w:rsidRPr="00224BE9" w:rsidRDefault="00224BE9" w:rsidP="00224BE9">
      <w:pPr>
        <w:suppressAutoHyphens w:val="0"/>
        <w:rPr>
          <w:bCs/>
          <w:iCs/>
          <w:sz w:val="22"/>
          <w:szCs w:val="22"/>
          <w:lang w:eastAsia="en-US"/>
        </w:rPr>
      </w:pPr>
    </w:p>
    <w:p w14:paraId="2332A092" w14:textId="77777777" w:rsidR="00224BE9" w:rsidRPr="00224BE9" w:rsidRDefault="00224BE9" w:rsidP="00224BE9">
      <w:pPr>
        <w:suppressAutoHyphens w:val="0"/>
        <w:rPr>
          <w:bCs/>
          <w:iCs/>
          <w:sz w:val="22"/>
          <w:szCs w:val="22"/>
          <w:u w:val="single"/>
          <w:lang w:eastAsia="en-US"/>
        </w:rPr>
      </w:pPr>
      <w:r w:rsidRPr="00224BE9">
        <w:rPr>
          <w:bCs/>
          <w:iCs/>
          <w:sz w:val="22"/>
          <w:szCs w:val="22"/>
          <w:u w:val="single"/>
          <w:lang w:eastAsia="en-US"/>
        </w:rPr>
        <w:t>Gyermekek és serdülők</w:t>
      </w:r>
    </w:p>
    <w:p w14:paraId="6846BA6F" w14:textId="77777777" w:rsidR="00224BE9" w:rsidRPr="00224BE9" w:rsidRDefault="00224BE9" w:rsidP="00224BE9">
      <w:pPr>
        <w:suppressAutoHyphens w:val="0"/>
        <w:rPr>
          <w:bCs/>
          <w:iCs/>
          <w:sz w:val="22"/>
          <w:szCs w:val="22"/>
          <w:lang w:eastAsia="en-US"/>
        </w:rPr>
      </w:pPr>
      <w:r w:rsidRPr="00224BE9">
        <w:rPr>
          <w:bCs/>
          <w:iCs/>
          <w:sz w:val="22"/>
          <w:szCs w:val="22"/>
          <w:lang w:eastAsia="en-US"/>
        </w:rPr>
        <w:t>Interakciós vizsgálatokat kizárólag felnőtteknél végeztek.</w:t>
      </w:r>
    </w:p>
    <w:bookmarkEnd w:id="5"/>
    <w:p w14:paraId="7C6B1368" w14:textId="77777777" w:rsidR="00224BE9" w:rsidRPr="00224BE9" w:rsidRDefault="00224BE9" w:rsidP="00224BE9">
      <w:pPr>
        <w:suppressAutoHyphens w:val="0"/>
        <w:rPr>
          <w:bCs/>
          <w:i/>
          <w:sz w:val="22"/>
          <w:szCs w:val="22"/>
          <w:lang w:eastAsia="en-US"/>
        </w:rPr>
      </w:pPr>
    </w:p>
    <w:p w14:paraId="32D469E1"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4.6</w:t>
      </w:r>
      <w:r w:rsidRPr="00224BE9">
        <w:rPr>
          <w:b/>
          <w:sz w:val="22"/>
          <w:szCs w:val="22"/>
          <w:lang w:eastAsia="en-US"/>
        </w:rPr>
        <w:tab/>
        <w:t>Termékenység, terhesség és szoptatás</w:t>
      </w:r>
    </w:p>
    <w:p w14:paraId="19EEA233" w14:textId="77777777" w:rsidR="00224BE9" w:rsidRPr="00224BE9" w:rsidRDefault="00224BE9" w:rsidP="00224BE9">
      <w:pPr>
        <w:suppressAutoHyphens w:val="0"/>
        <w:rPr>
          <w:sz w:val="22"/>
          <w:szCs w:val="22"/>
          <w:u w:val="single"/>
          <w:lang w:eastAsia="en-US"/>
        </w:rPr>
      </w:pPr>
    </w:p>
    <w:p w14:paraId="72D1409C"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Terhesség</w:t>
      </w:r>
    </w:p>
    <w:p w14:paraId="60A8A8D1" w14:textId="77777777" w:rsidR="00224BE9" w:rsidRDefault="00224BE9" w:rsidP="00224BE9">
      <w:pPr>
        <w:suppressAutoHyphens w:val="0"/>
        <w:rPr>
          <w:sz w:val="22"/>
          <w:szCs w:val="22"/>
          <w:lang w:eastAsia="en-US"/>
        </w:rPr>
      </w:pPr>
      <w:r w:rsidRPr="00224BE9">
        <w:rPr>
          <w:sz w:val="22"/>
          <w:szCs w:val="22"/>
          <w:lang w:eastAsia="en-US"/>
        </w:rPr>
        <w:t>Az állatokkal végzett reprodukciós vizsgálatokat a legfeljebb közepesen súlyos maternalis toxicitást okozó koncentrációt eredményező dózisokkal végezték. Ezekben a vizsgálatokban nem találtak teratogén hatásokra utaló bizonyítékot; ugyanakkor nem végeztek megfelelő és kontrollos vizsgálatokat terhes nőknél.</w:t>
      </w:r>
    </w:p>
    <w:p w14:paraId="464AB544" w14:textId="77777777" w:rsidR="00DE5A63" w:rsidRPr="00224BE9" w:rsidRDefault="00DE5A63" w:rsidP="00224BE9">
      <w:pPr>
        <w:suppressAutoHyphens w:val="0"/>
        <w:rPr>
          <w:sz w:val="22"/>
          <w:szCs w:val="22"/>
          <w:lang w:eastAsia="en-US"/>
        </w:rPr>
      </w:pPr>
    </w:p>
    <w:p w14:paraId="4161356A" w14:textId="77777777" w:rsidR="00224BE9" w:rsidRDefault="00224BE9" w:rsidP="00224BE9">
      <w:pPr>
        <w:suppressAutoHyphens w:val="0"/>
        <w:rPr>
          <w:sz w:val="22"/>
          <w:szCs w:val="22"/>
          <w:lang w:eastAsia="en-US"/>
        </w:rPr>
      </w:pPr>
      <w:r w:rsidRPr="00224BE9">
        <w:rPr>
          <w:sz w:val="22"/>
          <w:szCs w:val="22"/>
          <w:lang w:eastAsia="en-US"/>
        </w:rPr>
        <w:t>A terhesség alatti azitromicin-expozícióról megfigyeléses vizsgálatokból nagy mennyiségű adat (7000-nél több, azitromicin-expozícióval érintett terhesség) áll rendelkezésre. Ezen vizsgálatok többsége nem utal a nemkívánatos magzati hatások – például súlyos veleszületett rendellenességek vagy cardiovascularis malformatiók – kockázatának növekedésére.</w:t>
      </w:r>
    </w:p>
    <w:p w14:paraId="01023117" w14:textId="77777777" w:rsidR="00DE5A63" w:rsidRPr="00224BE9" w:rsidRDefault="00DE5A63" w:rsidP="00224BE9">
      <w:pPr>
        <w:suppressAutoHyphens w:val="0"/>
        <w:rPr>
          <w:sz w:val="22"/>
          <w:szCs w:val="22"/>
          <w:lang w:eastAsia="en-US"/>
        </w:rPr>
      </w:pPr>
    </w:p>
    <w:p w14:paraId="494AF508" w14:textId="7668A5B7" w:rsidR="00224BE9" w:rsidRPr="00224BE9" w:rsidRDefault="00224BE9" w:rsidP="00224BE9">
      <w:pPr>
        <w:suppressAutoHyphens w:val="0"/>
        <w:rPr>
          <w:sz w:val="22"/>
          <w:szCs w:val="22"/>
          <w:lang w:eastAsia="en-US"/>
        </w:rPr>
      </w:pPr>
      <w:r w:rsidRPr="00224BE9">
        <w:rPr>
          <w:sz w:val="22"/>
          <w:szCs w:val="22"/>
          <w:lang w:eastAsia="en-US"/>
        </w:rPr>
        <w:t>A terhesség korai szakaszában történő azitromicin-expozíciót követő vetélés kockázatával összefüggő epidemiológiai bizonyítékok nem egyértelműek. Az állatokkal végzett vizsgálatok nem jeleztek reprodukciós toxicitást (lásd 5.3</w:t>
      </w:r>
      <w:r w:rsidR="00DE5A63">
        <w:rPr>
          <w:sz w:val="22"/>
          <w:szCs w:val="22"/>
          <w:lang w:eastAsia="en-US"/>
        </w:rPr>
        <w:t> pont</w:t>
      </w:r>
      <w:r w:rsidRPr="00224BE9">
        <w:rPr>
          <w:sz w:val="22"/>
          <w:szCs w:val="22"/>
          <w:lang w:eastAsia="en-US"/>
        </w:rPr>
        <w:t>).</w:t>
      </w:r>
    </w:p>
    <w:p w14:paraId="5BA6FF5C" w14:textId="77777777" w:rsidR="00224BE9" w:rsidRPr="00224BE9" w:rsidRDefault="00224BE9" w:rsidP="00224BE9">
      <w:pPr>
        <w:suppressAutoHyphens w:val="0"/>
        <w:rPr>
          <w:sz w:val="22"/>
          <w:szCs w:val="22"/>
          <w:lang w:eastAsia="en-US"/>
        </w:rPr>
      </w:pPr>
      <w:r w:rsidRPr="00224BE9">
        <w:rPr>
          <w:sz w:val="22"/>
          <w:szCs w:val="22"/>
          <w:lang w:eastAsia="en-US"/>
        </w:rPr>
        <w:t>Az azitromicin kizárólag klinikailag indokolt esetben alkalmazható a terhesség alatt.</w:t>
      </w:r>
      <w:r w:rsidRPr="00224BE9" w:rsidDel="00910986">
        <w:rPr>
          <w:sz w:val="22"/>
          <w:szCs w:val="22"/>
          <w:lang w:eastAsia="en-US"/>
        </w:rPr>
        <w:t xml:space="preserve"> </w:t>
      </w:r>
    </w:p>
    <w:p w14:paraId="309F42E4" w14:textId="77777777" w:rsidR="00224BE9" w:rsidRPr="00224BE9" w:rsidRDefault="00224BE9" w:rsidP="00224BE9">
      <w:pPr>
        <w:suppressAutoHyphens w:val="0"/>
        <w:rPr>
          <w:sz w:val="22"/>
          <w:szCs w:val="22"/>
          <w:lang w:eastAsia="en-US"/>
        </w:rPr>
      </w:pPr>
    </w:p>
    <w:p w14:paraId="68D5EFD4"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Szoptatás</w:t>
      </w:r>
    </w:p>
    <w:p w14:paraId="725E9166" w14:textId="77777777" w:rsidR="00224BE9" w:rsidRPr="00224BE9" w:rsidRDefault="00224BE9" w:rsidP="00224BE9">
      <w:pPr>
        <w:suppressAutoHyphens w:val="0"/>
        <w:rPr>
          <w:sz w:val="22"/>
          <w:szCs w:val="22"/>
          <w:lang w:eastAsia="en-US"/>
        </w:rPr>
      </w:pPr>
      <w:r w:rsidRPr="00224BE9">
        <w:rPr>
          <w:sz w:val="22"/>
          <w:szCs w:val="22"/>
          <w:lang w:eastAsia="en-US"/>
        </w:rPr>
        <w:t>Az azitromicin jelentős mértékben kiválasztódik a humán anyatejbe. Nem mutattak ki az azitromicinnel kapcsolatban súlyos mellékhatásokat az anyatejjel táplált csecsemőknél, míg az alábbi mellékhatások még szubterápiás dózis mellett is előfordulhatnak az anyatejjel táplált újszülötteknél/csecsemőknél: hasmenés, nyálkahártya gombás fertőzése, valamint túlérzékenység. El kell dönteni, hogy a szoptatást függesztik fel, vagy az azitromicin-kezelést szakítják meg /halasztják el – figyelembe véve a szoptatás előnyét a gyermek, illetve a kezelés előnyét az anya szempontjából.</w:t>
      </w:r>
      <w:r w:rsidRPr="00224BE9" w:rsidDel="00910986">
        <w:rPr>
          <w:sz w:val="22"/>
          <w:szCs w:val="22"/>
          <w:lang w:eastAsia="en-US"/>
        </w:rPr>
        <w:t xml:space="preserve"> </w:t>
      </w:r>
    </w:p>
    <w:p w14:paraId="30FCD9C9" w14:textId="77777777" w:rsidR="00224BE9" w:rsidRPr="00224BE9" w:rsidRDefault="00224BE9" w:rsidP="00224BE9">
      <w:pPr>
        <w:suppressAutoHyphens w:val="0"/>
        <w:rPr>
          <w:sz w:val="22"/>
          <w:szCs w:val="22"/>
          <w:lang w:eastAsia="en-US"/>
        </w:rPr>
      </w:pPr>
    </w:p>
    <w:p w14:paraId="6F3BC4DD"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Termékenység</w:t>
      </w:r>
    </w:p>
    <w:p w14:paraId="62FC521C" w14:textId="63D63A4C" w:rsidR="00224BE9" w:rsidRPr="00224BE9" w:rsidRDefault="00DE5A63" w:rsidP="00224BE9">
      <w:pPr>
        <w:suppressAutoHyphens w:val="0"/>
        <w:rPr>
          <w:sz w:val="22"/>
          <w:szCs w:val="22"/>
          <w:lang w:eastAsia="en-US"/>
        </w:rPr>
      </w:pPr>
      <w:r>
        <w:rPr>
          <w:sz w:val="22"/>
          <w:szCs w:val="22"/>
          <w:lang w:eastAsia="en-US"/>
        </w:rPr>
        <w:lastRenderedPageBreak/>
        <w:t>P</w:t>
      </w:r>
      <w:r w:rsidR="00224BE9" w:rsidRPr="00224BE9">
        <w:rPr>
          <w:sz w:val="22"/>
          <w:szCs w:val="22"/>
          <w:lang w:eastAsia="en-US"/>
        </w:rPr>
        <w:t>atkányokkal végzett termékenységi vizsgálatok során csökkent vemhességi rátát észleltek az azitromicin adagolását követően. Ennek relevanciája embereknél nem ismert.</w:t>
      </w:r>
    </w:p>
    <w:p w14:paraId="04E6F7E2" w14:textId="77777777" w:rsidR="00224BE9" w:rsidRPr="00224BE9" w:rsidRDefault="00224BE9" w:rsidP="00224BE9">
      <w:pPr>
        <w:suppressAutoHyphens w:val="0"/>
        <w:rPr>
          <w:sz w:val="22"/>
          <w:szCs w:val="22"/>
          <w:lang w:eastAsia="en-US"/>
        </w:rPr>
      </w:pPr>
    </w:p>
    <w:p w14:paraId="2BC0484F" w14:textId="77777777" w:rsidR="00224BE9" w:rsidRPr="00224BE9" w:rsidRDefault="00224BE9" w:rsidP="00224BE9">
      <w:pPr>
        <w:suppressAutoHyphens w:val="0"/>
        <w:ind w:left="567" w:hanging="567"/>
        <w:rPr>
          <w:b/>
          <w:sz w:val="22"/>
          <w:szCs w:val="22"/>
          <w:lang w:eastAsia="en-US"/>
        </w:rPr>
      </w:pPr>
      <w:r w:rsidRPr="00224BE9">
        <w:rPr>
          <w:b/>
          <w:sz w:val="22"/>
          <w:szCs w:val="22"/>
          <w:lang w:eastAsia="en-US"/>
        </w:rPr>
        <w:t>4.7</w:t>
      </w:r>
      <w:r w:rsidRPr="00224BE9">
        <w:rPr>
          <w:b/>
          <w:sz w:val="22"/>
          <w:szCs w:val="22"/>
          <w:lang w:eastAsia="en-US"/>
        </w:rPr>
        <w:tab/>
        <w:t>A készítmény hatásai a gépjárművezetéshez és a gépek kezeléséhez szükséges képességekre</w:t>
      </w:r>
    </w:p>
    <w:p w14:paraId="0AA2C2D0" w14:textId="77777777" w:rsidR="00224BE9" w:rsidRPr="00224BE9" w:rsidRDefault="00224BE9" w:rsidP="00224BE9">
      <w:pPr>
        <w:suppressAutoHyphens w:val="0"/>
        <w:rPr>
          <w:sz w:val="22"/>
          <w:szCs w:val="22"/>
          <w:lang w:eastAsia="en-US"/>
        </w:rPr>
      </w:pPr>
    </w:p>
    <w:p w14:paraId="21185D50" w14:textId="4E3D6FDE" w:rsidR="00224BE9" w:rsidRPr="00224BE9" w:rsidRDefault="00224BE9" w:rsidP="00224BE9">
      <w:pPr>
        <w:suppressAutoHyphens w:val="0"/>
        <w:rPr>
          <w:sz w:val="22"/>
          <w:szCs w:val="22"/>
          <w:lang w:eastAsia="en-US"/>
        </w:rPr>
      </w:pPr>
      <w:r w:rsidRPr="00224BE9">
        <w:rPr>
          <w:sz w:val="22"/>
          <w:szCs w:val="22"/>
          <w:lang w:eastAsia="en-US"/>
        </w:rPr>
        <w:t>Az Azibactim filmtabletta közepes mértékben befolyásolja a gépjárművezetéshez és a gépek kezeléséhez szükséges képességeket. Szédülésről, álmosságról és görcsrohamokról számoltak be néhány, azitromicint szedő betegnél, és néhány beteg látás- és halláskárosodásról számolt be. A gépjárművezetésre vagy a gépkezelésre való alkalmasság megítélésekor ezt figyelembe kell venni (lásd 4.8</w:t>
      </w:r>
      <w:r w:rsidR="00DE5A63">
        <w:rPr>
          <w:sz w:val="22"/>
          <w:szCs w:val="22"/>
          <w:lang w:eastAsia="en-US"/>
        </w:rPr>
        <w:t> pont</w:t>
      </w:r>
      <w:r w:rsidRPr="00224BE9">
        <w:rPr>
          <w:sz w:val="22"/>
          <w:szCs w:val="22"/>
          <w:lang w:eastAsia="en-US"/>
        </w:rPr>
        <w:t>).</w:t>
      </w:r>
    </w:p>
    <w:p w14:paraId="3EC07EEF" w14:textId="77777777" w:rsidR="00224BE9" w:rsidRPr="00224BE9" w:rsidRDefault="00224BE9" w:rsidP="00224BE9">
      <w:pPr>
        <w:suppressAutoHyphens w:val="0"/>
        <w:rPr>
          <w:sz w:val="22"/>
          <w:szCs w:val="22"/>
          <w:lang w:eastAsia="en-US"/>
        </w:rPr>
      </w:pPr>
    </w:p>
    <w:p w14:paraId="79D26B7D"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4.8</w:t>
      </w:r>
      <w:r w:rsidRPr="00224BE9">
        <w:rPr>
          <w:b/>
          <w:sz w:val="22"/>
          <w:szCs w:val="22"/>
          <w:lang w:eastAsia="en-US"/>
        </w:rPr>
        <w:tab/>
        <w:t>Nemkívánatos hatások, mellékhatások</w:t>
      </w:r>
    </w:p>
    <w:p w14:paraId="1872A45B" w14:textId="77777777" w:rsidR="00224BE9" w:rsidRPr="00224BE9" w:rsidRDefault="00224BE9" w:rsidP="00224BE9">
      <w:pPr>
        <w:tabs>
          <w:tab w:val="left" w:pos="567"/>
        </w:tabs>
        <w:suppressAutoHyphens w:val="0"/>
        <w:rPr>
          <w:b/>
          <w:sz w:val="22"/>
          <w:szCs w:val="22"/>
          <w:lang w:eastAsia="en-US"/>
        </w:rPr>
      </w:pPr>
    </w:p>
    <w:p w14:paraId="0117F9F9" w14:textId="77777777" w:rsidR="00224BE9" w:rsidRPr="00224BE9" w:rsidRDefault="00224BE9" w:rsidP="00224BE9">
      <w:pPr>
        <w:suppressAutoHyphens w:val="0"/>
        <w:autoSpaceDE w:val="0"/>
        <w:autoSpaceDN w:val="0"/>
        <w:adjustRightInd w:val="0"/>
        <w:rPr>
          <w:color w:val="000000"/>
          <w:sz w:val="22"/>
          <w:szCs w:val="22"/>
          <w:u w:val="single"/>
          <w:lang w:eastAsia="en-US"/>
        </w:rPr>
      </w:pPr>
      <w:r w:rsidRPr="00224BE9">
        <w:rPr>
          <w:color w:val="000000"/>
          <w:sz w:val="22"/>
          <w:szCs w:val="22"/>
          <w:u w:val="single"/>
          <w:lang w:eastAsia="en-US"/>
        </w:rPr>
        <w:t xml:space="preserve">A biztonságossági profil összefoglalása </w:t>
      </w:r>
    </w:p>
    <w:p w14:paraId="0FDD80CE" w14:textId="39FF98E1" w:rsidR="00224BE9" w:rsidRPr="00224BE9" w:rsidRDefault="00224BE9" w:rsidP="00224BE9">
      <w:pPr>
        <w:tabs>
          <w:tab w:val="left" w:pos="567"/>
        </w:tabs>
        <w:suppressAutoHyphens w:val="0"/>
        <w:rPr>
          <w:b/>
          <w:sz w:val="22"/>
          <w:szCs w:val="22"/>
          <w:lang w:eastAsia="en-US"/>
        </w:rPr>
      </w:pPr>
      <w:r w:rsidRPr="00224BE9">
        <w:rPr>
          <w:sz w:val="22"/>
          <w:szCs w:val="22"/>
          <w:lang w:eastAsia="en-US"/>
        </w:rPr>
        <w:t xml:space="preserve">A kezelés során észlelt leggyakoribb mellékhatások a hasmenés, a fejfájás, a hányás, a hasi fájdalom, a hányinger és a kóros laboratóriumi vizsgálati eredmények. Egyéb fontos mellékhatások az alábbiak voltak: túlérzékenységi reakciók, </w:t>
      </w:r>
      <w:r w:rsidR="00FE649B">
        <w:rPr>
          <w:i/>
          <w:iCs/>
          <w:sz w:val="22"/>
          <w:szCs w:val="22"/>
          <w:lang w:eastAsia="en-US"/>
        </w:rPr>
        <w:t>t</w:t>
      </w:r>
      <w:r w:rsidR="00983D99" w:rsidRPr="00983D99">
        <w:rPr>
          <w:i/>
          <w:iCs/>
          <w:sz w:val="22"/>
          <w:szCs w:val="22"/>
          <w:lang w:eastAsia="en-US"/>
        </w:rPr>
        <w:t>orsades de pointes</w:t>
      </w:r>
      <w:r w:rsidRPr="00224BE9">
        <w:rPr>
          <w:sz w:val="22"/>
          <w:szCs w:val="22"/>
          <w:lang w:eastAsia="en-US"/>
        </w:rPr>
        <w:t>, arrhythmia – beleértve a kamrai tachycardiát –, pseudomembranosus colitis és májelégtelenség (lásd 4.4</w:t>
      </w:r>
      <w:r w:rsidR="00DE5A63">
        <w:rPr>
          <w:sz w:val="22"/>
          <w:szCs w:val="22"/>
          <w:lang w:eastAsia="en-US"/>
        </w:rPr>
        <w:t> pont</w:t>
      </w:r>
      <w:r w:rsidRPr="00224BE9">
        <w:rPr>
          <w:sz w:val="22"/>
          <w:szCs w:val="22"/>
          <w:lang w:eastAsia="en-US"/>
        </w:rPr>
        <w:t>). Az azitromicin-kezeléssel kapcsolatban beszámoltak bőrt érintő, súlyos mellékhatásokról (SCAR), beleértve a Stevens–Johnson-szindrómát (SJS), a toxicus epidermalis necrolysist (TEN), az eosinophiliával és szisztémás tünetekkel járó gyógyszerreakciót (DRESS) és az akut generalizált exanthemás pustulosist (AGEP) (lásd 4.4</w:t>
      </w:r>
      <w:r w:rsidR="00DE5A63">
        <w:rPr>
          <w:sz w:val="22"/>
          <w:szCs w:val="22"/>
          <w:lang w:eastAsia="en-US"/>
        </w:rPr>
        <w:t> pont</w:t>
      </w:r>
      <w:r w:rsidRPr="00224BE9">
        <w:rPr>
          <w:sz w:val="22"/>
          <w:szCs w:val="22"/>
          <w:lang w:eastAsia="en-US"/>
        </w:rPr>
        <w:t>).</w:t>
      </w:r>
    </w:p>
    <w:p w14:paraId="3FA30CEB" w14:textId="77777777" w:rsidR="00224BE9" w:rsidRPr="00224BE9" w:rsidRDefault="00224BE9" w:rsidP="00224BE9">
      <w:pPr>
        <w:tabs>
          <w:tab w:val="left" w:pos="567"/>
        </w:tabs>
        <w:suppressAutoHyphens w:val="0"/>
        <w:rPr>
          <w:b/>
          <w:sz w:val="22"/>
          <w:szCs w:val="22"/>
          <w:lang w:eastAsia="en-US"/>
        </w:rPr>
      </w:pPr>
    </w:p>
    <w:p w14:paraId="6D336D8B" w14:textId="77777777" w:rsidR="00224BE9" w:rsidRPr="00224BE9" w:rsidRDefault="00224BE9" w:rsidP="00224BE9">
      <w:pPr>
        <w:suppressAutoHyphens w:val="0"/>
        <w:rPr>
          <w:bCs/>
          <w:sz w:val="22"/>
          <w:szCs w:val="22"/>
          <w:u w:val="single"/>
          <w:lang w:eastAsia="en-US"/>
        </w:rPr>
      </w:pPr>
      <w:r w:rsidRPr="00224BE9">
        <w:rPr>
          <w:bCs/>
          <w:sz w:val="22"/>
          <w:szCs w:val="22"/>
          <w:u w:val="single"/>
          <w:lang w:eastAsia="en-US"/>
        </w:rPr>
        <w:t>A mellékhatások táblázatos felsorolása</w:t>
      </w:r>
    </w:p>
    <w:p w14:paraId="68FE71AB" w14:textId="77777777" w:rsidR="00224BE9" w:rsidRPr="00224BE9" w:rsidRDefault="00224BE9" w:rsidP="00224BE9">
      <w:pPr>
        <w:suppressAutoHyphens w:val="0"/>
        <w:rPr>
          <w:bCs/>
          <w:sz w:val="22"/>
          <w:szCs w:val="22"/>
          <w:lang w:eastAsia="en-US"/>
        </w:rPr>
      </w:pPr>
      <w:bookmarkStart w:id="6" w:name="_Hlk208868137"/>
      <w:r w:rsidRPr="00224BE9">
        <w:rPr>
          <w:bCs/>
          <w:sz w:val="22"/>
          <w:szCs w:val="22"/>
          <w:lang w:eastAsia="en-US"/>
        </w:rPr>
        <w:t>A klinikai vizsgálatok során és a forgalomba hozatalt követően észlelt mellékhatások szervrendszeri és gyakorisági kategóriánként kerülnek felsorolásra alább.</w:t>
      </w:r>
    </w:p>
    <w:p w14:paraId="045B96D9" w14:textId="77777777" w:rsidR="00224BE9" w:rsidRPr="00224BE9" w:rsidRDefault="00224BE9" w:rsidP="00224BE9">
      <w:pPr>
        <w:suppressAutoHyphens w:val="0"/>
        <w:rPr>
          <w:bCs/>
          <w:sz w:val="22"/>
          <w:szCs w:val="22"/>
          <w:lang w:eastAsia="en-US"/>
        </w:rPr>
      </w:pPr>
    </w:p>
    <w:bookmarkEnd w:id="6"/>
    <w:p w14:paraId="48B6C19F" w14:textId="77777777" w:rsidR="00224BE9" w:rsidRPr="00224BE9" w:rsidRDefault="00224BE9" w:rsidP="00224BE9">
      <w:pPr>
        <w:suppressAutoHyphens w:val="0"/>
        <w:rPr>
          <w:sz w:val="22"/>
          <w:szCs w:val="22"/>
          <w:lang w:eastAsia="en-US"/>
        </w:rPr>
      </w:pPr>
      <w:r w:rsidRPr="00224BE9">
        <w:rPr>
          <w:bCs/>
          <w:sz w:val="22"/>
          <w:szCs w:val="22"/>
          <w:lang w:eastAsia="en-US"/>
        </w:rPr>
        <w:t xml:space="preserve">A nemkívánatos hatások előfordulási gyakoriságának meghatározása: </w:t>
      </w:r>
      <w:r w:rsidRPr="00224BE9">
        <w:rPr>
          <w:sz w:val="22"/>
          <w:szCs w:val="22"/>
          <w:lang w:eastAsia="en-US"/>
        </w:rPr>
        <w:t xml:space="preserve">nagyon gyakori (≥ 1/10), gyakori (≥ 1/100 – &lt; 1/10), nem gyakori (≥ 1/1000 – &lt; 1/100), ritka (≥ 1/10 000 – &lt; 1/1000), nagyon ritka (&lt; 1/10 000) és </w:t>
      </w:r>
      <w:r w:rsidRPr="00224BE9">
        <w:rPr>
          <w:noProof/>
          <w:sz w:val="22"/>
          <w:szCs w:val="22"/>
          <w:lang w:eastAsia="en-US"/>
        </w:rPr>
        <w:t>nem ismert (a gyakoriság a rendelkezésre álló adatokból nem állapítható meg)</w:t>
      </w:r>
      <w:r w:rsidRPr="00224BE9">
        <w:rPr>
          <w:sz w:val="22"/>
          <w:szCs w:val="22"/>
          <w:lang w:eastAsia="en-US"/>
        </w:rPr>
        <w:t>. Az egyes gyakorisági kategóriákon belül a nemkívánatos hatások csökkenő súlyosság szerint vannak felsorolva.</w:t>
      </w:r>
    </w:p>
    <w:p w14:paraId="262ED2D8" w14:textId="77777777" w:rsidR="00224BE9" w:rsidRPr="00224BE9" w:rsidRDefault="00224BE9" w:rsidP="00224BE9">
      <w:pPr>
        <w:suppressAutoHyphens w:val="0"/>
        <w:rPr>
          <w:sz w:val="22"/>
          <w:szCs w:val="22"/>
          <w:lang w:eastAsia="en-US"/>
        </w:rPr>
      </w:pPr>
    </w:p>
    <w:p w14:paraId="6D5B7964" w14:textId="77777777" w:rsidR="00224BE9" w:rsidRPr="00224BE9" w:rsidRDefault="00224BE9" w:rsidP="00224BE9">
      <w:pPr>
        <w:suppressAutoHyphens w:val="0"/>
        <w:rPr>
          <w:sz w:val="22"/>
          <w:szCs w:val="22"/>
          <w:lang w:eastAsia="en-US"/>
        </w:rPr>
      </w:pPr>
      <w:bookmarkStart w:id="7" w:name="_Hlk208868296"/>
      <w:r w:rsidRPr="00224BE9">
        <w:rPr>
          <w:sz w:val="22"/>
          <w:szCs w:val="22"/>
          <w:lang w:eastAsia="en-US"/>
        </w:rPr>
        <w:t>3. táblázat: A mellékhatások táblázatos felsorolása</w:t>
      </w:r>
    </w:p>
    <w:tbl>
      <w:tblPr>
        <w:tblStyle w:val="Rcsostblzat"/>
        <w:tblW w:w="9209" w:type="dxa"/>
        <w:tblLayout w:type="fixed"/>
        <w:tblLook w:val="04A0" w:firstRow="1" w:lastRow="0" w:firstColumn="1" w:lastColumn="0" w:noHBand="0" w:noVBand="1"/>
      </w:tblPr>
      <w:tblGrid>
        <w:gridCol w:w="1838"/>
        <w:gridCol w:w="1418"/>
        <w:gridCol w:w="1559"/>
        <w:gridCol w:w="1417"/>
        <w:gridCol w:w="1560"/>
        <w:gridCol w:w="1417"/>
      </w:tblGrid>
      <w:tr w:rsidR="00DE5A63" w:rsidRPr="005035C2" w14:paraId="0145D306" w14:textId="77777777" w:rsidTr="00F80076">
        <w:tc>
          <w:tcPr>
            <w:tcW w:w="1838" w:type="dxa"/>
          </w:tcPr>
          <w:bookmarkEnd w:id="7"/>
          <w:p w14:paraId="54643969" w14:textId="77777777" w:rsidR="00DE5A63" w:rsidRPr="005035C2" w:rsidRDefault="00DE5A63" w:rsidP="00F80076">
            <w:pPr>
              <w:rPr>
                <w:b/>
              </w:rPr>
            </w:pPr>
            <w:r w:rsidRPr="005035C2">
              <w:rPr>
                <w:b/>
              </w:rPr>
              <w:t>Szervrendszeri kategória</w:t>
            </w:r>
          </w:p>
        </w:tc>
        <w:tc>
          <w:tcPr>
            <w:tcW w:w="1418" w:type="dxa"/>
          </w:tcPr>
          <w:p w14:paraId="23FB649C" w14:textId="77777777" w:rsidR="00DE5A63" w:rsidRPr="005035C2" w:rsidRDefault="00DE5A63" w:rsidP="00F80076">
            <w:pPr>
              <w:rPr>
                <w:b/>
                <w:bCs/>
              </w:rPr>
            </w:pPr>
            <w:r w:rsidRPr="005035C2">
              <w:rPr>
                <w:b/>
              </w:rPr>
              <w:t>Nagyon gyakori</w:t>
            </w:r>
          </w:p>
          <w:p w14:paraId="7E4F8AFC" w14:textId="77777777" w:rsidR="00DE5A63" w:rsidRPr="005035C2" w:rsidRDefault="00DE5A63" w:rsidP="00F80076">
            <w:pPr>
              <w:rPr>
                <w:b/>
              </w:rPr>
            </w:pPr>
          </w:p>
        </w:tc>
        <w:tc>
          <w:tcPr>
            <w:tcW w:w="1559" w:type="dxa"/>
          </w:tcPr>
          <w:p w14:paraId="4C93EF57" w14:textId="77777777" w:rsidR="00DE5A63" w:rsidRPr="005035C2" w:rsidRDefault="00DE5A63" w:rsidP="00F80076">
            <w:pPr>
              <w:rPr>
                <w:b/>
              </w:rPr>
            </w:pPr>
            <w:r w:rsidRPr="005035C2">
              <w:rPr>
                <w:b/>
              </w:rPr>
              <w:t>Gyakori</w:t>
            </w:r>
          </w:p>
        </w:tc>
        <w:tc>
          <w:tcPr>
            <w:tcW w:w="1417" w:type="dxa"/>
          </w:tcPr>
          <w:p w14:paraId="6251B7F1" w14:textId="77777777" w:rsidR="00DE5A63" w:rsidRPr="005035C2" w:rsidRDefault="00DE5A63" w:rsidP="00F80076">
            <w:pPr>
              <w:rPr>
                <w:b/>
              </w:rPr>
            </w:pPr>
            <w:r w:rsidRPr="005035C2">
              <w:rPr>
                <w:b/>
              </w:rPr>
              <w:t>Nem gyakori</w:t>
            </w:r>
          </w:p>
          <w:p w14:paraId="740A827F" w14:textId="77777777" w:rsidR="00DE5A63" w:rsidRPr="005035C2" w:rsidRDefault="00DE5A63" w:rsidP="00F80076">
            <w:pPr>
              <w:rPr>
                <w:b/>
              </w:rPr>
            </w:pPr>
          </w:p>
        </w:tc>
        <w:tc>
          <w:tcPr>
            <w:tcW w:w="1560" w:type="dxa"/>
          </w:tcPr>
          <w:p w14:paraId="523D3C32" w14:textId="77777777" w:rsidR="00DE5A63" w:rsidRPr="005035C2" w:rsidRDefault="00DE5A63" w:rsidP="00F80076">
            <w:pPr>
              <w:rPr>
                <w:b/>
              </w:rPr>
            </w:pPr>
            <w:r w:rsidRPr="005035C2">
              <w:rPr>
                <w:b/>
              </w:rPr>
              <w:t>Ritka</w:t>
            </w:r>
          </w:p>
        </w:tc>
        <w:tc>
          <w:tcPr>
            <w:tcW w:w="1417" w:type="dxa"/>
          </w:tcPr>
          <w:p w14:paraId="123B1FF6" w14:textId="77777777" w:rsidR="00DE5A63" w:rsidRPr="005035C2" w:rsidRDefault="00DE5A63" w:rsidP="00F80076">
            <w:pPr>
              <w:rPr>
                <w:b/>
              </w:rPr>
            </w:pPr>
            <w:r w:rsidRPr="005035C2">
              <w:rPr>
                <w:b/>
              </w:rPr>
              <w:t>Nem ismert</w:t>
            </w:r>
          </w:p>
        </w:tc>
      </w:tr>
      <w:tr w:rsidR="00DE5A63" w:rsidRPr="005035C2" w14:paraId="370B48AF" w14:textId="77777777" w:rsidTr="00F80076">
        <w:tc>
          <w:tcPr>
            <w:tcW w:w="1838" w:type="dxa"/>
          </w:tcPr>
          <w:p w14:paraId="6EBD3890" w14:textId="77777777" w:rsidR="00DE5A63" w:rsidRPr="005035C2" w:rsidRDefault="00DE5A63" w:rsidP="00F80076">
            <w:pPr>
              <w:rPr>
                <w:b/>
              </w:rPr>
            </w:pPr>
            <w:r w:rsidRPr="005035C2">
              <w:rPr>
                <w:b/>
              </w:rPr>
              <w:t>Fertőző betegségek és parazitafertőzések</w:t>
            </w:r>
          </w:p>
        </w:tc>
        <w:tc>
          <w:tcPr>
            <w:tcW w:w="1418" w:type="dxa"/>
          </w:tcPr>
          <w:p w14:paraId="6C2FCCAB" w14:textId="77777777" w:rsidR="00DE5A63" w:rsidRPr="005035C2" w:rsidRDefault="00DE5A63" w:rsidP="00F80076"/>
        </w:tc>
        <w:tc>
          <w:tcPr>
            <w:tcW w:w="1559" w:type="dxa"/>
          </w:tcPr>
          <w:p w14:paraId="00CBB822" w14:textId="77777777" w:rsidR="00DE5A63" w:rsidRPr="005035C2" w:rsidRDefault="00DE5A63" w:rsidP="00F80076"/>
        </w:tc>
        <w:tc>
          <w:tcPr>
            <w:tcW w:w="1417" w:type="dxa"/>
          </w:tcPr>
          <w:p w14:paraId="22639525" w14:textId="77777777" w:rsidR="00DE5A63" w:rsidRPr="005035C2" w:rsidRDefault="00DE5A63" w:rsidP="00F80076">
            <w:r w:rsidRPr="005035C2">
              <w:rPr>
                <w:i/>
              </w:rPr>
              <w:t>Candida</w:t>
            </w:r>
            <w:r w:rsidRPr="005035C2">
              <w:t xml:space="preserve"> fertőzés</w:t>
            </w:r>
          </w:p>
          <w:p w14:paraId="615D6709" w14:textId="77777777" w:rsidR="00DE5A63" w:rsidRPr="005035C2" w:rsidRDefault="00DE5A63" w:rsidP="00F80076">
            <w:r w:rsidRPr="005035C2">
              <w:t>Pneumonia</w:t>
            </w:r>
          </w:p>
          <w:p w14:paraId="5746AB42" w14:textId="77777777" w:rsidR="00DE5A63" w:rsidRPr="005035C2" w:rsidRDefault="00DE5A63" w:rsidP="00F80076">
            <w:r w:rsidRPr="005035C2">
              <w:t>Gombás fertőzés</w:t>
            </w:r>
          </w:p>
          <w:p w14:paraId="4D24E32F" w14:textId="77777777" w:rsidR="00DE5A63" w:rsidRPr="005035C2" w:rsidRDefault="00DE5A63" w:rsidP="00F80076">
            <w:r w:rsidRPr="005035C2">
              <w:t>Bakteriális fertőzés</w:t>
            </w:r>
          </w:p>
          <w:p w14:paraId="1B2C649C" w14:textId="77777777" w:rsidR="00DE5A63" w:rsidRPr="005035C2" w:rsidRDefault="00DE5A63" w:rsidP="00F80076">
            <w:r w:rsidRPr="005035C2">
              <w:t>Vaginalis fertőzés</w:t>
            </w:r>
          </w:p>
          <w:p w14:paraId="111C62AE" w14:textId="77777777" w:rsidR="00DE5A63" w:rsidRPr="005035C2" w:rsidRDefault="00DE5A63" w:rsidP="00F80076">
            <w:r w:rsidRPr="005035C2">
              <w:t>Pharyngitis</w:t>
            </w:r>
          </w:p>
          <w:p w14:paraId="090274EC" w14:textId="77777777" w:rsidR="00DE5A63" w:rsidRPr="005035C2" w:rsidRDefault="00DE5A63" w:rsidP="00F80076">
            <w:r w:rsidRPr="005035C2">
              <w:t>Gastroenteritis</w:t>
            </w:r>
          </w:p>
          <w:p w14:paraId="3E4C2EB1" w14:textId="77777777" w:rsidR="00DE5A63" w:rsidRPr="005035C2" w:rsidRDefault="00DE5A63" w:rsidP="00F80076">
            <w:r w:rsidRPr="005035C2">
              <w:t>Rhinitis</w:t>
            </w:r>
          </w:p>
          <w:p w14:paraId="0BA8158B" w14:textId="77777777" w:rsidR="00DE5A63" w:rsidRPr="005035C2" w:rsidRDefault="00DE5A63" w:rsidP="00F80076">
            <w:r w:rsidRPr="005035C2">
              <w:t>Oralis candidiasis</w:t>
            </w:r>
          </w:p>
        </w:tc>
        <w:tc>
          <w:tcPr>
            <w:tcW w:w="1560" w:type="dxa"/>
          </w:tcPr>
          <w:p w14:paraId="4A4F35C9" w14:textId="77777777" w:rsidR="00DE5A63" w:rsidRPr="005035C2" w:rsidRDefault="00DE5A63" w:rsidP="00F80076"/>
        </w:tc>
        <w:tc>
          <w:tcPr>
            <w:tcW w:w="1417" w:type="dxa"/>
          </w:tcPr>
          <w:p w14:paraId="5BCF3403" w14:textId="77777777" w:rsidR="00DE5A63" w:rsidRPr="005035C2" w:rsidRDefault="00DE5A63" w:rsidP="00F80076"/>
        </w:tc>
      </w:tr>
      <w:tr w:rsidR="00DE5A63" w:rsidRPr="005035C2" w14:paraId="0D45D928" w14:textId="77777777" w:rsidTr="00F80076">
        <w:tc>
          <w:tcPr>
            <w:tcW w:w="1838" w:type="dxa"/>
          </w:tcPr>
          <w:p w14:paraId="46F02323" w14:textId="77777777" w:rsidR="00DE5A63" w:rsidRPr="005035C2" w:rsidRDefault="00DE5A63" w:rsidP="00F80076">
            <w:pPr>
              <w:rPr>
                <w:b/>
              </w:rPr>
            </w:pPr>
            <w:r w:rsidRPr="005035C2">
              <w:rPr>
                <w:b/>
              </w:rPr>
              <w:t>Vérképzőszervi és nyirokrendszeri betegségek és tünetek</w:t>
            </w:r>
          </w:p>
        </w:tc>
        <w:tc>
          <w:tcPr>
            <w:tcW w:w="1418" w:type="dxa"/>
          </w:tcPr>
          <w:p w14:paraId="0580CD16" w14:textId="77777777" w:rsidR="00DE5A63" w:rsidRPr="005035C2" w:rsidRDefault="00DE5A63" w:rsidP="00F80076"/>
        </w:tc>
        <w:tc>
          <w:tcPr>
            <w:tcW w:w="1559" w:type="dxa"/>
          </w:tcPr>
          <w:p w14:paraId="39487087" w14:textId="7EED48A6" w:rsidR="00DE5A63" w:rsidRPr="005035C2" w:rsidRDefault="00DE5A63" w:rsidP="00F80076">
            <w:r w:rsidRPr="005035C2">
              <w:t>Csökkent lymphocytaszám</w:t>
            </w:r>
          </w:p>
          <w:p w14:paraId="2B11B2FA" w14:textId="77777777" w:rsidR="00DE5A63" w:rsidRPr="005035C2" w:rsidRDefault="00DE5A63" w:rsidP="00F80076">
            <w:r w:rsidRPr="005035C2">
              <w:t>Emelkedett eosinophilszám</w:t>
            </w:r>
          </w:p>
          <w:p w14:paraId="610BE2AE" w14:textId="77777777" w:rsidR="00DE5A63" w:rsidRPr="005035C2" w:rsidRDefault="00DE5A63" w:rsidP="00F80076">
            <w:r w:rsidRPr="005035C2">
              <w:t>Emelkedett basophilszám</w:t>
            </w:r>
          </w:p>
          <w:p w14:paraId="20042074" w14:textId="77777777" w:rsidR="00DE5A63" w:rsidRPr="005035C2" w:rsidRDefault="00DE5A63" w:rsidP="00F80076">
            <w:r w:rsidRPr="005035C2">
              <w:t>Emelkedett monocytaszám</w:t>
            </w:r>
          </w:p>
          <w:p w14:paraId="595DC38D" w14:textId="77777777" w:rsidR="00DE5A63" w:rsidRPr="005035C2" w:rsidRDefault="00DE5A63" w:rsidP="00F80076">
            <w:r w:rsidRPr="005035C2">
              <w:lastRenderedPageBreak/>
              <w:t>Emelkedett neutrophilszám</w:t>
            </w:r>
          </w:p>
        </w:tc>
        <w:tc>
          <w:tcPr>
            <w:tcW w:w="1417" w:type="dxa"/>
          </w:tcPr>
          <w:p w14:paraId="7D23E803" w14:textId="77777777" w:rsidR="00DE5A63" w:rsidRPr="005035C2" w:rsidRDefault="00DE5A63" w:rsidP="00F80076">
            <w:r w:rsidRPr="005035C2">
              <w:lastRenderedPageBreak/>
              <w:t>Leukopenia</w:t>
            </w:r>
          </w:p>
          <w:p w14:paraId="6588BB97" w14:textId="77777777" w:rsidR="00DE5A63" w:rsidRPr="005035C2" w:rsidRDefault="00DE5A63" w:rsidP="00F80076">
            <w:r w:rsidRPr="005035C2">
              <w:t>Neutropenia</w:t>
            </w:r>
          </w:p>
          <w:p w14:paraId="49917D7A" w14:textId="77777777" w:rsidR="00DE5A63" w:rsidRPr="005035C2" w:rsidRDefault="00DE5A63" w:rsidP="00F80076">
            <w:r w:rsidRPr="005035C2">
              <w:t>Eosinophilia</w:t>
            </w:r>
          </w:p>
          <w:p w14:paraId="6D878131" w14:textId="77777777" w:rsidR="00DE5A63" w:rsidRPr="005035C2" w:rsidRDefault="00DE5A63" w:rsidP="00F80076"/>
          <w:p w14:paraId="027426C5" w14:textId="77777777" w:rsidR="00DE5A63" w:rsidRPr="005035C2" w:rsidRDefault="00DE5A63" w:rsidP="00F80076"/>
          <w:p w14:paraId="3D0011AF" w14:textId="77777777" w:rsidR="00DE5A63" w:rsidRPr="005035C2" w:rsidRDefault="00DE5A63" w:rsidP="00F80076">
            <w:r w:rsidRPr="005035C2">
              <w:t>Emelkedett thrombocytaszám</w:t>
            </w:r>
          </w:p>
          <w:p w14:paraId="46B3304E" w14:textId="77777777" w:rsidR="00DE5A63" w:rsidRPr="005035C2" w:rsidRDefault="00DE5A63" w:rsidP="00F80076">
            <w:r w:rsidRPr="005035C2">
              <w:t xml:space="preserve">Csökkent </w:t>
            </w:r>
            <w:r w:rsidRPr="005035C2">
              <w:lastRenderedPageBreak/>
              <w:t>hematokrit</w:t>
            </w:r>
          </w:p>
        </w:tc>
        <w:tc>
          <w:tcPr>
            <w:tcW w:w="1560" w:type="dxa"/>
          </w:tcPr>
          <w:p w14:paraId="635106FC" w14:textId="77777777" w:rsidR="00DE5A63" w:rsidRPr="005035C2" w:rsidRDefault="00DE5A63" w:rsidP="00F80076"/>
        </w:tc>
        <w:tc>
          <w:tcPr>
            <w:tcW w:w="1417" w:type="dxa"/>
          </w:tcPr>
          <w:p w14:paraId="3685EBE8" w14:textId="77777777" w:rsidR="00DE5A63" w:rsidRPr="005035C2" w:rsidRDefault="00DE5A63" w:rsidP="00F80076">
            <w:r w:rsidRPr="005035C2">
              <w:t>Thrombocytopenia</w:t>
            </w:r>
          </w:p>
          <w:p w14:paraId="4AB7EE82" w14:textId="77777777" w:rsidR="00DE5A63" w:rsidRPr="005035C2" w:rsidRDefault="00DE5A63" w:rsidP="00F80076">
            <w:r w:rsidRPr="005035C2">
              <w:t>Haemolyticus anaemia</w:t>
            </w:r>
          </w:p>
        </w:tc>
      </w:tr>
      <w:tr w:rsidR="00DE5A63" w:rsidRPr="005035C2" w14:paraId="12F467E4" w14:textId="77777777" w:rsidTr="00F80076">
        <w:tc>
          <w:tcPr>
            <w:tcW w:w="1838" w:type="dxa"/>
          </w:tcPr>
          <w:p w14:paraId="4BA88489" w14:textId="77777777" w:rsidR="00DE5A63" w:rsidRPr="005035C2" w:rsidRDefault="00DE5A63" w:rsidP="00F80076">
            <w:pPr>
              <w:rPr>
                <w:b/>
              </w:rPr>
            </w:pPr>
            <w:r w:rsidRPr="005035C2">
              <w:rPr>
                <w:b/>
              </w:rPr>
              <w:t>Immunrendszeri betegségek és tünetek</w:t>
            </w:r>
          </w:p>
        </w:tc>
        <w:tc>
          <w:tcPr>
            <w:tcW w:w="1418" w:type="dxa"/>
          </w:tcPr>
          <w:p w14:paraId="1AF14DAB" w14:textId="77777777" w:rsidR="00DE5A63" w:rsidRPr="005035C2" w:rsidRDefault="00DE5A63" w:rsidP="00F80076"/>
        </w:tc>
        <w:tc>
          <w:tcPr>
            <w:tcW w:w="1559" w:type="dxa"/>
          </w:tcPr>
          <w:p w14:paraId="363D610E" w14:textId="77777777" w:rsidR="00DE5A63" w:rsidRPr="005035C2" w:rsidRDefault="00DE5A63" w:rsidP="00F80076"/>
        </w:tc>
        <w:tc>
          <w:tcPr>
            <w:tcW w:w="1417" w:type="dxa"/>
          </w:tcPr>
          <w:p w14:paraId="6BC117F2" w14:textId="77777777" w:rsidR="00DE5A63" w:rsidRPr="005035C2" w:rsidRDefault="00DE5A63" w:rsidP="00F80076">
            <w:r w:rsidRPr="005035C2">
              <w:t>Angiooedema</w:t>
            </w:r>
          </w:p>
          <w:p w14:paraId="69C09227" w14:textId="77777777" w:rsidR="00DE5A63" w:rsidRPr="005035C2" w:rsidRDefault="00DE5A63" w:rsidP="00F80076">
            <w:r w:rsidRPr="005035C2">
              <w:t>Túlérzékenység (lásd 4.4 pont).</w:t>
            </w:r>
          </w:p>
        </w:tc>
        <w:tc>
          <w:tcPr>
            <w:tcW w:w="1560" w:type="dxa"/>
          </w:tcPr>
          <w:p w14:paraId="1BB3CA19" w14:textId="77777777" w:rsidR="00DE5A63" w:rsidRPr="005035C2" w:rsidRDefault="00DE5A63" w:rsidP="00F80076"/>
        </w:tc>
        <w:tc>
          <w:tcPr>
            <w:tcW w:w="1417" w:type="dxa"/>
          </w:tcPr>
          <w:p w14:paraId="5B5CD215" w14:textId="77777777" w:rsidR="00DE5A63" w:rsidRPr="005035C2" w:rsidRDefault="00DE5A63" w:rsidP="00F80076">
            <w:r w:rsidRPr="005035C2">
              <w:t xml:space="preserve">Anaphylaxiás reakció </w:t>
            </w:r>
          </w:p>
        </w:tc>
      </w:tr>
      <w:tr w:rsidR="00DE5A63" w:rsidRPr="005035C2" w14:paraId="37C8E4EC" w14:textId="77777777" w:rsidTr="00F80076">
        <w:tc>
          <w:tcPr>
            <w:tcW w:w="1838" w:type="dxa"/>
          </w:tcPr>
          <w:p w14:paraId="45425DC2" w14:textId="77777777" w:rsidR="00DE5A63" w:rsidRPr="005035C2" w:rsidRDefault="00DE5A63" w:rsidP="00F80076">
            <w:pPr>
              <w:rPr>
                <w:b/>
              </w:rPr>
            </w:pPr>
            <w:r w:rsidRPr="005035C2">
              <w:rPr>
                <w:b/>
              </w:rPr>
              <w:t>Anyagcsere- és táplálkozási betegségek és tünetek</w:t>
            </w:r>
          </w:p>
        </w:tc>
        <w:tc>
          <w:tcPr>
            <w:tcW w:w="1418" w:type="dxa"/>
          </w:tcPr>
          <w:p w14:paraId="1E13C3B4" w14:textId="77777777" w:rsidR="00DE5A63" w:rsidRPr="005035C2" w:rsidRDefault="00DE5A63" w:rsidP="00F80076"/>
        </w:tc>
        <w:tc>
          <w:tcPr>
            <w:tcW w:w="1559" w:type="dxa"/>
          </w:tcPr>
          <w:p w14:paraId="77479D44" w14:textId="77777777" w:rsidR="00DE5A63" w:rsidRPr="005035C2" w:rsidRDefault="00DE5A63" w:rsidP="00F80076"/>
        </w:tc>
        <w:tc>
          <w:tcPr>
            <w:tcW w:w="1417" w:type="dxa"/>
          </w:tcPr>
          <w:p w14:paraId="1169217B" w14:textId="1D5E0970" w:rsidR="00DE5A63" w:rsidRPr="005035C2" w:rsidRDefault="00DE5A63" w:rsidP="00F80076">
            <w:r w:rsidRPr="005035C2">
              <w:t>Csökkent étvágy</w:t>
            </w:r>
          </w:p>
        </w:tc>
        <w:tc>
          <w:tcPr>
            <w:tcW w:w="1560" w:type="dxa"/>
          </w:tcPr>
          <w:p w14:paraId="09363531" w14:textId="77777777" w:rsidR="00DE5A63" w:rsidRPr="005035C2" w:rsidRDefault="00DE5A63" w:rsidP="00F80076"/>
        </w:tc>
        <w:tc>
          <w:tcPr>
            <w:tcW w:w="1417" w:type="dxa"/>
          </w:tcPr>
          <w:p w14:paraId="7FA3538A" w14:textId="77777777" w:rsidR="00DE5A63" w:rsidRPr="005035C2" w:rsidRDefault="00DE5A63" w:rsidP="00F80076"/>
        </w:tc>
      </w:tr>
      <w:tr w:rsidR="00DE5A63" w:rsidRPr="005035C2" w14:paraId="225365FC" w14:textId="77777777" w:rsidTr="00F80076">
        <w:tc>
          <w:tcPr>
            <w:tcW w:w="1838" w:type="dxa"/>
          </w:tcPr>
          <w:p w14:paraId="3102FB17" w14:textId="77777777" w:rsidR="00DE5A63" w:rsidRPr="005035C2" w:rsidRDefault="00DE5A63" w:rsidP="00F80076">
            <w:pPr>
              <w:rPr>
                <w:b/>
              </w:rPr>
            </w:pPr>
            <w:r w:rsidRPr="005035C2">
              <w:rPr>
                <w:b/>
              </w:rPr>
              <w:t>Pszichiátriai kórképek</w:t>
            </w:r>
          </w:p>
        </w:tc>
        <w:tc>
          <w:tcPr>
            <w:tcW w:w="1418" w:type="dxa"/>
          </w:tcPr>
          <w:p w14:paraId="5A677486" w14:textId="77777777" w:rsidR="00DE5A63" w:rsidRPr="005035C2" w:rsidRDefault="00DE5A63" w:rsidP="00F80076"/>
        </w:tc>
        <w:tc>
          <w:tcPr>
            <w:tcW w:w="1559" w:type="dxa"/>
          </w:tcPr>
          <w:p w14:paraId="4DEE2A58" w14:textId="77777777" w:rsidR="00DE5A63" w:rsidRPr="005035C2" w:rsidRDefault="00DE5A63" w:rsidP="00F80076"/>
        </w:tc>
        <w:tc>
          <w:tcPr>
            <w:tcW w:w="1417" w:type="dxa"/>
          </w:tcPr>
          <w:p w14:paraId="44DB60DD" w14:textId="77777777" w:rsidR="00DE5A63" w:rsidRPr="005035C2" w:rsidRDefault="00DE5A63" w:rsidP="00F80076">
            <w:r w:rsidRPr="005035C2">
              <w:t>Idegesség</w:t>
            </w:r>
          </w:p>
          <w:p w14:paraId="2F1FD188" w14:textId="77777777" w:rsidR="00DE5A63" w:rsidRPr="005035C2" w:rsidRDefault="00DE5A63" w:rsidP="00F80076">
            <w:r w:rsidRPr="005035C2">
              <w:t>Insomnia</w:t>
            </w:r>
          </w:p>
        </w:tc>
        <w:tc>
          <w:tcPr>
            <w:tcW w:w="1560" w:type="dxa"/>
          </w:tcPr>
          <w:p w14:paraId="72B620AD" w14:textId="77777777" w:rsidR="00DE5A63" w:rsidRPr="005035C2" w:rsidRDefault="00DE5A63" w:rsidP="00F80076">
            <w:r w:rsidRPr="005035C2">
              <w:t>Izgatottság</w:t>
            </w:r>
          </w:p>
        </w:tc>
        <w:tc>
          <w:tcPr>
            <w:tcW w:w="1417" w:type="dxa"/>
          </w:tcPr>
          <w:p w14:paraId="5010779F" w14:textId="77777777" w:rsidR="00DE5A63" w:rsidRPr="005035C2" w:rsidRDefault="00DE5A63" w:rsidP="00F80076">
            <w:r w:rsidRPr="005035C2">
              <w:t>Szorongás</w:t>
            </w:r>
          </w:p>
          <w:p w14:paraId="22C9E275" w14:textId="77777777" w:rsidR="00DE5A63" w:rsidRPr="005035C2" w:rsidRDefault="00DE5A63" w:rsidP="00F80076">
            <w:r w:rsidRPr="005035C2">
              <w:t>Delírium</w:t>
            </w:r>
          </w:p>
          <w:p w14:paraId="36017839" w14:textId="77777777" w:rsidR="00DE5A63" w:rsidRPr="005035C2" w:rsidRDefault="00DE5A63" w:rsidP="00F80076">
            <w:r w:rsidRPr="005035C2">
              <w:t>Hallucináció</w:t>
            </w:r>
          </w:p>
          <w:p w14:paraId="716DF4C0" w14:textId="77777777" w:rsidR="00DE5A63" w:rsidRPr="005035C2" w:rsidRDefault="00DE5A63" w:rsidP="00F80076">
            <w:r w:rsidRPr="005035C2">
              <w:t>Agresszió</w:t>
            </w:r>
          </w:p>
        </w:tc>
      </w:tr>
      <w:tr w:rsidR="00DE5A63" w:rsidRPr="005035C2" w14:paraId="535EB981" w14:textId="77777777" w:rsidTr="00F80076">
        <w:tc>
          <w:tcPr>
            <w:tcW w:w="1838" w:type="dxa"/>
          </w:tcPr>
          <w:p w14:paraId="747C2E50" w14:textId="77777777" w:rsidR="00DE5A63" w:rsidRPr="005035C2" w:rsidRDefault="00DE5A63" w:rsidP="00F80076">
            <w:pPr>
              <w:rPr>
                <w:b/>
              </w:rPr>
            </w:pPr>
            <w:r w:rsidRPr="005035C2">
              <w:rPr>
                <w:b/>
              </w:rPr>
              <w:t>Idegrendszeri betegségek és tünetek</w:t>
            </w:r>
          </w:p>
        </w:tc>
        <w:tc>
          <w:tcPr>
            <w:tcW w:w="1418" w:type="dxa"/>
          </w:tcPr>
          <w:p w14:paraId="5B09B4FD" w14:textId="77777777" w:rsidR="00DE5A63" w:rsidRPr="005035C2" w:rsidRDefault="00DE5A63" w:rsidP="00F80076"/>
        </w:tc>
        <w:tc>
          <w:tcPr>
            <w:tcW w:w="1559" w:type="dxa"/>
          </w:tcPr>
          <w:p w14:paraId="1E71268D" w14:textId="77777777" w:rsidR="00DE5A63" w:rsidRPr="005035C2" w:rsidRDefault="00DE5A63" w:rsidP="00F80076">
            <w:r w:rsidRPr="005035C2">
              <w:t>Fejfájás</w:t>
            </w:r>
          </w:p>
        </w:tc>
        <w:tc>
          <w:tcPr>
            <w:tcW w:w="1417" w:type="dxa"/>
          </w:tcPr>
          <w:p w14:paraId="75E0C47D" w14:textId="3B9CC8CE" w:rsidR="00DE5A63" w:rsidRPr="005035C2" w:rsidRDefault="00DE5A63" w:rsidP="00F80076">
            <w:r w:rsidRPr="005035C2">
              <w:t>Szédülés</w:t>
            </w:r>
          </w:p>
          <w:p w14:paraId="4ADEE45F" w14:textId="08D06CBE" w:rsidR="00DE5A63" w:rsidRPr="005035C2" w:rsidRDefault="00DE5A63" w:rsidP="00F80076">
            <w:r w:rsidRPr="005035C2">
              <w:t>Dysgeusia</w:t>
            </w:r>
          </w:p>
          <w:p w14:paraId="63EBFF2E" w14:textId="3EE869B3" w:rsidR="00DE5A63" w:rsidRPr="005035C2" w:rsidRDefault="00DE5A63" w:rsidP="00F80076">
            <w:r w:rsidRPr="005035C2">
              <w:t>Paraesthesia</w:t>
            </w:r>
          </w:p>
          <w:p w14:paraId="6FA96C69" w14:textId="77777777" w:rsidR="00DE5A63" w:rsidRPr="005035C2" w:rsidRDefault="00DE5A63" w:rsidP="00F80076">
            <w:r w:rsidRPr="005035C2">
              <w:t>Somnolentia</w:t>
            </w:r>
          </w:p>
          <w:p w14:paraId="51B0FD24" w14:textId="77777777" w:rsidR="00DE5A63" w:rsidRPr="005035C2" w:rsidRDefault="00DE5A63" w:rsidP="00F80076"/>
        </w:tc>
        <w:tc>
          <w:tcPr>
            <w:tcW w:w="1560" w:type="dxa"/>
          </w:tcPr>
          <w:p w14:paraId="0DEC37CE" w14:textId="77777777" w:rsidR="00DE5A63" w:rsidRPr="005035C2" w:rsidRDefault="00DE5A63" w:rsidP="00F80076"/>
        </w:tc>
        <w:tc>
          <w:tcPr>
            <w:tcW w:w="1417" w:type="dxa"/>
          </w:tcPr>
          <w:p w14:paraId="3A2598A0" w14:textId="77777777" w:rsidR="00DE5A63" w:rsidRPr="005035C2" w:rsidRDefault="00DE5A63" w:rsidP="00F80076">
            <w:r w:rsidRPr="005035C2">
              <w:t>Myasthenia gravis (lásd 4.4 pont).</w:t>
            </w:r>
          </w:p>
          <w:p w14:paraId="4F5D1435" w14:textId="77777777" w:rsidR="00DE5A63" w:rsidRPr="005035C2" w:rsidRDefault="00DE5A63" w:rsidP="00F80076">
            <w:r w:rsidRPr="005035C2">
              <w:t>Convulsio</w:t>
            </w:r>
          </w:p>
          <w:p w14:paraId="40DD062D" w14:textId="77777777" w:rsidR="00DE5A63" w:rsidRPr="005035C2" w:rsidRDefault="00DE5A63" w:rsidP="00F80076">
            <w:r w:rsidRPr="005035C2">
              <w:t>Anosmia</w:t>
            </w:r>
          </w:p>
          <w:p w14:paraId="7A42CCC7" w14:textId="77777777" w:rsidR="00DE5A63" w:rsidRPr="005035C2" w:rsidRDefault="00DE5A63" w:rsidP="00F80076">
            <w:r w:rsidRPr="005035C2">
              <w:t>Ageusia</w:t>
            </w:r>
          </w:p>
          <w:p w14:paraId="6FB6E5BA" w14:textId="52F41467" w:rsidR="00DE5A63" w:rsidRPr="005035C2" w:rsidRDefault="00DE5A63" w:rsidP="00F80076">
            <w:r w:rsidRPr="005035C2">
              <w:t>Hypaesthesia</w:t>
            </w:r>
          </w:p>
          <w:p w14:paraId="5697FF17" w14:textId="77777777" w:rsidR="00DE5A63" w:rsidRPr="005035C2" w:rsidRDefault="00DE5A63" w:rsidP="00F80076">
            <w:r w:rsidRPr="005035C2">
              <w:t>Pszichomotoros hiperaktivitás</w:t>
            </w:r>
          </w:p>
          <w:p w14:paraId="2021EC33" w14:textId="77777777" w:rsidR="00DE5A63" w:rsidRPr="005035C2" w:rsidRDefault="00DE5A63" w:rsidP="00F80076">
            <w:r w:rsidRPr="005035C2">
              <w:t xml:space="preserve">Parosmia </w:t>
            </w:r>
          </w:p>
          <w:p w14:paraId="506F2802" w14:textId="77777777" w:rsidR="00DE5A63" w:rsidRPr="005035C2" w:rsidRDefault="00DE5A63" w:rsidP="00F80076">
            <w:r w:rsidRPr="005035C2">
              <w:t>Syncope</w:t>
            </w:r>
          </w:p>
        </w:tc>
      </w:tr>
      <w:tr w:rsidR="00DE5A63" w:rsidRPr="005035C2" w14:paraId="1C31883A" w14:textId="77777777" w:rsidTr="00F80076">
        <w:tc>
          <w:tcPr>
            <w:tcW w:w="1838" w:type="dxa"/>
          </w:tcPr>
          <w:p w14:paraId="73FF6F77" w14:textId="77777777" w:rsidR="00DE5A63" w:rsidRPr="005035C2" w:rsidRDefault="00DE5A63" w:rsidP="00F80076">
            <w:pPr>
              <w:rPr>
                <w:b/>
              </w:rPr>
            </w:pPr>
            <w:r w:rsidRPr="005035C2">
              <w:rPr>
                <w:b/>
              </w:rPr>
              <w:t>Szembetegségek és szemészeti tünetek</w:t>
            </w:r>
          </w:p>
        </w:tc>
        <w:tc>
          <w:tcPr>
            <w:tcW w:w="1418" w:type="dxa"/>
          </w:tcPr>
          <w:p w14:paraId="29640DC3" w14:textId="77777777" w:rsidR="00DE5A63" w:rsidRPr="005035C2" w:rsidRDefault="00DE5A63" w:rsidP="00F80076"/>
        </w:tc>
        <w:tc>
          <w:tcPr>
            <w:tcW w:w="1559" w:type="dxa"/>
          </w:tcPr>
          <w:p w14:paraId="7E70AA1C" w14:textId="77777777" w:rsidR="00DE5A63" w:rsidRPr="005035C2" w:rsidRDefault="00DE5A63" w:rsidP="00F80076"/>
        </w:tc>
        <w:tc>
          <w:tcPr>
            <w:tcW w:w="1417" w:type="dxa"/>
          </w:tcPr>
          <w:p w14:paraId="433ADDD2" w14:textId="752BC61A" w:rsidR="00DE5A63" w:rsidRPr="005035C2" w:rsidRDefault="00DE5A63" w:rsidP="00F80076">
            <w:r w:rsidRPr="005035C2">
              <w:t>Látásromlás</w:t>
            </w:r>
          </w:p>
        </w:tc>
        <w:tc>
          <w:tcPr>
            <w:tcW w:w="1560" w:type="dxa"/>
          </w:tcPr>
          <w:p w14:paraId="445C9FA0" w14:textId="77777777" w:rsidR="00DE5A63" w:rsidRPr="005035C2" w:rsidRDefault="00DE5A63" w:rsidP="00F80076"/>
        </w:tc>
        <w:tc>
          <w:tcPr>
            <w:tcW w:w="1417" w:type="dxa"/>
          </w:tcPr>
          <w:p w14:paraId="30648AE7" w14:textId="77777777" w:rsidR="00DE5A63" w:rsidRPr="005035C2" w:rsidRDefault="00DE5A63" w:rsidP="00F80076"/>
        </w:tc>
      </w:tr>
      <w:tr w:rsidR="00DE5A63" w:rsidRPr="005035C2" w14:paraId="6E9568E0" w14:textId="77777777" w:rsidTr="00F80076">
        <w:tc>
          <w:tcPr>
            <w:tcW w:w="1838" w:type="dxa"/>
          </w:tcPr>
          <w:p w14:paraId="3343D769" w14:textId="77777777" w:rsidR="00DE5A63" w:rsidRPr="005035C2" w:rsidRDefault="00DE5A63" w:rsidP="00F80076">
            <w:pPr>
              <w:rPr>
                <w:b/>
              </w:rPr>
            </w:pPr>
            <w:r w:rsidRPr="005035C2">
              <w:rPr>
                <w:b/>
              </w:rPr>
              <w:t>A fül és az egyensúly-érzékelő szerv betegségei és tünetei</w:t>
            </w:r>
          </w:p>
        </w:tc>
        <w:tc>
          <w:tcPr>
            <w:tcW w:w="1418" w:type="dxa"/>
          </w:tcPr>
          <w:p w14:paraId="4CABB5C7" w14:textId="77777777" w:rsidR="00DE5A63" w:rsidRPr="005035C2" w:rsidRDefault="00DE5A63" w:rsidP="00F80076"/>
        </w:tc>
        <w:tc>
          <w:tcPr>
            <w:tcW w:w="1559" w:type="dxa"/>
          </w:tcPr>
          <w:p w14:paraId="72697CF0" w14:textId="77777777" w:rsidR="00DE5A63" w:rsidRPr="005035C2" w:rsidRDefault="00DE5A63" w:rsidP="00F80076"/>
        </w:tc>
        <w:tc>
          <w:tcPr>
            <w:tcW w:w="1417" w:type="dxa"/>
          </w:tcPr>
          <w:p w14:paraId="53EB07BC" w14:textId="77777777" w:rsidR="00DE5A63" w:rsidRPr="005035C2" w:rsidRDefault="00DE5A63" w:rsidP="00F80076">
            <w:r w:rsidRPr="005035C2">
              <w:t>Fülbetegség</w:t>
            </w:r>
          </w:p>
          <w:p w14:paraId="7A949D92" w14:textId="77777777" w:rsidR="00DE5A63" w:rsidRPr="005035C2" w:rsidRDefault="00DE5A63" w:rsidP="00F80076">
            <w:r w:rsidRPr="005035C2">
              <w:t>Vertigo</w:t>
            </w:r>
          </w:p>
        </w:tc>
        <w:tc>
          <w:tcPr>
            <w:tcW w:w="1560" w:type="dxa"/>
          </w:tcPr>
          <w:p w14:paraId="326DE7EB" w14:textId="77777777" w:rsidR="00DE5A63" w:rsidRPr="005035C2" w:rsidRDefault="00DE5A63" w:rsidP="00F80076"/>
        </w:tc>
        <w:tc>
          <w:tcPr>
            <w:tcW w:w="1417" w:type="dxa"/>
          </w:tcPr>
          <w:p w14:paraId="3D670234" w14:textId="2B5BB7A0" w:rsidR="00DE5A63" w:rsidRPr="005035C2" w:rsidRDefault="00DE5A63" w:rsidP="00F80076">
            <w:r w:rsidRPr="005035C2">
              <w:t>Süketség</w:t>
            </w:r>
          </w:p>
          <w:p w14:paraId="33CC6AF2" w14:textId="78BF9AAB" w:rsidR="00DE5A63" w:rsidRPr="005035C2" w:rsidRDefault="00DE5A63" w:rsidP="00F80076">
            <w:r w:rsidRPr="005035C2">
              <w:t>Hypoacusis</w:t>
            </w:r>
          </w:p>
          <w:p w14:paraId="442F8886" w14:textId="699D777F" w:rsidR="00DE5A63" w:rsidRPr="005035C2" w:rsidRDefault="00DE5A63" w:rsidP="00F80076">
            <w:r w:rsidRPr="005035C2">
              <w:t>Tinnitus</w:t>
            </w:r>
          </w:p>
        </w:tc>
      </w:tr>
      <w:tr w:rsidR="00DE5A63" w:rsidRPr="005035C2" w14:paraId="285EA92C" w14:textId="77777777" w:rsidTr="00F80076">
        <w:tc>
          <w:tcPr>
            <w:tcW w:w="1838" w:type="dxa"/>
          </w:tcPr>
          <w:p w14:paraId="74E53E4D" w14:textId="77777777" w:rsidR="00DE5A63" w:rsidRPr="005035C2" w:rsidRDefault="00DE5A63" w:rsidP="00F80076">
            <w:pPr>
              <w:rPr>
                <w:b/>
              </w:rPr>
            </w:pPr>
            <w:r w:rsidRPr="005035C2">
              <w:rPr>
                <w:b/>
              </w:rPr>
              <w:t>Szívbetegségek és a szívvel kapcsolatos tünetek</w:t>
            </w:r>
          </w:p>
        </w:tc>
        <w:tc>
          <w:tcPr>
            <w:tcW w:w="1418" w:type="dxa"/>
          </w:tcPr>
          <w:p w14:paraId="19940397" w14:textId="77777777" w:rsidR="00DE5A63" w:rsidRPr="005035C2" w:rsidRDefault="00DE5A63" w:rsidP="00F80076"/>
        </w:tc>
        <w:tc>
          <w:tcPr>
            <w:tcW w:w="1559" w:type="dxa"/>
          </w:tcPr>
          <w:p w14:paraId="5E5A75D2" w14:textId="77777777" w:rsidR="00DE5A63" w:rsidRPr="005035C2" w:rsidRDefault="00DE5A63" w:rsidP="00F80076"/>
        </w:tc>
        <w:tc>
          <w:tcPr>
            <w:tcW w:w="1417" w:type="dxa"/>
          </w:tcPr>
          <w:p w14:paraId="4F66DB72" w14:textId="77777777" w:rsidR="00DE5A63" w:rsidRPr="005035C2" w:rsidRDefault="00DE5A63" w:rsidP="00F80076">
            <w:r w:rsidRPr="005035C2">
              <w:t>Palpitatio</w:t>
            </w:r>
          </w:p>
        </w:tc>
        <w:tc>
          <w:tcPr>
            <w:tcW w:w="1560" w:type="dxa"/>
          </w:tcPr>
          <w:p w14:paraId="37FD7C4E" w14:textId="77777777" w:rsidR="00DE5A63" w:rsidRPr="005035C2" w:rsidRDefault="00DE5A63" w:rsidP="00F80076"/>
        </w:tc>
        <w:tc>
          <w:tcPr>
            <w:tcW w:w="1417" w:type="dxa"/>
          </w:tcPr>
          <w:p w14:paraId="129698A7" w14:textId="77777777" w:rsidR="00DE5A63" w:rsidRPr="005035C2" w:rsidRDefault="00DE5A63" w:rsidP="00F80076">
            <w:r w:rsidRPr="005035C2">
              <w:t>Torsades de pointes (lásd 4.4 pont).</w:t>
            </w:r>
          </w:p>
          <w:p w14:paraId="366AE9C1" w14:textId="77777777" w:rsidR="00DE5A63" w:rsidRPr="005035C2" w:rsidRDefault="00DE5A63" w:rsidP="00F80076">
            <w:r w:rsidRPr="005035C2">
              <w:t>Arrhythmia, beleértve a kamrai tachycardiát (lásd 4.4 pont).</w:t>
            </w:r>
          </w:p>
          <w:p w14:paraId="3E965599" w14:textId="77777777" w:rsidR="00DE5A63" w:rsidRPr="005035C2" w:rsidRDefault="00DE5A63" w:rsidP="00F80076">
            <w:r w:rsidRPr="005035C2">
              <w:t>QT-megnyúlás az elektrokardiogramon (lásd 4.4 pont).</w:t>
            </w:r>
          </w:p>
        </w:tc>
      </w:tr>
      <w:tr w:rsidR="00DE5A63" w:rsidRPr="005035C2" w14:paraId="56E2B3FA" w14:textId="77777777" w:rsidTr="00F80076">
        <w:tc>
          <w:tcPr>
            <w:tcW w:w="1838" w:type="dxa"/>
          </w:tcPr>
          <w:p w14:paraId="528CC79D" w14:textId="77777777" w:rsidR="00DE5A63" w:rsidRPr="005035C2" w:rsidRDefault="00DE5A63" w:rsidP="00F80076">
            <w:pPr>
              <w:rPr>
                <w:b/>
              </w:rPr>
            </w:pPr>
            <w:r w:rsidRPr="005035C2">
              <w:rPr>
                <w:b/>
              </w:rPr>
              <w:t>Érbetegségek és tünetek</w:t>
            </w:r>
          </w:p>
        </w:tc>
        <w:tc>
          <w:tcPr>
            <w:tcW w:w="1418" w:type="dxa"/>
          </w:tcPr>
          <w:p w14:paraId="7DD2A893" w14:textId="77777777" w:rsidR="00DE5A63" w:rsidRPr="005035C2" w:rsidRDefault="00DE5A63" w:rsidP="00F80076"/>
        </w:tc>
        <w:tc>
          <w:tcPr>
            <w:tcW w:w="1559" w:type="dxa"/>
          </w:tcPr>
          <w:p w14:paraId="159A07BD" w14:textId="77777777" w:rsidR="00DE5A63" w:rsidRPr="005035C2" w:rsidRDefault="00DE5A63" w:rsidP="00F80076"/>
        </w:tc>
        <w:tc>
          <w:tcPr>
            <w:tcW w:w="1417" w:type="dxa"/>
          </w:tcPr>
          <w:p w14:paraId="5127ACB5" w14:textId="77777777" w:rsidR="00DE5A63" w:rsidRPr="005035C2" w:rsidRDefault="00DE5A63" w:rsidP="00F80076">
            <w:r w:rsidRPr="005035C2">
              <w:t>Hőhullám</w:t>
            </w:r>
          </w:p>
        </w:tc>
        <w:tc>
          <w:tcPr>
            <w:tcW w:w="1560" w:type="dxa"/>
          </w:tcPr>
          <w:p w14:paraId="7A198DCB" w14:textId="77777777" w:rsidR="00DE5A63" w:rsidRPr="005035C2" w:rsidRDefault="00DE5A63" w:rsidP="00F80076"/>
        </w:tc>
        <w:tc>
          <w:tcPr>
            <w:tcW w:w="1417" w:type="dxa"/>
          </w:tcPr>
          <w:p w14:paraId="4161901E" w14:textId="77777777" w:rsidR="00DE5A63" w:rsidRPr="005035C2" w:rsidRDefault="00DE5A63" w:rsidP="00F80076">
            <w:r w:rsidRPr="005035C2">
              <w:t>Hypotensio</w:t>
            </w:r>
          </w:p>
        </w:tc>
      </w:tr>
      <w:tr w:rsidR="00DE5A63" w:rsidRPr="005035C2" w14:paraId="1B4497CB" w14:textId="77777777" w:rsidTr="00F80076">
        <w:tc>
          <w:tcPr>
            <w:tcW w:w="1838" w:type="dxa"/>
          </w:tcPr>
          <w:p w14:paraId="521F58EF" w14:textId="77777777" w:rsidR="00DE5A63" w:rsidRPr="005035C2" w:rsidRDefault="00DE5A63" w:rsidP="00F80076">
            <w:pPr>
              <w:rPr>
                <w:b/>
              </w:rPr>
            </w:pPr>
            <w:r w:rsidRPr="005035C2">
              <w:rPr>
                <w:b/>
              </w:rPr>
              <w:t>Légzőrendszeri, mellkasi és mediastinalis betegségek és tünetek</w:t>
            </w:r>
          </w:p>
        </w:tc>
        <w:tc>
          <w:tcPr>
            <w:tcW w:w="1418" w:type="dxa"/>
          </w:tcPr>
          <w:p w14:paraId="17A39DDF" w14:textId="77777777" w:rsidR="00DE5A63" w:rsidRPr="005035C2" w:rsidRDefault="00DE5A63" w:rsidP="00F80076"/>
        </w:tc>
        <w:tc>
          <w:tcPr>
            <w:tcW w:w="1559" w:type="dxa"/>
          </w:tcPr>
          <w:p w14:paraId="7AEC2DB4" w14:textId="77777777" w:rsidR="00DE5A63" w:rsidRPr="005035C2" w:rsidRDefault="00DE5A63" w:rsidP="00F80076"/>
        </w:tc>
        <w:tc>
          <w:tcPr>
            <w:tcW w:w="1417" w:type="dxa"/>
          </w:tcPr>
          <w:p w14:paraId="51A24D59" w14:textId="77777777" w:rsidR="00DE5A63" w:rsidRPr="005035C2" w:rsidRDefault="00DE5A63" w:rsidP="00F80076">
            <w:r w:rsidRPr="005035C2">
              <w:t>Dyspnoe</w:t>
            </w:r>
          </w:p>
          <w:p w14:paraId="5A7E2C04" w14:textId="77777777" w:rsidR="00DE5A63" w:rsidRPr="005035C2" w:rsidRDefault="00DE5A63" w:rsidP="00F80076">
            <w:r w:rsidRPr="005035C2">
              <w:t>Légzőrendszeri betegségek</w:t>
            </w:r>
          </w:p>
          <w:p w14:paraId="356B89BE" w14:textId="77777777" w:rsidR="00DE5A63" w:rsidRPr="005035C2" w:rsidRDefault="00DE5A63" w:rsidP="00F80076">
            <w:r w:rsidRPr="005035C2">
              <w:t>Epistaxis</w:t>
            </w:r>
          </w:p>
        </w:tc>
        <w:tc>
          <w:tcPr>
            <w:tcW w:w="1560" w:type="dxa"/>
          </w:tcPr>
          <w:p w14:paraId="79901443" w14:textId="77777777" w:rsidR="00DE5A63" w:rsidRPr="005035C2" w:rsidRDefault="00DE5A63" w:rsidP="00F80076"/>
        </w:tc>
        <w:tc>
          <w:tcPr>
            <w:tcW w:w="1417" w:type="dxa"/>
          </w:tcPr>
          <w:p w14:paraId="2766512B" w14:textId="77777777" w:rsidR="00DE5A63" w:rsidRPr="005035C2" w:rsidRDefault="00DE5A63" w:rsidP="00F80076"/>
        </w:tc>
      </w:tr>
      <w:tr w:rsidR="00DE5A63" w:rsidRPr="005035C2" w14:paraId="185C9050" w14:textId="77777777" w:rsidTr="00F80076">
        <w:tc>
          <w:tcPr>
            <w:tcW w:w="1838" w:type="dxa"/>
          </w:tcPr>
          <w:p w14:paraId="318010ED" w14:textId="77777777" w:rsidR="00DE5A63" w:rsidRPr="005035C2" w:rsidRDefault="00DE5A63" w:rsidP="00F80076">
            <w:pPr>
              <w:rPr>
                <w:b/>
              </w:rPr>
            </w:pPr>
            <w:r w:rsidRPr="005035C2">
              <w:rPr>
                <w:b/>
              </w:rPr>
              <w:t>Emésztőrendszeri betegségek és tünetek</w:t>
            </w:r>
          </w:p>
        </w:tc>
        <w:tc>
          <w:tcPr>
            <w:tcW w:w="1418" w:type="dxa"/>
          </w:tcPr>
          <w:p w14:paraId="01EA6D81" w14:textId="06263FD6" w:rsidR="00DE5A63" w:rsidRPr="005035C2" w:rsidRDefault="00DE5A63" w:rsidP="006C5CB4">
            <w:r w:rsidRPr="005035C2">
              <w:t>Hasmenés</w:t>
            </w:r>
          </w:p>
        </w:tc>
        <w:tc>
          <w:tcPr>
            <w:tcW w:w="1559" w:type="dxa"/>
          </w:tcPr>
          <w:p w14:paraId="19779428" w14:textId="77777777" w:rsidR="00DE5A63" w:rsidRPr="005035C2" w:rsidRDefault="00DE5A63" w:rsidP="00F80076">
            <w:r w:rsidRPr="005035C2">
              <w:t>Hányás</w:t>
            </w:r>
          </w:p>
          <w:p w14:paraId="1B7B6F0B" w14:textId="7249CB36" w:rsidR="00DE5A63" w:rsidRPr="005035C2" w:rsidRDefault="00DE5A63" w:rsidP="00F80076">
            <w:r w:rsidRPr="005035C2">
              <w:t>Hasi fájdalom</w:t>
            </w:r>
          </w:p>
          <w:p w14:paraId="695FBF6D" w14:textId="1405C058" w:rsidR="00DE5A63" w:rsidRPr="005035C2" w:rsidRDefault="00DE5A63" w:rsidP="00F80076">
            <w:r w:rsidRPr="005035C2">
              <w:t>Hányinger</w:t>
            </w:r>
          </w:p>
        </w:tc>
        <w:tc>
          <w:tcPr>
            <w:tcW w:w="1417" w:type="dxa"/>
          </w:tcPr>
          <w:p w14:paraId="193FAEEA" w14:textId="77777777" w:rsidR="00DE5A63" w:rsidRPr="005035C2" w:rsidRDefault="00DE5A63" w:rsidP="00F80076">
            <w:r w:rsidRPr="005035C2">
              <w:t>Gastritis</w:t>
            </w:r>
          </w:p>
          <w:p w14:paraId="3B25F337" w14:textId="77777777" w:rsidR="00DE5A63" w:rsidRPr="005035C2" w:rsidRDefault="00DE5A63" w:rsidP="00F80076">
            <w:r w:rsidRPr="005035C2">
              <w:t>Székrekedés</w:t>
            </w:r>
          </w:p>
          <w:p w14:paraId="39F06544" w14:textId="77777777" w:rsidR="00DE5A63" w:rsidRPr="005035C2" w:rsidRDefault="00DE5A63" w:rsidP="00F80076">
            <w:r w:rsidRPr="005035C2">
              <w:t>Dyspepsia</w:t>
            </w:r>
          </w:p>
          <w:p w14:paraId="5669A4D6" w14:textId="77777777" w:rsidR="00DE5A63" w:rsidRPr="005035C2" w:rsidRDefault="00DE5A63" w:rsidP="00F80076">
            <w:r w:rsidRPr="005035C2">
              <w:t>Dysphagia</w:t>
            </w:r>
          </w:p>
          <w:p w14:paraId="2DE59C5B" w14:textId="77777777" w:rsidR="00DE5A63" w:rsidRPr="005035C2" w:rsidRDefault="00DE5A63" w:rsidP="00F80076">
            <w:r w:rsidRPr="005035C2">
              <w:t>Abdominalis distensio</w:t>
            </w:r>
          </w:p>
          <w:p w14:paraId="5CAC1723" w14:textId="77777777" w:rsidR="00DE5A63" w:rsidRPr="005035C2" w:rsidRDefault="00DE5A63" w:rsidP="00F80076">
            <w:r w:rsidRPr="005035C2">
              <w:t>Szájszárazság</w:t>
            </w:r>
          </w:p>
          <w:p w14:paraId="51008FE0" w14:textId="77777777" w:rsidR="00DE5A63" w:rsidRPr="005035C2" w:rsidRDefault="00DE5A63" w:rsidP="00F80076">
            <w:r w:rsidRPr="005035C2">
              <w:t>Szájüregi fekély</w:t>
            </w:r>
          </w:p>
          <w:p w14:paraId="1D9C6F60" w14:textId="77777777" w:rsidR="00DE5A63" w:rsidRPr="005035C2" w:rsidRDefault="00DE5A63" w:rsidP="00F80076">
            <w:r w:rsidRPr="005035C2">
              <w:lastRenderedPageBreak/>
              <w:t>Fokozott nyálelválasztás</w:t>
            </w:r>
          </w:p>
          <w:p w14:paraId="1569780A" w14:textId="77777777" w:rsidR="00DE5A63" w:rsidRPr="005035C2" w:rsidRDefault="00DE5A63" w:rsidP="00F80076">
            <w:r w:rsidRPr="005035C2">
              <w:t>Eructatio</w:t>
            </w:r>
          </w:p>
          <w:p w14:paraId="0A2EDA06" w14:textId="3BB0AED6" w:rsidR="00DE5A63" w:rsidRPr="005035C2" w:rsidRDefault="00DE5A63" w:rsidP="00F80076">
            <w:r w:rsidRPr="005035C2">
              <w:t>Flatulentia</w:t>
            </w:r>
          </w:p>
        </w:tc>
        <w:tc>
          <w:tcPr>
            <w:tcW w:w="1560" w:type="dxa"/>
          </w:tcPr>
          <w:p w14:paraId="426EC91C" w14:textId="77777777" w:rsidR="00DE5A63" w:rsidRPr="005035C2" w:rsidRDefault="00DE5A63" w:rsidP="00F80076"/>
        </w:tc>
        <w:tc>
          <w:tcPr>
            <w:tcW w:w="1417" w:type="dxa"/>
          </w:tcPr>
          <w:p w14:paraId="2F26021A" w14:textId="77777777" w:rsidR="00DE5A63" w:rsidRPr="005035C2" w:rsidRDefault="00DE5A63" w:rsidP="00F80076">
            <w:r w:rsidRPr="005035C2">
              <w:t>Pancreatitis</w:t>
            </w:r>
          </w:p>
          <w:p w14:paraId="602B6B7F" w14:textId="77777777" w:rsidR="00DE5A63" w:rsidRPr="005035C2" w:rsidRDefault="00DE5A63" w:rsidP="00F80076">
            <w:r w:rsidRPr="005035C2">
              <w:t>Pseudomembranous colitis (lásd 4.4 pont)</w:t>
            </w:r>
          </w:p>
          <w:p w14:paraId="7CC7CEFC" w14:textId="77777777" w:rsidR="00DE5A63" w:rsidRPr="005035C2" w:rsidRDefault="00DE5A63" w:rsidP="00F80076">
            <w:r w:rsidRPr="005035C2">
              <w:t>Nyelv elszíneződése</w:t>
            </w:r>
          </w:p>
        </w:tc>
      </w:tr>
      <w:tr w:rsidR="00DE5A63" w:rsidRPr="005035C2" w14:paraId="51E73500" w14:textId="77777777" w:rsidTr="00F80076">
        <w:tc>
          <w:tcPr>
            <w:tcW w:w="1838" w:type="dxa"/>
          </w:tcPr>
          <w:p w14:paraId="3218FCCB" w14:textId="77777777" w:rsidR="00DE5A63" w:rsidRPr="005035C2" w:rsidRDefault="00DE5A63" w:rsidP="00F80076">
            <w:pPr>
              <w:rPr>
                <w:b/>
              </w:rPr>
            </w:pPr>
            <w:r w:rsidRPr="005035C2">
              <w:rPr>
                <w:b/>
              </w:rPr>
              <w:t>Máj- és epebetegségek, illetve tünetek</w:t>
            </w:r>
          </w:p>
        </w:tc>
        <w:tc>
          <w:tcPr>
            <w:tcW w:w="1418" w:type="dxa"/>
          </w:tcPr>
          <w:p w14:paraId="03A6C646" w14:textId="77777777" w:rsidR="00DE5A63" w:rsidRPr="005035C2" w:rsidRDefault="00DE5A63" w:rsidP="00F80076"/>
        </w:tc>
        <w:tc>
          <w:tcPr>
            <w:tcW w:w="1559" w:type="dxa"/>
          </w:tcPr>
          <w:p w14:paraId="30112CB2" w14:textId="77777777" w:rsidR="00DE5A63" w:rsidRPr="005035C2" w:rsidRDefault="00DE5A63" w:rsidP="00F80076"/>
        </w:tc>
        <w:tc>
          <w:tcPr>
            <w:tcW w:w="1417" w:type="dxa"/>
          </w:tcPr>
          <w:p w14:paraId="10CB34EA" w14:textId="77777777" w:rsidR="00DE5A63" w:rsidRPr="005035C2" w:rsidRDefault="00DE5A63" w:rsidP="00F80076">
            <w:r w:rsidRPr="005035C2">
              <w:t>Emelkedett glutamát-oxálacetát-transzamináz-szint</w:t>
            </w:r>
          </w:p>
          <w:p w14:paraId="5EB9BB70" w14:textId="77777777" w:rsidR="00DE5A63" w:rsidRPr="005035C2" w:rsidRDefault="00DE5A63" w:rsidP="00F80076">
            <w:r w:rsidRPr="005035C2">
              <w:t>Emelkedett glutamát-piruvát-transzamináz-szint</w:t>
            </w:r>
          </w:p>
          <w:p w14:paraId="1658AE01" w14:textId="77777777" w:rsidR="00DE5A63" w:rsidRPr="005035C2" w:rsidRDefault="00DE5A63" w:rsidP="00F80076">
            <w:r w:rsidRPr="005035C2">
              <w:t>Emelkedett bilirubinszint a vérben</w:t>
            </w:r>
          </w:p>
          <w:p w14:paraId="63180892" w14:textId="77777777" w:rsidR="00DE5A63" w:rsidRPr="005035C2" w:rsidRDefault="00DE5A63" w:rsidP="00F80076">
            <w:r w:rsidRPr="005035C2">
              <w:t>Emelkedett alkalikusfoszfatáz-szint a vérben</w:t>
            </w:r>
          </w:p>
        </w:tc>
        <w:tc>
          <w:tcPr>
            <w:tcW w:w="1560" w:type="dxa"/>
          </w:tcPr>
          <w:p w14:paraId="2C0DA953" w14:textId="77777777" w:rsidR="00DE5A63" w:rsidRPr="005035C2" w:rsidRDefault="00DE5A63" w:rsidP="00F80076">
            <w:r w:rsidRPr="005035C2">
              <w:t>Kóros májműködés</w:t>
            </w:r>
          </w:p>
          <w:p w14:paraId="2325984A" w14:textId="77777777" w:rsidR="00DE5A63" w:rsidRPr="005035C2" w:rsidRDefault="00DE5A63" w:rsidP="00F80076">
            <w:r w:rsidRPr="005035C2">
              <w:t>Cholestaticus icterus</w:t>
            </w:r>
          </w:p>
        </w:tc>
        <w:tc>
          <w:tcPr>
            <w:tcW w:w="1417" w:type="dxa"/>
          </w:tcPr>
          <w:p w14:paraId="74501F21" w14:textId="77777777" w:rsidR="00DE5A63" w:rsidRPr="005035C2" w:rsidRDefault="00DE5A63" w:rsidP="00F80076">
            <w:r w:rsidRPr="005035C2">
              <w:t>Májelégtelenség (lásd 4.4 pont).</w:t>
            </w:r>
          </w:p>
          <w:p w14:paraId="40C7236F" w14:textId="77777777" w:rsidR="00DE5A63" w:rsidRPr="005035C2" w:rsidRDefault="00DE5A63" w:rsidP="00F80076">
            <w:r w:rsidRPr="005035C2">
              <w:t>Fulmináns hepatitis</w:t>
            </w:r>
          </w:p>
          <w:p w14:paraId="32A72946" w14:textId="77777777" w:rsidR="00DE5A63" w:rsidRPr="005035C2" w:rsidRDefault="00DE5A63" w:rsidP="00F80076">
            <w:r w:rsidRPr="005035C2">
              <w:t>Májnekrózis</w:t>
            </w:r>
          </w:p>
        </w:tc>
      </w:tr>
      <w:tr w:rsidR="00DE5A63" w:rsidRPr="005035C2" w14:paraId="1613F3EA" w14:textId="77777777" w:rsidTr="00F80076">
        <w:tc>
          <w:tcPr>
            <w:tcW w:w="1838" w:type="dxa"/>
          </w:tcPr>
          <w:p w14:paraId="2DE92149" w14:textId="77777777" w:rsidR="00DE5A63" w:rsidRPr="005035C2" w:rsidRDefault="00DE5A63" w:rsidP="00F80076">
            <w:pPr>
              <w:rPr>
                <w:b/>
              </w:rPr>
            </w:pPr>
            <w:r w:rsidRPr="005035C2">
              <w:rPr>
                <w:b/>
              </w:rPr>
              <w:t>A bőr és a bőr alatti szövet betegségei és tünetei</w:t>
            </w:r>
          </w:p>
        </w:tc>
        <w:tc>
          <w:tcPr>
            <w:tcW w:w="1418" w:type="dxa"/>
          </w:tcPr>
          <w:p w14:paraId="63AEB0A7" w14:textId="77777777" w:rsidR="00DE5A63" w:rsidRPr="005035C2" w:rsidRDefault="00DE5A63" w:rsidP="00F80076"/>
        </w:tc>
        <w:tc>
          <w:tcPr>
            <w:tcW w:w="1559" w:type="dxa"/>
          </w:tcPr>
          <w:p w14:paraId="3FBBED48" w14:textId="77777777" w:rsidR="00DE5A63" w:rsidRPr="005035C2" w:rsidRDefault="00DE5A63" w:rsidP="00F80076"/>
        </w:tc>
        <w:tc>
          <w:tcPr>
            <w:tcW w:w="1417" w:type="dxa"/>
          </w:tcPr>
          <w:p w14:paraId="278AAB3D" w14:textId="78A0496B" w:rsidR="00DE5A63" w:rsidRPr="005035C2" w:rsidRDefault="00DE5A63" w:rsidP="00F80076">
            <w:r w:rsidRPr="005035C2">
              <w:t>Bőrkiütés</w:t>
            </w:r>
          </w:p>
          <w:p w14:paraId="0DD812F6" w14:textId="382D74F9" w:rsidR="00DE5A63" w:rsidRPr="005035C2" w:rsidRDefault="00DE5A63" w:rsidP="00F80076">
            <w:r w:rsidRPr="005035C2">
              <w:t>Pruritus</w:t>
            </w:r>
          </w:p>
          <w:p w14:paraId="355C2C01" w14:textId="77777777" w:rsidR="00DE5A63" w:rsidRPr="005035C2" w:rsidRDefault="00DE5A63" w:rsidP="00F80076">
            <w:r w:rsidRPr="005035C2">
              <w:t>Urticaria</w:t>
            </w:r>
          </w:p>
          <w:p w14:paraId="2C10E487" w14:textId="77777777" w:rsidR="00DE5A63" w:rsidRPr="005035C2" w:rsidRDefault="00DE5A63" w:rsidP="00F80076">
            <w:r w:rsidRPr="005035C2">
              <w:t>Dermatitis</w:t>
            </w:r>
          </w:p>
          <w:p w14:paraId="1F1BD16F" w14:textId="77777777" w:rsidR="00DE5A63" w:rsidRPr="005035C2" w:rsidRDefault="00DE5A63" w:rsidP="00F80076">
            <w:r w:rsidRPr="005035C2">
              <w:t>Bőrszárazság</w:t>
            </w:r>
          </w:p>
          <w:p w14:paraId="093E4042" w14:textId="77777777" w:rsidR="00DE5A63" w:rsidRPr="005035C2" w:rsidRDefault="00DE5A63" w:rsidP="00F80076">
            <w:r w:rsidRPr="005035C2">
              <w:t>Hyperhidrosis</w:t>
            </w:r>
          </w:p>
        </w:tc>
        <w:tc>
          <w:tcPr>
            <w:tcW w:w="1560" w:type="dxa"/>
          </w:tcPr>
          <w:p w14:paraId="3433C88B" w14:textId="77777777" w:rsidR="00DE5A63" w:rsidRPr="005035C2" w:rsidRDefault="00DE5A63" w:rsidP="00F80076">
            <w:r w:rsidRPr="005035C2">
              <w:t xml:space="preserve">Akut generalizált exanthemás pustulosis (AGEP) </w:t>
            </w:r>
          </w:p>
          <w:p w14:paraId="41A1488C" w14:textId="77777777" w:rsidR="00DE5A63" w:rsidRPr="005035C2" w:rsidRDefault="00DE5A63" w:rsidP="00F80076">
            <w:r w:rsidRPr="005035C2">
              <w:t>Eosinophiliával és szisztémás tünetekkel járó gyógyszerreakció (DRESS)</w:t>
            </w:r>
          </w:p>
          <w:p w14:paraId="63690AB5" w14:textId="58FE3A32" w:rsidR="00DE5A63" w:rsidRPr="005035C2" w:rsidRDefault="00DE5A63" w:rsidP="00F80076">
            <w:r w:rsidRPr="005035C2">
              <w:t>Fényérzékenységi reakció</w:t>
            </w:r>
          </w:p>
        </w:tc>
        <w:tc>
          <w:tcPr>
            <w:tcW w:w="1417" w:type="dxa"/>
          </w:tcPr>
          <w:p w14:paraId="4FCCB884" w14:textId="77777777" w:rsidR="00DE5A63" w:rsidRPr="005035C2" w:rsidRDefault="00DE5A63" w:rsidP="00F80076">
            <w:r w:rsidRPr="005035C2">
              <w:t>Toxicus epidermalis necrolysis</w:t>
            </w:r>
          </w:p>
          <w:p w14:paraId="7BCF75F8" w14:textId="2C0B820E" w:rsidR="00DE5A63" w:rsidRPr="005035C2" w:rsidRDefault="00DE5A63" w:rsidP="00F80076">
            <w:r w:rsidRPr="005035C2">
              <w:t>Stevens–Johnson-szindróma</w:t>
            </w:r>
          </w:p>
          <w:p w14:paraId="60ED9903" w14:textId="77777777" w:rsidR="00DE5A63" w:rsidRPr="005035C2" w:rsidRDefault="00DE5A63" w:rsidP="00F80076">
            <w:r w:rsidRPr="005035C2">
              <w:t>Erythema multiforme</w:t>
            </w:r>
          </w:p>
        </w:tc>
      </w:tr>
      <w:tr w:rsidR="00DE5A63" w:rsidRPr="005035C2" w14:paraId="51B350ED" w14:textId="77777777" w:rsidTr="00F80076">
        <w:tc>
          <w:tcPr>
            <w:tcW w:w="1838" w:type="dxa"/>
          </w:tcPr>
          <w:p w14:paraId="16811A19" w14:textId="77777777" w:rsidR="00DE5A63" w:rsidRPr="005035C2" w:rsidRDefault="00DE5A63" w:rsidP="00F80076">
            <w:pPr>
              <w:rPr>
                <w:b/>
              </w:rPr>
            </w:pPr>
            <w:r w:rsidRPr="005035C2">
              <w:rPr>
                <w:b/>
              </w:rPr>
              <w:t>A csont- és izomrendszer, valamint a kötőszövet betegségei és tünetei</w:t>
            </w:r>
          </w:p>
        </w:tc>
        <w:tc>
          <w:tcPr>
            <w:tcW w:w="1418" w:type="dxa"/>
          </w:tcPr>
          <w:p w14:paraId="71D2EC7F" w14:textId="77777777" w:rsidR="00DE5A63" w:rsidRPr="005035C2" w:rsidRDefault="00DE5A63" w:rsidP="00F80076"/>
        </w:tc>
        <w:tc>
          <w:tcPr>
            <w:tcW w:w="1559" w:type="dxa"/>
          </w:tcPr>
          <w:p w14:paraId="43C7C5EA" w14:textId="77777777" w:rsidR="00DE5A63" w:rsidRPr="005035C2" w:rsidRDefault="00DE5A63" w:rsidP="00F80076"/>
        </w:tc>
        <w:tc>
          <w:tcPr>
            <w:tcW w:w="1417" w:type="dxa"/>
          </w:tcPr>
          <w:p w14:paraId="62006C8F" w14:textId="77777777" w:rsidR="00DE5A63" w:rsidRPr="005035C2" w:rsidRDefault="00DE5A63" w:rsidP="00F80076">
            <w:r w:rsidRPr="005035C2">
              <w:t>Osteoarthritis</w:t>
            </w:r>
          </w:p>
          <w:p w14:paraId="45519FE3" w14:textId="77777777" w:rsidR="00DE5A63" w:rsidRPr="005035C2" w:rsidRDefault="00DE5A63" w:rsidP="00F80076">
            <w:r w:rsidRPr="005035C2">
              <w:t>Myalgia</w:t>
            </w:r>
          </w:p>
          <w:p w14:paraId="676F9D8E" w14:textId="77777777" w:rsidR="00DE5A63" w:rsidRPr="005035C2" w:rsidRDefault="00DE5A63" w:rsidP="00F80076">
            <w:r w:rsidRPr="005035C2">
              <w:t>Hátfájdalom</w:t>
            </w:r>
          </w:p>
          <w:p w14:paraId="3FFC4579" w14:textId="77777777" w:rsidR="00DE5A63" w:rsidRPr="005035C2" w:rsidRDefault="00DE5A63" w:rsidP="00F80076">
            <w:r w:rsidRPr="005035C2">
              <w:t>Nyakfájdalom</w:t>
            </w:r>
          </w:p>
        </w:tc>
        <w:tc>
          <w:tcPr>
            <w:tcW w:w="1560" w:type="dxa"/>
          </w:tcPr>
          <w:p w14:paraId="4C021A95" w14:textId="77777777" w:rsidR="00DE5A63" w:rsidRPr="005035C2" w:rsidRDefault="00DE5A63" w:rsidP="00F80076"/>
        </w:tc>
        <w:tc>
          <w:tcPr>
            <w:tcW w:w="1417" w:type="dxa"/>
          </w:tcPr>
          <w:p w14:paraId="07C2A7FD" w14:textId="42ED4BE6" w:rsidR="00DE5A63" w:rsidRPr="005035C2" w:rsidRDefault="00DE5A63" w:rsidP="00F80076">
            <w:r w:rsidRPr="005035C2">
              <w:t>Arthralgia</w:t>
            </w:r>
          </w:p>
        </w:tc>
      </w:tr>
      <w:tr w:rsidR="00DE5A63" w:rsidRPr="005035C2" w14:paraId="09BE28E8" w14:textId="77777777" w:rsidTr="00F80076">
        <w:tc>
          <w:tcPr>
            <w:tcW w:w="1838" w:type="dxa"/>
          </w:tcPr>
          <w:p w14:paraId="673480E4" w14:textId="77777777" w:rsidR="00DE5A63" w:rsidRPr="005035C2" w:rsidRDefault="00DE5A63" w:rsidP="00F80076">
            <w:pPr>
              <w:rPr>
                <w:b/>
              </w:rPr>
            </w:pPr>
            <w:r w:rsidRPr="005035C2">
              <w:rPr>
                <w:b/>
              </w:rPr>
              <w:t>Vese- és húgyúti betegségek és tünetek</w:t>
            </w:r>
          </w:p>
        </w:tc>
        <w:tc>
          <w:tcPr>
            <w:tcW w:w="1418" w:type="dxa"/>
          </w:tcPr>
          <w:p w14:paraId="6441A123" w14:textId="77777777" w:rsidR="00DE5A63" w:rsidRPr="005035C2" w:rsidRDefault="00DE5A63" w:rsidP="00F80076"/>
        </w:tc>
        <w:tc>
          <w:tcPr>
            <w:tcW w:w="1559" w:type="dxa"/>
          </w:tcPr>
          <w:p w14:paraId="44CFB4A6" w14:textId="77777777" w:rsidR="00DE5A63" w:rsidRPr="005035C2" w:rsidRDefault="00DE5A63" w:rsidP="00F80076"/>
        </w:tc>
        <w:tc>
          <w:tcPr>
            <w:tcW w:w="1417" w:type="dxa"/>
          </w:tcPr>
          <w:p w14:paraId="6F522496" w14:textId="77777777" w:rsidR="00DE5A63" w:rsidRPr="005035C2" w:rsidRDefault="00DE5A63" w:rsidP="00F80076">
            <w:r w:rsidRPr="005035C2">
              <w:t>Dysuria</w:t>
            </w:r>
          </w:p>
          <w:p w14:paraId="3D5277FE" w14:textId="77777777" w:rsidR="00DE5A63" w:rsidRPr="005035C2" w:rsidRDefault="00DE5A63" w:rsidP="00F80076">
            <w:r w:rsidRPr="005035C2">
              <w:t>Vesefájdalom</w:t>
            </w:r>
          </w:p>
          <w:p w14:paraId="1FD21B86" w14:textId="77777777" w:rsidR="00DE5A63" w:rsidRPr="005035C2" w:rsidRDefault="00DE5A63" w:rsidP="00F80076">
            <w:r w:rsidRPr="005035C2">
              <w:t>Emelkedett karbamidszint a vérben</w:t>
            </w:r>
          </w:p>
          <w:p w14:paraId="5A76ABC2" w14:textId="77777777" w:rsidR="00DE5A63" w:rsidRPr="005035C2" w:rsidRDefault="00DE5A63" w:rsidP="00F80076">
            <w:r w:rsidRPr="005035C2">
              <w:t>Emelkedett kreatininszint a vérben</w:t>
            </w:r>
          </w:p>
        </w:tc>
        <w:tc>
          <w:tcPr>
            <w:tcW w:w="1560" w:type="dxa"/>
          </w:tcPr>
          <w:p w14:paraId="15A827A4" w14:textId="77777777" w:rsidR="00DE5A63" w:rsidRPr="005035C2" w:rsidRDefault="00DE5A63" w:rsidP="00F80076"/>
        </w:tc>
        <w:tc>
          <w:tcPr>
            <w:tcW w:w="1417" w:type="dxa"/>
          </w:tcPr>
          <w:p w14:paraId="6F058336" w14:textId="77777777" w:rsidR="00DE5A63" w:rsidRPr="005035C2" w:rsidRDefault="00DE5A63" w:rsidP="00F80076">
            <w:r w:rsidRPr="005035C2">
              <w:t>Akut vesekárosodás</w:t>
            </w:r>
          </w:p>
          <w:p w14:paraId="41879724" w14:textId="77777777" w:rsidR="00DE5A63" w:rsidRPr="005035C2" w:rsidRDefault="00DE5A63" w:rsidP="00F80076">
            <w:r w:rsidRPr="005035C2">
              <w:t>Tubulointerstitialis nephritis</w:t>
            </w:r>
          </w:p>
        </w:tc>
      </w:tr>
      <w:tr w:rsidR="00DE5A63" w:rsidRPr="005035C2" w14:paraId="66509B06" w14:textId="77777777" w:rsidTr="00F80076">
        <w:tc>
          <w:tcPr>
            <w:tcW w:w="1838" w:type="dxa"/>
          </w:tcPr>
          <w:p w14:paraId="5F34042D" w14:textId="77777777" w:rsidR="00DE5A63" w:rsidRPr="005035C2" w:rsidRDefault="00DE5A63" w:rsidP="00F80076">
            <w:pPr>
              <w:rPr>
                <w:b/>
              </w:rPr>
            </w:pPr>
            <w:r w:rsidRPr="005035C2">
              <w:rPr>
                <w:b/>
              </w:rPr>
              <w:t>A nemi szervekkel és az emlőkkel kapcsolatos betegségek és tünetek</w:t>
            </w:r>
          </w:p>
        </w:tc>
        <w:tc>
          <w:tcPr>
            <w:tcW w:w="1418" w:type="dxa"/>
          </w:tcPr>
          <w:p w14:paraId="69911F84" w14:textId="77777777" w:rsidR="00DE5A63" w:rsidRPr="005035C2" w:rsidRDefault="00DE5A63" w:rsidP="00F80076"/>
        </w:tc>
        <w:tc>
          <w:tcPr>
            <w:tcW w:w="1559" w:type="dxa"/>
          </w:tcPr>
          <w:p w14:paraId="7F72FDBD" w14:textId="77777777" w:rsidR="00DE5A63" w:rsidRPr="005035C2" w:rsidRDefault="00DE5A63" w:rsidP="00F80076"/>
        </w:tc>
        <w:tc>
          <w:tcPr>
            <w:tcW w:w="1417" w:type="dxa"/>
          </w:tcPr>
          <w:p w14:paraId="797D4659" w14:textId="77777777" w:rsidR="00DE5A63" w:rsidRPr="005035C2" w:rsidRDefault="00DE5A63" w:rsidP="00F80076">
            <w:r w:rsidRPr="005035C2">
              <w:t>Intermenstrualis vérzés</w:t>
            </w:r>
          </w:p>
          <w:p w14:paraId="5600CCED" w14:textId="77777777" w:rsidR="00DE5A63" w:rsidRPr="005035C2" w:rsidRDefault="00DE5A63" w:rsidP="00F80076">
            <w:r w:rsidRPr="005035C2">
              <w:t>Testicularis rendellenesség</w:t>
            </w:r>
          </w:p>
        </w:tc>
        <w:tc>
          <w:tcPr>
            <w:tcW w:w="1560" w:type="dxa"/>
          </w:tcPr>
          <w:p w14:paraId="77C27F07" w14:textId="77777777" w:rsidR="00DE5A63" w:rsidRPr="005035C2" w:rsidRDefault="00DE5A63" w:rsidP="00F80076"/>
        </w:tc>
        <w:tc>
          <w:tcPr>
            <w:tcW w:w="1417" w:type="dxa"/>
          </w:tcPr>
          <w:p w14:paraId="7B903510" w14:textId="77777777" w:rsidR="00DE5A63" w:rsidRPr="005035C2" w:rsidRDefault="00DE5A63" w:rsidP="00F80076"/>
        </w:tc>
      </w:tr>
      <w:tr w:rsidR="00DE5A63" w:rsidRPr="005035C2" w14:paraId="0AE5EA39" w14:textId="77777777" w:rsidTr="00F80076">
        <w:tc>
          <w:tcPr>
            <w:tcW w:w="1838" w:type="dxa"/>
          </w:tcPr>
          <w:p w14:paraId="3D582AE4" w14:textId="77777777" w:rsidR="00DE5A63" w:rsidRPr="005035C2" w:rsidRDefault="00DE5A63" w:rsidP="00F80076">
            <w:pPr>
              <w:rPr>
                <w:b/>
              </w:rPr>
            </w:pPr>
            <w:bookmarkStart w:id="8" w:name="_Hlk189039079"/>
            <w:r w:rsidRPr="005035C2">
              <w:rPr>
                <w:b/>
              </w:rPr>
              <w:t>Általános tünetek, az alkalmazás helyén fellépő reakciók</w:t>
            </w:r>
            <w:bookmarkEnd w:id="8"/>
          </w:p>
        </w:tc>
        <w:tc>
          <w:tcPr>
            <w:tcW w:w="1418" w:type="dxa"/>
          </w:tcPr>
          <w:p w14:paraId="7A725460" w14:textId="77777777" w:rsidR="00DE5A63" w:rsidRPr="005035C2" w:rsidRDefault="00DE5A63" w:rsidP="00F80076"/>
        </w:tc>
        <w:tc>
          <w:tcPr>
            <w:tcW w:w="1559" w:type="dxa"/>
          </w:tcPr>
          <w:p w14:paraId="0F1BE821" w14:textId="77777777" w:rsidR="00DE5A63" w:rsidRPr="005035C2" w:rsidRDefault="00DE5A63" w:rsidP="00F80076"/>
        </w:tc>
        <w:tc>
          <w:tcPr>
            <w:tcW w:w="1417" w:type="dxa"/>
          </w:tcPr>
          <w:p w14:paraId="3CA4FA34" w14:textId="77777777" w:rsidR="00DE5A63" w:rsidRPr="005035C2" w:rsidRDefault="00DE5A63" w:rsidP="00F80076">
            <w:r w:rsidRPr="005035C2">
              <w:t>Oedema</w:t>
            </w:r>
          </w:p>
          <w:p w14:paraId="201F69EB" w14:textId="77777777" w:rsidR="00DE5A63" w:rsidRPr="005035C2" w:rsidRDefault="00DE5A63" w:rsidP="00F80076">
            <w:r w:rsidRPr="005035C2">
              <w:t>Asthenia</w:t>
            </w:r>
          </w:p>
          <w:p w14:paraId="702F2BB8" w14:textId="77777777" w:rsidR="00DE5A63" w:rsidRPr="005035C2" w:rsidRDefault="00DE5A63" w:rsidP="00F80076">
            <w:r w:rsidRPr="005035C2">
              <w:t>Rossz közérzet</w:t>
            </w:r>
          </w:p>
          <w:p w14:paraId="5CAD1965" w14:textId="24858F6C" w:rsidR="00DE5A63" w:rsidRPr="005035C2" w:rsidRDefault="00DE5A63" w:rsidP="00F80076">
            <w:r w:rsidRPr="005035C2">
              <w:t>Kimerültség</w:t>
            </w:r>
          </w:p>
          <w:p w14:paraId="77B412BA" w14:textId="77777777" w:rsidR="00DE5A63" w:rsidRPr="005035C2" w:rsidRDefault="00DE5A63" w:rsidP="00F80076">
            <w:r w:rsidRPr="005035C2">
              <w:t>Arci oedema</w:t>
            </w:r>
          </w:p>
          <w:p w14:paraId="523F5E02" w14:textId="77777777" w:rsidR="00DE5A63" w:rsidRPr="005035C2" w:rsidRDefault="00DE5A63" w:rsidP="00F80076">
            <w:r w:rsidRPr="005035C2">
              <w:t>Mellkasi fájdalom</w:t>
            </w:r>
          </w:p>
          <w:p w14:paraId="6406570E" w14:textId="77777777" w:rsidR="00DE5A63" w:rsidRPr="005035C2" w:rsidRDefault="00DE5A63" w:rsidP="00F80076">
            <w:r w:rsidRPr="005035C2">
              <w:t>Láz</w:t>
            </w:r>
          </w:p>
          <w:p w14:paraId="6246963D" w14:textId="77777777" w:rsidR="00DE5A63" w:rsidRPr="005035C2" w:rsidRDefault="00DE5A63" w:rsidP="00F80076">
            <w:r w:rsidRPr="005035C2">
              <w:t>Fájdalom</w:t>
            </w:r>
          </w:p>
          <w:p w14:paraId="48FEA06A" w14:textId="77777777" w:rsidR="00DE5A63" w:rsidRPr="005035C2" w:rsidRDefault="00DE5A63" w:rsidP="00F80076">
            <w:r w:rsidRPr="005035C2">
              <w:lastRenderedPageBreak/>
              <w:t>Perifériás oedema</w:t>
            </w:r>
          </w:p>
        </w:tc>
        <w:tc>
          <w:tcPr>
            <w:tcW w:w="1560" w:type="dxa"/>
          </w:tcPr>
          <w:p w14:paraId="6B5CDED1" w14:textId="77777777" w:rsidR="00DE5A63" w:rsidRPr="005035C2" w:rsidRDefault="00DE5A63" w:rsidP="00F80076"/>
        </w:tc>
        <w:tc>
          <w:tcPr>
            <w:tcW w:w="1417" w:type="dxa"/>
          </w:tcPr>
          <w:p w14:paraId="64DCEFBC" w14:textId="77777777" w:rsidR="00DE5A63" w:rsidRPr="005035C2" w:rsidRDefault="00DE5A63" w:rsidP="00F80076"/>
        </w:tc>
      </w:tr>
      <w:tr w:rsidR="00DE5A63" w:rsidRPr="005035C2" w14:paraId="5EAB1ED2" w14:textId="77777777" w:rsidTr="00F80076">
        <w:tc>
          <w:tcPr>
            <w:tcW w:w="1838" w:type="dxa"/>
          </w:tcPr>
          <w:p w14:paraId="315747E7" w14:textId="77777777" w:rsidR="00DE5A63" w:rsidRPr="005035C2" w:rsidRDefault="00DE5A63" w:rsidP="00F80076">
            <w:pPr>
              <w:rPr>
                <w:b/>
              </w:rPr>
            </w:pPr>
            <w:r w:rsidRPr="005035C2">
              <w:rPr>
                <w:b/>
              </w:rPr>
              <w:t>Laboratóriumi és egyéb vizsgálatok eredményei</w:t>
            </w:r>
          </w:p>
        </w:tc>
        <w:tc>
          <w:tcPr>
            <w:tcW w:w="1418" w:type="dxa"/>
          </w:tcPr>
          <w:p w14:paraId="7C6E2F6C" w14:textId="77777777" w:rsidR="00DE5A63" w:rsidRPr="005035C2" w:rsidRDefault="00DE5A63" w:rsidP="00F80076"/>
        </w:tc>
        <w:tc>
          <w:tcPr>
            <w:tcW w:w="1559" w:type="dxa"/>
          </w:tcPr>
          <w:p w14:paraId="2A1E3F84" w14:textId="77777777" w:rsidR="00DE5A63" w:rsidRPr="005035C2" w:rsidRDefault="00DE5A63" w:rsidP="00F80076">
            <w:r w:rsidRPr="005035C2">
              <w:t>Csökkent hidrogén-karbonát-szint a vérben</w:t>
            </w:r>
          </w:p>
          <w:p w14:paraId="65777967" w14:textId="77777777" w:rsidR="00DE5A63" w:rsidRPr="005035C2" w:rsidRDefault="00DE5A63" w:rsidP="00F80076"/>
        </w:tc>
        <w:tc>
          <w:tcPr>
            <w:tcW w:w="1417" w:type="dxa"/>
          </w:tcPr>
          <w:p w14:paraId="33794514" w14:textId="77777777" w:rsidR="00DE5A63" w:rsidRPr="005035C2" w:rsidRDefault="00DE5A63" w:rsidP="00F80076">
            <w:r w:rsidRPr="005035C2">
              <w:t>Rendellenes káliumszint a vérben</w:t>
            </w:r>
          </w:p>
          <w:p w14:paraId="4E5BCFE1" w14:textId="77777777" w:rsidR="00DE5A63" w:rsidRPr="005035C2" w:rsidRDefault="00DE5A63" w:rsidP="00F80076">
            <w:r w:rsidRPr="005035C2">
              <w:t>Emelkedett kloridszint a vérben</w:t>
            </w:r>
          </w:p>
          <w:p w14:paraId="3342CCBF" w14:textId="77777777" w:rsidR="00DE5A63" w:rsidRPr="005035C2" w:rsidRDefault="00DE5A63" w:rsidP="00F80076">
            <w:r w:rsidRPr="005035C2">
              <w:t>Emelkedett vércukorszint</w:t>
            </w:r>
          </w:p>
          <w:p w14:paraId="24B58558" w14:textId="77777777" w:rsidR="00DE5A63" w:rsidRPr="005035C2" w:rsidRDefault="00DE5A63" w:rsidP="00F80076">
            <w:r w:rsidRPr="005035C2">
              <w:t>Emelkedett hidrogén-karbonát-szint a vérben</w:t>
            </w:r>
          </w:p>
          <w:p w14:paraId="62C93F28" w14:textId="77777777" w:rsidR="00DE5A63" w:rsidRPr="005035C2" w:rsidRDefault="00DE5A63" w:rsidP="00F80076">
            <w:r w:rsidRPr="005035C2">
              <w:t>Rendellenes nátriumszint a vérben</w:t>
            </w:r>
          </w:p>
        </w:tc>
        <w:tc>
          <w:tcPr>
            <w:tcW w:w="1560" w:type="dxa"/>
          </w:tcPr>
          <w:p w14:paraId="5D88D897" w14:textId="77777777" w:rsidR="00DE5A63" w:rsidRPr="005035C2" w:rsidRDefault="00DE5A63" w:rsidP="00F80076"/>
        </w:tc>
        <w:tc>
          <w:tcPr>
            <w:tcW w:w="1417" w:type="dxa"/>
          </w:tcPr>
          <w:p w14:paraId="65EA0ABF" w14:textId="77777777" w:rsidR="00DE5A63" w:rsidRPr="005035C2" w:rsidRDefault="00DE5A63" w:rsidP="00F80076"/>
        </w:tc>
      </w:tr>
      <w:tr w:rsidR="00DE5A63" w:rsidRPr="005035C2" w14:paraId="65567B49" w14:textId="77777777" w:rsidTr="00F80076">
        <w:tc>
          <w:tcPr>
            <w:tcW w:w="1838" w:type="dxa"/>
          </w:tcPr>
          <w:p w14:paraId="65CA4B88" w14:textId="77777777" w:rsidR="00DE5A63" w:rsidRPr="005035C2" w:rsidRDefault="00DE5A63" w:rsidP="00F80076">
            <w:pPr>
              <w:rPr>
                <w:b/>
              </w:rPr>
            </w:pPr>
            <w:r w:rsidRPr="005035C2">
              <w:rPr>
                <w:b/>
              </w:rPr>
              <w:t xml:space="preserve">Sérülés, mérgezés és a beavatkozással kapcsolatos szövődmények </w:t>
            </w:r>
          </w:p>
        </w:tc>
        <w:tc>
          <w:tcPr>
            <w:tcW w:w="1418" w:type="dxa"/>
          </w:tcPr>
          <w:p w14:paraId="1CC09A2B" w14:textId="77777777" w:rsidR="00DE5A63" w:rsidRPr="005035C2" w:rsidRDefault="00DE5A63" w:rsidP="00F80076"/>
        </w:tc>
        <w:tc>
          <w:tcPr>
            <w:tcW w:w="1559" w:type="dxa"/>
          </w:tcPr>
          <w:p w14:paraId="23E71D78" w14:textId="77777777" w:rsidR="00DE5A63" w:rsidRPr="005035C2" w:rsidRDefault="00DE5A63" w:rsidP="00F80076"/>
        </w:tc>
        <w:tc>
          <w:tcPr>
            <w:tcW w:w="1417" w:type="dxa"/>
          </w:tcPr>
          <w:p w14:paraId="746240C2" w14:textId="77777777" w:rsidR="00DE5A63" w:rsidRPr="005035C2" w:rsidRDefault="00DE5A63" w:rsidP="00F80076">
            <w:r w:rsidRPr="005035C2">
              <w:t>Kezelés után kialakuló szövődmények</w:t>
            </w:r>
          </w:p>
        </w:tc>
        <w:tc>
          <w:tcPr>
            <w:tcW w:w="1560" w:type="dxa"/>
          </w:tcPr>
          <w:p w14:paraId="785B4D35" w14:textId="77777777" w:rsidR="00DE5A63" w:rsidRPr="005035C2" w:rsidRDefault="00DE5A63" w:rsidP="00F80076"/>
        </w:tc>
        <w:tc>
          <w:tcPr>
            <w:tcW w:w="1417" w:type="dxa"/>
          </w:tcPr>
          <w:p w14:paraId="61ADD879" w14:textId="77777777" w:rsidR="00DE5A63" w:rsidRPr="005035C2" w:rsidRDefault="00DE5A63" w:rsidP="00F80076"/>
        </w:tc>
      </w:tr>
    </w:tbl>
    <w:p w14:paraId="7A25B619" w14:textId="77777777" w:rsidR="00DE5A63" w:rsidRPr="00224BE9" w:rsidRDefault="00DE5A63" w:rsidP="00224BE9">
      <w:pPr>
        <w:suppressAutoHyphens w:val="0"/>
        <w:autoSpaceDE w:val="0"/>
        <w:autoSpaceDN w:val="0"/>
        <w:adjustRightInd w:val="0"/>
        <w:rPr>
          <w:b/>
          <w:bCs/>
          <w:spacing w:val="-2"/>
          <w:sz w:val="22"/>
          <w:szCs w:val="22"/>
          <w:lang w:eastAsia="en-US"/>
        </w:rPr>
      </w:pPr>
    </w:p>
    <w:p w14:paraId="2694F408" w14:textId="77777777" w:rsidR="00224BE9" w:rsidRPr="00224BE9" w:rsidRDefault="00224BE9" w:rsidP="00224BE9">
      <w:pPr>
        <w:suppressAutoHyphens w:val="0"/>
        <w:rPr>
          <w:rFonts w:cs="Arial"/>
          <w:sz w:val="22"/>
          <w:szCs w:val="22"/>
          <w:u w:val="single"/>
          <w:lang w:eastAsia="en-US"/>
        </w:rPr>
      </w:pPr>
      <w:r w:rsidRPr="00224BE9">
        <w:rPr>
          <w:rFonts w:cs="Arial"/>
          <w:sz w:val="22"/>
          <w:szCs w:val="22"/>
          <w:u w:val="single"/>
          <w:lang w:eastAsia="en-US"/>
        </w:rPr>
        <w:t>Feltételezett mellékhatások bejelentése</w:t>
      </w:r>
    </w:p>
    <w:p w14:paraId="3B62ABCD" w14:textId="77777777" w:rsidR="00224BE9" w:rsidRPr="00224BE9" w:rsidRDefault="00224BE9" w:rsidP="00224BE9">
      <w:pPr>
        <w:suppressAutoHyphens w:val="0"/>
        <w:rPr>
          <w:rFonts w:cs="Arial"/>
          <w:sz w:val="22"/>
          <w:szCs w:val="22"/>
          <w:lang w:eastAsia="en-US"/>
        </w:rPr>
      </w:pPr>
      <w:r w:rsidRPr="00224BE9">
        <w:rPr>
          <w:rFonts w:cs="Arial"/>
          <w:sz w:val="22"/>
          <w:szCs w:val="22"/>
          <w:lang w:eastAsia="en-US"/>
        </w:rPr>
        <w:t xml:space="preserve">A gyógyszer engedélyezését követően lényeges a feltételezett mellékhatások bejelentése, mert ez fontos eszköze annak, hogy a gyógyszer előny/kockázat profilját folyamatosan figyelemmel lehessen kísérni. </w:t>
      </w:r>
    </w:p>
    <w:p w14:paraId="5365A998" w14:textId="77777777" w:rsidR="00224BE9" w:rsidRPr="00224BE9" w:rsidRDefault="00224BE9" w:rsidP="00224BE9">
      <w:pPr>
        <w:suppressAutoHyphens w:val="0"/>
        <w:rPr>
          <w:bCs/>
          <w:sz w:val="22"/>
          <w:szCs w:val="22"/>
          <w:lang w:eastAsia="en-US"/>
        </w:rPr>
      </w:pPr>
      <w:r w:rsidRPr="00224BE9">
        <w:rPr>
          <w:rFonts w:cs="Arial"/>
          <w:sz w:val="22"/>
          <w:szCs w:val="22"/>
          <w:lang w:eastAsia="en-US"/>
        </w:rPr>
        <w:t xml:space="preserve">Az egészségügyi szakembereket kérjük, hogy jelentsék be a feltételezett mellékhatásokat a hatóság részére az </w:t>
      </w:r>
      <w:hyperlink r:id="rId12" w:history="1">
        <w:r w:rsidRPr="00224BE9">
          <w:rPr>
            <w:color w:val="0000FF"/>
            <w:sz w:val="22"/>
            <w:szCs w:val="22"/>
            <w:highlight w:val="lightGray"/>
            <w:u w:val="single"/>
            <w:lang w:eastAsia="en-US"/>
          </w:rPr>
          <w:t>V. függelékben</w:t>
        </w:r>
      </w:hyperlink>
      <w:r w:rsidRPr="00224BE9">
        <w:rPr>
          <w:sz w:val="22"/>
          <w:szCs w:val="22"/>
          <w:highlight w:val="lightGray"/>
          <w:lang w:eastAsia="en-US"/>
        </w:rPr>
        <w:t xml:space="preserve"> található elérhetőségek valamelyikén keresztül</w:t>
      </w:r>
      <w:r w:rsidRPr="00224BE9">
        <w:rPr>
          <w:rFonts w:cs="Arial"/>
          <w:sz w:val="22"/>
          <w:szCs w:val="22"/>
          <w:lang w:eastAsia="en-US"/>
        </w:rPr>
        <w:t>.</w:t>
      </w:r>
    </w:p>
    <w:p w14:paraId="7E28090D" w14:textId="77777777" w:rsidR="00224BE9" w:rsidRPr="00224BE9" w:rsidRDefault="00224BE9" w:rsidP="00224BE9">
      <w:pPr>
        <w:suppressAutoHyphens w:val="0"/>
        <w:rPr>
          <w:bCs/>
          <w:sz w:val="22"/>
          <w:szCs w:val="22"/>
          <w:lang w:eastAsia="en-US"/>
        </w:rPr>
      </w:pPr>
    </w:p>
    <w:p w14:paraId="60F039F2"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4.9</w:t>
      </w:r>
      <w:r w:rsidRPr="00224BE9">
        <w:rPr>
          <w:b/>
          <w:sz w:val="22"/>
          <w:szCs w:val="22"/>
          <w:lang w:eastAsia="en-US"/>
        </w:rPr>
        <w:tab/>
        <w:t>Túladagolás</w:t>
      </w:r>
    </w:p>
    <w:p w14:paraId="7AEBED6D" w14:textId="77777777" w:rsidR="00224BE9" w:rsidRPr="00224BE9" w:rsidRDefault="00224BE9" w:rsidP="00224BE9">
      <w:pPr>
        <w:suppressAutoHyphens w:val="0"/>
        <w:rPr>
          <w:sz w:val="22"/>
          <w:szCs w:val="22"/>
          <w:lang w:eastAsia="en-US"/>
        </w:rPr>
      </w:pPr>
    </w:p>
    <w:p w14:paraId="480059BF"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Tünetek</w:t>
      </w:r>
    </w:p>
    <w:p w14:paraId="507FC4A2" w14:textId="614019AE" w:rsidR="00224BE9" w:rsidRPr="00224BE9" w:rsidRDefault="00224BE9" w:rsidP="00224BE9">
      <w:pPr>
        <w:suppressAutoHyphens w:val="0"/>
        <w:rPr>
          <w:sz w:val="22"/>
          <w:szCs w:val="22"/>
          <w:lang w:eastAsia="en-US"/>
        </w:rPr>
      </w:pPr>
      <w:r w:rsidRPr="00224BE9">
        <w:rPr>
          <w:sz w:val="22"/>
          <w:szCs w:val="22"/>
          <w:lang w:eastAsia="en-US"/>
        </w:rPr>
        <w:t>Az ajánlottnál nagyobb dózisok mellett jelentkező mellékhatások hasonlóak voltak a normál dózisok mellett kialakuló mellékhatásokhoz (lásd 4.8</w:t>
      </w:r>
      <w:r w:rsidR="00DE5A63">
        <w:rPr>
          <w:sz w:val="22"/>
          <w:szCs w:val="22"/>
          <w:lang w:eastAsia="en-US"/>
        </w:rPr>
        <w:t> pont</w:t>
      </w:r>
      <w:r w:rsidRPr="00224BE9">
        <w:rPr>
          <w:sz w:val="22"/>
          <w:szCs w:val="22"/>
          <w:lang w:eastAsia="en-US"/>
        </w:rPr>
        <w:t>). Az azitromicin túladagolásának jellemző tünetei a gastrointestinalis tünetek, például a hányás, a hasmenés, a hasi fájdalom és a hányinger.</w:t>
      </w:r>
      <w:r w:rsidRPr="00224BE9" w:rsidDel="00B70710">
        <w:rPr>
          <w:sz w:val="22"/>
          <w:szCs w:val="22"/>
          <w:lang w:eastAsia="en-US"/>
        </w:rPr>
        <w:t xml:space="preserve"> </w:t>
      </w:r>
    </w:p>
    <w:p w14:paraId="50A7694C" w14:textId="77777777" w:rsidR="00224BE9" w:rsidRPr="00224BE9" w:rsidRDefault="00224BE9" w:rsidP="00224BE9">
      <w:pPr>
        <w:suppressAutoHyphens w:val="0"/>
        <w:rPr>
          <w:sz w:val="22"/>
          <w:szCs w:val="22"/>
          <w:lang w:eastAsia="en-US"/>
        </w:rPr>
      </w:pPr>
    </w:p>
    <w:p w14:paraId="417F5869"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Kezelés</w:t>
      </w:r>
    </w:p>
    <w:p w14:paraId="4D6F78C7" w14:textId="77777777" w:rsidR="00224BE9" w:rsidRPr="00224BE9" w:rsidRDefault="00224BE9" w:rsidP="00224BE9">
      <w:pPr>
        <w:suppressAutoHyphens w:val="0"/>
        <w:rPr>
          <w:sz w:val="22"/>
          <w:szCs w:val="22"/>
          <w:lang w:eastAsia="en-US"/>
        </w:rPr>
      </w:pPr>
      <w:r w:rsidRPr="00224BE9">
        <w:rPr>
          <w:sz w:val="22"/>
          <w:szCs w:val="22"/>
          <w:lang w:eastAsia="en-US"/>
        </w:rPr>
        <w:t>Túladagolás esetén általános tüneti kezelés és az életfunkciók támogatása indokolt és ha szükséges, aktív szén adagolása vagy gyomormosás.</w:t>
      </w:r>
    </w:p>
    <w:p w14:paraId="487952D1" w14:textId="77777777" w:rsidR="00224BE9" w:rsidRPr="00224BE9" w:rsidRDefault="00224BE9" w:rsidP="00224BE9">
      <w:pPr>
        <w:suppressAutoHyphens w:val="0"/>
        <w:rPr>
          <w:sz w:val="22"/>
          <w:szCs w:val="22"/>
          <w:lang w:eastAsia="en-US"/>
        </w:rPr>
      </w:pPr>
      <w:r w:rsidRPr="00224BE9">
        <w:rPr>
          <w:sz w:val="22"/>
          <w:szCs w:val="22"/>
          <w:lang w:eastAsia="en-US"/>
        </w:rPr>
        <w:t>Nincs rendelkezésre álló adat a dialízis azitromicin eliminációjára gyakorolt hatására vonatkozóan. Az azitromicin eliminációs mechanizmusa</w:t>
      </w:r>
      <w:r w:rsidRPr="00224BE9" w:rsidDel="00B70710">
        <w:rPr>
          <w:sz w:val="22"/>
          <w:szCs w:val="22"/>
          <w:lang w:eastAsia="en-US"/>
        </w:rPr>
        <w:t xml:space="preserve"> </w:t>
      </w:r>
      <w:r w:rsidRPr="00224BE9">
        <w:rPr>
          <w:sz w:val="22"/>
          <w:szCs w:val="22"/>
          <w:lang w:eastAsia="en-US"/>
        </w:rPr>
        <w:t>miatt ugyanakkor nem valószínű, hogy a dialízis a hatóanyag szignifikáns mennyiségét távolítja el.</w:t>
      </w:r>
    </w:p>
    <w:p w14:paraId="716B04AC" w14:textId="77777777" w:rsidR="00224BE9" w:rsidRPr="00224BE9" w:rsidRDefault="00224BE9" w:rsidP="00224BE9">
      <w:pPr>
        <w:suppressAutoHyphens w:val="0"/>
        <w:rPr>
          <w:sz w:val="22"/>
          <w:szCs w:val="22"/>
          <w:lang w:eastAsia="en-US"/>
        </w:rPr>
      </w:pPr>
    </w:p>
    <w:p w14:paraId="319F3824" w14:textId="77777777" w:rsidR="00224BE9" w:rsidRPr="00224BE9" w:rsidRDefault="00224BE9" w:rsidP="00224BE9">
      <w:pPr>
        <w:suppressAutoHyphens w:val="0"/>
        <w:rPr>
          <w:sz w:val="22"/>
          <w:szCs w:val="22"/>
          <w:lang w:eastAsia="en-US"/>
        </w:rPr>
      </w:pPr>
    </w:p>
    <w:p w14:paraId="44398815"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5.</w:t>
      </w:r>
      <w:r w:rsidRPr="00224BE9">
        <w:rPr>
          <w:b/>
          <w:sz w:val="22"/>
          <w:szCs w:val="22"/>
          <w:lang w:eastAsia="en-US"/>
        </w:rPr>
        <w:tab/>
        <w:t>FARMAKOLÓGIAI TULAJDONSÁGOK</w:t>
      </w:r>
    </w:p>
    <w:p w14:paraId="6E2660A6" w14:textId="77777777" w:rsidR="00224BE9" w:rsidRPr="00224BE9" w:rsidRDefault="00224BE9" w:rsidP="00224BE9">
      <w:pPr>
        <w:suppressAutoHyphens w:val="0"/>
        <w:rPr>
          <w:sz w:val="22"/>
          <w:szCs w:val="22"/>
          <w:u w:val="single"/>
          <w:lang w:eastAsia="en-US"/>
        </w:rPr>
      </w:pPr>
    </w:p>
    <w:p w14:paraId="5156A409"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5.1</w:t>
      </w:r>
      <w:r w:rsidRPr="00224BE9">
        <w:rPr>
          <w:b/>
          <w:sz w:val="22"/>
          <w:szCs w:val="22"/>
          <w:lang w:eastAsia="en-US"/>
        </w:rPr>
        <w:tab/>
        <w:t>Farmakodinámiás tulajdonságok</w:t>
      </w:r>
    </w:p>
    <w:p w14:paraId="03DFBE1F" w14:textId="77777777" w:rsidR="00224BE9" w:rsidRPr="00224BE9" w:rsidRDefault="00224BE9" w:rsidP="00224BE9">
      <w:pPr>
        <w:tabs>
          <w:tab w:val="left" w:pos="567"/>
        </w:tabs>
        <w:suppressAutoHyphens w:val="0"/>
        <w:rPr>
          <w:b/>
          <w:sz w:val="22"/>
          <w:szCs w:val="22"/>
          <w:lang w:eastAsia="en-US"/>
        </w:rPr>
      </w:pPr>
    </w:p>
    <w:p w14:paraId="398D5E5D" w14:textId="77777777" w:rsidR="00224BE9" w:rsidRPr="00224BE9" w:rsidRDefault="00224BE9" w:rsidP="00224BE9">
      <w:pPr>
        <w:suppressAutoHyphens w:val="0"/>
        <w:rPr>
          <w:sz w:val="22"/>
          <w:szCs w:val="22"/>
          <w:lang w:eastAsia="en-US"/>
        </w:rPr>
      </w:pPr>
      <w:r w:rsidRPr="00224BE9">
        <w:rPr>
          <w:sz w:val="22"/>
          <w:szCs w:val="22"/>
          <w:lang w:eastAsia="en-US"/>
        </w:rPr>
        <w:t>Farmakoterápiás csoport: Szisztémás antibakteriális szerek, makrolidok</w:t>
      </w:r>
    </w:p>
    <w:p w14:paraId="7F69EAFA" w14:textId="77777777" w:rsidR="00224BE9" w:rsidRPr="00224BE9" w:rsidRDefault="00224BE9" w:rsidP="00224BE9">
      <w:pPr>
        <w:suppressAutoHyphens w:val="0"/>
        <w:rPr>
          <w:sz w:val="22"/>
          <w:szCs w:val="22"/>
          <w:lang w:eastAsia="en-US"/>
        </w:rPr>
      </w:pPr>
      <w:r w:rsidRPr="00224BE9">
        <w:rPr>
          <w:sz w:val="22"/>
          <w:szCs w:val="22"/>
          <w:lang w:eastAsia="en-US"/>
        </w:rPr>
        <w:t>ATC-kód: J01FA10</w:t>
      </w:r>
    </w:p>
    <w:p w14:paraId="1D6866D1" w14:textId="77777777" w:rsidR="00224BE9" w:rsidRPr="00224BE9" w:rsidRDefault="00224BE9" w:rsidP="00224BE9">
      <w:pPr>
        <w:suppressAutoHyphens w:val="0"/>
        <w:rPr>
          <w:sz w:val="22"/>
          <w:szCs w:val="22"/>
          <w:lang w:eastAsia="en-US"/>
        </w:rPr>
      </w:pPr>
    </w:p>
    <w:p w14:paraId="493D2C47" w14:textId="77777777" w:rsidR="00224BE9" w:rsidRPr="00224BE9" w:rsidRDefault="00224BE9" w:rsidP="00224BE9">
      <w:pPr>
        <w:suppressAutoHyphens w:val="0"/>
        <w:rPr>
          <w:bCs/>
          <w:sz w:val="22"/>
          <w:szCs w:val="22"/>
          <w:u w:val="single"/>
          <w:lang w:eastAsia="en-US"/>
        </w:rPr>
      </w:pPr>
      <w:r w:rsidRPr="00224BE9">
        <w:rPr>
          <w:bCs/>
          <w:sz w:val="22"/>
          <w:szCs w:val="22"/>
          <w:u w:val="single"/>
          <w:lang w:eastAsia="en-US"/>
        </w:rPr>
        <w:t>Hatásmechanizmus:</w:t>
      </w:r>
    </w:p>
    <w:p w14:paraId="4AD87D27" w14:textId="77777777" w:rsidR="00224BE9" w:rsidRPr="00224BE9" w:rsidRDefault="00224BE9" w:rsidP="00224BE9">
      <w:pPr>
        <w:suppressAutoHyphens w:val="0"/>
        <w:rPr>
          <w:bCs/>
          <w:sz w:val="22"/>
          <w:szCs w:val="22"/>
          <w:lang w:eastAsia="en-US"/>
        </w:rPr>
      </w:pPr>
      <w:bookmarkStart w:id="9" w:name="_Hlk208868935"/>
      <w:r w:rsidRPr="00224BE9">
        <w:rPr>
          <w:sz w:val="22"/>
          <w:szCs w:val="22"/>
          <w:lang w:eastAsia="en-US"/>
        </w:rPr>
        <w:t xml:space="preserve">Az azitromicin hatásmechanizmusa a bakteriális fehérjeszintézis gátlásán alapszik azáltal, hogy a riboszomális 50S alegységhez kapcsolódva gátolja a peptidek transzlokációját. </w:t>
      </w:r>
    </w:p>
    <w:p w14:paraId="6E462771" w14:textId="77777777" w:rsidR="00224BE9" w:rsidRPr="00224BE9" w:rsidRDefault="00224BE9" w:rsidP="00224BE9">
      <w:pPr>
        <w:suppressAutoHyphens w:val="0"/>
        <w:rPr>
          <w:bCs/>
          <w:sz w:val="22"/>
          <w:szCs w:val="22"/>
          <w:lang w:eastAsia="en-US"/>
        </w:rPr>
      </w:pPr>
    </w:p>
    <w:p w14:paraId="146417EF" w14:textId="77777777" w:rsidR="00224BE9" w:rsidRPr="00224BE9" w:rsidRDefault="00224BE9" w:rsidP="00224BE9">
      <w:pPr>
        <w:suppressAutoHyphens w:val="0"/>
        <w:rPr>
          <w:bCs/>
          <w:sz w:val="22"/>
          <w:szCs w:val="22"/>
          <w:u w:val="single"/>
          <w:lang w:eastAsia="en-US"/>
        </w:rPr>
      </w:pPr>
      <w:r w:rsidRPr="00224BE9">
        <w:rPr>
          <w:bCs/>
          <w:sz w:val="22"/>
          <w:szCs w:val="22"/>
          <w:u w:val="single"/>
          <w:lang w:eastAsia="en-US"/>
        </w:rPr>
        <w:t>Farmakokinetikai/farmakodinámiás összefüggések</w:t>
      </w:r>
    </w:p>
    <w:p w14:paraId="5EF6E54B" w14:textId="77777777" w:rsidR="00224BE9" w:rsidRPr="00224BE9" w:rsidRDefault="00224BE9" w:rsidP="00224BE9">
      <w:pPr>
        <w:suppressAutoHyphens w:val="0"/>
        <w:rPr>
          <w:bCs/>
          <w:sz w:val="22"/>
          <w:szCs w:val="22"/>
          <w:lang w:eastAsia="en-US"/>
        </w:rPr>
      </w:pPr>
      <w:r w:rsidRPr="00224BE9">
        <w:rPr>
          <w:bCs/>
          <w:sz w:val="22"/>
          <w:szCs w:val="22"/>
          <w:lang w:eastAsia="en-US"/>
        </w:rPr>
        <w:t>A hatásosság döntően az azitromicin-koncentráció–idő görbe alatti területnek (AUC) a fertőzést okozó organizmus MIC-értékéhez (minimális gátló koncentráció) viszonyított arányától függ.</w:t>
      </w:r>
    </w:p>
    <w:p w14:paraId="40C7544C" w14:textId="77777777" w:rsidR="00224BE9" w:rsidRPr="00224BE9" w:rsidRDefault="00224BE9" w:rsidP="00224BE9">
      <w:pPr>
        <w:suppressAutoHyphens w:val="0"/>
        <w:rPr>
          <w:sz w:val="22"/>
          <w:szCs w:val="22"/>
          <w:lang w:eastAsia="en-US"/>
        </w:rPr>
      </w:pPr>
    </w:p>
    <w:p w14:paraId="39F9D096" w14:textId="77777777" w:rsidR="00224BE9" w:rsidRPr="00224BE9" w:rsidRDefault="00224BE9" w:rsidP="00224BE9">
      <w:pPr>
        <w:suppressAutoHyphens w:val="0"/>
        <w:rPr>
          <w:bCs/>
          <w:sz w:val="22"/>
          <w:szCs w:val="22"/>
          <w:u w:val="single"/>
          <w:lang w:eastAsia="en-US"/>
        </w:rPr>
      </w:pPr>
      <w:r w:rsidRPr="00224BE9">
        <w:rPr>
          <w:bCs/>
          <w:sz w:val="22"/>
          <w:szCs w:val="22"/>
          <w:u w:val="single"/>
          <w:lang w:eastAsia="en-US"/>
        </w:rPr>
        <w:t>A rezisztencia mechanizmusa</w:t>
      </w:r>
    </w:p>
    <w:p w14:paraId="3FC3D053" w14:textId="77777777" w:rsidR="00224BE9" w:rsidRPr="00224BE9" w:rsidRDefault="00224BE9" w:rsidP="00224BE9">
      <w:pPr>
        <w:suppressAutoHyphens w:val="0"/>
        <w:rPr>
          <w:bCs/>
          <w:sz w:val="22"/>
          <w:szCs w:val="22"/>
          <w:lang w:eastAsia="en-US"/>
        </w:rPr>
      </w:pPr>
      <w:r w:rsidRPr="00224BE9">
        <w:rPr>
          <w:bCs/>
          <w:sz w:val="22"/>
          <w:szCs w:val="22"/>
          <w:lang w:eastAsia="en-US"/>
        </w:rPr>
        <w:t>Az azitromicin iránti rezisztencia a következő mechanizmusokon alapulhat:</w:t>
      </w:r>
    </w:p>
    <w:p w14:paraId="561BE514" w14:textId="77777777" w:rsidR="00224BE9" w:rsidRPr="00224BE9" w:rsidRDefault="00224BE9" w:rsidP="00224BE9">
      <w:pPr>
        <w:numPr>
          <w:ilvl w:val="0"/>
          <w:numId w:val="13"/>
        </w:numPr>
        <w:tabs>
          <w:tab w:val="num" w:pos="284"/>
        </w:tabs>
        <w:suppressAutoHyphens w:val="0"/>
        <w:ind w:left="284" w:hanging="284"/>
        <w:rPr>
          <w:bCs/>
          <w:sz w:val="22"/>
          <w:szCs w:val="22"/>
          <w:lang w:eastAsia="en-US"/>
        </w:rPr>
      </w:pPr>
      <w:r w:rsidRPr="00224BE9">
        <w:rPr>
          <w:bCs/>
          <w:sz w:val="22"/>
          <w:szCs w:val="22"/>
          <w:lang w:eastAsia="en-US"/>
        </w:rPr>
        <w:t>Efflux: A rezisztenciát okozhatja a citoplazmamembránban az effluxpumpák számának növekedése. Kizárólag a 14 és 15 tagú gyűrűs makrolidok érintettek (M-fenotípusnak nevezik).</w:t>
      </w:r>
    </w:p>
    <w:p w14:paraId="073023CF" w14:textId="56B8FB94" w:rsidR="00224BE9" w:rsidRPr="00224BE9" w:rsidRDefault="00224BE9" w:rsidP="00EF1044">
      <w:pPr>
        <w:numPr>
          <w:ilvl w:val="0"/>
          <w:numId w:val="13"/>
        </w:numPr>
        <w:tabs>
          <w:tab w:val="num" w:pos="284"/>
        </w:tabs>
        <w:suppressAutoHyphens w:val="0"/>
        <w:ind w:left="284" w:hanging="284"/>
        <w:rPr>
          <w:bCs/>
          <w:sz w:val="22"/>
          <w:szCs w:val="22"/>
          <w:lang w:eastAsia="en-US"/>
        </w:rPr>
      </w:pPr>
      <w:r w:rsidRPr="00224BE9">
        <w:rPr>
          <w:bCs/>
          <w:sz w:val="22"/>
          <w:szCs w:val="22"/>
          <w:lang w:eastAsia="en-US"/>
        </w:rPr>
        <w:t>Célstruktúra megváltozása: A 23S rRNS metilációja csökkenti a riboszomális kötőhelyekhez való affinitást, amely a makrolidok (M), a linkózamidok (L) és a B csoportú sztreptograminok (SB) iránti rezisztenciához vezet (MLSB-fenotípusnak nevezik). A rezisztenciáért felelős metilázokat az erm gének kódolják. A 23S rRNS célstruktúrájában bekövetkező mutációk vagy a riboszomális fehérjék nagy alegységének mutációi is csökkentik a riboszomális kötőhelyekhez való affinitást.</w:t>
      </w:r>
    </w:p>
    <w:p w14:paraId="5CDA731F" w14:textId="42D32DAB" w:rsidR="00224BE9" w:rsidRPr="00224BE9" w:rsidRDefault="00224BE9" w:rsidP="00EF1044">
      <w:pPr>
        <w:numPr>
          <w:ilvl w:val="0"/>
          <w:numId w:val="13"/>
        </w:numPr>
        <w:tabs>
          <w:tab w:val="num" w:pos="284"/>
        </w:tabs>
        <w:suppressAutoHyphens w:val="0"/>
        <w:ind w:left="284" w:hanging="284"/>
        <w:rPr>
          <w:bCs/>
          <w:sz w:val="22"/>
          <w:szCs w:val="22"/>
          <w:lang w:eastAsia="en-US"/>
        </w:rPr>
      </w:pPr>
      <w:r w:rsidRPr="00224BE9">
        <w:rPr>
          <w:bCs/>
          <w:sz w:val="22"/>
          <w:szCs w:val="22"/>
          <w:lang w:eastAsia="en-US"/>
        </w:rPr>
        <w:t>A makrolidok enzimatikus inaktivációja kisebb klinikai jelentőségű.</w:t>
      </w:r>
    </w:p>
    <w:p w14:paraId="437F4B92" w14:textId="77777777" w:rsidR="00224BE9" w:rsidRPr="00224BE9" w:rsidRDefault="00224BE9" w:rsidP="00224BE9">
      <w:pPr>
        <w:suppressAutoHyphens w:val="0"/>
        <w:rPr>
          <w:bCs/>
          <w:sz w:val="22"/>
          <w:szCs w:val="22"/>
          <w:lang w:eastAsia="en-US"/>
        </w:rPr>
      </w:pPr>
    </w:p>
    <w:p w14:paraId="0582FBAE" w14:textId="77777777" w:rsidR="00224BE9" w:rsidRPr="00224BE9" w:rsidRDefault="00224BE9" w:rsidP="00224BE9">
      <w:pPr>
        <w:suppressAutoHyphens w:val="0"/>
        <w:rPr>
          <w:bCs/>
          <w:sz w:val="22"/>
          <w:szCs w:val="22"/>
          <w:lang w:eastAsia="en-US"/>
        </w:rPr>
      </w:pPr>
      <w:r w:rsidRPr="00224BE9">
        <w:rPr>
          <w:bCs/>
          <w:sz w:val="22"/>
          <w:szCs w:val="22"/>
          <w:lang w:eastAsia="en-US"/>
        </w:rPr>
        <w:t>Az M-fenotípus esetében teljes keresztrezisztenciát figyeltek meg az azitromicin, a klaritromicin, az eritromicin és a roxitromicin között. Az MLSB-fenotípus további keresztrezisztenciát mutat a klindamicinnel és a sztreptogramin B-vel. A 16 tagú gyűrűs spiramicinnel részleges a keresztrezisztencia.</w:t>
      </w:r>
    </w:p>
    <w:p w14:paraId="0CFDFB4F" w14:textId="77777777" w:rsidR="00224BE9" w:rsidRPr="00224BE9" w:rsidRDefault="00224BE9" w:rsidP="00224BE9">
      <w:pPr>
        <w:suppressAutoHyphens w:val="0"/>
        <w:rPr>
          <w:bCs/>
          <w:sz w:val="22"/>
          <w:szCs w:val="22"/>
          <w:lang w:eastAsia="en-US"/>
        </w:rPr>
      </w:pPr>
      <w:r w:rsidRPr="00224BE9">
        <w:rPr>
          <w:bCs/>
          <w:sz w:val="22"/>
          <w:szCs w:val="22"/>
          <w:lang w:eastAsia="en-US"/>
        </w:rPr>
        <w:t>A külső membrán alacsony p</w:t>
      </w:r>
      <w:r w:rsidRPr="00224BE9">
        <w:rPr>
          <w:sz w:val="22"/>
          <w:szCs w:val="22"/>
          <w:lang w:eastAsia="en-US"/>
        </w:rPr>
        <w:t xml:space="preserve">ermeabilitása miatt a legtöbb Gram-negatív faj eredendően rezisztens a makrolidokkal szemben. </w:t>
      </w:r>
      <w:bookmarkEnd w:id="9"/>
    </w:p>
    <w:p w14:paraId="069EC8EA" w14:textId="77777777" w:rsidR="00224BE9" w:rsidRPr="00224BE9" w:rsidRDefault="00224BE9" w:rsidP="00224BE9">
      <w:pPr>
        <w:suppressAutoHyphens w:val="0"/>
        <w:rPr>
          <w:bCs/>
          <w:sz w:val="22"/>
          <w:szCs w:val="22"/>
          <w:lang w:eastAsia="en-US"/>
        </w:rPr>
      </w:pPr>
    </w:p>
    <w:p w14:paraId="148E69DD" w14:textId="77777777" w:rsidR="00224BE9" w:rsidRPr="00224BE9" w:rsidRDefault="00224BE9" w:rsidP="00224BE9">
      <w:pPr>
        <w:suppressAutoHyphens w:val="0"/>
        <w:rPr>
          <w:bCs/>
          <w:sz w:val="22"/>
          <w:szCs w:val="22"/>
          <w:u w:val="single"/>
          <w:lang w:eastAsia="en-US"/>
        </w:rPr>
      </w:pPr>
      <w:r w:rsidRPr="00224BE9">
        <w:rPr>
          <w:bCs/>
          <w:sz w:val="22"/>
          <w:szCs w:val="22"/>
          <w:u w:val="single"/>
          <w:lang w:eastAsia="en-US"/>
        </w:rPr>
        <w:t xml:space="preserve">Érzékenységi vizsgálat határértékei </w:t>
      </w:r>
    </w:p>
    <w:p w14:paraId="3680073F" w14:textId="77777777" w:rsidR="00224BE9" w:rsidRPr="00224BE9" w:rsidRDefault="00224BE9" w:rsidP="00224BE9">
      <w:pPr>
        <w:suppressAutoHyphens w:val="0"/>
        <w:rPr>
          <w:bCs/>
          <w:sz w:val="22"/>
          <w:szCs w:val="22"/>
          <w:lang w:eastAsia="en-US"/>
        </w:rPr>
      </w:pPr>
      <w:bookmarkStart w:id="10" w:name="_Hlk208868976"/>
      <w:r w:rsidRPr="00224BE9">
        <w:rPr>
          <w:bCs/>
          <w:sz w:val="22"/>
          <w:szCs w:val="22"/>
          <w:lang w:eastAsia="en-US"/>
        </w:rPr>
        <w:t xml:space="preserve">A European Committee on Antimicrobial Susceptibility Testing (EUCAST) az azitromicin vonatkozásában megállapította az érzékenységi vizsgálathoz a MIC (minimális gátló koncentráció) értelmezési kritériumait, amelyek felsorolása itt található: </w:t>
      </w:r>
    </w:p>
    <w:p w14:paraId="68A2CC0F" w14:textId="77777777" w:rsidR="00224BE9" w:rsidRPr="00224BE9" w:rsidRDefault="00224BE9" w:rsidP="00224BE9">
      <w:pPr>
        <w:suppressAutoHyphens w:val="0"/>
        <w:rPr>
          <w:sz w:val="22"/>
          <w:szCs w:val="22"/>
          <w:lang w:eastAsia="en-US"/>
        </w:rPr>
      </w:pPr>
      <w:hyperlink r:id="rId13" w:history="1">
        <w:r w:rsidRPr="00224BE9">
          <w:rPr>
            <w:color w:val="0000FF"/>
            <w:sz w:val="22"/>
            <w:szCs w:val="22"/>
            <w:u w:val="single"/>
            <w:lang w:eastAsia="en-US"/>
          </w:rPr>
          <w:t>https://www.ema.europa.eu/documents/other/minimum-inhibitory-concentration-mic-breakpoints_en.xlsx</w:t>
        </w:r>
      </w:hyperlink>
    </w:p>
    <w:bookmarkEnd w:id="10"/>
    <w:p w14:paraId="487B42ED" w14:textId="77777777" w:rsidR="00224BE9" w:rsidRPr="00224BE9" w:rsidRDefault="00224BE9" w:rsidP="00224BE9">
      <w:pPr>
        <w:suppressAutoHyphens w:val="0"/>
        <w:rPr>
          <w:sz w:val="22"/>
          <w:szCs w:val="22"/>
          <w:lang w:eastAsia="en-US"/>
        </w:rPr>
      </w:pPr>
    </w:p>
    <w:p w14:paraId="3BC35205" w14:textId="77777777" w:rsidR="00224BE9" w:rsidRPr="00224BE9" w:rsidRDefault="00224BE9" w:rsidP="00224BE9">
      <w:pPr>
        <w:suppressAutoHyphens w:val="0"/>
        <w:rPr>
          <w:sz w:val="22"/>
          <w:szCs w:val="22"/>
          <w:u w:val="single"/>
          <w:lang w:eastAsia="en-US"/>
        </w:rPr>
      </w:pPr>
      <w:bookmarkStart w:id="11" w:name="_Hlk208869012"/>
      <w:r w:rsidRPr="00224BE9">
        <w:rPr>
          <w:sz w:val="22"/>
          <w:szCs w:val="22"/>
          <w:u w:val="single"/>
          <w:lang w:eastAsia="en-US"/>
        </w:rPr>
        <w:t>Szerzett rezisztencia prevalenciája</w:t>
      </w:r>
    </w:p>
    <w:bookmarkEnd w:id="11"/>
    <w:p w14:paraId="4F2E4E13" w14:textId="77777777" w:rsidR="00224BE9" w:rsidRPr="00224BE9" w:rsidRDefault="00224BE9" w:rsidP="00224BE9">
      <w:pPr>
        <w:suppressAutoHyphens w:val="0"/>
        <w:rPr>
          <w:sz w:val="22"/>
          <w:szCs w:val="22"/>
          <w:lang w:eastAsia="en-US"/>
        </w:rPr>
      </w:pPr>
      <w:r w:rsidRPr="00224BE9">
        <w:rPr>
          <w:sz w:val="22"/>
          <w:szCs w:val="22"/>
          <w:lang w:eastAsia="en-US"/>
        </w:rPr>
        <w:t xml:space="preserve">A szerzett rezisztencia prevalenciája földrajzilag és időben változhat a kiválasztott fajok esetében, ezért a rezisztenciára vonatkozó helyi információk fontosak, különösen súlyos fertőzések kezelésekor. Szükség esetén szakértői </w:t>
      </w:r>
      <w:bookmarkStart w:id="12" w:name="_Hlk208869148"/>
      <w:r w:rsidRPr="00224BE9">
        <w:rPr>
          <w:sz w:val="22"/>
          <w:szCs w:val="22"/>
          <w:lang w:eastAsia="en-US"/>
        </w:rPr>
        <w:t>véleményt kell kérni, ha a rezisztencia helyi prevalenciája a fertőzések legalább néhány típusában megkérdőjelezi a készítmény hatásosságát. Különösen súlyos fertőzések vagy a terápia sikertelensége esetében törekedni kell a patogén azonosításával és annak azitromicin iránti érzékenységének meghatározásával történő mikrobiológiai diagnózis felállítására.</w:t>
      </w:r>
      <w:bookmarkEnd w:id="12"/>
    </w:p>
    <w:p w14:paraId="3E761AF3" w14:textId="77777777" w:rsidR="00224BE9" w:rsidRPr="00224BE9" w:rsidRDefault="00224BE9" w:rsidP="00224BE9">
      <w:pPr>
        <w:suppressAutoHyphens w:val="0"/>
        <w:rPr>
          <w:sz w:val="22"/>
          <w:szCs w:val="22"/>
          <w:lang w:eastAsia="en-US"/>
        </w:rPr>
      </w:pPr>
    </w:p>
    <w:p w14:paraId="53F4B345" w14:textId="77777777" w:rsidR="00224BE9" w:rsidRPr="00224BE9" w:rsidRDefault="00224BE9" w:rsidP="00224BE9">
      <w:pPr>
        <w:suppressAutoHyphens w:val="0"/>
        <w:rPr>
          <w:sz w:val="22"/>
          <w:szCs w:val="22"/>
          <w:lang w:eastAsia="en-US"/>
        </w:rPr>
      </w:pPr>
      <w:r w:rsidRPr="00224BE9">
        <w:rPr>
          <w:sz w:val="22"/>
          <w:szCs w:val="22"/>
          <w:lang w:eastAsia="en-US"/>
        </w:rPr>
        <w:t>4. táblázat: Szerzett rezisztencia prevalenciája</w:t>
      </w:r>
    </w:p>
    <w:tbl>
      <w:tblPr>
        <w:tblW w:w="847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8472"/>
      </w:tblGrid>
      <w:tr w:rsidR="00224BE9" w:rsidRPr="00224BE9" w14:paraId="0359F896" w14:textId="77777777" w:rsidTr="00F80076">
        <w:tc>
          <w:tcPr>
            <w:tcW w:w="8472" w:type="dxa"/>
            <w:tcBorders>
              <w:top w:val="single" w:sz="4" w:space="0" w:color="auto"/>
              <w:bottom w:val="single" w:sz="4" w:space="0" w:color="auto"/>
            </w:tcBorders>
          </w:tcPr>
          <w:p w14:paraId="6D8E337B" w14:textId="77777777" w:rsidR="00224BE9" w:rsidRPr="00224BE9" w:rsidRDefault="00224BE9" w:rsidP="00224BE9">
            <w:pPr>
              <w:suppressAutoHyphens w:val="0"/>
              <w:rPr>
                <w:sz w:val="22"/>
                <w:szCs w:val="22"/>
                <w:lang w:eastAsia="en-US"/>
              </w:rPr>
            </w:pPr>
            <w:r w:rsidRPr="00224BE9">
              <w:rPr>
                <w:b/>
                <w:sz w:val="22"/>
                <w:szCs w:val="22"/>
                <w:lang w:eastAsia="en-US"/>
              </w:rPr>
              <w:t>Általában érzékeny fajok</w:t>
            </w:r>
          </w:p>
        </w:tc>
      </w:tr>
      <w:tr w:rsidR="00224BE9" w:rsidRPr="00224BE9" w14:paraId="4745F70A" w14:textId="77777777" w:rsidTr="00F80076">
        <w:tc>
          <w:tcPr>
            <w:tcW w:w="8472" w:type="dxa"/>
            <w:tcBorders>
              <w:top w:val="single" w:sz="4" w:space="0" w:color="auto"/>
              <w:bottom w:val="single" w:sz="4" w:space="0" w:color="auto"/>
            </w:tcBorders>
          </w:tcPr>
          <w:p w14:paraId="2DA2528F" w14:textId="77777777" w:rsidR="00224BE9" w:rsidRPr="00224BE9" w:rsidRDefault="00224BE9" w:rsidP="00224BE9">
            <w:pPr>
              <w:suppressAutoHyphens w:val="0"/>
              <w:autoSpaceDE w:val="0"/>
              <w:autoSpaceDN w:val="0"/>
              <w:adjustRightInd w:val="0"/>
              <w:rPr>
                <w:b/>
                <w:color w:val="000000"/>
                <w:sz w:val="24"/>
                <w:szCs w:val="22"/>
                <w:lang w:eastAsia="en-US"/>
              </w:rPr>
            </w:pPr>
            <w:r w:rsidRPr="00224BE9">
              <w:rPr>
                <w:b/>
                <w:bCs/>
                <w:i/>
                <w:iCs/>
                <w:color w:val="000000"/>
                <w:sz w:val="22"/>
                <w:szCs w:val="22"/>
                <w:lang w:eastAsia="en-US"/>
              </w:rPr>
              <w:t xml:space="preserve">Aerob Gram-pozitív mikroorganizmusok </w:t>
            </w:r>
          </w:p>
        </w:tc>
      </w:tr>
      <w:tr w:rsidR="00224BE9" w:rsidRPr="00224BE9" w14:paraId="767EFB81" w14:textId="77777777" w:rsidTr="00F80076">
        <w:tc>
          <w:tcPr>
            <w:tcW w:w="8472" w:type="dxa"/>
            <w:tcBorders>
              <w:top w:val="single" w:sz="4" w:space="0" w:color="auto"/>
              <w:bottom w:val="single" w:sz="4" w:space="0" w:color="auto"/>
            </w:tcBorders>
          </w:tcPr>
          <w:p w14:paraId="62231239" w14:textId="4E639EB6" w:rsidR="00224BE9" w:rsidRPr="00224BE9" w:rsidRDefault="008647DB" w:rsidP="00224BE9">
            <w:pPr>
              <w:suppressAutoHyphens w:val="0"/>
              <w:autoSpaceDE w:val="0"/>
              <w:autoSpaceDN w:val="0"/>
              <w:adjustRightInd w:val="0"/>
              <w:rPr>
                <w:b/>
                <w:color w:val="000000"/>
                <w:sz w:val="24"/>
                <w:szCs w:val="22"/>
                <w:lang w:eastAsia="en-US"/>
              </w:rPr>
            </w:pPr>
            <w:r>
              <w:rPr>
                <w:i/>
                <w:iCs/>
                <w:color w:val="000000"/>
                <w:sz w:val="22"/>
                <w:szCs w:val="22"/>
                <w:lang w:eastAsia="en-US"/>
              </w:rPr>
              <w:tab/>
            </w:r>
            <w:r w:rsidR="00224BE9" w:rsidRPr="00224BE9">
              <w:rPr>
                <w:i/>
                <w:iCs/>
                <w:color w:val="000000"/>
                <w:sz w:val="22"/>
                <w:szCs w:val="22"/>
                <w:lang w:eastAsia="en-US"/>
              </w:rPr>
              <w:t xml:space="preserve">Streptococcus pyogenes </w:t>
            </w:r>
          </w:p>
        </w:tc>
      </w:tr>
      <w:tr w:rsidR="00224BE9" w:rsidRPr="00224BE9" w14:paraId="51A4C3F4" w14:textId="77777777" w:rsidTr="00F80076">
        <w:tc>
          <w:tcPr>
            <w:tcW w:w="8472" w:type="dxa"/>
            <w:tcBorders>
              <w:top w:val="single" w:sz="4" w:space="0" w:color="auto"/>
              <w:left w:val="single" w:sz="4" w:space="0" w:color="auto"/>
              <w:bottom w:val="nil"/>
              <w:right w:val="single" w:sz="4" w:space="0" w:color="auto"/>
            </w:tcBorders>
          </w:tcPr>
          <w:p w14:paraId="00838C29" w14:textId="77777777" w:rsidR="00224BE9" w:rsidRPr="00224BE9" w:rsidRDefault="00224BE9" w:rsidP="00224BE9">
            <w:pPr>
              <w:suppressAutoHyphens w:val="0"/>
              <w:rPr>
                <w:b/>
                <w:bCs/>
                <w:i/>
                <w:iCs/>
                <w:sz w:val="22"/>
                <w:szCs w:val="22"/>
                <w:lang w:eastAsia="en-US"/>
              </w:rPr>
            </w:pPr>
            <w:r w:rsidRPr="00224BE9">
              <w:rPr>
                <w:b/>
                <w:bCs/>
                <w:i/>
                <w:iCs/>
                <w:sz w:val="22"/>
                <w:szCs w:val="22"/>
                <w:lang w:eastAsia="en-US"/>
              </w:rPr>
              <w:t>Aerob Gram-negatív mikroorganizmusok</w:t>
            </w:r>
          </w:p>
        </w:tc>
      </w:tr>
      <w:tr w:rsidR="00224BE9" w:rsidRPr="00224BE9" w14:paraId="6954EFD8" w14:textId="77777777" w:rsidTr="00F80076">
        <w:tc>
          <w:tcPr>
            <w:tcW w:w="8472" w:type="dxa"/>
            <w:tcBorders>
              <w:top w:val="single" w:sz="4" w:space="0" w:color="auto"/>
            </w:tcBorders>
          </w:tcPr>
          <w:p w14:paraId="38FE5749" w14:textId="503D37D3" w:rsidR="00224BE9" w:rsidRPr="00224BE9" w:rsidRDefault="008647DB" w:rsidP="00224BE9">
            <w:pPr>
              <w:suppressAutoHyphens w:val="0"/>
              <w:rPr>
                <w:i/>
                <w:sz w:val="22"/>
                <w:szCs w:val="22"/>
                <w:lang w:eastAsia="en-US"/>
              </w:rPr>
            </w:pPr>
            <w:r>
              <w:rPr>
                <w:i/>
                <w:sz w:val="22"/>
                <w:szCs w:val="22"/>
                <w:lang w:eastAsia="en-US"/>
              </w:rPr>
              <w:tab/>
            </w:r>
            <w:r w:rsidR="00224BE9" w:rsidRPr="00224BE9">
              <w:rPr>
                <w:i/>
                <w:sz w:val="22"/>
                <w:szCs w:val="22"/>
                <w:lang w:eastAsia="en-US"/>
              </w:rPr>
              <w:t>Haemophilus influenzae</w:t>
            </w:r>
          </w:p>
          <w:p w14:paraId="10676330" w14:textId="0AAE215C" w:rsidR="00224BE9" w:rsidRPr="00224BE9" w:rsidRDefault="008647DB" w:rsidP="00224BE9">
            <w:pPr>
              <w:suppressAutoHyphens w:val="0"/>
              <w:autoSpaceDE w:val="0"/>
              <w:autoSpaceDN w:val="0"/>
              <w:adjustRightInd w:val="0"/>
              <w:rPr>
                <w:color w:val="000000"/>
                <w:sz w:val="24"/>
                <w:szCs w:val="22"/>
                <w:lang w:eastAsia="en-US"/>
              </w:rPr>
            </w:pPr>
            <w:r>
              <w:rPr>
                <w:i/>
                <w:iCs/>
                <w:color w:val="000000"/>
                <w:sz w:val="22"/>
                <w:szCs w:val="22"/>
                <w:lang w:eastAsia="en-US"/>
              </w:rPr>
              <w:tab/>
            </w:r>
            <w:r w:rsidR="00224BE9" w:rsidRPr="00224BE9">
              <w:rPr>
                <w:i/>
                <w:iCs/>
                <w:color w:val="000000"/>
                <w:sz w:val="22"/>
                <w:szCs w:val="22"/>
                <w:lang w:eastAsia="en-US"/>
              </w:rPr>
              <w:t>Legionella pneumophila</w:t>
            </w:r>
            <w:r w:rsidR="00224BE9" w:rsidRPr="00EF1044">
              <w:rPr>
                <w:i/>
                <w:iCs/>
                <w:color w:val="000000"/>
                <w:sz w:val="22"/>
                <w:szCs w:val="22"/>
                <w:lang w:eastAsia="en-US"/>
              </w:rPr>
              <w:t>°</w:t>
            </w:r>
          </w:p>
        </w:tc>
      </w:tr>
      <w:tr w:rsidR="00224BE9" w:rsidRPr="00224BE9" w14:paraId="6A910084" w14:textId="77777777" w:rsidTr="00F80076">
        <w:tc>
          <w:tcPr>
            <w:tcW w:w="8472" w:type="dxa"/>
            <w:tcBorders>
              <w:bottom w:val="single" w:sz="4" w:space="0" w:color="auto"/>
            </w:tcBorders>
          </w:tcPr>
          <w:p w14:paraId="7A820F47" w14:textId="0F3179CF" w:rsidR="00224BE9" w:rsidRPr="00224BE9" w:rsidRDefault="008647DB" w:rsidP="00224BE9">
            <w:pPr>
              <w:suppressAutoHyphens w:val="0"/>
              <w:rPr>
                <w:sz w:val="22"/>
                <w:szCs w:val="22"/>
                <w:lang w:eastAsia="en-US"/>
              </w:rPr>
            </w:pPr>
            <w:r>
              <w:rPr>
                <w:i/>
                <w:sz w:val="22"/>
                <w:szCs w:val="22"/>
                <w:lang w:eastAsia="en-US"/>
              </w:rPr>
              <w:tab/>
            </w:r>
            <w:r w:rsidR="00224BE9" w:rsidRPr="00224BE9">
              <w:rPr>
                <w:i/>
                <w:sz w:val="22"/>
                <w:szCs w:val="22"/>
                <w:lang w:eastAsia="en-US"/>
              </w:rPr>
              <w:t>Moraxella catarrhalis</w:t>
            </w:r>
          </w:p>
        </w:tc>
      </w:tr>
      <w:tr w:rsidR="005B5B04" w:rsidRPr="00224BE9" w14:paraId="0FA9BB45" w14:textId="77777777" w:rsidTr="00F80076">
        <w:tc>
          <w:tcPr>
            <w:tcW w:w="8472" w:type="dxa"/>
            <w:tcBorders>
              <w:bottom w:val="single" w:sz="4" w:space="0" w:color="auto"/>
            </w:tcBorders>
          </w:tcPr>
          <w:p w14:paraId="5358C5D1" w14:textId="4F6FA63E" w:rsidR="005B5B04" w:rsidRPr="00EF1044" w:rsidRDefault="005B5B04" w:rsidP="00224BE9">
            <w:pPr>
              <w:suppressAutoHyphens w:val="0"/>
              <w:rPr>
                <w:b/>
                <w:bCs/>
                <w:i/>
                <w:sz w:val="22"/>
                <w:szCs w:val="22"/>
                <w:lang w:eastAsia="en-US"/>
              </w:rPr>
            </w:pPr>
            <w:r w:rsidRPr="00EF1044">
              <w:rPr>
                <w:b/>
                <w:bCs/>
                <w:i/>
                <w:sz w:val="22"/>
                <w:szCs w:val="22"/>
                <w:lang w:eastAsia="en-US"/>
              </w:rPr>
              <w:t>Anaerob mikroorganizmusok</w:t>
            </w:r>
          </w:p>
        </w:tc>
      </w:tr>
      <w:tr w:rsidR="005B5B04" w:rsidRPr="00224BE9" w14:paraId="19666A0E" w14:textId="77777777" w:rsidTr="00F80076">
        <w:tc>
          <w:tcPr>
            <w:tcW w:w="8472" w:type="dxa"/>
            <w:tcBorders>
              <w:bottom w:val="single" w:sz="4" w:space="0" w:color="auto"/>
            </w:tcBorders>
          </w:tcPr>
          <w:p w14:paraId="31FBBB09" w14:textId="0AA224F7" w:rsidR="005B5B04" w:rsidRPr="00EF1044" w:rsidRDefault="005B5B04" w:rsidP="00224BE9">
            <w:pPr>
              <w:suppressAutoHyphens w:val="0"/>
              <w:rPr>
                <w:iCs/>
                <w:sz w:val="22"/>
                <w:szCs w:val="22"/>
                <w:lang w:eastAsia="en-US"/>
              </w:rPr>
            </w:pPr>
            <w:r>
              <w:rPr>
                <w:i/>
                <w:sz w:val="22"/>
                <w:szCs w:val="22"/>
                <w:lang w:eastAsia="en-US"/>
              </w:rPr>
              <w:tab/>
            </w:r>
            <w:r w:rsidRPr="005B5B04">
              <w:rPr>
                <w:i/>
                <w:sz w:val="22"/>
                <w:szCs w:val="22"/>
                <w:lang w:eastAsia="en-US"/>
              </w:rPr>
              <w:t xml:space="preserve">Peptostreptococcus </w:t>
            </w:r>
            <w:r w:rsidRPr="00EF1044">
              <w:rPr>
                <w:iCs/>
                <w:sz w:val="22"/>
                <w:szCs w:val="22"/>
                <w:lang w:eastAsia="en-US"/>
              </w:rPr>
              <w:t>spp.</w:t>
            </w:r>
          </w:p>
          <w:p w14:paraId="457B7128" w14:textId="2F54B23D" w:rsidR="005B5B04" w:rsidRDefault="005B5B04" w:rsidP="00224BE9">
            <w:pPr>
              <w:suppressAutoHyphens w:val="0"/>
              <w:rPr>
                <w:i/>
                <w:sz w:val="22"/>
                <w:szCs w:val="22"/>
                <w:lang w:eastAsia="en-US"/>
              </w:rPr>
            </w:pPr>
            <w:r>
              <w:rPr>
                <w:i/>
                <w:sz w:val="22"/>
                <w:szCs w:val="22"/>
                <w:lang w:eastAsia="en-US"/>
              </w:rPr>
              <w:tab/>
            </w:r>
            <w:r w:rsidRPr="005B5B04">
              <w:rPr>
                <w:i/>
                <w:sz w:val="22"/>
                <w:szCs w:val="22"/>
                <w:lang w:eastAsia="en-US"/>
              </w:rPr>
              <w:t>Porphyromonas gingivalis</w:t>
            </w:r>
          </w:p>
          <w:p w14:paraId="408147FC" w14:textId="31A39823" w:rsidR="005B5B04" w:rsidRDefault="005B5B04" w:rsidP="00224BE9">
            <w:pPr>
              <w:suppressAutoHyphens w:val="0"/>
              <w:rPr>
                <w:i/>
                <w:sz w:val="22"/>
                <w:szCs w:val="22"/>
                <w:lang w:eastAsia="en-US"/>
              </w:rPr>
            </w:pPr>
            <w:r>
              <w:rPr>
                <w:i/>
                <w:sz w:val="22"/>
                <w:szCs w:val="22"/>
                <w:lang w:eastAsia="en-US"/>
              </w:rPr>
              <w:tab/>
            </w:r>
            <w:r w:rsidRPr="005B5B04">
              <w:rPr>
                <w:i/>
                <w:sz w:val="22"/>
                <w:szCs w:val="22"/>
                <w:lang w:eastAsia="en-US"/>
              </w:rPr>
              <w:t>Tannerella forsythia</w:t>
            </w:r>
          </w:p>
          <w:p w14:paraId="6812196D" w14:textId="34BFED3D" w:rsidR="005B5B04" w:rsidRDefault="005B5B04" w:rsidP="00224BE9">
            <w:pPr>
              <w:suppressAutoHyphens w:val="0"/>
              <w:rPr>
                <w:i/>
                <w:sz w:val="22"/>
                <w:szCs w:val="22"/>
                <w:lang w:eastAsia="en-US"/>
              </w:rPr>
            </w:pPr>
            <w:r>
              <w:rPr>
                <w:i/>
                <w:sz w:val="22"/>
                <w:szCs w:val="22"/>
                <w:lang w:eastAsia="en-US"/>
              </w:rPr>
              <w:tab/>
            </w:r>
            <w:r w:rsidRPr="005B5B04">
              <w:rPr>
                <w:i/>
                <w:sz w:val="22"/>
                <w:szCs w:val="22"/>
                <w:lang w:eastAsia="en-US"/>
              </w:rPr>
              <w:t>Treponema denticola</w:t>
            </w:r>
          </w:p>
        </w:tc>
      </w:tr>
      <w:tr w:rsidR="00224BE9" w:rsidRPr="00224BE9" w14:paraId="0879A6C4" w14:textId="77777777" w:rsidTr="00F80076">
        <w:tc>
          <w:tcPr>
            <w:tcW w:w="8472" w:type="dxa"/>
            <w:tcBorders>
              <w:top w:val="single" w:sz="4" w:space="0" w:color="auto"/>
              <w:left w:val="single" w:sz="4" w:space="0" w:color="auto"/>
              <w:bottom w:val="nil"/>
              <w:right w:val="single" w:sz="4" w:space="0" w:color="auto"/>
            </w:tcBorders>
          </w:tcPr>
          <w:p w14:paraId="57CDAD2E" w14:textId="77777777" w:rsidR="00224BE9" w:rsidRPr="00224BE9" w:rsidRDefault="00224BE9" w:rsidP="00224BE9">
            <w:pPr>
              <w:suppressAutoHyphens w:val="0"/>
              <w:rPr>
                <w:b/>
                <w:bCs/>
                <w:i/>
                <w:iCs/>
                <w:sz w:val="22"/>
                <w:szCs w:val="22"/>
                <w:lang w:eastAsia="en-US"/>
              </w:rPr>
            </w:pPr>
            <w:r w:rsidRPr="00224BE9">
              <w:rPr>
                <w:b/>
                <w:bCs/>
                <w:i/>
                <w:iCs/>
                <w:sz w:val="22"/>
                <w:szCs w:val="22"/>
                <w:lang w:eastAsia="en-US"/>
              </w:rPr>
              <w:t>Egyéb mikroorganizmusok</w:t>
            </w:r>
          </w:p>
        </w:tc>
      </w:tr>
      <w:tr w:rsidR="00224BE9" w:rsidRPr="00224BE9" w14:paraId="07389B64" w14:textId="77777777" w:rsidTr="00F80076">
        <w:tc>
          <w:tcPr>
            <w:tcW w:w="8472" w:type="dxa"/>
            <w:tcBorders>
              <w:top w:val="single" w:sz="4" w:space="0" w:color="auto"/>
            </w:tcBorders>
          </w:tcPr>
          <w:p w14:paraId="607991E0" w14:textId="77777777" w:rsidR="005B5B04" w:rsidRDefault="00F90B07" w:rsidP="00EF1044">
            <w:pPr>
              <w:suppressAutoHyphens w:val="0"/>
              <w:ind w:left="567" w:hanging="567"/>
              <w:rPr>
                <w:iCs/>
                <w:sz w:val="22"/>
                <w:szCs w:val="22"/>
                <w:lang w:eastAsia="en-US"/>
              </w:rPr>
            </w:pPr>
            <w:r>
              <w:rPr>
                <w:i/>
                <w:iCs/>
                <w:sz w:val="22"/>
                <w:szCs w:val="22"/>
                <w:lang w:eastAsia="en-US"/>
              </w:rPr>
              <w:tab/>
            </w:r>
            <w:r w:rsidR="005B5B04">
              <w:rPr>
                <w:i/>
                <w:sz w:val="22"/>
                <w:szCs w:val="22"/>
                <w:lang w:eastAsia="en-US"/>
              </w:rPr>
              <w:t>A</w:t>
            </w:r>
            <w:r w:rsidR="005B5B04" w:rsidRPr="005B5B04">
              <w:rPr>
                <w:i/>
                <w:sz w:val="22"/>
                <w:szCs w:val="22"/>
                <w:lang w:eastAsia="en-US"/>
              </w:rPr>
              <w:t xml:space="preserve">ggregatibacter actinomycetemcomitans </w:t>
            </w:r>
            <w:r w:rsidR="005B5B04" w:rsidRPr="00F80076">
              <w:rPr>
                <w:iCs/>
                <w:sz w:val="22"/>
                <w:szCs w:val="22"/>
                <w:lang w:eastAsia="en-US"/>
              </w:rPr>
              <w:t>(korábban</w:t>
            </w:r>
            <w:r w:rsidR="005B5B04" w:rsidRPr="005B5B04">
              <w:rPr>
                <w:i/>
                <w:sz w:val="22"/>
                <w:szCs w:val="22"/>
                <w:lang w:eastAsia="en-US"/>
              </w:rPr>
              <w:t xml:space="preserve"> Actinobacillus actinomycetemcomitans</w:t>
            </w:r>
            <w:r w:rsidR="005B5B04" w:rsidRPr="00F80076">
              <w:rPr>
                <w:iCs/>
                <w:sz w:val="22"/>
                <w:szCs w:val="22"/>
                <w:lang w:eastAsia="en-US"/>
              </w:rPr>
              <w:t>)</w:t>
            </w:r>
          </w:p>
          <w:p w14:paraId="3DFF53A4" w14:textId="4980CD3D" w:rsidR="00224BE9" w:rsidRPr="00EF1044" w:rsidRDefault="005B5B04" w:rsidP="00224BE9">
            <w:pPr>
              <w:suppressAutoHyphens w:val="0"/>
              <w:rPr>
                <w:i/>
                <w:iCs/>
                <w:sz w:val="22"/>
                <w:szCs w:val="22"/>
                <w:lang w:eastAsia="en-US"/>
              </w:rPr>
            </w:pPr>
            <w:r>
              <w:rPr>
                <w:i/>
                <w:iCs/>
                <w:sz w:val="22"/>
                <w:szCs w:val="22"/>
                <w:lang w:eastAsia="en-US"/>
              </w:rPr>
              <w:tab/>
            </w:r>
            <w:r w:rsidR="00F90B07" w:rsidRPr="00F90B07">
              <w:rPr>
                <w:i/>
                <w:iCs/>
                <w:sz w:val="22"/>
                <w:szCs w:val="22"/>
                <w:lang w:eastAsia="en-US"/>
              </w:rPr>
              <w:t>Borrelia burgdorferi</w:t>
            </w:r>
          </w:p>
        </w:tc>
      </w:tr>
      <w:tr w:rsidR="00224BE9" w:rsidRPr="00224BE9" w14:paraId="3925DC8C" w14:textId="77777777" w:rsidTr="00F80076">
        <w:tc>
          <w:tcPr>
            <w:tcW w:w="8472" w:type="dxa"/>
          </w:tcPr>
          <w:p w14:paraId="21ADF285" w14:textId="70927EBC" w:rsidR="00224BE9" w:rsidRDefault="008647DB" w:rsidP="00224BE9">
            <w:pPr>
              <w:suppressAutoHyphens w:val="0"/>
              <w:rPr>
                <w:i/>
                <w:iCs/>
                <w:sz w:val="22"/>
                <w:szCs w:val="22"/>
                <w:lang w:eastAsia="en-US"/>
              </w:rPr>
            </w:pPr>
            <w:r>
              <w:rPr>
                <w:i/>
                <w:sz w:val="22"/>
                <w:szCs w:val="22"/>
                <w:lang w:eastAsia="en-US"/>
              </w:rPr>
              <w:tab/>
            </w:r>
            <w:r w:rsidR="00224BE9" w:rsidRPr="00224BE9">
              <w:rPr>
                <w:i/>
                <w:sz w:val="22"/>
                <w:szCs w:val="22"/>
                <w:lang w:eastAsia="en-US"/>
              </w:rPr>
              <w:t>Chlamydia trachomatis</w:t>
            </w:r>
            <w:r w:rsidR="00224BE9" w:rsidRPr="00EF1044">
              <w:rPr>
                <w:i/>
                <w:iCs/>
                <w:sz w:val="22"/>
                <w:szCs w:val="22"/>
                <w:lang w:eastAsia="en-US"/>
              </w:rPr>
              <w:t>°</w:t>
            </w:r>
          </w:p>
          <w:p w14:paraId="2F39839F" w14:textId="48964F3F" w:rsidR="005B5B04" w:rsidRPr="00224BE9" w:rsidRDefault="005B5B04" w:rsidP="00224BE9">
            <w:pPr>
              <w:suppressAutoHyphens w:val="0"/>
              <w:rPr>
                <w:i/>
                <w:iCs/>
                <w:sz w:val="22"/>
                <w:szCs w:val="22"/>
                <w:vertAlign w:val="superscript"/>
                <w:lang w:eastAsia="en-US"/>
              </w:rPr>
            </w:pPr>
            <w:r>
              <w:rPr>
                <w:i/>
                <w:iCs/>
                <w:sz w:val="22"/>
                <w:szCs w:val="22"/>
                <w:lang w:eastAsia="en-US"/>
              </w:rPr>
              <w:tab/>
            </w:r>
            <w:r w:rsidRPr="00224BE9">
              <w:rPr>
                <w:i/>
                <w:iCs/>
                <w:sz w:val="22"/>
                <w:szCs w:val="22"/>
                <w:lang w:eastAsia="en-US"/>
              </w:rPr>
              <w:t>Chlamydophila pneumoniae</w:t>
            </w:r>
            <w:r w:rsidRPr="00F80076">
              <w:rPr>
                <w:i/>
                <w:iCs/>
                <w:sz w:val="22"/>
                <w:szCs w:val="22"/>
                <w:lang w:eastAsia="en-US"/>
              </w:rPr>
              <w:t>°</w:t>
            </w:r>
          </w:p>
          <w:p w14:paraId="293D8BB8" w14:textId="075C36C3" w:rsidR="00224BE9" w:rsidRPr="00224BE9" w:rsidRDefault="008647DB" w:rsidP="00224BE9">
            <w:pPr>
              <w:suppressAutoHyphens w:val="0"/>
              <w:rPr>
                <w:sz w:val="22"/>
                <w:szCs w:val="22"/>
                <w:lang w:eastAsia="en-US"/>
              </w:rPr>
            </w:pPr>
            <w:r>
              <w:rPr>
                <w:i/>
                <w:iCs/>
                <w:sz w:val="22"/>
                <w:szCs w:val="22"/>
                <w:vertAlign w:val="superscript"/>
                <w:lang w:eastAsia="en-US"/>
              </w:rPr>
              <w:tab/>
            </w:r>
            <w:r w:rsidR="00224BE9" w:rsidRPr="00224BE9">
              <w:rPr>
                <w:i/>
                <w:sz w:val="22"/>
                <w:szCs w:val="22"/>
                <w:lang w:eastAsia="en-US"/>
              </w:rPr>
              <w:t>Chlamydophila psittaci</w:t>
            </w:r>
          </w:p>
        </w:tc>
      </w:tr>
      <w:tr w:rsidR="00224BE9" w:rsidRPr="00224BE9" w14:paraId="729C3E5C" w14:textId="77777777" w:rsidTr="00F80076">
        <w:tc>
          <w:tcPr>
            <w:tcW w:w="8472" w:type="dxa"/>
            <w:tcBorders>
              <w:top w:val="nil"/>
              <w:bottom w:val="single" w:sz="4" w:space="0" w:color="auto"/>
            </w:tcBorders>
          </w:tcPr>
          <w:p w14:paraId="7C8AC45E" w14:textId="6C686D4E" w:rsidR="00224BE9" w:rsidRPr="00224BE9" w:rsidRDefault="008647DB" w:rsidP="00224BE9">
            <w:pPr>
              <w:suppressAutoHyphens w:val="0"/>
              <w:rPr>
                <w:sz w:val="22"/>
                <w:szCs w:val="22"/>
                <w:lang w:eastAsia="en-US"/>
              </w:rPr>
            </w:pPr>
            <w:r>
              <w:rPr>
                <w:i/>
                <w:sz w:val="22"/>
                <w:szCs w:val="22"/>
                <w:lang w:eastAsia="en-US"/>
              </w:rPr>
              <w:tab/>
            </w:r>
            <w:r w:rsidR="00224BE9" w:rsidRPr="00224BE9">
              <w:rPr>
                <w:i/>
                <w:sz w:val="22"/>
                <w:szCs w:val="22"/>
                <w:lang w:eastAsia="en-US"/>
              </w:rPr>
              <w:t>Mycoplasma pneumoniae</w:t>
            </w:r>
            <w:r w:rsidR="00224BE9" w:rsidRPr="00EF1044">
              <w:rPr>
                <w:i/>
                <w:iCs/>
                <w:sz w:val="22"/>
                <w:szCs w:val="22"/>
                <w:lang w:eastAsia="en-US"/>
              </w:rPr>
              <w:t>°</w:t>
            </w:r>
          </w:p>
        </w:tc>
      </w:tr>
      <w:tr w:rsidR="005B5B04" w:rsidRPr="00224BE9" w14:paraId="7E2D7890" w14:textId="77777777" w:rsidTr="00F80076">
        <w:tc>
          <w:tcPr>
            <w:tcW w:w="8472" w:type="dxa"/>
            <w:tcBorders>
              <w:top w:val="nil"/>
              <w:bottom w:val="single" w:sz="4" w:space="0" w:color="auto"/>
            </w:tcBorders>
          </w:tcPr>
          <w:p w14:paraId="755CA4DC" w14:textId="38870AF4" w:rsidR="005B5B04" w:rsidRDefault="005B5B04" w:rsidP="00224BE9">
            <w:pPr>
              <w:suppressAutoHyphens w:val="0"/>
              <w:rPr>
                <w:i/>
                <w:sz w:val="22"/>
                <w:szCs w:val="22"/>
                <w:lang w:eastAsia="en-US"/>
              </w:rPr>
            </w:pPr>
            <w:r>
              <w:rPr>
                <w:i/>
                <w:sz w:val="22"/>
                <w:szCs w:val="22"/>
                <w:lang w:eastAsia="en-US"/>
              </w:rPr>
              <w:tab/>
            </w:r>
            <w:r w:rsidRPr="005B5B04">
              <w:rPr>
                <w:i/>
                <w:sz w:val="22"/>
                <w:szCs w:val="22"/>
                <w:lang w:eastAsia="en-US"/>
              </w:rPr>
              <w:t>Prevotella intermedia</w:t>
            </w:r>
          </w:p>
        </w:tc>
      </w:tr>
      <w:tr w:rsidR="00224BE9" w:rsidRPr="00224BE9" w14:paraId="049610FB" w14:textId="77777777" w:rsidTr="00F80076">
        <w:tc>
          <w:tcPr>
            <w:tcW w:w="8472" w:type="dxa"/>
            <w:tcBorders>
              <w:top w:val="nil"/>
              <w:left w:val="single" w:sz="4" w:space="0" w:color="auto"/>
              <w:bottom w:val="single" w:sz="4" w:space="0" w:color="auto"/>
              <w:right w:val="single" w:sz="4" w:space="0" w:color="auto"/>
            </w:tcBorders>
          </w:tcPr>
          <w:p w14:paraId="6F114522" w14:textId="77777777" w:rsidR="00224BE9" w:rsidRPr="00224BE9" w:rsidRDefault="00224BE9" w:rsidP="00224BE9">
            <w:pPr>
              <w:suppressAutoHyphens w:val="0"/>
              <w:rPr>
                <w:i/>
                <w:sz w:val="22"/>
                <w:szCs w:val="22"/>
                <w:lang w:eastAsia="en-US"/>
              </w:rPr>
            </w:pPr>
            <w:r w:rsidRPr="00224BE9">
              <w:rPr>
                <w:b/>
                <w:sz w:val="22"/>
                <w:szCs w:val="22"/>
                <w:lang w:eastAsia="en-US"/>
              </w:rPr>
              <w:t xml:space="preserve">Fajok, amelyeknél a szerzett rezisztencia problémát jelenthet </w:t>
            </w:r>
          </w:p>
        </w:tc>
      </w:tr>
      <w:tr w:rsidR="00224BE9" w:rsidRPr="00224BE9" w14:paraId="49263719" w14:textId="77777777" w:rsidTr="00F80076">
        <w:tc>
          <w:tcPr>
            <w:tcW w:w="8472" w:type="dxa"/>
            <w:tcBorders>
              <w:top w:val="single" w:sz="4" w:space="0" w:color="auto"/>
              <w:bottom w:val="single" w:sz="4" w:space="0" w:color="auto"/>
            </w:tcBorders>
          </w:tcPr>
          <w:p w14:paraId="0C1628C1" w14:textId="77777777" w:rsidR="00224BE9" w:rsidRPr="00224BE9" w:rsidRDefault="00224BE9" w:rsidP="00224BE9">
            <w:pPr>
              <w:suppressAutoHyphens w:val="0"/>
              <w:rPr>
                <w:b/>
                <w:bCs/>
                <w:i/>
                <w:iCs/>
                <w:sz w:val="22"/>
                <w:szCs w:val="22"/>
                <w:lang w:eastAsia="en-US"/>
              </w:rPr>
            </w:pPr>
            <w:r w:rsidRPr="00224BE9">
              <w:rPr>
                <w:b/>
                <w:bCs/>
                <w:i/>
                <w:iCs/>
                <w:sz w:val="22"/>
                <w:szCs w:val="22"/>
                <w:lang w:eastAsia="en-US"/>
              </w:rPr>
              <w:lastRenderedPageBreak/>
              <w:t>Aerob Gram-pozitív mikroorganizmusok</w:t>
            </w:r>
          </w:p>
        </w:tc>
      </w:tr>
      <w:tr w:rsidR="00224BE9" w:rsidRPr="00224BE9" w14:paraId="3BF7B5C8" w14:textId="77777777" w:rsidTr="00F80076">
        <w:tc>
          <w:tcPr>
            <w:tcW w:w="8472" w:type="dxa"/>
            <w:tcBorders>
              <w:top w:val="single" w:sz="4" w:space="0" w:color="auto"/>
              <w:bottom w:val="single" w:sz="4" w:space="0" w:color="auto"/>
            </w:tcBorders>
          </w:tcPr>
          <w:p w14:paraId="5A1CA2C1" w14:textId="6FF005DE" w:rsidR="00224BE9" w:rsidRPr="00224BE9" w:rsidRDefault="008647DB" w:rsidP="00224BE9">
            <w:pPr>
              <w:suppressAutoHyphens w:val="0"/>
              <w:rPr>
                <w:i/>
                <w:iCs/>
                <w:sz w:val="22"/>
                <w:szCs w:val="22"/>
                <w:lang w:eastAsia="en-US"/>
              </w:rPr>
            </w:pPr>
            <w:r>
              <w:rPr>
                <w:i/>
                <w:iCs/>
                <w:sz w:val="22"/>
                <w:szCs w:val="22"/>
                <w:lang w:eastAsia="en-US"/>
              </w:rPr>
              <w:tab/>
            </w:r>
            <w:r w:rsidR="00224BE9" w:rsidRPr="00224BE9">
              <w:rPr>
                <w:i/>
                <w:iCs/>
                <w:sz w:val="22"/>
                <w:szCs w:val="22"/>
                <w:lang w:eastAsia="en-US"/>
              </w:rPr>
              <w:t>Staphylococcus aureus</w:t>
            </w:r>
            <w:r w:rsidR="00224BE9" w:rsidRPr="00224BE9">
              <w:rPr>
                <w:i/>
                <w:iCs/>
                <w:sz w:val="22"/>
                <w:szCs w:val="22"/>
                <w:vertAlign w:val="superscript"/>
                <w:lang w:eastAsia="en-US"/>
              </w:rPr>
              <w:t>+</w:t>
            </w:r>
          </w:p>
          <w:p w14:paraId="179CBCCD" w14:textId="27D7E4F2" w:rsidR="00224BE9" w:rsidRPr="00224BE9" w:rsidRDefault="008647DB" w:rsidP="00224BE9">
            <w:pPr>
              <w:suppressAutoHyphens w:val="0"/>
              <w:autoSpaceDE w:val="0"/>
              <w:autoSpaceDN w:val="0"/>
              <w:adjustRightInd w:val="0"/>
              <w:rPr>
                <w:color w:val="000000"/>
                <w:sz w:val="22"/>
                <w:szCs w:val="22"/>
                <w:lang w:eastAsia="en-US"/>
              </w:rPr>
            </w:pPr>
            <w:r>
              <w:rPr>
                <w:i/>
                <w:iCs/>
                <w:color w:val="000000"/>
                <w:sz w:val="22"/>
                <w:szCs w:val="22"/>
                <w:lang w:eastAsia="en-US"/>
              </w:rPr>
              <w:tab/>
            </w:r>
            <w:r w:rsidR="00224BE9" w:rsidRPr="00224BE9">
              <w:rPr>
                <w:i/>
                <w:iCs/>
                <w:color w:val="000000"/>
                <w:sz w:val="22"/>
                <w:szCs w:val="22"/>
                <w:lang w:eastAsia="en-US"/>
              </w:rPr>
              <w:t xml:space="preserve">Staphylococcus epidermidis </w:t>
            </w:r>
          </w:p>
          <w:p w14:paraId="7303D385" w14:textId="0C567F9C" w:rsidR="00224BE9" w:rsidRPr="00224BE9" w:rsidRDefault="008647DB" w:rsidP="00224BE9">
            <w:pPr>
              <w:suppressAutoHyphens w:val="0"/>
              <w:autoSpaceDE w:val="0"/>
              <w:autoSpaceDN w:val="0"/>
              <w:adjustRightInd w:val="0"/>
              <w:rPr>
                <w:color w:val="000000"/>
                <w:sz w:val="22"/>
                <w:szCs w:val="22"/>
                <w:lang w:eastAsia="en-US"/>
              </w:rPr>
            </w:pPr>
            <w:r>
              <w:rPr>
                <w:i/>
                <w:iCs/>
                <w:color w:val="000000"/>
                <w:sz w:val="22"/>
                <w:szCs w:val="22"/>
                <w:lang w:eastAsia="en-US"/>
              </w:rPr>
              <w:tab/>
            </w:r>
            <w:r w:rsidR="00224BE9" w:rsidRPr="00224BE9">
              <w:rPr>
                <w:i/>
                <w:iCs/>
                <w:color w:val="000000"/>
                <w:sz w:val="22"/>
                <w:szCs w:val="22"/>
                <w:lang w:eastAsia="en-US"/>
              </w:rPr>
              <w:t xml:space="preserve">Staphylococcus haemolyticus </w:t>
            </w:r>
          </w:p>
          <w:p w14:paraId="74D6875B" w14:textId="20734BBA" w:rsidR="00224BE9" w:rsidRDefault="008647DB" w:rsidP="00224BE9">
            <w:pPr>
              <w:suppressAutoHyphens w:val="0"/>
              <w:rPr>
                <w:i/>
                <w:iCs/>
                <w:sz w:val="22"/>
                <w:szCs w:val="22"/>
                <w:lang w:eastAsia="en-US"/>
              </w:rPr>
            </w:pPr>
            <w:r>
              <w:rPr>
                <w:i/>
                <w:iCs/>
                <w:sz w:val="22"/>
                <w:szCs w:val="22"/>
                <w:lang w:eastAsia="en-US"/>
              </w:rPr>
              <w:tab/>
            </w:r>
            <w:r w:rsidR="00224BE9" w:rsidRPr="00224BE9">
              <w:rPr>
                <w:i/>
                <w:iCs/>
                <w:sz w:val="22"/>
                <w:szCs w:val="22"/>
                <w:lang w:eastAsia="en-US"/>
              </w:rPr>
              <w:t>Staphylococcus hominis</w:t>
            </w:r>
          </w:p>
          <w:p w14:paraId="1BBF2640" w14:textId="1496EBBF" w:rsidR="00B077FE" w:rsidRPr="00224BE9" w:rsidRDefault="00B077FE" w:rsidP="00224BE9">
            <w:pPr>
              <w:suppressAutoHyphens w:val="0"/>
              <w:rPr>
                <w:i/>
                <w:iCs/>
                <w:sz w:val="22"/>
                <w:szCs w:val="22"/>
                <w:lang w:eastAsia="en-US"/>
              </w:rPr>
            </w:pPr>
            <w:r>
              <w:rPr>
                <w:i/>
                <w:iCs/>
                <w:sz w:val="22"/>
                <w:szCs w:val="22"/>
                <w:lang w:eastAsia="en-US"/>
              </w:rPr>
              <w:tab/>
            </w:r>
            <w:r w:rsidRPr="00B077FE">
              <w:rPr>
                <w:i/>
                <w:iCs/>
                <w:sz w:val="22"/>
                <w:szCs w:val="22"/>
                <w:lang w:eastAsia="en-US"/>
              </w:rPr>
              <w:t>Streptococcus agalactiae</w:t>
            </w:r>
          </w:p>
          <w:p w14:paraId="170E624F" w14:textId="77777777" w:rsidR="00224BE9" w:rsidRDefault="008647DB" w:rsidP="00224BE9">
            <w:pPr>
              <w:suppressAutoHyphens w:val="0"/>
              <w:rPr>
                <w:sz w:val="22"/>
                <w:szCs w:val="22"/>
                <w:lang w:eastAsia="en-US"/>
              </w:rPr>
            </w:pPr>
            <w:r>
              <w:rPr>
                <w:i/>
                <w:iCs/>
                <w:sz w:val="22"/>
                <w:szCs w:val="22"/>
                <w:lang w:eastAsia="en-US"/>
              </w:rPr>
              <w:tab/>
            </w:r>
            <w:r w:rsidR="00224BE9" w:rsidRPr="00224BE9">
              <w:rPr>
                <w:i/>
                <w:iCs/>
                <w:sz w:val="22"/>
                <w:szCs w:val="22"/>
                <w:lang w:eastAsia="en-US"/>
              </w:rPr>
              <w:t>Streptococcus pneumoniae</w:t>
            </w:r>
            <w:r w:rsidR="00224BE9" w:rsidRPr="00224BE9">
              <w:rPr>
                <w:i/>
                <w:iCs/>
                <w:sz w:val="22"/>
                <w:szCs w:val="22"/>
                <w:vertAlign w:val="superscript"/>
                <w:lang w:eastAsia="en-US"/>
              </w:rPr>
              <w:t>++</w:t>
            </w:r>
          </w:p>
          <w:p w14:paraId="65139994" w14:textId="5686ADFF" w:rsidR="00B077FE" w:rsidRPr="00224BE9" w:rsidRDefault="00B077FE" w:rsidP="00224BE9">
            <w:pPr>
              <w:suppressAutoHyphens w:val="0"/>
              <w:rPr>
                <w:sz w:val="22"/>
                <w:szCs w:val="22"/>
                <w:lang w:eastAsia="en-US"/>
              </w:rPr>
            </w:pPr>
            <w:r>
              <w:rPr>
                <w:sz w:val="22"/>
                <w:szCs w:val="22"/>
                <w:lang w:eastAsia="en-US"/>
              </w:rPr>
              <w:tab/>
            </w:r>
            <w:r w:rsidRPr="00EF1044">
              <w:rPr>
                <w:i/>
                <w:iCs/>
                <w:sz w:val="22"/>
                <w:szCs w:val="22"/>
                <w:lang w:eastAsia="en-US"/>
              </w:rPr>
              <w:t>Streptococcus</w:t>
            </w:r>
            <w:r w:rsidRPr="00B077FE">
              <w:rPr>
                <w:sz w:val="22"/>
                <w:szCs w:val="22"/>
                <w:lang w:eastAsia="en-US"/>
              </w:rPr>
              <w:t xml:space="preserve"> viridans csoport</w:t>
            </w:r>
          </w:p>
        </w:tc>
      </w:tr>
      <w:tr w:rsidR="00224BE9" w:rsidRPr="00224BE9" w14:paraId="54ECECD6" w14:textId="77777777" w:rsidTr="00F80076">
        <w:tc>
          <w:tcPr>
            <w:tcW w:w="8472" w:type="dxa"/>
            <w:tcBorders>
              <w:top w:val="single" w:sz="4" w:space="0" w:color="auto"/>
              <w:bottom w:val="single" w:sz="4" w:space="0" w:color="auto"/>
            </w:tcBorders>
          </w:tcPr>
          <w:p w14:paraId="29058C87" w14:textId="77777777" w:rsidR="00224BE9" w:rsidRPr="00224BE9" w:rsidRDefault="00224BE9" w:rsidP="00224BE9">
            <w:pPr>
              <w:suppressAutoHyphens w:val="0"/>
              <w:autoSpaceDE w:val="0"/>
              <w:autoSpaceDN w:val="0"/>
              <w:adjustRightInd w:val="0"/>
              <w:rPr>
                <w:color w:val="000000"/>
                <w:sz w:val="24"/>
                <w:szCs w:val="22"/>
                <w:lang w:eastAsia="en-US"/>
              </w:rPr>
            </w:pPr>
            <w:r w:rsidRPr="00224BE9">
              <w:rPr>
                <w:b/>
                <w:bCs/>
                <w:i/>
                <w:iCs/>
                <w:color w:val="000000"/>
                <w:sz w:val="22"/>
                <w:szCs w:val="22"/>
                <w:lang w:eastAsia="en-US"/>
              </w:rPr>
              <w:t xml:space="preserve">Aerob Gram-negatív mikroorganizmusok </w:t>
            </w:r>
          </w:p>
        </w:tc>
      </w:tr>
      <w:tr w:rsidR="00224BE9" w:rsidRPr="00224BE9" w14:paraId="51783239" w14:textId="77777777" w:rsidTr="00F80076">
        <w:tc>
          <w:tcPr>
            <w:tcW w:w="8472" w:type="dxa"/>
          </w:tcPr>
          <w:p w14:paraId="2046A6C2" w14:textId="722AF63E" w:rsidR="00224BE9" w:rsidRPr="00224BE9" w:rsidRDefault="008647DB" w:rsidP="00224BE9">
            <w:pPr>
              <w:suppressAutoHyphens w:val="0"/>
              <w:rPr>
                <w:i/>
                <w:sz w:val="22"/>
                <w:szCs w:val="22"/>
                <w:lang w:eastAsia="en-US"/>
              </w:rPr>
            </w:pPr>
            <w:r>
              <w:rPr>
                <w:i/>
                <w:sz w:val="22"/>
                <w:szCs w:val="22"/>
                <w:lang w:eastAsia="en-US"/>
              </w:rPr>
              <w:tab/>
            </w:r>
            <w:r w:rsidR="00224BE9" w:rsidRPr="00224BE9">
              <w:rPr>
                <w:i/>
                <w:iCs/>
                <w:sz w:val="22"/>
                <w:szCs w:val="22"/>
                <w:lang w:eastAsia="en-US"/>
              </w:rPr>
              <w:t xml:space="preserve">Neisseria gonorrhoeae </w:t>
            </w:r>
          </w:p>
        </w:tc>
      </w:tr>
      <w:tr w:rsidR="00B077FE" w:rsidRPr="00224BE9" w14:paraId="298C320E" w14:textId="77777777" w:rsidTr="00F80076">
        <w:tc>
          <w:tcPr>
            <w:tcW w:w="8472" w:type="dxa"/>
            <w:tcBorders>
              <w:top w:val="single" w:sz="4" w:space="0" w:color="auto"/>
              <w:bottom w:val="single" w:sz="4" w:space="0" w:color="auto"/>
            </w:tcBorders>
          </w:tcPr>
          <w:p w14:paraId="0933F6B5" w14:textId="750BE721" w:rsidR="00B077FE" w:rsidRPr="00224BE9" w:rsidRDefault="00B077FE" w:rsidP="00F80076">
            <w:pPr>
              <w:suppressAutoHyphens w:val="0"/>
              <w:autoSpaceDE w:val="0"/>
              <w:autoSpaceDN w:val="0"/>
              <w:adjustRightInd w:val="0"/>
              <w:rPr>
                <w:color w:val="000000"/>
                <w:sz w:val="24"/>
                <w:szCs w:val="22"/>
                <w:lang w:eastAsia="en-US"/>
              </w:rPr>
            </w:pPr>
            <w:r w:rsidRPr="00224BE9">
              <w:rPr>
                <w:b/>
                <w:bCs/>
                <w:i/>
                <w:iCs/>
                <w:color w:val="000000"/>
                <w:sz w:val="22"/>
                <w:szCs w:val="22"/>
                <w:lang w:eastAsia="en-US"/>
              </w:rPr>
              <w:t>A</w:t>
            </w:r>
            <w:r>
              <w:rPr>
                <w:b/>
                <w:bCs/>
                <w:i/>
                <w:iCs/>
                <w:color w:val="000000"/>
                <w:sz w:val="22"/>
                <w:szCs w:val="22"/>
                <w:lang w:eastAsia="en-US"/>
              </w:rPr>
              <w:t>na</w:t>
            </w:r>
            <w:r w:rsidRPr="00224BE9">
              <w:rPr>
                <w:b/>
                <w:bCs/>
                <w:i/>
                <w:iCs/>
                <w:color w:val="000000"/>
                <w:sz w:val="22"/>
                <w:szCs w:val="22"/>
                <w:lang w:eastAsia="en-US"/>
              </w:rPr>
              <w:t xml:space="preserve">erob mikroorganizmusok </w:t>
            </w:r>
          </w:p>
        </w:tc>
      </w:tr>
      <w:tr w:rsidR="00B077FE" w:rsidRPr="00224BE9" w14:paraId="144B5000" w14:textId="77777777" w:rsidTr="00F80076">
        <w:tc>
          <w:tcPr>
            <w:tcW w:w="8472" w:type="dxa"/>
          </w:tcPr>
          <w:p w14:paraId="412255CF" w14:textId="2D0706D1" w:rsidR="00B077FE" w:rsidRDefault="00B077FE" w:rsidP="00F80076">
            <w:pPr>
              <w:suppressAutoHyphens w:val="0"/>
              <w:rPr>
                <w:i/>
                <w:iCs/>
                <w:sz w:val="22"/>
                <w:szCs w:val="22"/>
                <w:lang w:eastAsia="en-US"/>
              </w:rPr>
            </w:pPr>
            <w:r>
              <w:rPr>
                <w:i/>
                <w:sz w:val="22"/>
                <w:szCs w:val="22"/>
                <w:lang w:eastAsia="en-US"/>
              </w:rPr>
              <w:tab/>
              <w:t xml:space="preserve">Fusobacterium </w:t>
            </w:r>
            <w:r w:rsidRPr="00EF1044">
              <w:rPr>
                <w:iCs/>
                <w:sz w:val="22"/>
                <w:szCs w:val="22"/>
                <w:lang w:eastAsia="en-US"/>
              </w:rPr>
              <w:t>spp.</w:t>
            </w:r>
          </w:p>
          <w:p w14:paraId="026914B0" w14:textId="58B0D8D9" w:rsidR="00B077FE" w:rsidRPr="00224BE9" w:rsidRDefault="00B077FE" w:rsidP="00F80076">
            <w:pPr>
              <w:suppressAutoHyphens w:val="0"/>
              <w:rPr>
                <w:i/>
                <w:sz w:val="22"/>
                <w:szCs w:val="22"/>
                <w:lang w:eastAsia="en-US"/>
              </w:rPr>
            </w:pPr>
            <w:r>
              <w:rPr>
                <w:i/>
                <w:sz w:val="22"/>
                <w:szCs w:val="22"/>
                <w:lang w:eastAsia="en-US"/>
              </w:rPr>
              <w:tab/>
              <w:t>Prevotella</w:t>
            </w:r>
            <w:r w:rsidRPr="00EF1044">
              <w:rPr>
                <w:iCs/>
                <w:sz w:val="22"/>
                <w:szCs w:val="22"/>
                <w:lang w:eastAsia="en-US"/>
              </w:rPr>
              <w:t xml:space="preserve"> spp.</w:t>
            </w:r>
          </w:p>
        </w:tc>
      </w:tr>
      <w:tr w:rsidR="00224BE9" w:rsidRPr="00224BE9" w14:paraId="22027748" w14:textId="77777777" w:rsidTr="00F80076">
        <w:tc>
          <w:tcPr>
            <w:tcW w:w="8472" w:type="dxa"/>
            <w:tcBorders>
              <w:top w:val="single" w:sz="4" w:space="0" w:color="auto"/>
              <w:bottom w:val="single" w:sz="4" w:space="0" w:color="auto"/>
            </w:tcBorders>
          </w:tcPr>
          <w:p w14:paraId="0B2B9512" w14:textId="77777777" w:rsidR="00224BE9" w:rsidRPr="00224BE9" w:rsidRDefault="00224BE9" w:rsidP="00224BE9">
            <w:pPr>
              <w:suppressAutoHyphens w:val="0"/>
              <w:rPr>
                <w:i/>
                <w:sz w:val="22"/>
                <w:szCs w:val="22"/>
                <w:lang w:eastAsia="en-US"/>
              </w:rPr>
            </w:pPr>
            <w:r w:rsidRPr="00224BE9">
              <w:rPr>
                <w:b/>
                <w:sz w:val="22"/>
                <w:szCs w:val="22"/>
                <w:lang w:eastAsia="en-US"/>
              </w:rPr>
              <w:t>Eredendően rezisztens organizmusok</w:t>
            </w:r>
          </w:p>
        </w:tc>
      </w:tr>
      <w:tr w:rsidR="00224BE9" w:rsidRPr="00224BE9" w14:paraId="41B7A5FA" w14:textId="77777777" w:rsidTr="00F80076">
        <w:trPr>
          <w:trHeight w:val="324"/>
        </w:trPr>
        <w:tc>
          <w:tcPr>
            <w:tcW w:w="8472" w:type="dxa"/>
            <w:tcBorders>
              <w:top w:val="single" w:sz="4" w:space="0" w:color="auto"/>
              <w:bottom w:val="single" w:sz="4" w:space="0" w:color="auto"/>
            </w:tcBorders>
          </w:tcPr>
          <w:p w14:paraId="53A6D148" w14:textId="77777777" w:rsidR="00224BE9" w:rsidRPr="00224BE9" w:rsidRDefault="00224BE9" w:rsidP="00224BE9">
            <w:pPr>
              <w:suppressAutoHyphens w:val="0"/>
              <w:rPr>
                <w:b/>
                <w:bCs/>
                <w:i/>
                <w:iCs/>
                <w:sz w:val="22"/>
                <w:szCs w:val="22"/>
                <w:lang w:eastAsia="en-US"/>
              </w:rPr>
            </w:pPr>
            <w:r w:rsidRPr="00224BE9">
              <w:rPr>
                <w:b/>
                <w:bCs/>
                <w:i/>
                <w:iCs/>
                <w:sz w:val="22"/>
                <w:szCs w:val="22"/>
                <w:lang w:eastAsia="en-US"/>
              </w:rPr>
              <w:t>Aerob Gram-negatív mikroorganizmusok</w:t>
            </w:r>
          </w:p>
        </w:tc>
      </w:tr>
      <w:tr w:rsidR="00224BE9" w:rsidRPr="00224BE9" w14:paraId="69D3D733" w14:textId="77777777" w:rsidTr="00F80076">
        <w:trPr>
          <w:trHeight w:val="324"/>
        </w:trPr>
        <w:tc>
          <w:tcPr>
            <w:tcW w:w="8472" w:type="dxa"/>
            <w:tcBorders>
              <w:top w:val="single" w:sz="4" w:space="0" w:color="auto"/>
              <w:bottom w:val="single" w:sz="4" w:space="0" w:color="auto"/>
            </w:tcBorders>
          </w:tcPr>
          <w:p w14:paraId="3D673419" w14:textId="0A301C4B" w:rsidR="00224BE9" w:rsidRPr="00224BE9" w:rsidRDefault="008647DB" w:rsidP="00224BE9">
            <w:pPr>
              <w:suppressAutoHyphens w:val="0"/>
              <w:rPr>
                <w:i/>
                <w:sz w:val="22"/>
                <w:szCs w:val="22"/>
                <w:lang w:eastAsia="en-US"/>
              </w:rPr>
            </w:pPr>
            <w:r>
              <w:rPr>
                <w:i/>
                <w:sz w:val="22"/>
                <w:szCs w:val="22"/>
                <w:lang w:eastAsia="en-US"/>
              </w:rPr>
              <w:tab/>
            </w:r>
            <w:r w:rsidR="00224BE9" w:rsidRPr="00224BE9">
              <w:rPr>
                <w:i/>
                <w:sz w:val="22"/>
                <w:szCs w:val="22"/>
                <w:lang w:eastAsia="en-US"/>
              </w:rPr>
              <w:t>Escherichia coli</w:t>
            </w:r>
          </w:p>
          <w:p w14:paraId="3B46797A" w14:textId="6AFABF36" w:rsidR="00224BE9" w:rsidRPr="00224BE9" w:rsidRDefault="008647DB" w:rsidP="00224BE9">
            <w:pPr>
              <w:suppressAutoHyphens w:val="0"/>
              <w:rPr>
                <w:i/>
                <w:sz w:val="22"/>
                <w:szCs w:val="22"/>
                <w:lang w:eastAsia="en-US"/>
              </w:rPr>
            </w:pPr>
            <w:r>
              <w:rPr>
                <w:i/>
                <w:sz w:val="22"/>
                <w:szCs w:val="22"/>
                <w:lang w:eastAsia="en-US"/>
              </w:rPr>
              <w:tab/>
            </w:r>
            <w:r w:rsidR="00224BE9" w:rsidRPr="00224BE9">
              <w:rPr>
                <w:i/>
                <w:sz w:val="22"/>
                <w:szCs w:val="22"/>
                <w:lang w:eastAsia="en-US"/>
              </w:rPr>
              <w:t>Pseudomonas aeruginosa</w:t>
            </w:r>
          </w:p>
          <w:p w14:paraId="19AF015C" w14:textId="2E4B8844" w:rsidR="00224BE9" w:rsidRPr="00224BE9" w:rsidRDefault="008647DB" w:rsidP="00224BE9">
            <w:pPr>
              <w:suppressAutoHyphens w:val="0"/>
              <w:rPr>
                <w:sz w:val="22"/>
                <w:szCs w:val="22"/>
                <w:lang w:eastAsia="en-US"/>
              </w:rPr>
            </w:pPr>
            <w:r>
              <w:rPr>
                <w:i/>
                <w:sz w:val="22"/>
                <w:szCs w:val="22"/>
                <w:lang w:eastAsia="en-US"/>
              </w:rPr>
              <w:tab/>
            </w:r>
            <w:r w:rsidR="00224BE9" w:rsidRPr="00224BE9">
              <w:rPr>
                <w:i/>
                <w:sz w:val="22"/>
                <w:szCs w:val="22"/>
                <w:lang w:eastAsia="en-US"/>
              </w:rPr>
              <w:t xml:space="preserve">Klebsiella </w:t>
            </w:r>
            <w:r w:rsidR="00224BE9" w:rsidRPr="00224BE9">
              <w:rPr>
                <w:sz w:val="22"/>
                <w:szCs w:val="22"/>
                <w:lang w:eastAsia="en-US"/>
              </w:rPr>
              <w:t>spp.</w:t>
            </w:r>
          </w:p>
        </w:tc>
      </w:tr>
      <w:tr w:rsidR="00B077FE" w:rsidRPr="00224BE9" w14:paraId="04214606" w14:textId="77777777" w:rsidTr="00EF1044">
        <w:trPr>
          <w:trHeight w:val="98"/>
        </w:trPr>
        <w:tc>
          <w:tcPr>
            <w:tcW w:w="8472" w:type="dxa"/>
            <w:tcBorders>
              <w:top w:val="single" w:sz="4" w:space="0" w:color="auto"/>
              <w:bottom w:val="single" w:sz="4" w:space="0" w:color="auto"/>
            </w:tcBorders>
          </w:tcPr>
          <w:p w14:paraId="57DE3EEF" w14:textId="4D4FB9E6" w:rsidR="00B077FE" w:rsidRDefault="00B077FE" w:rsidP="00224BE9">
            <w:pPr>
              <w:suppressAutoHyphens w:val="0"/>
              <w:rPr>
                <w:i/>
                <w:sz w:val="22"/>
                <w:szCs w:val="22"/>
                <w:lang w:eastAsia="en-US"/>
              </w:rPr>
            </w:pPr>
            <w:r w:rsidRPr="00224BE9">
              <w:rPr>
                <w:b/>
                <w:bCs/>
                <w:i/>
                <w:iCs/>
                <w:color w:val="000000"/>
                <w:sz w:val="22"/>
                <w:szCs w:val="22"/>
                <w:lang w:eastAsia="en-US"/>
              </w:rPr>
              <w:t>A</w:t>
            </w:r>
            <w:r>
              <w:rPr>
                <w:b/>
                <w:bCs/>
                <w:i/>
                <w:iCs/>
                <w:color w:val="000000"/>
                <w:sz w:val="22"/>
                <w:szCs w:val="22"/>
                <w:lang w:eastAsia="en-US"/>
              </w:rPr>
              <w:t>na</w:t>
            </w:r>
            <w:r w:rsidRPr="00224BE9">
              <w:rPr>
                <w:b/>
                <w:bCs/>
                <w:i/>
                <w:iCs/>
                <w:color w:val="000000"/>
                <w:sz w:val="22"/>
                <w:szCs w:val="22"/>
                <w:lang w:eastAsia="en-US"/>
              </w:rPr>
              <w:t>erob mikroorganizmusok</w:t>
            </w:r>
          </w:p>
        </w:tc>
      </w:tr>
      <w:tr w:rsidR="00B077FE" w:rsidRPr="00224BE9" w14:paraId="4707A2D1" w14:textId="77777777" w:rsidTr="00EF1044">
        <w:trPr>
          <w:trHeight w:val="102"/>
        </w:trPr>
        <w:tc>
          <w:tcPr>
            <w:tcW w:w="8472" w:type="dxa"/>
            <w:tcBorders>
              <w:top w:val="single" w:sz="4" w:space="0" w:color="auto"/>
              <w:bottom w:val="single" w:sz="4" w:space="0" w:color="auto"/>
            </w:tcBorders>
          </w:tcPr>
          <w:p w14:paraId="659CAF8D" w14:textId="46513E1D" w:rsidR="00B077FE" w:rsidRDefault="00B077FE" w:rsidP="00224BE9">
            <w:pPr>
              <w:suppressAutoHyphens w:val="0"/>
              <w:rPr>
                <w:i/>
                <w:sz w:val="22"/>
                <w:szCs w:val="22"/>
                <w:lang w:eastAsia="en-US"/>
              </w:rPr>
            </w:pPr>
            <w:r>
              <w:rPr>
                <w:i/>
                <w:sz w:val="22"/>
                <w:szCs w:val="22"/>
                <w:lang w:eastAsia="en-US"/>
              </w:rPr>
              <w:tab/>
              <w:t>Bacteroides</w:t>
            </w:r>
            <w:r w:rsidRPr="00EF1044">
              <w:rPr>
                <w:iCs/>
                <w:sz w:val="22"/>
                <w:szCs w:val="22"/>
                <w:lang w:eastAsia="en-US"/>
              </w:rPr>
              <w:t xml:space="preserve"> spp.</w:t>
            </w:r>
          </w:p>
        </w:tc>
      </w:tr>
    </w:tbl>
    <w:p w14:paraId="7EF3A2E1" w14:textId="50DBB774" w:rsidR="00224BE9" w:rsidRPr="00224BE9" w:rsidRDefault="00224BE9" w:rsidP="00224BE9">
      <w:pPr>
        <w:suppressAutoHyphens w:val="0"/>
        <w:ind w:left="142" w:hanging="142"/>
        <w:rPr>
          <w:bCs/>
          <w:sz w:val="22"/>
          <w:szCs w:val="22"/>
          <w:lang w:eastAsia="en-US"/>
        </w:rPr>
      </w:pPr>
      <w:r w:rsidRPr="00EF1044">
        <w:rPr>
          <w:bCs/>
          <w:sz w:val="22"/>
          <w:szCs w:val="22"/>
          <w:lang w:eastAsia="en-US"/>
        </w:rPr>
        <w:t xml:space="preserve">° </w:t>
      </w:r>
      <w:r w:rsidRPr="00224BE9">
        <w:rPr>
          <w:bCs/>
          <w:sz w:val="22"/>
          <w:szCs w:val="22"/>
          <w:lang w:eastAsia="en-US"/>
        </w:rPr>
        <w:t>Nem álltak rendelkezésre frissített adatok a táblázatok kiadásakor. Elsődleges szakirodalom, tudományos standard szakirodalom és terápiás ajánlások szerint érzékenység feltételezhető.</w:t>
      </w:r>
    </w:p>
    <w:p w14:paraId="63BC8C65" w14:textId="3B7ED257" w:rsidR="00224BE9" w:rsidRPr="00224BE9" w:rsidRDefault="00224BE9" w:rsidP="00224BE9">
      <w:pPr>
        <w:suppressAutoHyphens w:val="0"/>
        <w:ind w:left="142" w:hanging="142"/>
        <w:rPr>
          <w:bCs/>
          <w:sz w:val="22"/>
          <w:szCs w:val="22"/>
          <w:lang w:eastAsia="en-US"/>
        </w:rPr>
      </w:pPr>
      <w:r w:rsidRPr="00224BE9">
        <w:rPr>
          <w:bCs/>
          <w:sz w:val="22"/>
          <w:szCs w:val="22"/>
          <w:vertAlign w:val="superscript"/>
          <w:lang w:eastAsia="en-US"/>
        </w:rPr>
        <w:t>+</w:t>
      </w:r>
      <w:r w:rsidRPr="00EF1044">
        <w:rPr>
          <w:bCs/>
          <w:sz w:val="22"/>
          <w:szCs w:val="22"/>
          <w:lang w:eastAsia="en-US"/>
        </w:rPr>
        <w:t xml:space="preserve"> </w:t>
      </w:r>
      <w:r w:rsidRPr="00224BE9">
        <w:rPr>
          <w:bCs/>
          <w:sz w:val="22"/>
          <w:szCs w:val="22"/>
          <w:lang w:eastAsia="en-US"/>
        </w:rPr>
        <w:t xml:space="preserve">Legalább egy régió mutatott 50%-nál magasabb rezisztenciaarányt a meticillin-rezisztens </w:t>
      </w:r>
      <w:r w:rsidRPr="00224BE9">
        <w:rPr>
          <w:bCs/>
          <w:i/>
          <w:iCs/>
          <w:sz w:val="22"/>
          <w:szCs w:val="22"/>
          <w:lang w:eastAsia="en-US"/>
        </w:rPr>
        <w:t>Staphylococcus aureus</w:t>
      </w:r>
      <w:r w:rsidRPr="00224BE9">
        <w:rPr>
          <w:bCs/>
          <w:sz w:val="22"/>
          <w:szCs w:val="22"/>
          <w:lang w:eastAsia="en-US"/>
        </w:rPr>
        <w:t xml:space="preserve"> esetében.</w:t>
      </w:r>
    </w:p>
    <w:p w14:paraId="5362E5DE" w14:textId="77777777" w:rsidR="00224BE9" w:rsidRPr="00224BE9" w:rsidRDefault="00224BE9" w:rsidP="00224BE9">
      <w:pPr>
        <w:suppressAutoHyphens w:val="0"/>
        <w:ind w:left="142" w:hanging="142"/>
        <w:rPr>
          <w:sz w:val="22"/>
          <w:szCs w:val="22"/>
          <w:lang w:eastAsia="en-US"/>
        </w:rPr>
      </w:pPr>
      <w:r w:rsidRPr="00224BE9">
        <w:rPr>
          <w:bCs/>
          <w:sz w:val="22"/>
          <w:szCs w:val="22"/>
          <w:vertAlign w:val="superscript"/>
          <w:lang w:eastAsia="en-US"/>
        </w:rPr>
        <w:t>++</w:t>
      </w:r>
      <w:r w:rsidRPr="00224BE9">
        <w:rPr>
          <w:bCs/>
          <w:sz w:val="22"/>
          <w:szCs w:val="22"/>
          <w:lang w:eastAsia="en-US"/>
        </w:rPr>
        <w:t xml:space="preserve">A </w:t>
      </w:r>
      <w:r w:rsidRPr="00224BE9">
        <w:rPr>
          <w:bCs/>
          <w:i/>
          <w:iCs/>
          <w:sz w:val="22"/>
          <w:szCs w:val="22"/>
          <w:lang w:eastAsia="en-US"/>
        </w:rPr>
        <w:t>Streptococcus pneumoniae</w:t>
      </w:r>
      <w:r w:rsidRPr="00224BE9">
        <w:rPr>
          <w:bCs/>
          <w:sz w:val="22"/>
          <w:szCs w:val="22"/>
          <w:lang w:eastAsia="en-US"/>
        </w:rPr>
        <w:t xml:space="preserve"> penicillin-érzékeny törzsei nagyobb valószínűséggel érzékenyek az azitromicin iránt, mint a penicillin-rezisztens </w:t>
      </w:r>
      <w:r w:rsidRPr="00224BE9">
        <w:rPr>
          <w:bCs/>
          <w:i/>
          <w:iCs/>
          <w:sz w:val="22"/>
          <w:szCs w:val="22"/>
          <w:lang w:eastAsia="en-US"/>
        </w:rPr>
        <w:t>Streptococcus pneumoniae</w:t>
      </w:r>
      <w:r w:rsidRPr="00224BE9">
        <w:rPr>
          <w:bCs/>
          <w:sz w:val="22"/>
          <w:szCs w:val="22"/>
          <w:lang w:eastAsia="en-US"/>
        </w:rPr>
        <w:t xml:space="preserve"> törzsek.</w:t>
      </w:r>
    </w:p>
    <w:p w14:paraId="14195410" w14:textId="77777777" w:rsidR="00224BE9" w:rsidRPr="00224BE9" w:rsidRDefault="00224BE9" w:rsidP="00224BE9">
      <w:pPr>
        <w:suppressAutoHyphens w:val="0"/>
        <w:rPr>
          <w:sz w:val="22"/>
          <w:szCs w:val="22"/>
          <w:lang w:eastAsia="en-US"/>
        </w:rPr>
      </w:pPr>
    </w:p>
    <w:p w14:paraId="2ABA9832"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5.2</w:t>
      </w:r>
      <w:r w:rsidRPr="00224BE9">
        <w:rPr>
          <w:b/>
          <w:sz w:val="22"/>
          <w:szCs w:val="22"/>
          <w:lang w:eastAsia="en-US"/>
        </w:rPr>
        <w:tab/>
        <w:t>Farmakokinetikai tulajdonságok</w:t>
      </w:r>
    </w:p>
    <w:p w14:paraId="536D7A59" w14:textId="77777777" w:rsidR="00224BE9" w:rsidRPr="00224BE9" w:rsidRDefault="00224BE9" w:rsidP="00224BE9">
      <w:pPr>
        <w:suppressAutoHyphens w:val="0"/>
        <w:rPr>
          <w:sz w:val="22"/>
          <w:szCs w:val="22"/>
          <w:lang w:eastAsia="en-US"/>
        </w:rPr>
      </w:pPr>
    </w:p>
    <w:p w14:paraId="29FB8D69" w14:textId="77777777" w:rsidR="00224BE9" w:rsidRPr="00224BE9" w:rsidRDefault="00224BE9" w:rsidP="00224BE9">
      <w:pPr>
        <w:suppressAutoHyphens w:val="0"/>
        <w:rPr>
          <w:iCs/>
          <w:sz w:val="22"/>
          <w:szCs w:val="22"/>
          <w:u w:val="single"/>
          <w:lang w:eastAsia="en-US"/>
        </w:rPr>
      </w:pPr>
      <w:r w:rsidRPr="00224BE9">
        <w:rPr>
          <w:iCs/>
          <w:sz w:val="22"/>
          <w:szCs w:val="22"/>
          <w:u w:val="single"/>
          <w:lang w:eastAsia="en-US"/>
        </w:rPr>
        <w:t>Felszívódás</w:t>
      </w:r>
    </w:p>
    <w:p w14:paraId="326CD042" w14:textId="451C9E7F" w:rsidR="00224BE9" w:rsidRPr="00224BE9" w:rsidRDefault="00224BE9" w:rsidP="00224BE9">
      <w:pPr>
        <w:suppressAutoHyphens w:val="0"/>
        <w:rPr>
          <w:iCs/>
          <w:sz w:val="22"/>
          <w:szCs w:val="22"/>
          <w:lang w:eastAsia="en-US"/>
        </w:rPr>
      </w:pPr>
      <w:r w:rsidRPr="00224BE9">
        <w:rPr>
          <w:iCs/>
          <w:sz w:val="22"/>
          <w:szCs w:val="22"/>
          <w:lang w:eastAsia="en-US"/>
        </w:rPr>
        <w:t>Az azitromicin szérum-csúcskoncentrációi (C</w:t>
      </w:r>
      <w:r w:rsidRPr="00224BE9">
        <w:rPr>
          <w:iCs/>
          <w:sz w:val="22"/>
          <w:szCs w:val="22"/>
          <w:vertAlign w:val="subscript"/>
          <w:lang w:eastAsia="en-US"/>
        </w:rPr>
        <w:t>max</w:t>
      </w:r>
      <w:r w:rsidRPr="00224BE9">
        <w:rPr>
          <w:iCs/>
          <w:sz w:val="22"/>
          <w:szCs w:val="22"/>
          <w:lang w:eastAsia="en-US"/>
        </w:rPr>
        <w:t>) 500</w:t>
      </w:r>
      <w:r w:rsidR="003C0493">
        <w:rPr>
          <w:iCs/>
          <w:sz w:val="22"/>
          <w:szCs w:val="22"/>
          <w:lang w:eastAsia="en-US"/>
        </w:rPr>
        <w:t> mg</w:t>
      </w:r>
      <w:r w:rsidRPr="00224BE9">
        <w:rPr>
          <w:iCs/>
          <w:sz w:val="22"/>
          <w:szCs w:val="22"/>
          <w:lang w:eastAsia="en-US"/>
        </w:rPr>
        <w:t xml:space="preserve"> belsőleges szuszpenzió (40</w:t>
      </w:r>
      <w:r w:rsidR="003C0493">
        <w:rPr>
          <w:iCs/>
          <w:sz w:val="22"/>
          <w:szCs w:val="22"/>
          <w:lang w:eastAsia="en-US"/>
        </w:rPr>
        <w:t> mg</w:t>
      </w:r>
      <w:r w:rsidRPr="00224BE9">
        <w:rPr>
          <w:iCs/>
          <w:sz w:val="22"/>
          <w:szCs w:val="22"/>
          <w:lang w:eastAsia="en-US"/>
        </w:rPr>
        <w:t>/ml), 1000</w:t>
      </w:r>
      <w:r w:rsidR="003C0493">
        <w:rPr>
          <w:iCs/>
          <w:sz w:val="22"/>
          <w:szCs w:val="22"/>
          <w:lang w:eastAsia="en-US"/>
        </w:rPr>
        <w:t> mg</w:t>
      </w:r>
      <w:r w:rsidRPr="00224BE9">
        <w:rPr>
          <w:iCs/>
          <w:sz w:val="22"/>
          <w:szCs w:val="22"/>
          <w:lang w:eastAsia="en-US"/>
        </w:rPr>
        <w:t xml:space="preserve"> por belsőleges szuszpenzióhoz, 500</w:t>
      </w:r>
      <w:r w:rsidR="003C0493">
        <w:rPr>
          <w:iCs/>
          <w:sz w:val="22"/>
          <w:szCs w:val="22"/>
          <w:lang w:eastAsia="en-US"/>
        </w:rPr>
        <w:t> mg</w:t>
      </w:r>
      <w:r w:rsidRPr="00224BE9">
        <w:rPr>
          <w:iCs/>
          <w:sz w:val="22"/>
          <w:szCs w:val="22"/>
          <w:lang w:eastAsia="en-US"/>
        </w:rPr>
        <w:t xml:space="preserve"> (2 × 250</w:t>
      </w:r>
      <w:r w:rsidR="003C0493">
        <w:rPr>
          <w:iCs/>
          <w:sz w:val="22"/>
          <w:szCs w:val="22"/>
          <w:lang w:eastAsia="en-US"/>
        </w:rPr>
        <w:t> mg</w:t>
      </w:r>
      <w:r w:rsidRPr="00224BE9">
        <w:rPr>
          <w:iCs/>
          <w:sz w:val="22"/>
          <w:szCs w:val="22"/>
          <w:lang w:eastAsia="en-US"/>
        </w:rPr>
        <w:t>) tabletta, valamint 1000</w:t>
      </w:r>
      <w:r w:rsidR="003C0493">
        <w:rPr>
          <w:iCs/>
          <w:sz w:val="22"/>
          <w:szCs w:val="22"/>
          <w:lang w:eastAsia="en-US"/>
        </w:rPr>
        <w:t> mg</w:t>
      </w:r>
      <w:r w:rsidRPr="00224BE9">
        <w:rPr>
          <w:iCs/>
          <w:sz w:val="22"/>
          <w:szCs w:val="22"/>
          <w:lang w:eastAsia="en-US"/>
        </w:rPr>
        <w:t xml:space="preserve"> (4 ×250</w:t>
      </w:r>
      <w:r w:rsidR="003C0493">
        <w:rPr>
          <w:iCs/>
          <w:sz w:val="22"/>
          <w:szCs w:val="22"/>
          <w:lang w:eastAsia="en-US"/>
        </w:rPr>
        <w:t> mg</w:t>
      </w:r>
      <w:r w:rsidRPr="00224BE9">
        <w:rPr>
          <w:iCs/>
          <w:sz w:val="22"/>
          <w:szCs w:val="22"/>
          <w:lang w:eastAsia="en-US"/>
        </w:rPr>
        <w:t>) kapszula formájában történő alkalmazását követően egészséges önkénteseknél éhomi körülmények között sorrendben 0,29</w:t>
      </w:r>
      <w:r w:rsidR="003C0493">
        <w:rPr>
          <w:iCs/>
          <w:sz w:val="22"/>
          <w:szCs w:val="22"/>
          <w:lang w:eastAsia="en-US"/>
        </w:rPr>
        <w:t> mg</w:t>
      </w:r>
      <w:r w:rsidRPr="00224BE9">
        <w:rPr>
          <w:iCs/>
          <w:sz w:val="22"/>
          <w:szCs w:val="22"/>
          <w:lang w:eastAsia="en-US"/>
        </w:rPr>
        <w:t>/l, 0,75</w:t>
      </w:r>
      <w:r w:rsidR="003C0493">
        <w:rPr>
          <w:iCs/>
          <w:sz w:val="22"/>
          <w:szCs w:val="22"/>
          <w:lang w:eastAsia="en-US"/>
        </w:rPr>
        <w:t> mg</w:t>
      </w:r>
      <w:r w:rsidRPr="00224BE9">
        <w:rPr>
          <w:iCs/>
          <w:sz w:val="22"/>
          <w:szCs w:val="22"/>
          <w:lang w:eastAsia="en-US"/>
        </w:rPr>
        <w:t>/l, 0,34</w:t>
      </w:r>
      <w:r w:rsidR="003C0493">
        <w:rPr>
          <w:iCs/>
          <w:sz w:val="22"/>
          <w:szCs w:val="22"/>
          <w:lang w:eastAsia="en-US"/>
        </w:rPr>
        <w:t> mg</w:t>
      </w:r>
      <w:r w:rsidRPr="00224BE9">
        <w:rPr>
          <w:iCs/>
          <w:sz w:val="22"/>
          <w:szCs w:val="22"/>
          <w:lang w:eastAsia="en-US"/>
        </w:rPr>
        <w:t>/l és 1,07</w:t>
      </w:r>
      <w:r w:rsidR="003C0493">
        <w:rPr>
          <w:iCs/>
          <w:sz w:val="22"/>
          <w:szCs w:val="22"/>
          <w:lang w:eastAsia="en-US"/>
        </w:rPr>
        <w:t> mg</w:t>
      </w:r>
      <w:r w:rsidRPr="00224BE9">
        <w:rPr>
          <w:iCs/>
          <w:sz w:val="22"/>
          <w:szCs w:val="22"/>
          <w:lang w:eastAsia="en-US"/>
        </w:rPr>
        <w:t>/l voltak. Az azitromicin plazma-csúcskoncentrációinak kialakulásáig eltelt idő (t</w:t>
      </w:r>
      <w:r w:rsidRPr="00224BE9">
        <w:rPr>
          <w:iCs/>
          <w:sz w:val="22"/>
          <w:szCs w:val="22"/>
          <w:vertAlign w:val="subscript"/>
          <w:lang w:eastAsia="en-US"/>
        </w:rPr>
        <w:t>max</w:t>
      </w:r>
      <w:r w:rsidRPr="00224BE9">
        <w:rPr>
          <w:iCs/>
          <w:sz w:val="22"/>
          <w:szCs w:val="22"/>
          <w:lang w:eastAsia="en-US"/>
        </w:rPr>
        <w:t>) szájon át történő alkalmazást követően 2–3</w:t>
      </w:r>
      <w:r w:rsidR="00983D99">
        <w:rPr>
          <w:iCs/>
          <w:sz w:val="22"/>
          <w:szCs w:val="22"/>
          <w:lang w:eastAsia="en-US"/>
        </w:rPr>
        <w:t> ór</w:t>
      </w:r>
      <w:r w:rsidRPr="00224BE9">
        <w:rPr>
          <w:iCs/>
          <w:sz w:val="22"/>
          <w:szCs w:val="22"/>
          <w:lang w:eastAsia="en-US"/>
        </w:rPr>
        <w:t>a közötti tartományban volt. Az abszolút biohasznosulás átlaga egészséges önkénteseknél 500</w:t>
      </w:r>
      <w:r w:rsidR="003C0493">
        <w:rPr>
          <w:iCs/>
          <w:sz w:val="22"/>
          <w:szCs w:val="22"/>
          <w:lang w:eastAsia="en-US"/>
        </w:rPr>
        <w:t> mg</w:t>
      </w:r>
      <w:r w:rsidRPr="00224BE9">
        <w:rPr>
          <w:iCs/>
          <w:sz w:val="22"/>
          <w:szCs w:val="22"/>
          <w:lang w:eastAsia="en-US"/>
        </w:rPr>
        <w:t xml:space="preserve"> belsőleges szuszpenzió, valamint 1000</w:t>
      </w:r>
      <w:r w:rsidR="003C0493">
        <w:rPr>
          <w:iCs/>
          <w:sz w:val="22"/>
          <w:szCs w:val="22"/>
          <w:lang w:eastAsia="en-US"/>
        </w:rPr>
        <w:t> mg</w:t>
      </w:r>
      <w:r w:rsidRPr="00224BE9">
        <w:rPr>
          <w:iCs/>
          <w:sz w:val="22"/>
          <w:szCs w:val="22"/>
          <w:lang w:eastAsia="en-US"/>
        </w:rPr>
        <w:t xml:space="preserve"> por belsőleges szuszpenzióhoz tasakban formájában történő alkalmazását követően, éhomi körülmények között sorrendben 37% és 44% volt.</w:t>
      </w:r>
    </w:p>
    <w:p w14:paraId="137E4906" w14:textId="77777777" w:rsidR="00224BE9" w:rsidRPr="00224BE9" w:rsidRDefault="00224BE9" w:rsidP="00224BE9">
      <w:pPr>
        <w:suppressAutoHyphens w:val="0"/>
        <w:rPr>
          <w:iCs/>
          <w:sz w:val="22"/>
          <w:szCs w:val="22"/>
          <w:lang w:eastAsia="en-US"/>
        </w:rPr>
      </w:pPr>
    </w:p>
    <w:p w14:paraId="6EC424DF" w14:textId="753D5C25" w:rsidR="00224BE9" w:rsidRPr="00224BE9" w:rsidRDefault="00224BE9" w:rsidP="00224BE9">
      <w:pPr>
        <w:suppressAutoHyphens w:val="0"/>
        <w:rPr>
          <w:iCs/>
          <w:sz w:val="22"/>
          <w:szCs w:val="22"/>
          <w:lang w:eastAsia="en-US"/>
        </w:rPr>
      </w:pPr>
      <w:r w:rsidRPr="00224BE9">
        <w:rPr>
          <w:iCs/>
          <w:sz w:val="22"/>
          <w:szCs w:val="22"/>
          <w:lang w:eastAsia="en-US"/>
        </w:rPr>
        <w:t>Az ételnek az azitromicin relatív oralis biohasznosulására kifejtett hatása a gyógyszerformától függ. 500</w:t>
      </w:r>
      <w:r w:rsidR="003C0493">
        <w:rPr>
          <w:iCs/>
          <w:sz w:val="22"/>
          <w:szCs w:val="22"/>
          <w:lang w:eastAsia="en-US"/>
        </w:rPr>
        <w:t> mg</w:t>
      </w:r>
      <w:r w:rsidRPr="00224BE9">
        <w:rPr>
          <w:iCs/>
          <w:sz w:val="22"/>
          <w:szCs w:val="22"/>
          <w:lang w:eastAsia="en-US"/>
        </w:rPr>
        <w:t xml:space="preserve"> belsőleges szuszpenzió (40</w:t>
      </w:r>
      <w:r w:rsidR="003C0493">
        <w:rPr>
          <w:iCs/>
          <w:sz w:val="22"/>
          <w:szCs w:val="22"/>
          <w:lang w:eastAsia="en-US"/>
        </w:rPr>
        <w:t> mg</w:t>
      </w:r>
      <w:r w:rsidRPr="00224BE9">
        <w:rPr>
          <w:iCs/>
          <w:sz w:val="22"/>
          <w:szCs w:val="22"/>
          <w:lang w:eastAsia="en-US"/>
        </w:rPr>
        <w:t>/ml), 1000</w:t>
      </w:r>
      <w:r w:rsidR="003C0493">
        <w:rPr>
          <w:iCs/>
          <w:sz w:val="22"/>
          <w:szCs w:val="22"/>
          <w:lang w:eastAsia="en-US"/>
        </w:rPr>
        <w:t> mg</w:t>
      </w:r>
      <w:r w:rsidRPr="00224BE9">
        <w:rPr>
          <w:iCs/>
          <w:sz w:val="22"/>
          <w:szCs w:val="22"/>
          <w:lang w:eastAsia="en-US"/>
        </w:rPr>
        <w:t xml:space="preserve"> por belsőleges szuszpenzióhoz, valamint 500</w:t>
      </w:r>
      <w:r w:rsidR="003C0493">
        <w:rPr>
          <w:iCs/>
          <w:sz w:val="22"/>
          <w:szCs w:val="22"/>
          <w:lang w:eastAsia="en-US"/>
        </w:rPr>
        <w:t> mg</w:t>
      </w:r>
      <w:r w:rsidRPr="00224BE9">
        <w:rPr>
          <w:iCs/>
          <w:sz w:val="22"/>
          <w:szCs w:val="22"/>
          <w:lang w:eastAsia="en-US"/>
        </w:rPr>
        <w:t xml:space="preserve"> tabletta (2 × 250</w:t>
      </w:r>
      <w:r w:rsidR="003C0493">
        <w:rPr>
          <w:iCs/>
          <w:sz w:val="22"/>
          <w:szCs w:val="22"/>
          <w:lang w:eastAsia="en-US"/>
        </w:rPr>
        <w:t> mg</w:t>
      </w:r>
      <w:r w:rsidRPr="00224BE9">
        <w:rPr>
          <w:iCs/>
          <w:sz w:val="22"/>
          <w:szCs w:val="22"/>
          <w:lang w:eastAsia="en-US"/>
        </w:rPr>
        <w:t>) formájában történő oralis alkalmazását követően alkalmazását követően hasonló expozícókat mértek magas zsírtartalmú étkezéssel adva, illetve éhomi körülmények között. Egyszeri 500</w:t>
      </w:r>
      <w:r w:rsidR="003C0493">
        <w:rPr>
          <w:iCs/>
          <w:sz w:val="22"/>
          <w:szCs w:val="22"/>
          <w:lang w:eastAsia="en-US"/>
        </w:rPr>
        <w:t> mg</w:t>
      </w:r>
      <w:r w:rsidRPr="00224BE9">
        <w:rPr>
          <w:iCs/>
          <w:sz w:val="22"/>
          <w:szCs w:val="22"/>
          <w:lang w:eastAsia="en-US"/>
        </w:rPr>
        <w:t>-os dózisú (2 × 250</w:t>
      </w:r>
      <w:r w:rsidR="003C0493">
        <w:rPr>
          <w:iCs/>
          <w:sz w:val="22"/>
          <w:szCs w:val="22"/>
          <w:lang w:eastAsia="en-US"/>
        </w:rPr>
        <w:t> mg</w:t>
      </w:r>
      <w:r w:rsidRPr="00224BE9">
        <w:rPr>
          <w:iCs/>
          <w:sz w:val="22"/>
          <w:szCs w:val="22"/>
          <w:lang w:eastAsia="en-US"/>
        </w:rPr>
        <w:t>) kapszula gyógyszerforma alkalmazását követően magas zsírtartalmú étkezéssel, illetve éhomi körülmények között a C</w:t>
      </w:r>
      <w:r w:rsidRPr="00224BE9">
        <w:rPr>
          <w:iCs/>
          <w:sz w:val="22"/>
          <w:szCs w:val="22"/>
          <w:vertAlign w:val="subscript"/>
          <w:lang w:eastAsia="en-US"/>
        </w:rPr>
        <w:t>max</w:t>
      </w:r>
      <w:r w:rsidRPr="00224BE9">
        <w:rPr>
          <w:iCs/>
          <w:sz w:val="22"/>
          <w:szCs w:val="22"/>
          <w:lang w:eastAsia="en-US"/>
        </w:rPr>
        <w:t xml:space="preserve"> és az AUC</w:t>
      </w:r>
      <w:r w:rsidRPr="00224BE9">
        <w:rPr>
          <w:iCs/>
          <w:sz w:val="22"/>
          <w:szCs w:val="22"/>
          <w:vertAlign w:val="subscript"/>
          <w:lang w:eastAsia="en-US"/>
        </w:rPr>
        <w:t xml:space="preserve">0-24 </w:t>
      </w:r>
      <w:r w:rsidRPr="00224BE9">
        <w:rPr>
          <w:iCs/>
          <w:sz w:val="22"/>
          <w:szCs w:val="22"/>
          <w:lang w:eastAsia="en-US"/>
        </w:rPr>
        <w:t>értékei sorrendben 52%-kal és 43%-kal alacsonyabbak voltak.</w:t>
      </w:r>
    </w:p>
    <w:p w14:paraId="75C779F7" w14:textId="77777777" w:rsidR="00224BE9" w:rsidRPr="00224BE9" w:rsidRDefault="00224BE9" w:rsidP="00224BE9">
      <w:pPr>
        <w:suppressAutoHyphens w:val="0"/>
        <w:rPr>
          <w:iCs/>
          <w:sz w:val="22"/>
          <w:szCs w:val="22"/>
          <w:lang w:eastAsia="en-US"/>
        </w:rPr>
      </w:pPr>
    </w:p>
    <w:p w14:paraId="009EFBC9" w14:textId="77777777" w:rsidR="00224BE9" w:rsidRPr="00224BE9" w:rsidRDefault="00224BE9" w:rsidP="00224BE9">
      <w:pPr>
        <w:suppressAutoHyphens w:val="0"/>
        <w:rPr>
          <w:iCs/>
          <w:sz w:val="22"/>
          <w:szCs w:val="22"/>
          <w:lang w:eastAsia="en-US"/>
        </w:rPr>
      </w:pPr>
      <w:r w:rsidRPr="00224BE9">
        <w:rPr>
          <w:iCs/>
          <w:sz w:val="22"/>
          <w:szCs w:val="22"/>
          <w:lang w:eastAsia="en-US"/>
        </w:rPr>
        <w:t>Az 5. táblázat a tablettával és a kapszulával végzett standard adagolási rendet követő farmakokinetikai paraméterek átlagát (SD) mutatja egészséges felnőtt önkéntesek esetében.</w:t>
      </w:r>
    </w:p>
    <w:p w14:paraId="6E2DF5A7" w14:textId="77777777" w:rsidR="00224BE9" w:rsidRPr="00224BE9" w:rsidRDefault="00224BE9" w:rsidP="00224BE9">
      <w:pPr>
        <w:suppressAutoHyphens w:val="0"/>
        <w:rPr>
          <w:iCs/>
          <w:sz w:val="22"/>
          <w:szCs w:val="22"/>
          <w:lang w:eastAsia="en-US"/>
        </w:rPr>
      </w:pPr>
    </w:p>
    <w:p w14:paraId="74360B3E" w14:textId="77777777" w:rsidR="00224BE9" w:rsidRPr="00224BE9" w:rsidRDefault="00224BE9" w:rsidP="00224BE9">
      <w:pPr>
        <w:suppressAutoHyphens w:val="0"/>
        <w:rPr>
          <w:iCs/>
          <w:sz w:val="22"/>
          <w:szCs w:val="22"/>
          <w:lang w:eastAsia="en-US"/>
        </w:rPr>
      </w:pPr>
      <w:r w:rsidRPr="00224BE9">
        <w:rPr>
          <w:sz w:val="22"/>
          <w:szCs w:val="22"/>
          <w:lang w:eastAsia="en-US"/>
        </w:rPr>
        <w:t>5. táblázat: Az azitromicin AUC</w:t>
      </w:r>
      <w:r w:rsidRPr="00224BE9">
        <w:rPr>
          <w:sz w:val="14"/>
          <w:szCs w:val="14"/>
          <w:lang w:eastAsia="en-US"/>
        </w:rPr>
        <w:t xml:space="preserve">0-24 </w:t>
      </w:r>
      <w:r w:rsidRPr="00224BE9">
        <w:rPr>
          <w:sz w:val="22"/>
          <w:szCs w:val="22"/>
          <w:lang w:eastAsia="en-US"/>
        </w:rPr>
        <w:t>és C</w:t>
      </w:r>
      <w:r w:rsidRPr="00224BE9">
        <w:rPr>
          <w:sz w:val="14"/>
          <w:szCs w:val="14"/>
          <w:lang w:eastAsia="en-US"/>
        </w:rPr>
        <w:t xml:space="preserve">max </w:t>
      </w:r>
      <w:r w:rsidRPr="00224BE9">
        <w:rPr>
          <w:sz w:val="22"/>
          <w:szCs w:val="22"/>
          <w:lang w:eastAsia="en-US"/>
        </w:rPr>
        <w:t>értékei a 3 napos és az 5 napos adagolási rendre vonatkozóan az adagolás utolsó napján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693"/>
      </w:tblGrid>
      <w:tr w:rsidR="00224BE9" w:rsidRPr="00224BE9" w14:paraId="256FF97B" w14:textId="77777777" w:rsidTr="00EF1044">
        <w:trPr>
          <w:trHeight w:val="278"/>
        </w:trPr>
        <w:tc>
          <w:tcPr>
            <w:tcW w:w="3969" w:type="dxa"/>
          </w:tcPr>
          <w:p w14:paraId="585A2D67"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 xml:space="preserve">Adagolási rend, gyógyszerforma </w:t>
            </w:r>
          </w:p>
        </w:tc>
        <w:tc>
          <w:tcPr>
            <w:tcW w:w="2410" w:type="dxa"/>
          </w:tcPr>
          <w:p w14:paraId="168CA735"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AUC</w:t>
            </w:r>
            <w:r w:rsidRPr="00224BE9">
              <w:rPr>
                <w:b/>
                <w:bCs/>
                <w:color w:val="000000"/>
                <w:sz w:val="14"/>
                <w:szCs w:val="14"/>
                <w:lang w:eastAsia="en-US"/>
              </w:rPr>
              <w:t xml:space="preserve">0-24 </w:t>
            </w:r>
            <w:r w:rsidRPr="00224BE9">
              <w:rPr>
                <w:b/>
                <w:bCs/>
                <w:color w:val="000000"/>
                <w:sz w:val="22"/>
                <w:szCs w:val="22"/>
                <w:lang w:eastAsia="en-US"/>
              </w:rPr>
              <w:t xml:space="preserve">(μg × h/ml) </w:t>
            </w:r>
          </w:p>
        </w:tc>
        <w:tc>
          <w:tcPr>
            <w:tcW w:w="2693" w:type="dxa"/>
          </w:tcPr>
          <w:p w14:paraId="2CF7471D"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b/>
                <w:bCs/>
                <w:color w:val="000000"/>
                <w:sz w:val="22"/>
                <w:szCs w:val="22"/>
                <w:lang w:eastAsia="en-US"/>
              </w:rPr>
              <w:t>C</w:t>
            </w:r>
            <w:r w:rsidRPr="00224BE9">
              <w:rPr>
                <w:b/>
                <w:bCs/>
                <w:color w:val="000000"/>
                <w:sz w:val="14"/>
                <w:szCs w:val="14"/>
                <w:lang w:eastAsia="en-US"/>
              </w:rPr>
              <w:t xml:space="preserve">max </w:t>
            </w:r>
            <w:r w:rsidRPr="00224BE9">
              <w:rPr>
                <w:b/>
                <w:bCs/>
                <w:color w:val="000000"/>
                <w:sz w:val="22"/>
                <w:szCs w:val="22"/>
                <w:lang w:eastAsia="en-US"/>
              </w:rPr>
              <w:t xml:space="preserve">(μg/ml) </w:t>
            </w:r>
          </w:p>
        </w:tc>
      </w:tr>
      <w:tr w:rsidR="00224BE9" w:rsidRPr="00224BE9" w14:paraId="43080AE3" w14:textId="77777777" w:rsidTr="00EF1044">
        <w:trPr>
          <w:trHeight w:val="401"/>
        </w:trPr>
        <w:tc>
          <w:tcPr>
            <w:tcW w:w="3969" w:type="dxa"/>
          </w:tcPr>
          <w:p w14:paraId="53C2A445" w14:textId="2CF4056A"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3 napos adagolási rend (naponta 500</w:t>
            </w:r>
            <w:r w:rsidR="003C0493">
              <w:rPr>
                <w:color w:val="000000"/>
                <w:sz w:val="22"/>
                <w:szCs w:val="22"/>
                <w:lang w:eastAsia="en-US"/>
              </w:rPr>
              <w:t> mg</w:t>
            </w:r>
            <w:r w:rsidRPr="00224BE9">
              <w:rPr>
                <w:color w:val="000000"/>
                <w:sz w:val="22"/>
                <w:szCs w:val="22"/>
                <w:lang w:eastAsia="en-US"/>
              </w:rPr>
              <w:t xml:space="preserve">), tabletta </w:t>
            </w:r>
          </w:p>
        </w:tc>
        <w:tc>
          <w:tcPr>
            <w:tcW w:w="2410" w:type="dxa"/>
          </w:tcPr>
          <w:p w14:paraId="6D24DAE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1,88 (0,96) </w:t>
            </w:r>
          </w:p>
        </w:tc>
        <w:tc>
          <w:tcPr>
            <w:tcW w:w="2693" w:type="dxa"/>
          </w:tcPr>
          <w:p w14:paraId="39EFE3E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0,42 (0,21) </w:t>
            </w:r>
          </w:p>
        </w:tc>
      </w:tr>
      <w:tr w:rsidR="00224BE9" w:rsidRPr="00224BE9" w14:paraId="3AC37050" w14:textId="77777777" w:rsidTr="00EF1044">
        <w:trPr>
          <w:trHeight w:val="275"/>
        </w:trPr>
        <w:tc>
          <w:tcPr>
            <w:tcW w:w="3969" w:type="dxa"/>
          </w:tcPr>
          <w:p w14:paraId="26966FBF" w14:textId="7B8E22AB"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5 napos adagolási rend (az első napon </w:t>
            </w:r>
            <w:r w:rsidRPr="00224BE9">
              <w:rPr>
                <w:color w:val="000000"/>
                <w:sz w:val="22"/>
                <w:szCs w:val="22"/>
                <w:lang w:eastAsia="en-US"/>
              </w:rPr>
              <w:lastRenderedPageBreak/>
              <w:t>500</w:t>
            </w:r>
            <w:r w:rsidR="003C0493">
              <w:rPr>
                <w:color w:val="000000"/>
                <w:sz w:val="22"/>
                <w:szCs w:val="22"/>
                <w:lang w:eastAsia="en-US"/>
              </w:rPr>
              <w:t> mg</w:t>
            </w:r>
            <w:r w:rsidRPr="00224BE9">
              <w:rPr>
                <w:color w:val="000000"/>
                <w:sz w:val="22"/>
                <w:szCs w:val="22"/>
                <w:lang w:eastAsia="en-US"/>
              </w:rPr>
              <w:t>, a 2-5. napon 250</w:t>
            </w:r>
            <w:r w:rsidR="003C0493">
              <w:rPr>
                <w:color w:val="000000"/>
                <w:sz w:val="22"/>
                <w:szCs w:val="22"/>
                <w:lang w:eastAsia="en-US"/>
              </w:rPr>
              <w:t> mg</w:t>
            </w:r>
            <w:r w:rsidRPr="00224BE9">
              <w:rPr>
                <w:color w:val="000000"/>
                <w:sz w:val="22"/>
                <w:szCs w:val="22"/>
                <w:lang w:eastAsia="en-US"/>
              </w:rPr>
              <w:t>), tabletta</w:t>
            </w:r>
          </w:p>
        </w:tc>
        <w:tc>
          <w:tcPr>
            <w:tcW w:w="2410" w:type="dxa"/>
          </w:tcPr>
          <w:p w14:paraId="7449BE96"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lastRenderedPageBreak/>
              <w:t xml:space="preserve">0,80 (0,42) </w:t>
            </w:r>
          </w:p>
        </w:tc>
        <w:tc>
          <w:tcPr>
            <w:tcW w:w="2693" w:type="dxa"/>
          </w:tcPr>
          <w:p w14:paraId="4C217647"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0,18 (0,10) </w:t>
            </w:r>
          </w:p>
        </w:tc>
      </w:tr>
      <w:tr w:rsidR="00224BE9" w:rsidRPr="00224BE9" w14:paraId="0C3015E7" w14:textId="77777777" w:rsidTr="00EF1044">
        <w:trPr>
          <w:trHeight w:val="275"/>
        </w:trPr>
        <w:tc>
          <w:tcPr>
            <w:tcW w:w="3969" w:type="dxa"/>
          </w:tcPr>
          <w:p w14:paraId="76B883D4" w14:textId="463C7143"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5 napos adagolási rend (az első napon 500</w:t>
            </w:r>
            <w:r w:rsidR="003C0493">
              <w:rPr>
                <w:color w:val="000000"/>
                <w:sz w:val="22"/>
                <w:szCs w:val="22"/>
                <w:lang w:eastAsia="en-US"/>
              </w:rPr>
              <w:t> mg</w:t>
            </w:r>
            <w:r w:rsidRPr="00224BE9">
              <w:rPr>
                <w:color w:val="000000"/>
                <w:sz w:val="22"/>
                <w:szCs w:val="22"/>
                <w:lang w:eastAsia="en-US"/>
              </w:rPr>
              <w:t>, a 2–5. napon 250</w:t>
            </w:r>
            <w:r w:rsidR="003C0493">
              <w:rPr>
                <w:color w:val="000000"/>
                <w:sz w:val="22"/>
                <w:szCs w:val="22"/>
                <w:lang w:eastAsia="en-US"/>
              </w:rPr>
              <w:t> mg</w:t>
            </w:r>
            <w:r w:rsidRPr="00224BE9">
              <w:rPr>
                <w:color w:val="000000"/>
                <w:sz w:val="22"/>
                <w:szCs w:val="22"/>
                <w:lang w:eastAsia="en-US"/>
              </w:rPr>
              <w:t>), kapszula</w:t>
            </w:r>
          </w:p>
        </w:tc>
        <w:tc>
          <w:tcPr>
            <w:tcW w:w="2410" w:type="dxa"/>
          </w:tcPr>
          <w:p w14:paraId="1FA642E5"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2,1 (0,6) </w:t>
            </w:r>
          </w:p>
          <w:p w14:paraId="48610DCD" w14:textId="77777777" w:rsidR="00224BE9" w:rsidRPr="00224BE9" w:rsidRDefault="00224BE9" w:rsidP="00224BE9">
            <w:pPr>
              <w:suppressAutoHyphens w:val="0"/>
              <w:autoSpaceDE w:val="0"/>
              <w:autoSpaceDN w:val="0"/>
              <w:adjustRightInd w:val="0"/>
              <w:rPr>
                <w:color w:val="000000"/>
                <w:sz w:val="22"/>
                <w:szCs w:val="22"/>
                <w:lang w:eastAsia="en-US"/>
              </w:rPr>
            </w:pPr>
          </w:p>
        </w:tc>
        <w:tc>
          <w:tcPr>
            <w:tcW w:w="2693" w:type="dxa"/>
          </w:tcPr>
          <w:p w14:paraId="4E5B5DAB"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0,24 (0,08) </w:t>
            </w:r>
          </w:p>
          <w:p w14:paraId="22254E0D" w14:textId="77777777" w:rsidR="00224BE9" w:rsidRPr="00224BE9" w:rsidRDefault="00224BE9" w:rsidP="00224BE9">
            <w:pPr>
              <w:suppressAutoHyphens w:val="0"/>
              <w:autoSpaceDE w:val="0"/>
              <w:autoSpaceDN w:val="0"/>
              <w:adjustRightInd w:val="0"/>
              <w:rPr>
                <w:color w:val="000000"/>
                <w:sz w:val="22"/>
                <w:szCs w:val="22"/>
                <w:lang w:eastAsia="en-US"/>
              </w:rPr>
            </w:pPr>
          </w:p>
        </w:tc>
      </w:tr>
    </w:tbl>
    <w:p w14:paraId="2BC4F5D8" w14:textId="77777777" w:rsidR="00224BE9" w:rsidRPr="00224BE9" w:rsidRDefault="00224BE9" w:rsidP="00224BE9">
      <w:pPr>
        <w:suppressAutoHyphens w:val="0"/>
        <w:rPr>
          <w:iCs/>
          <w:sz w:val="22"/>
          <w:szCs w:val="22"/>
          <w:lang w:eastAsia="en-US"/>
        </w:rPr>
      </w:pPr>
    </w:p>
    <w:p w14:paraId="3E18186A" w14:textId="77777777" w:rsidR="00224BE9" w:rsidRPr="00224BE9" w:rsidRDefault="00224BE9" w:rsidP="00224BE9">
      <w:pPr>
        <w:suppressAutoHyphens w:val="0"/>
        <w:rPr>
          <w:iCs/>
          <w:sz w:val="22"/>
          <w:szCs w:val="22"/>
          <w:u w:val="single"/>
          <w:lang w:eastAsia="en-US"/>
        </w:rPr>
      </w:pPr>
      <w:r w:rsidRPr="00224BE9">
        <w:rPr>
          <w:iCs/>
          <w:sz w:val="22"/>
          <w:szCs w:val="22"/>
          <w:u w:val="single"/>
          <w:lang w:eastAsia="en-US"/>
        </w:rPr>
        <w:t>Eloszlás</w:t>
      </w:r>
    </w:p>
    <w:p w14:paraId="3D6D7625" w14:textId="77777777" w:rsidR="00224BE9" w:rsidRPr="00224BE9" w:rsidRDefault="00224BE9" w:rsidP="00224BE9">
      <w:pPr>
        <w:suppressAutoHyphens w:val="0"/>
        <w:rPr>
          <w:sz w:val="22"/>
          <w:szCs w:val="22"/>
          <w:lang w:eastAsia="en-US"/>
        </w:rPr>
      </w:pPr>
      <w:r w:rsidRPr="00224BE9">
        <w:rPr>
          <w:sz w:val="22"/>
          <w:szCs w:val="22"/>
          <w:lang w:eastAsia="en-US"/>
        </w:rPr>
        <w:t>Az azitromicin széles körben és gyorsan eloszlik a plazmából az extravascularis kompartmentbe, beleértve az olyan szöveteket, mint a mandula, a tüdő és a női nemi szervek szövetei, valamint az intracellularis kompartmentben, különösen a polymorphonuclearis leukocytákban, makrofágokban és monocytákban. A farmakokinetikai vizsgálatok lényegesen magasabb azitromicin-koncentrációkat mutattak bizonyos szövetekben (a plazmában mért maximális koncentráció legfeljebb 50-szeresét). Ez erős kötődést jelez ezekhez a szövetekhez, a 23–31 l/ttkg közötti tartományban egyensúlyi eloszlási térfogattal. Az ismételt eloszlási fázis az intracellularis kompartmentből az extracellularis kompartmentbe és a plazmába, a kezelés leállítását követően hosszan tartó alacsony koncentrációkat eredményezhet.</w:t>
      </w:r>
    </w:p>
    <w:p w14:paraId="2B5A48E7" w14:textId="1269397E" w:rsidR="00224BE9" w:rsidRPr="00224BE9" w:rsidRDefault="00224BE9" w:rsidP="00224BE9">
      <w:pPr>
        <w:suppressAutoHyphens w:val="0"/>
        <w:rPr>
          <w:sz w:val="22"/>
          <w:szCs w:val="22"/>
          <w:lang w:eastAsia="en-US"/>
        </w:rPr>
      </w:pPr>
      <w:r w:rsidRPr="00224BE9">
        <w:rPr>
          <w:sz w:val="22"/>
          <w:szCs w:val="22"/>
          <w:lang w:eastAsia="en-US"/>
        </w:rPr>
        <w:t>Az azitromicin alacsony plazmafehérje</w:t>
      </w:r>
      <w:r w:rsidRPr="00224BE9">
        <w:rPr>
          <w:sz w:val="22"/>
          <w:szCs w:val="22"/>
          <w:lang w:eastAsia="en-US"/>
        </w:rPr>
        <w:noBreakHyphen/>
        <w:t>kötődést mutat, főként az alfa 1 savas glikoproteinhez kötődve, és ez az antibiotikum koncentrációinak növelésével csökken: sorrendben 50%, 23% és 7% fehérjekötődés 0,05</w:t>
      </w:r>
      <w:r w:rsidR="003C0493">
        <w:rPr>
          <w:sz w:val="22"/>
          <w:szCs w:val="22"/>
          <w:lang w:eastAsia="en-US"/>
        </w:rPr>
        <w:t> mg</w:t>
      </w:r>
      <w:r w:rsidRPr="00224BE9">
        <w:rPr>
          <w:sz w:val="22"/>
          <w:szCs w:val="22"/>
          <w:lang w:eastAsia="en-US"/>
        </w:rPr>
        <w:t>/l, 0,1</w:t>
      </w:r>
      <w:r w:rsidR="003C0493">
        <w:rPr>
          <w:sz w:val="22"/>
          <w:szCs w:val="22"/>
          <w:lang w:eastAsia="en-US"/>
        </w:rPr>
        <w:t> mg</w:t>
      </w:r>
      <w:r w:rsidRPr="00224BE9">
        <w:rPr>
          <w:sz w:val="22"/>
          <w:szCs w:val="22"/>
          <w:lang w:eastAsia="en-US"/>
        </w:rPr>
        <w:t>/l és 1</w:t>
      </w:r>
      <w:r w:rsidR="003C0493">
        <w:rPr>
          <w:sz w:val="22"/>
          <w:szCs w:val="22"/>
          <w:lang w:eastAsia="en-US"/>
        </w:rPr>
        <w:t> mg</w:t>
      </w:r>
      <w:r w:rsidRPr="00224BE9">
        <w:rPr>
          <w:sz w:val="22"/>
          <w:szCs w:val="22"/>
          <w:lang w:eastAsia="en-US"/>
        </w:rPr>
        <w:t xml:space="preserve">/l koncentrációk mellett. </w:t>
      </w:r>
    </w:p>
    <w:p w14:paraId="41AB8921" w14:textId="77777777" w:rsidR="00224BE9" w:rsidRPr="00224BE9" w:rsidRDefault="00224BE9" w:rsidP="00224BE9">
      <w:pPr>
        <w:suppressAutoHyphens w:val="0"/>
        <w:rPr>
          <w:sz w:val="22"/>
          <w:szCs w:val="22"/>
          <w:lang w:eastAsia="en-US"/>
        </w:rPr>
      </w:pPr>
    </w:p>
    <w:p w14:paraId="6CB88E34" w14:textId="77777777" w:rsidR="00224BE9" w:rsidRPr="00224BE9" w:rsidRDefault="00224BE9" w:rsidP="00224BE9">
      <w:pPr>
        <w:suppressAutoHyphens w:val="0"/>
        <w:autoSpaceDE w:val="0"/>
        <w:autoSpaceDN w:val="0"/>
        <w:adjustRightInd w:val="0"/>
        <w:rPr>
          <w:color w:val="000000"/>
          <w:sz w:val="22"/>
          <w:szCs w:val="22"/>
          <w:u w:val="single"/>
          <w:lang w:eastAsia="en-US"/>
        </w:rPr>
      </w:pPr>
      <w:r w:rsidRPr="00224BE9">
        <w:rPr>
          <w:color w:val="000000"/>
          <w:sz w:val="22"/>
          <w:szCs w:val="22"/>
          <w:u w:val="single"/>
          <w:lang w:eastAsia="en-US"/>
        </w:rPr>
        <w:t xml:space="preserve">Biotranszformáció </w:t>
      </w:r>
    </w:p>
    <w:p w14:paraId="7F344B36"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Az azitromicin minimálisan metabolizálódik a májban. A biotranszformáció elsődleges útja a dezozamin szacharid N-demetilációja. Egyéb útvonalak közé tartozik az O-demetiláció, a kladinóz hidrolízise (kladinóz szacharid dekonjugációja) és a dezozamin szacharid, valamint a makrolidgyűrű hidroxilációja. </w:t>
      </w:r>
    </w:p>
    <w:p w14:paraId="14364D3B" w14:textId="77777777" w:rsidR="00224BE9" w:rsidRPr="00224BE9" w:rsidRDefault="00224BE9" w:rsidP="00224BE9">
      <w:pPr>
        <w:suppressAutoHyphens w:val="0"/>
        <w:rPr>
          <w:i/>
          <w:sz w:val="22"/>
          <w:szCs w:val="22"/>
          <w:u w:val="single"/>
          <w:lang w:eastAsia="en-US"/>
        </w:rPr>
      </w:pPr>
      <w:r w:rsidRPr="00224BE9">
        <w:rPr>
          <w:sz w:val="22"/>
          <w:szCs w:val="22"/>
          <w:lang w:eastAsia="en-US"/>
        </w:rPr>
        <w:t xml:space="preserve">Nincs bizonyíték klinikailag releváns máj citokróm CYP3A4-indukcióra vagy -inhibicióra a citokróm-metabolit komplex kialakulásán keresztül. Az azitromicin ezen az útvonalon keresztüli autoindukált metabolizmusát nem mutatták ki. </w:t>
      </w:r>
    </w:p>
    <w:p w14:paraId="023D9898" w14:textId="77777777" w:rsidR="00224BE9" w:rsidRPr="00224BE9" w:rsidRDefault="00224BE9" w:rsidP="00224BE9">
      <w:pPr>
        <w:suppressAutoHyphens w:val="0"/>
        <w:rPr>
          <w:i/>
          <w:sz w:val="22"/>
          <w:szCs w:val="22"/>
          <w:u w:val="single"/>
          <w:lang w:eastAsia="en-US"/>
        </w:rPr>
      </w:pPr>
    </w:p>
    <w:p w14:paraId="1013AFA0" w14:textId="77777777" w:rsidR="00224BE9" w:rsidRPr="00224BE9" w:rsidRDefault="00224BE9" w:rsidP="00224BE9">
      <w:pPr>
        <w:suppressAutoHyphens w:val="0"/>
        <w:rPr>
          <w:sz w:val="22"/>
          <w:szCs w:val="22"/>
          <w:u w:val="single"/>
          <w:lang w:eastAsia="en-US"/>
        </w:rPr>
      </w:pPr>
      <w:r w:rsidRPr="00224BE9">
        <w:rPr>
          <w:sz w:val="22"/>
          <w:szCs w:val="22"/>
          <w:u w:val="single"/>
          <w:lang w:eastAsia="en-US"/>
        </w:rPr>
        <w:t>Elimináció</w:t>
      </w:r>
    </w:p>
    <w:p w14:paraId="5E454DA4"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 azitromicin főként (aktív transzporttal) az epén keresztül választódik ki, döntően változatlan formában, de metabolitokként is, amelyek nem rendelkeznek antibakteriális aktivitással. A vizelettel történő kiválasztás mérsékelt szerepet játszik az eliminációban, az oralis dózis kevesebb mint 6%-a és a szisztémás keringést elérő gyógyszer körülbelül 20%-a választódik ki a vizelettel. A széklettel történő kiválasztás több mint 50%-a és a vizelettel történő kiválasztás 12%-a változatlan formában</w:t>
      </w:r>
    </w:p>
    <w:p w14:paraId="23C0661F"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történik. </w:t>
      </w:r>
    </w:p>
    <w:p w14:paraId="271A6910" w14:textId="79012E91" w:rsidR="00224BE9" w:rsidRPr="00224BE9" w:rsidRDefault="00224BE9" w:rsidP="00224BE9">
      <w:pPr>
        <w:suppressAutoHyphens w:val="0"/>
        <w:rPr>
          <w:sz w:val="22"/>
          <w:szCs w:val="22"/>
          <w:lang w:eastAsia="en-US"/>
        </w:rPr>
      </w:pPr>
      <w:r w:rsidRPr="00224BE9">
        <w:rPr>
          <w:sz w:val="22"/>
          <w:szCs w:val="22"/>
          <w:lang w:eastAsia="en-US"/>
        </w:rPr>
        <w:t>Az egyszeri 500</w:t>
      </w:r>
      <w:r w:rsidR="003C0493">
        <w:rPr>
          <w:sz w:val="22"/>
          <w:szCs w:val="22"/>
          <w:lang w:eastAsia="en-US"/>
        </w:rPr>
        <w:t> mg</w:t>
      </w:r>
      <w:r w:rsidRPr="00224BE9">
        <w:rPr>
          <w:sz w:val="22"/>
          <w:szCs w:val="22"/>
          <w:lang w:eastAsia="en-US"/>
        </w:rPr>
        <w:t>-os azitromicin-dózis adagolását követően 630 ml/perc volt a becsült plazma-clearance, körülbelül 68</w:t>
      </w:r>
      <w:r w:rsidR="00983D99">
        <w:rPr>
          <w:sz w:val="22"/>
          <w:szCs w:val="22"/>
          <w:lang w:eastAsia="en-US"/>
        </w:rPr>
        <w:t> ór</w:t>
      </w:r>
      <w:r w:rsidRPr="00224BE9">
        <w:rPr>
          <w:sz w:val="22"/>
          <w:szCs w:val="22"/>
          <w:lang w:eastAsia="en-US"/>
        </w:rPr>
        <w:t>a terminális felezési idővel. A renalis clearance általánosságban 100–189 ml/perc közötti tartományban van, várható módon jelentősen kisebb, mint a plazma-clearance, mivel a renalis eliminációs út viszonylag kis mértékben járul hozzá az eliminációhoz.</w:t>
      </w:r>
    </w:p>
    <w:p w14:paraId="3B3D4E53" w14:textId="77777777" w:rsidR="00224BE9" w:rsidRPr="00224BE9" w:rsidRDefault="00224BE9" w:rsidP="00224BE9">
      <w:pPr>
        <w:suppressAutoHyphens w:val="0"/>
        <w:rPr>
          <w:sz w:val="22"/>
          <w:szCs w:val="22"/>
          <w:u w:val="single"/>
          <w:lang w:eastAsia="en-US"/>
        </w:rPr>
      </w:pPr>
    </w:p>
    <w:p w14:paraId="39F292E1" w14:textId="77777777" w:rsidR="00224BE9" w:rsidRPr="00224BE9" w:rsidRDefault="00224BE9" w:rsidP="00224BE9">
      <w:pPr>
        <w:suppressAutoHyphens w:val="0"/>
        <w:autoSpaceDE w:val="0"/>
        <w:autoSpaceDN w:val="0"/>
        <w:adjustRightInd w:val="0"/>
        <w:rPr>
          <w:color w:val="000000"/>
          <w:sz w:val="22"/>
          <w:szCs w:val="22"/>
          <w:u w:val="single"/>
          <w:lang w:eastAsia="en-US"/>
        </w:rPr>
      </w:pPr>
      <w:r w:rsidRPr="00224BE9">
        <w:rPr>
          <w:color w:val="000000"/>
          <w:sz w:val="22"/>
          <w:szCs w:val="22"/>
          <w:u w:val="single"/>
          <w:lang w:eastAsia="en-US"/>
        </w:rPr>
        <w:t xml:space="preserve">Linearitás/nonlinearitás </w:t>
      </w:r>
    </w:p>
    <w:p w14:paraId="29F99B94" w14:textId="28DF101B" w:rsidR="00224BE9" w:rsidRPr="00224BE9" w:rsidRDefault="00224BE9" w:rsidP="00224BE9">
      <w:pPr>
        <w:suppressAutoHyphens w:val="0"/>
        <w:rPr>
          <w:sz w:val="22"/>
          <w:szCs w:val="22"/>
          <w:lang w:eastAsia="en-US"/>
        </w:rPr>
      </w:pPr>
      <w:r w:rsidRPr="00224BE9">
        <w:rPr>
          <w:sz w:val="22"/>
          <w:szCs w:val="22"/>
          <w:lang w:eastAsia="en-US"/>
        </w:rPr>
        <w:t>Azonnali hatóanyag-felszabadulású gyógyszerforma oralis adagolását követően dózisfüggően változott az AUC</w:t>
      </w:r>
      <w:r w:rsidRPr="00224BE9">
        <w:rPr>
          <w:sz w:val="14"/>
          <w:szCs w:val="14"/>
          <w:lang w:eastAsia="en-US"/>
        </w:rPr>
        <w:t xml:space="preserve">0-24 </w:t>
      </w:r>
      <w:r w:rsidRPr="00224BE9">
        <w:rPr>
          <w:sz w:val="22"/>
          <w:szCs w:val="22"/>
          <w:lang w:eastAsia="en-US"/>
        </w:rPr>
        <w:t>és a C</w:t>
      </w:r>
      <w:r w:rsidRPr="00224BE9">
        <w:rPr>
          <w:sz w:val="14"/>
          <w:szCs w:val="14"/>
          <w:lang w:eastAsia="en-US"/>
        </w:rPr>
        <w:t xml:space="preserve">max </w:t>
      </w:r>
      <w:r w:rsidRPr="00224BE9">
        <w:rPr>
          <w:sz w:val="22"/>
          <w:szCs w:val="22"/>
          <w:lang w:eastAsia="en-US"/>
        </w:rPr>
        <w:t>250–1000</w:t>
      </w:r>
      <w:r w:rsidR="003C0493">
        <w:rPr>
          <w:sz w:val="22"/>
          <w:szCs w:val="22"/>
          <w:lang w:eastAsia="en-US"/>
        </w:rPr>
        <w:t> mg</w:t>
      </w:r>
      <w:r w:rsidRPr="00224BE9">
        <w:rPr>
          <w:sz w:val="22"/>
          <w:szCs w:val="22"/>
          <w:lang w:eastAsia="en-US"/>
        </w:rPr>
        <w:t xml:space="preserve"> közötti tartományban.</w:t>
      </w:r>
    </w:p>
    <w:p w14:paraId="67D24E6F" w14:textId="77777777" w:rsidR="00224BE9" w:rsidRPr="00224BE9" w:rsidRDefault="00224BE9" w:rsidP="00224BE9">
      <w:pPr>
        <w:suppressAutoHyphens w:val="0"/>
        <w:rPr>
          <w:sz w:val="22"/>
          <w:szCs w:val="22"/>
          <w:u w:val="single"/>
          <w:lang w:eastAsia="en-US"/>
        </w:rPr>
      </w:pPr>
    </w:p>
    <w:p w14:paraId="0A17F815" w14:textId="77777777" w:rsidR="00224BE9" w:rsidRPr="00224BE9" w:rsidRDefault="00224BE9" w:rsidP="00224BE9">
      <w:pPr>
        <w:suppressAutoHyphens w:val="0"/>
        <w:rPr>
          <w:sz w:val="22"/>
          <w:szCs w:val="22"/>
          <w:lang w:eastAsia="en-US"/>
        </w:rPr>
      </w:pPr>
      <w:r w:rsidRPr="00224BE9">
        <w:rPr>
          <w:sz w:val="22"/>
          <w:szCs w:val="22"/>
          <w:u w:val="single"/>
          <w:lang w:eastAsia="en-US"/>
        </w:rPr>
        <w:t>Különleges betegcsoportok</w:t>
      </w:r>
    </w:p>
    <w:p w14:paraId="5494E57D" w14:textId="77777777" w:rsidR="00224BE9" w:rsidRPr="00224BE9" w:rsidRDefault="00224BE9" w:rsidP="00224BE9">
      <w:pPr>
        <w:suppressAutoHyphens w:val="0"/>
        <w:rPr>
          <w:sz w:val="22"/>
          <w:szCs w:val="22"/>
          <w:lang w:eastAsia="en-US"/>
        </w:rPr>
      </w:pPr>
    </w:p>
    <w:p w14:paraId="6F34DE86" w14:textId="77777777" w:rsidR="00224BE9" w:rsidRPr="00224BE9" w:rsidRDefault="00224BE9" w:rsidP="00224BE9">
      <w:pPr>
        <w:suppressAutoHyphens w:val="0"/>
        <w:rPr>
          <w:i/>
          <w:sz w:val="22"/>
          <w:szCs w:val="22"/>
          <w:lang w:eastAsia="en-US"/>
        </w:rPr>
      </w:pPr>
      <w:r w:rsidRPr="00224BE9">
        <w:rPr>
          <w:i/>
          <w:sz w:val="22"/>
          <w:szCs w:val="22"/>
          <w:lang w:eastAsia="en-US"/>
        </w:rPr>
        <w:t>Vesekárosodás</w:t>
      </w:r>
    </w:p>
    <w:p w14:paraId="5A49AD05" w14:textId="25CD8EEA"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 azitromicin farmakokinetikáját 43 felnőttnél (21–85</w:t>
      </w:r>
      <w:r w:rsidR="003C0493">
        <w:rPr>
          <w:color w:val="000000"/>
          <w:sz w:val="22"/>
          <w:szCs w:val="22"/>
          <w:lang w:eastAsia="en-US"/>
        </w:rPr>
        <w:t> év</w:t>
      </w:r>
      <w:r w:rsidRPr="00224BE9">
        <w:rPr>
          <w:color w:val="000000"/>
          <w:sz w:val="22"/>
          <w:szCs w:val="22"/>
          <w:lang w:eastAsia="en-US"/>
        </w:rPr>
        <w:t>es kor között) vizsgálták egyszeri 1,0 g-os azitromicin-dózis (4 × 250</w:t>
      </w:r>
      <w:r w:rsidR="003C0493">
        <w:rPr>
          <w:color w:val="000000"/>
          <w:sz w:val="22"/>
          <w:szCs w:val="22"/>
          <w:lang w:eastAsia="en-US"/>
        </w:rPr>
        <w:t> mg</w:t>
      </w:r>
      <w:r w:rsidRPr="00224BE9">
        <w:rPr>
          <w:color w:val="000000"/>
          <w:sz w:val="22"/>
          <w:szCs w:val="22"/>
          <w:lang w:eastAsia="en-US"/>
        </w:rPr>
        <w:t xml:space="preserve">-os kapszula) oralis adagolását követően olyan alanyoknál, akiknél a GFR &gt; 80 ml/perc (n = 12), akiknél a GFR 10–80 ml/perc közötti értékű (n = 12) és akiknél a GFR &lt; 10 ml/perc (n = 19) volt. </w:t>
      </w:r>
    </w:p>
    <w:p w14:paraId="577F79D9" w14:textId="77777777" w:rsidR="00224BE9" w:rsidRPr="00224BE9" w:rsidRDefault="00224BE9" w:rsidP="00224BE9">
      <w:pPr>
        <w:suppressAutoHyphens w:val="0"/>
        <w:autoSpaceDE w:val="0"/>
        <w:autoSpaceDN w:val="0"/>
        <w:adjustRightInd w:val="0"/>
        <w:rPr>
          <w:color w:val="000000"/>
          <w:sz w:val="22"/>
          <w:szCs w:val="22"/>
          <w:lang w:eastAsia="en-US"/>
        </w:rPr>
      </w:pPr>
    </w:p>
    <w:p w14:paraId="50725C4A"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 azitromicin farmakokinetikája változatlan volt a 10–80 ml/perc közötti GFR-értékű alanyoknál (az átlagos C</w:t>
      </w:r>
      <w:r w:rsidRPr="00224BE9">
        <w:rPr>
          <w:color w:val="000000"/>
          <w:sz w:val="14"/>
          <w:szCs w:val="14"/>
          <w:lang w:eastAsia="en-US"/>
        </w:rPr>
        <w:t xml:space="preserve">max </w:t>
      </w:r>
      <w:r w:rsidRPr="00224BE9">
        <w:rPr>
          <w:color w:val="000000"/>
          <w:sz w:val="22"/>
          <w:szCs w:val="22"/>
          <w:lang w:eastAsia="en-US"/>
        </w:rPr>
        <w:t>és AUC</w:t>
      </w:r>
      <w:r w:rsidRPr="00224BE9">
        <w:rPr>
          <w:color w:val="000000"/>
          <w:sz w:val="14"/>
          <w:szCs w:val="14"/>
          <w:lang w:eastAsia="en-US"/>
        </w:rPr>
        <w:t xml:space="preserve">0-120 </w:t>
      </w:r>
      <w:r w:rsidRPr="00224BE9">
        <w:rPr>
          <w:color w:val="000000"/>
          <w:sz w:val="22"/>
          <w:szCs w:val="22"/>
          <w:lang w:eastAsia="en-US"/>
        </w:rPr>
        <w:t>sorrendben 5,1%-kal és 4,2%-kal nőtt azokhoz az alanyokhoz képest, akiknél a GFR &gt; 80 ml/perc). Az átlagos C</w:t>
      </w:r>
      <w:r w:rsidRPr="00224BE9">
        <w:rPr>
          <w:color w:val="000000"/>
          <w:sz w:val="14"/>
          <w:szCs w:val="14"/>
          <w:lang w:eastAsia="en-US"/>
        </w:rPr>
        <w:t xml:space="preserve">max </w:t>
      </w:r>
      <w:r w:rsidRPr="00224BE9">
        <w:rPr>
          <w:color w:val="000000"/>
          <w:sz w:val="22"/>
          <w:szCs w:val="22"/>
          <w:lang w:eastAsia="en-US"/>
        </w:rPr>
        <w:t>és AUC</w:t>
      </w:r>
      <w:r w:rsidRPr="00224BE9">
        <w:rPr>
          <w:color w:val="000000"/>
          <w:sz w:val="14"/>
          <w:szCs w:val="14"/>
          <w:lang w:eastAsia="en-US"/>
        </w:rPr>
        <w:t xml:space="preserve">0-120 </w:t>
      </w:r>
      <w:r w:rsidRPr="00224BE9">
        <w:rPr>
          <w:color w:val="000000"/>
          <w:sz w:val="22"/>
          <w:szCs w:val="22"/>
          <w:lang w:eastAsia="en-US"/>
        </w:rPr>
        <w:t xml:space="preserve">sorrendben 61%-kal és 35%-kal nőtt azoknál az alanyoknál, akiknél a GFR &lt; 10 ml/perc volt, a GFR &gt; 80 ml/perc értékű alanyokkal összehasonlítva. </w:t>
      </w:r>
    </w:p>
    <w:p w14:paraId="4E4B5048" w14:textId="77777777" w:rsidR="00224BE9" w:rsidRPr="00224BE9" w:rsidRDefault="00224BE9" w:rsidP="00224BE9">
      <w:pPr>
        <w:suppressAutoHyphens w:val="0"/>
        <w:autoSpaceDE w:val="0"/>
        <w:autoSpaceDN w:val="0"/>
        <w:adjustRightInd w:val="0"/>
        <w:rPr>
          <w:color w:val="000000"/>
          <w:sz w:val="22"/>
          <w:szCs w:val="22"/>
          <w:lang w:eastAsia="en-US"/>
        </w:rPr>
      </w:pPr>
    </w:p>
    <w:p w14:paraId="3A53CC59" w14:textId="77777777" w:rsidR="00224BE9" w:rsidRPr="00224BE9" w:rsidRDefault="00224BE9" w:rsidP="00224BE9">
      <w:pPr>
        <w:suppressAutoHyphens w:val="0"/>
        <w:rPr>
          <w:i/>
          <w:sz w:val="22"/>
          <w:szCs w:val="22"/>
          <w:lang w:eastAsia="en-US"/>
        </w:rPr>
      </w:pPr>
      <w:r w:rsidRPr="00224BE9">
        <w:rPr>
          <w:sz w:val="22"/>
          <w:szCs w:val="22"/>
          <w:lang w:eastAsia="en-US"/>
        </w:rPr>
        <w:lastRenderedPageBreak/>
        <w:t xml:space="preserve">Nincs rendelkezésre álló adat a dialíziskezelést kapó alanyok esetében, azonban az azitromicin eliminációs mechanizmusa miatt nem valószínű, hogy a dialízis a hatóanyag szignifikáns mennyiségének eltávolítását eredményezné. </w:t>
      </w:r>
    </w:p>
    <w:p w14:paraId="3BD34547" w14:textId="77777777" w:rsidR="00224BE9" w:rsidRPr="00224BE9" w:rsidRDefault="00224BE9" w:rsidP="00224BE9">
      <w:pPr>
        <w:suppressAutoHyphens w:val="0"/>
        <w:rPr>
          <w:i/>
          <w:sz w:val="22"/>
          <w:szCs w:val="22"/>
          <w:lang w:eastAsia="en-US"/>
        </w:rPr>
      </w:pPr>
    </w:p>
    <w:p w14:paraId="3315918E" w14:textId="77777777" w:rsidR="00224BE9" w:rsidRPr="00224BE9" w:rsidRDefault="00224BE9" w:rsidP="00224BE9">
      <w:pPr>
        <w:suppressAutoHyphens w:val="0"/>
        <w:rPr>
          <w:i/>
          <w:sz w:val="22"/>
          <w:szCs w:val="22"/>
          <w:lang w:eastAsia="en-US"/>
        </w:rPr>
      </w:pPr>
      <w:r w:rsidRPr="00224BE9">
        <w:rPr>
          <w:i/>
          <w:sz w:val="22"/>
          <w:szCs w:val="22"/>
          <w:lang w:eastAsia="en-US"/>
        </w:rPr>
        <w:t>Májkárosodás</w:t>
      </w:r>
    </w:p>
    <w:p w14:paraId="5D7DC97A" w14:textId="05FA93F9" w:rsidR="00224BE9" w:rsidRPr="00224BE9" w:rsidRDefault="00224BE9" w:rsidP="00224BE9">
      <w:pPr>
        <w:suppressAutoHyphens w:val="0"/>
        <w:rPr>
          <w:i/>
          <w:sz w:val="22"/>
          <w:szCs w:val="22"/>
          <w:lang w:eastAsia="en-US"/>
        </w:rPr>
      </w:pPr>
      <w:r w:rsidRPr="00224BE9">
        <w:rPr>
          <w:sz w:val="22"/>
          <w:szCs w:val="22"/>
          <w:lang w:eastAsia="en-US"/>
        </w:rPr>
        <w:t>Az azitromicin farmakokinetikáját 22 felnőttnél vizsgálták egyszeri 500</w:t>
      </w:r>
      <w:r w:rsidR="003C0493">
        <w:rPr>
          <w:sz w:val="22"/>
          <w:szCs w:val="22"/>
          <w:lang w:eastAsia="en-US"/>
        </w:rPr>
        <w:t> mg</w:t>
      </w:r>
      <w:r w:rsidRPr="00224BE9">
        <w:rPr>
          <w:sz w:val="22"/>
          <w:szCs w:val="22"/>
          <w:lang w:eastAsia="en-US"/>
        </w:rPr>
        <w:t>-os azitromicin-dózis (2 × 250</w:t>
      </w:r>
      <w:r w:rsidR="003C0493">
        <w:rPr>
          <w:sz w:val="22"/>
          <w:szCs w:val="22"/>
          <w:lang w:eastAsia="en-US"/>
        </w:rPr>
        <w:t> mg</w:t>
      </w:r>
      <w:r w:rsidRPr="00224BE9">
        <w:rPr>
          <w:sz w:val="22"/>
          <w:szCs w:val="22"/>
          <w:lang w:eastAsia="en-US"/>
        </w:rPr>
        <w:t>-os kapszula) oralis adagolását követően normális májfunkciójú alanyoknál (n = 6), Child–Pugh A (n = 10) és Child–Pugh B (n = 6) stádium esetében. Az azitromicin farmakokinetikája Child–Pugh A és B stádiumú alanyok esetében 3%-kal és 19%-kal alacsonyabb volt az AUC</w:t>
      </w:r>
      <w:r w:rsidRPr="00224BE9">
        <w:rPr>
          <w:sz w:val="14"/>
          <w:szCs w:val="14"/>
          <w:lang w:eastAsia="en-US"/>
        </w:rPr>
        <w:t xml:space="preserve">0-inf </w:t>
      </w:r>
      <w:r w:rsidRPr="00224BE9">
        <w:rPr>
          <w:sz w:val="22"/>
          <w:szCs w:val="22"/>
          <w:lang w:eastAsia="en-US"/>
        </w:rPr>
        <w:t>, valamint 34%-kal és 72%-kal magasabb a C</w:t>
      </w:r>
      <w:r w:rsidRPr="00224BE9">
        <w:rPr>
          <w:sz w:val="14"/>
          <w:szCs w:val="14"/>
          <w:lang w:eastAsia="en-US"/>
        </w:rPr>
        <w:t>max</w:t>
      </w:r>
      <w:r w:rsidRPr="00224BE9">
        <w:rPr>
          <w:sz w:val="22"/>
          <w:szCs w:val="22"/>
          <w:lang w:eastAsia="en-US"/>
        </w:rPr>
        <w:t>, a normális májfunkciójú alanyokhoz képest.</w:t>
      </w:r>
    </w:p>
    <w:p w14:paraId="3DA745CE" w14:textId="77777777" w:rsidR="00224BE9" w:rsidRPr="00224BE9" w:rsidRDefault="00224BE9" w:rsidP="00224BE9">
      <w:pPr>
        <w:suppressAutoHyphens w:val="0"/>
        <w:rPr>
          <w:i/>
          <w:sz w:val="22"/>
          <w:szCs w:val="22"/>
          <w:lang w:eastAsia="en-US"/>
        </w:rPr>
      </w:pPr>
    </w:p>
    <w:p w14:paraId="552DCCAC" w14:textId="77777777" w:rsidR="00224BE9" w:rsidRPr="00224BE9" w:rsidRDefault="00224BE9" w:rsidP="00224BE9">
      <w:pPr>
        <w:suppressAutoHyphens w:val="0"/>
        <w:rPr>
          <w:i/>
          <w:sz w:val="22"/>
          <w:szCs w:val="22"/>
          <w:lang w:eastAsia="en-US"/>
        </w:rPr>
      </w:pPr>
      <w:r w:rsidRPr="00224BE9">
        <w:rPr>
          <w:i/>
          <w:sz w:val="22"/>
          <w:szCs w:val="22"/>
          <w:lang w:eastAsia="en-US"/>
        </w:rPr>
        <w:t>Idősek</w:t>
      </w:r>
    </w:p>
    <w:p w14:paraId="5911BE58" w14:textId="630D7A2B" w:rsidR="00224BE9" w:rsidRPr="00224BE9" w:rsidRDefault="00224BE9" w:rsidP="00224BE9">
      <w:pPr>
        <w:suppressAutoHyphens w:val="0"/>
        <w:rPr>
          <w:i/>
          <w:sz w:val="22"/>
          <w:szCs w:val="22"/>
          <w:lang w:eastAsia="en-US"/>
        </w:rPr>
      </w:pPr>
      <w:r w:rsidRPr="00224BE9">
        <w:rPr>
          <w:sz w:val="22"/>
          <w:szCs w:val="22"/>
          <w:lang w:eastAsia="en-US"/>
        </w:rPr>
        <w:t>Az 1. napon 500</w:t>
      </w:r>
      <w:r w:rsidR="003C0493">
        <w:rPr>
          <w:sz w:val="22"/>
          <w:szCs w:val="22"/>
          <w:lang w:eastAsia="en-US"/>
        </w:rPr>
        <w:t> mg</w:t>
      </w:r>
      <w:r w:rsidRPr="00224BE9">
        <w:rPr>
          <w:sz w:val="22"/>
          <w:szCs w:val="22"/>
          <w:lang w:eastAsia="en-US"/>
        </w:rPr>
        <w:t xml:space="preserve"> (2 × 250</w:t>
      </w:r>
      <w:r w:rsidR="003C0493">
        <w:rPr>
          <w:sz w:val="22"/>
          <w:szCs w:val="22"/>
          <w:lang w:eastAsia="en-US"/>
        </w:rPr>
        <w:t> mg</w:t>
      </w:r>
      <w:r w:rsidRPr="00224BE9">
        <w:rPr>
          <w:sz w:val="22"/>
          <w:szCs w:val="22"/>
          <w:lang w:eastAsia="en-US"/>
        </w:rPr>
        <w:t>-os kapszula) azitromicint, majd a 2–5. napon 250</w:t>
      </w:r>
      <w:r w:rsidR="003C0493">
        <w:rPr>
          <w:sz w:val="22"/>
          <w:szCs w:val="22"/>
          <w:lang w:eastAsia="en-US"/>
        </w:rPr>
        <w:t> mg</w:t>
      </w:r>
      <w:r w:rsidRPr="00224BE9">
        <w:rPr>
          <w:sz w:val="22"/>
          <w:szCs w:val="22"/>
          <w:lang w:eastAsia="en-US"/>
        </w:rPr>
        <w:t>-ot kapó idős önkénteseknél (&gt; 65</w:t>
      </w:r>
      <w:r w:rsidR="003C0493">
        <w:rPr>
          <w:sz w:val="22"/>
          <w:szCs w:val="22"/>
          <w:lang w:eastAsia="en-US"/>
        </w:rPr>
        <w:t> év</w:t>
      </w:r>
      <w:r w:rsidRPr="00224BE9">
        <w:rPr>
          <w:sz w:val="22"/>
          <w:szCs w:val="22"/>
          <w:lang w:eastAsia="en-US"/>
        </w:rPr>
        <w:t>) éhomi állapotban az AUC</w:t>
      </w:r>
      <w:r w:rsidRPr="00224BE9">
        <w:rPr>
          <w:sz w:val="14"/>
          <w:szCs w:val="14"/>
          <w:lang w:eastAsia="en-US"/>
        </w:rPr>
        <w:t xml:space="preserve">0-24 </w:t>
      </w:r>
      <w:r w:rsidRPr="00224BE9">
        <w:rPr>
          <w:sz w:val="22"/>
          <w:szCs w:val="22"/>
          <w:lang w:eastAsia="en-US"/>
        </w:rPr>
        <w:t>az 1. napon 3,0 μg × h/ml és az 5. napon 2,7 μg × h/ml volt. A fiatalabb önkéntesekhez képest (&lt; 40</w:t>
      </w:r>
      <w:r w:rsidR="003C0493">
        <w:rPr>
          <w:sz w:val="22"/>
          <w:szCs w:val="22"/>
          <w:lang w:eastAsia="en-US"/>
        </w:rPr>
        <w:t> év</w:t>
      </w:r>
      <w:r w:rsidRPr="00224BE9">
        <w:rPr>
          <w:sz w:val="22"/>
          <w:szCs w:val="22"/>
          <w:lang w:eastAsia="en-US"/>
        </w:rPr>
        <w:t>) 29%-kal magasabb AUC</w:t>
      </w:r>
      <w:r w:rsidRPr="00224BE9">
        <w:rPr>
          <w:sz w:val="14"/>
          <w:szCs w:val="14"/>
          <w:lang w:eastAsia="en-US"/>
        </w:rPr>
        <w:t>0-24</w:t>
      </w:r>
      <w:r w:rsidRPr="00224BE9">
        <w:rPr>
          <w:sz w:val="22"/>
          <w:szCs w:val="22"/>
          <w:lang w:eastAsia="en-US"/>
        </w:rPr>
        <w:t>-t, 8%-kal magasabb C</w:t>
      </w:r>
      <w:r w:rsidRPr="00224BE9">
        <w:rPr>
          <w:sz w:val="14"/>
          <w:szCs w:val="14"/>
          <w:lang w:eastAsia="en-US"/>
        </w:rPr>
        <w:t>max</w:t>
      </w:r>
      <w:r w:rsidRPr="00224BE9">
        <w:rPr>
          <w:sz w:val="22"/>
          <w:szCs w:val="22"/>
          <w:lang w:eastAsia="en-US"/>
        </w:rPr>
        <w:t>-ot és 37,5%-kal magasabb t</w:t>
      </w:r>
      <w:r w:rsidRPr="00224BE9">
        <w:rPr>
          <w:sz w:val="14"/>
          <w:szCs w:val="14"/>
          <w:lang w:eastAsia="en-US"/>
        </w:rPr>
        <w:t>max</w:t>
      </w:r>
      <w:r w:rsidRPr="00224BE9">
        <w:rPr>
          <w:sz w:val="22"/>
          <w:szCs w:val="22"/>
          <w:lang w:eastAsia="en-US"/>
        </w:rPr>
        <w:t>-ot figyeltek meg az 5. napon. Mivel ezek a különbségek nem tekinthetők klinikailag szignifikánsnak, normális vese- és májfunkciójú időseknél így nincs szükség dózismódosításra.</w:t>
      </w:r>
    </w:p>
    <w:p w14:paraId="18C02A56" w14:textId="77777777" w:rsidR="00224BE9" w:rsidRPr="00224BE9" w:rsidRDefault="00224BE9" w:rsidP="00224BE9">
      <w:pPr>
        <w:suppressAutoHyphens w:val="0"/>
        <w:rPr>
          <w:sz w:val="22"/>
          <w:szCs w:val="22"/>
          <w:lang w:eastAsia="en-US"/>
        </w:rPr>
      </w:pPr>
    </w:p>
    <w:p w14:paraId="1F24DC18" w14:textId="77777777" w:rsidR="00224BE9" w:rsidRPr="00224BE9" w:rsidRDefault="00224BE9" w:rsidP="00224BE9">
      <w:pPr>
        <w:suppressAutoHyphens w:val="0"/>
        <w:rPr>
          <w:iCs/>
          <w:sz w:val="22"/>
          <w:szCs w:val="22"/>
          <w:u w:val="single"/>
          <w:lang w:eastAsia="en-US"/>
        </w:rPr>
      </w:pPr>
      <w:r w:rsidRPr="00224BE9">
        <w:rPr>
          <w:iCs/>
          <w:sz w:val="22"/>
          <w:szCs w:val="22"/>
          <w:u w:val="single"/>
          <w:lang w:eastAsia="en-US"/>
        </w:rPr>
        <w:t>Gyermekek és serdülők</w:t>
      </w:r>
    </w:p>
    <w:p w14:paraId="641C36B2" w14:textId="6E923DA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 azitromicin belsőleges szuszpenzió farmakokinetikáját 14, 6–15</w:t>
      </w:r>
      <w:r w:rsidR="003C0493">
        <w:rPr>
          <w:color w:val="000000"/>
          <w:sz w:val="22"/>
          <w:szCs w:val="22"/>
          <w:lang w:eastAsia="en-US"/>
        </w:rPr>
        <w:t> év</w:t>
      </w:r>
      <w:r w:rsidRPr="00224BE9">
        <w:rPr>
          <w:color w:val="000000"/>
          <w:sz w:val="22"/>
          <w:szCs w:val="22"/>
          <w:lang w:eastAsia="en-US"/>
        </w:rPr>
        <w:t>es, pharyngitisben szenvedő gyermeknél és serdülőnél, valamint 7, 1–5</w:t>
      </w:r>
      <w:r w:rsidR="003C0493">
        <w:rPr>
          <w:color w:val="000000"/>
          <w:sz w:val="22"/>
          <w:szCs w:val="22"/>
          <w:lang w:eastAsia="en-US"/>
        </w:rPr>
        <w:t> év</w:t>
      </w:r>
      <w:r w:rsidRPr="00224BE9">
        <w:rPr>
          <w:color w:val="000000"/>
          <w:sz w:val="22"/>
          <w:szCs w:val="22"/>
          <w:lang w:eastAsia="en-US"/>
        </w:rPr>
        <w:t>es, otitis mediában szenvedő gyermeknél jellemezték. Ebben a két vizsgálatban az azitromicin belsőleges szuszpenziót 10</w:t>
      </w:r>
      <w:r w:rsidR="003C0493">
        <w:rPr>
          <w:color w:val="000000"/>
          <w:sz w:val="22"/>
          <w:szCs w:val="22"/>
          <w:lang w:eastAsia="en-US"/>
        </w:rPr>
        <w:t> mg</w:t>
      </w:r>
      <w:r w:rsidRPr="00224BE9">
        <w:rPr>
          <w:color w:val="000000"/>
          <w:sz w:val="22"/>
          <w:szCs w:val="22"/>
          <w:lang w:eastAsia="en-US"/>
        </w:rPr>
        <w:t>/ttkg dózisban adták az 1. napon, amelyet 5</w:t>
      </w:r>
      <w:r w:rsidR="003C0493">
        <w:rPr>
          <w:color w:val="000000"/>
          <w:sz w:val="22"/>
          <w:szCs w:val="22"/>
          <w:lang w:eastAsia="en-US"/>
        </w:rPr>
        <w:t> mg</w:t>
      </w:r>
      <w:r w:rsidRPr="00224BE9">
        <w:rPr>
          <w:color w:val="000000"/>
          <w:sz w:val="22"/>
          <w:szCs w:val="22"/>
          <w:lang w:eastAsia="en-US"/>
        </w:rPr>
        <w:t>/ttkg dózis követett a 2–5 napon. Az 5 napos kezelést követően az AUC</w:t>
      </w:r>
      <w:r w:rsidRPr="00224BE9">
        <w:rPr>
          <w:color w:val="000000"/>
          <w:sz w:val="14"/>
          <w:szCs w:val="14"/>
          <w:lang w:eastAsia="en-US"/>
        </w:rPr>
        <w:t xml:space="preserve">0-24 </w:t>
      </w:r>
      <w:r w:rsidRPr="00224BE9">
        <w:rPr>
          <w:color w:val="000000"/>
          <w:sz w:val="22"/>
          <w:szCs w:val="22"/>
          <w:lang w:eastAsia="en-US"/>
        </w:rPr>
        <w:t>átlagértékei sorrendben 3,1 μg × h/ml és 1,8 μg × h/ml voltak. Az átlagos C</w:t>
      </w:r>
      <w:r w:rsidRPr="00224BE9">
        <w:rPr>
          <w:color w:val="000000"/>
          <w:sz w:val="14"/>
          <w:szCs w:val="14"/>
          <w:lang w:eastAsia="en-US"/>
        </w:rPr>
        <w:t xml:space="preserve">max </w:t>
      </w:r>
      <w:r w:rsidRPr="00224BE9">
        <w:rPr>
          <w:color w:val="000000"/>
          <w:sz w:val="22"/>
          <w:szCs w:val="22"/>
          <w:lang w:eastAsia="en-US"/>
        </w:rPr>
        <w:t>0,38 μg/ml volt és a megfelelő t</w:t>
      </w:r>
      <w:r w:rsidRPr="00224BE9">
        <w:rPr>
          <w:color w:val="000000"/>
          <w:sz w:val="14"/>
          <w:szCs w:val="14"/>
          <w:lang w:eastAsia="en-US"/>
        </w:rPr>
        <w:t xml:space="preserve">max </w:t>
      </w:r>
      <w:r w:rsidRPr="00224BE9">
        <w:rPr>
          <w:color w:val="000000"/>
          <w:sz w:val="22"/>
          <w:szCs w:val="22"/>
          <w:lang w:eastAsia="en-US"/>
        </w:rPr>
        <w:t>értéke 2,4</w:t>
      </w:r>
      <w:r w:rsidR="00983D99">
        <w:rPr>
          <w:color w:val="000000"/>
          <w:sz w:val="22"/>
          <w:szCs w:val="22"/>
          <w:lang w:eastAsia="en-US"/>
        </w:rPr>
        <w:t> ór</w:t>
      </w:r>
      <w:r w:rsidRPr="00224BE9">
        <w:rPr>
          <w:color w:val="000000"/>
          <w:sz w:val="22"/>
          <w:szCs w:val="22"/>
          <w:lang w:eastAsia="en-US"/>
        </w:rPr>
        <w:t>ának adódott 6–15</w:t>
      </w:r>
      <w:r w:rsidR="003C0493">
        <w:rPr>
          <w:color w:val="000000"/>
          <w:sz w:val="22"/>
          <w:szCs w:val="22"/>
          <w:lang w:eastAsia="en-US"/>
        </w:rPr>
        <w:t> év</w:t>
      </w:r>
      <w:r w:rsidRPr="00224BE9">
        <w:rPr>
          <w:color w:val="000000"/>
          <w:sz w:val="22"/>
          <w:szCs w:val="22"/>
          <w:lang w:eastAsia="en-US"/>
        </w:rPr>
        <w:t>es gyermekek és serdülők esetében, míg 0,22 μg/ml és 1,9</w:t>
      </w:r>
      <w:r w:rsidR="00983D99">
        <w:rPr>
          <w:color w:val="000000"/>
          <w:sz w:val="22"/>
          <w:szCs w:val="22"/>
          <w:lang w:eastAsia="en-US"/>
        </w:rPr>
        <w:t> ór</w:t>
      </w:r>
      <w:r w:rsidRPr="00224BE9">
        <w:rPr>
          <w:color w:val="000000"/>
          <w:sz w:val="22"/>
          <w:szCs w:val="22"/>
          <w:lang w:eastAsia="en-US"/>
        </w:rPr>
        <w:t>a értékeknek az 1–5</w:t>
      </w:r>
      <w:r w:rsidR="003C0493">
        <w:rPr>
          <w:color w:val="000000"/>
          <w:sz w:val="22"/>
          <w:szCs w:val="22"/>
          <w:lang w:eastAsia="en-US"/>
        </w:rPr>
        <w:t> év</w:t>
      </w:r>
      <w:r w:rsidRPr="00224BE9">
        <w:rPr>
          <w:color w:val="000000"/>
          <w:sz w:val="22"/>
          <w:szCs w:val="22"/>
          <w:lang w:eastAsia="en-US"/>
        </w:rPr>
        <w:t>es gyermekeknél. Az átlagos C</w:t>
      </w:r>
      <w:r w:rsidRPr="00224BE9">
        <w:rPr>
          <w:color w:val="000000"/>
          <w:sz w:val="14"/>
          <w:szCs w:val="14"/>
          <w:lang w:eastAsia="en-US"/>
        </w:rPr>
        <w:t xml:space="preserve">max </w:t>
      </w:r>
      <w:r w:rsidRPr="00224BE9">
        <w:rPr>
          <w:color w:val="000000"/>
          <w:sz w:val="22"/>
          <w:szCs w:val="22"/>
          <w:lang w:eastAsia="en-US"/>
        </w:rPr>
        <w:t>és AUC</w:t>
      </w:r>
      <w:r w:rsidRPr="00224BE9">
        <w:rPr>
          <w:color w:val="000000"/>
          <w:sz w:val="14"/>
          <w:szCs w:val="14"/>
          <w:lang w:eastAsia="en-US"/>
        </w:rPr>
        <w:t xml:space="preserve">0-24 </w:t>
      </w:r>
      <w:r w:rsidRPr="00224BE9">
        <w:rPr>
          <w:color w:val="000000"/>
          <w:sz w:val="22"/>
          <w:szCs w:val="22"/>
          <w:lang w:eastAsia="en-US"/>
        </w:rPr>
        <w:t>értékek 1,7-szer nagyobbak voltak a 6–15</w:t>
      </w:r>
      <w:r w:rsidR="003C0493">
        <w:rPr>
          <w:color w:val="000000"/>
          <w:sz w:val="22"/>
          <w:szCs w:val="22"/>
          <w:lang w:eastAsia="en-US"/>
        </w:rPr>
        <w:t> év</w:t>
      </w:r>
      <w:r w:rsidRPr="00224BE9">
        <w:rPr>
          <w:color w:val="000000"/>
          <w:sz w:val="22"/>
          <w:szCs w:val="22"/>
          <w:lang w:eastAsia="en-US"/>
        </w:rPr>
        <w:t>es gyermekeknél és serdülőknél, mint az 1–4</w:t>
      </w:r>
      <w:r w:rsidR="003C0493">
        <w:rPr>
          <w:color w:val="000000"/>
          <w:sz w:val="22"/>
          <w:szCs w:val="22"/>
          <w:lang w:eastAsia="en-US"/>
        </w:rPr>
        <w:t> év</w:t>
      </w:r>
      <w:r w:rsidRPr="00224BE9">
        <w:rPr>
          <w:color w:val="000000"/>
          <w:sz w:val="22"/>
          <w:szCs w:val="22"/>
          <w:lang w:eastAsia="en-US"/>
        </w:rPr>
        <w:t xml:space="preserve">es gyermekeknél. </w:t>
      </w:r>
    </w:p>
    <w:p w14:paraId="296B2A6D" w14:textId="1BF3D69B"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Az azitromicin belsőleges szuszpenzió 3 napos adagolási rend mellett vizsgált farmakokinetikáját is értékelték napi 10</w:t>
      </w:r>
      <w:r w:rsidR="003C0493">
        <w:rPr>
          <w:color w:val="000000"/>
          <w:sz w:val="22"/>
          <w:szCs w:val="22"/>
          <w:lang w:eastAsia="en-US"/>
        </w:rPr>
        <w:t> mg</w:t>
      </w:r>
      <w:r w:rsidRPr="00224BE9">
        <w:rPr>
          <w:color w:val="000000"/>
          <w:sz w:val="22"/>
          <w:szCs w:val="22"/>
          <w:lang w:eastAsia="en-US"/>
        </w:rPr>
        <w:t>/ttkg dózisnál 16, 6 hónapos–10</w:t>
      </w:r>
      <w:r w:rsidR="003C0493">
        <w:rPr>
          <w:color w:val="000000"/>
          <w:sz w:val="22"/>
          <w:szCs w:val="22"/>
          <w:lang w:eastAsia="en-US"/>
        </w:rPr>
        <w:t> év</w:t>
      </w:r>
      <w:r w:rsidRPr="00224BE9">
        <w:rPr>
          <w:color w:val="000000"/>
          <w:sz w:val="22"/>
          <w:szCs w:val="22"/>
          <w:lang w:eastAsia="en-US"/>
        </w:rPr>
        <w:t>es, bakteriális fertőzésben szenvedő gyermek esetében. Az átlagos AUC</w:t>
      </w:r>
      <w:r w:rsidRPr="00224BE9">
        <w:rPr>
          <w:color w:val="000000"/>
          <w:sz w:val="14"/>
          <w:szCs w:val="14"/>
          <w:lang w:eastAsia="en-US"/>
        </w:rPr>
        <w:t xml:space="preserve">0-24 </w:t>
      </w:r>
      <w:r w:rsidRPr="00224BE9">
        <w:rPr>
          <w:color w:val="000000"/>
          <w:sz w:val="22"/>
          <w:szCs w:val="22"/>
          <w:lang w:eastAsia="en-US"/>
        </w:rPr>
        <w:t>a 7, 2–4</w:t>
      </w:r>
      <w:r w:rsidR="003C0493">
        <w:rPr>
          <w:color w:val="000000"/>
          <w:sz w:val="22"/>
          <w:szCs w:val="22"/>
          <w:lang w:eastAsia="en-US"/>
        </w:rPr>
        <w:t> év</w:t>
      </w:r>
      <w:r w:rsidRPr="00224BE9">
        <w:rPr>
          <w:color w:val="000000"/>
          <w:sz w:val="22"/>
          <w:szCs w:val="22"/>
          <w:lang w:eastAsia="en-US"/>
        </w:rPr>
        <w:t>es gyermeknél 2,90 μg × h/ml-nek adódott, míg a 8, 5–10</w:t>
      </w:r>
      <w:r w:rsidR="003C0493">
        <w:rPr>
          <w:color w:val="000000"/>
          <w:sz w:val="22"/>
          <w:szCs w:val="22"/>
          <w:lang w:eastAsia="en-US"/>
        </w:rPr>
        <w:t> év</w:t>
      </w:r>
      <w:r w:rsidRPr="00224BE9">
        <w:rPr>
          <w:color w:val="000000"/>
          <w:sz w:val="22"/>
          <w:szCs w:val="22"/>
          <w:lang w:eastAsia="en-US"/>
        </w:rPr>
        <w:t>es gyermeknél az érték 2,08 μg × h/ml volt. A 6 hónapos–2</w:t>
      </w:r>
      <w:r w:rsidR="003C0493">
        <w:rPr>
          <w:color w:val="000000"/>
          <w:sz w:val="22"/>
          <w:szCs w:val="22"/>
          <w:lang w:eastAsia="en-US"/>
        </w:rPr>
        <w:t> év</w:t>
      </w:r>
      <w:r w:rsidRPr="00224BE9">
        <w:rPr>
          <w:color w:val="000000"/>
          <w:sz w:val="22"/>
          <w:szCs w:val="22"/>
          <w:lang w:eastAsia="en-US"/>
        </w:rPr>
        <w:t>es korcsoportban egyetlen gyermeknél mértek alacsony, 0,74 μg × h/ml-es AUC</w:t>
      </w:r>
      <w:r w:rsidRPr="00224BE9">
        <w:rPr>
          <w:color w:val="000000"/>
          <w:sz w:val="14"/>
          <w:szCs w:val="14"/>
          <w:lang w:eastAsia="en-US"/>
        </w:rPr>
        <w:t xml:space="preserve">0-24 </w:t>
      </w:r>
      <w:r w:rsidRPr="00224BE9">
        <w:rPr>
          <w:color w:val="000000"/>
          <w:sz w:val="22"/>
          <w:szCs w:val="22"/>
          <w:lang w:eastAsia="en-US"/>
        </w:rPr>
        <w:t xml:space="preserve">értéket. </w:t>
      </w:r>
    </w:p>
    <w:p w14:paraId="0F475052" w14:textId="72159ECE" w:rsidR="00224BE9" w:rsidRPr="00224BE9" w:rsidRDefault="00224BE9" w:rsidP="00224BE9">
      <w:pPr>
        <w:suppressAutoHyphens w:val="0"/>
        <w:rPr>
          <w:sz w:val="22"/>
          <w:szCs w:val="22"/>
          <w:lang w:eastAsia="en-US"/>
        </w:rPr>
      </w:pPr>
      <w:r w:rsidRPr="00224BE9">
        <w:rPr>
          <w:sz w:val="22"/>
          <w:szCs w:val="22"/>
          <w:lang w:eastAsia="en-US"/>
        </w:rPr>
        <w:t>Nem vizsgálták az azitromicin egyszeri dózisának farmakokinetikáját a 30</w:t>
      </w:r>
      <w:r w:rsidR="003C0493">
        <w:rPr>
          <w:sz w:val="22"/>
          <w:szCs w:val="22"/>
          <w:lang w:eastAsia="en-US"/>
        </w:rPr>
        <w:t> mg</w:t>
      </w:r>
      <w:r w:rsidRPr="00224BE9">
        <w:rPr>
          <w:sz w:val="22"/>
          <w:szCs w:val="22"/>
          <w:lang w:eastAsia="en-US"/>
        </w:rPr>
        <w:t xml:space="preserve">/ttkg dózisokat kapó gyermekek és serdülők esetében. </w:t>
      </w:r>
    </w:p>
    <w:p w14:paraId="3DE12086" w14:textId="77777777" w:rsidR="00224BE9" w:rsidRPr="00224BE9" w:rsidRDefault="00224BE9" w:rsidP="00224BE9">
      <w:pPr>
        <w:suppressAutoHyphens w:val="0"/>
        <w:rPr>
          <w:sz w:val="22"/>
          <w:szCs w:val="22"/>
          <w:lang w:eastAsia="en-US"/>
        </w:rPr>
      </w:pPr>
    </w:p>
    <w:p w14:paraId="00A97A24" w14:textId="77777777" w:rsidR="00224BE9" w:rsidRPr="00224BE9" w:rsidRDefault="00224BE9" w:rsidP="00224BE9">
      <w:pPr>
        <w:tabs>
          <w:tab w:val="left" w:pos="567"/>
        </w:tabs>
        <w:suppressAutoHyphens w:val="0"/>
        <w:rPr>
          <w:b/>
          <w:sz w:val="22"/>
          <w:szCs w:val="22"/>
          <w:lang w:eastAsia="en-US"/>
        </w:rPr>
      </w:pPr>
      <w:r w:rsidRPr="00224BE9">
        <w:rPr>
          <w:b/>
          <w:sz w:val="22"/>
          <w:szCs w:val="22"/>
          <w:lang w:eastAsia="en-US"/>
        </w:rPr>
        <w:t>5.3</w:t>
      </w:r>
      <w:r w:rsidRPr="00224BE9">
        <w:rPr>
          <w:b/>
          <w:sz w:val="22"/>
          <w:szCs w:val="22"/>
          <w:lang w:eastAsia="en-US"/>
        </w:rPr>
        <w:tab/>
        <w:t>A preklinikai biztonságossági vizsgálatok eredményei</w:t>
      </w:r>
    </w:p>
    <w:p w14:paraId="00BF792B" w14:textId="77777777" w:rsidR="00224BE9" w:rsidRPr="00224BE9" w:rsidRDefault="00224BE9" w:rsidP="00224BE9">
      <w:pPr>
        <w:tabs>
          <w:tab w:val="left" w:pos="567"/>
        </w:tabs>
        <w:suppressAutoHyphens w:val="0"/>
        <w:rPr>
          <w:b/>
          <w:sz w:val="22"/>
          <w:szCs w:val="22"/>
          <w:lang w:eastAsia="en-US"/>
        </w:rPr>
      </w:pPr>
    </w:p>
    <w:p w14:paraId="4C98220A" w14:textId="77777777" w:rsidR="00224BE9" w:rsidRPr="00224BE9" w:rsidRDefault="00224BE9" w:rsidP="00224BE9">
      <w:pPr>
        <w:suppressAutoHyphens w:val="0"/>
        <w:autoSpaceDE w:val="0"/>
        <w:autoSpaceDN w:val="0"/>
        <w:adjustRightInd w:val="0"/>
        <w:rPr>
          <w:color w:val="000000"/>
          <w:sz w:val="22"/>
          <w:szCs w:val="22"/>
          <w:lang w:eastAsia="en-US"/>
        </w:rPr>
      </w:pPr>
      <w:r w:rsidRPr="00224BE9">
        <w:rPr>
          <w:color w:val="000000"/>
          <w:sz w:val="22"/>
          <w:szCs w:val="22"/>
          <w:lang w:eastAsia="en-US"/>
        </w:rPr>
        <w:t xml:space="preserve">A hagyományos – farmakológiai biztonságossági, ismételt adagolású dózistoxicitási és genotoxicitási – vizsgálatokból származó nem klinikai jellegű adatok nem utalnak humán vonatkozásban releváns, az alkalmazási előírás más pontjaiban még nem tárgyalt mellékhatásokra. </w:t>
      </w:r>
    </w:p>
    <w:p w14:paraId="035EC08C" w14:textId="77777777" w:rsidR="00224BE9" w:rsidRPr="00224BE9" w:rsidRDefault="00224BE9" w:rsidP="00224BE9">
      <w:pPr>
        <w:suppressAutoHyphens w:val="0"/>
        <w:rPr>
          <w:sz w:val="22"/>
          <w:szCs w:val="22"/>
          <w:lang w:eastAsia="en-US"/>
        </w:rPr>
      </w:pPr>
      <w:r w:rsidRPr="00224BE9">
        <w:rPr>
          <w:sz w:val="22"/>
          <w:szCs w:val="22"/>
          <w:lang w:eastAsia="en-US"/>
        </w:rPr>
        <w:t xml:space="preserve">Phospholipidosist (intracellularis foszfolipid-felhalmozódás) figyeltek meg ugyanakkor az azitromicin többszörös dózisait kapó egerek, patkányok és kutyák számos szövetében. Hasonló mértékű phospholipidosist figyeltek meg újszülött patkányok és kutyák szöveteiben. A hatás reverzibilisnek bizonyult az azitromicin-kezelés abbahagyását követően. Általánosságban ezen észrevétel szignifikanciája humán vonatkozásban nem ismert. </w:t>
      </w:r>
    </w:p>
    <w:p w14:paraId="650D7D18" w14:textId="77777777" w:rsidR="00224BE9" w:rsidRPr="00224BE9" w:rsidRDefault="00224BE9" w:rsidP="00224BE9">
      <w:pPr>
        <w:suppressAutoHyphens w:val="0"/>
        <w:rPr>
          <w:sz w:val="22"/>
          <w:szCs w:val="22"/>
          <w:lang w:eastAsia="en-US"/>
        </w:rPr>
      </w:pPr>
    </w:p>
    <w:p w14:paraId="5184F170" w14:textId="6DC694B7" w:rsidR="00224BE9" w:rsidRPr="00224BE9" w:rsidRDefault="00224BE9" w:rsidP="00224BE9">
      <w:pPr>
        <w:suppressAutoHyphens w:val="0"/>
        <w:rPr>
          <w:sz w:val="22"/>
          <w:szCs w:val="22"/>
          <w:lang w:eastAsia="en-US"/>
        </w:rPr>
      </w:pPr>
      <w:r w:rsidRPr="00224BE9">
        <w:rPr>
          <w:sz w:val="22"/>
          <w:szCs w:val="22"/>
          <w:lang w:eastAsia="en-US"/>
        </w:rPr>
        <w:t>Legfeljebb közepesen súlyos maternalis toxicitást okozó dózisokkal (a javasolt maximális napi felnőtt 500</w:t>
      </w:r>
      <w:r w:rsidR="003C0493">
        <w:rPr>
          <w:sz w:val="22"/>
          <w:szCs w:val="22"/>
          <w:lang w:eastAsia="en-US"/>
        </w:rPr>
        <w:t> mg</w:t>
      </w:r>
      <w:r w:rsidRPr="00224BE9">
        <w:rPr>
          <w:sz w:val="22"/>
          <w:szCs w:val="22"/>
          <w:lang w:eastAsia="en-US"/>
        </w:rPr>
        <w:t>-os dózis 2–3-szorosával, testfelszín alapján), állatokon végzett embriotoxicitási vizsgálatok során nem figyeltek meg teratogén hatást egereknél és patkányoknál. Az azitromicinről bebizonyosodott, hogy átjut a placentán. Patkányoknál a 100</w:t>
      </w:r>
      <w:r w:rsidR="003C0493">
        <w:rPr>
          <w:sz w:val="22"/>
          <w:szCs w:val="22"/>
          <w:lang w:eastAsia="en-US"/>
        </w:rPr>
        <w:t> mg</w:t>
      </w:r>
      <w:r w:rsidRPr="00224BE9">
        <w:rPr>
          <w:sz w:val="22"/>
          <w:szCs w:val="22"/>
          <w:lang w:eastAsia="en-US"/>
        </w:rPr>
        <w:t>/ttkg/nap és a 200</w:t>
      </w:r>
      <w:r w:rsidR="003C0493">
        <w:rPr>
          <w:sz w:val="22"/>
          <w:szCs w:val="22"/>
          <w:lang w:eastAsia="en-US"/>
        </w:rPr>
        <w:t> mg</w:t>
      </w:r>
      <w:r w:rsidRPr="00224BE9">
        <w:rPr>
          <w:sz w:val="22"/>
          <w:szCs w:val="22"/>
          <w:lang w:eastAsia="en-US"/>
        </w:rPr>
        <w:t>/ttkg/nap azitromicin-dózisok (a javasolt maximális napi felnőtt 500</w:t>
      </w:r>
      <w:r w:rsidR="003C0493">
        <w:rPr>
          <w:sz w:val="22"/>
          <w:szCs w:val="22"/>
          <w:lang w:eastAsia="en-US"/>
        </w:rPr>
        <w:t> mg</w:t>
      </w:r>
      <w:r w:rsidRPr="00224BE9">
        <w:rPr>
          <w:sz w:val="22"/>
          <w:szCs w:val="22"/>
          <w:lang w:eastAsia="en-US"/>
        </w:rPr>
        <w:t>-os dózis 2–3-szorosa, testfelszín alapján) alkalmazása a magzati csontképződés és az anyai súlynövekedés enyhe csökkenéséhez vezettek. Patkányokkal végzett peri- és posztnatális vizsgálatokban enyhe retardációt figyeltek meg a 200</w:t>
      </w:r>
      <w:r w:rsidR="003C0493">
        <w:rPr>
          <w:sz w:val="22"/>
          <w:szCs w:val="22"/>
          <w:lang w:eastAsia="en-US"/>
        </w:rPr>
        <w:t> mg</w:t>
      </w:r>
      <w:r w:rsidRPr="00224BE9">
        <w:rPr>
          <w:sz w:val="22"/>
          <w:szCs w:val="22"/>
          <w:lang w:eastAsia="en-US"/>
        </w:rPr>
        <w:t>/ttkg/nap dózisokban (a javasolt maximális napi felnőtt 500</w:t>
      </w:r>
      <w:r w:rsidR="003C0493">
        <w:rPr>
          <w:sz w:val="22"/>
          <w:szCs w:val="22"/>
          <w:lang w:eastAsia="en-US"/>
        </w:rPr>
        <w:t> mg</w:t>
      </w:r>
      <w:r w:rsidRPr="00224BE9">
        <w:rPr>
          <w:sz w:val="22"/>
          <w:szCs w:val="22"/>
          <w:lang w:eastAsia="en-US"/>
        </w:rPr>
        <w:t>-os dózis 3-szorosa, testfelszín alapján) adagolt azitromicin-kezelés során.</w:t>
      </w:r>
    </w:p>
    <w:p w14:paraId="38B871D0" w14:textId="77777777" w:rsidR="008A2DFE" w:rsidRPr="00224BE9" w:rsidRDefault="008A2DFE" w:rsidP="00E66BD7">
      <w:pPr>
        <w:rPr>
          <w:sz w:val="22"/>
          <w:szCs w:val="22"/>
        </w:rPr>
      </w:pPr>
    </w:p>
    <w:p w14:paraId="16F31268" w14:textId="77777777" w:rsidR="00716A49" w:rsidRPr="00224BE9" w:rsidRDefault="00716A49" w:rsidP="00E66BD7">
      <w:pPr>
        <w:rPr>
          <w:sz w:val="22"/>
          <w:szCs w:val="22"/>
        </w:rPr>
      </w:pPr>
    </w:p>
    <w:p w14:paraId="0615CB18" w14:textId="77777777" w:rsidR="000911B7" w:rsidRPr="00224BE9" w:rsidRDefault="000911B7" w:rsidP="00E66BD7">
      <w:pPr>
        <w:keepNext/>
        <w:rPr>
          <w:b/>
          <w:sz w:val="22"/>
          <w:szCs w:val="22"/>
        </w:rPr>
      </w:pPr>
      <w:r w:rsidRPr="00224BE9">
        <w:rPr>
          <w:b/>
          <w:sz w:val="22"/>
          <w:szCs w:val="22"/>
        </w:rPr>
        <w:t>6.</w:t>
      </w:r>
      <w:r w:rsidRPr="00224BE9">
        <w:rPr>
          <w:b/>
          <w:sz w:val="22"/>
          <w:szCs w:val="22"/>
        </w:rPr>
        <w:tab/>
        <w:t>GYÓGYSZERÉSZETI JELLEMZŐK</w:t>
      </w:r>
    </w:p>
    <w:p w14:paraId="0D1D0AC0" w14:textId="77777777" w:rsidR="000911B7" w:rsidRPr="00224BE9" w:rsidRDefault="000911B7" w:rsidP="00E66BD7">
      <w:pPr>
        <w:keepNext/>
        <w:rPr>
          <w:b/>
          <w:sz w:val="22"/>
          <w:szCs w:val="22"/>
        </w:rPr>
      </w:pPr>
    </w:p>
    <w:p w14:paraId="2E320F9D" w14:textId="77777777" w:rsidR="000911B7" w:rsidRPr="00224BE9" w:rsidRDefault="000911B7" w:rsidP="00E66BD7">
      <w:pPr>
        <w:keepNext/>
        <w:rPr>
          <w:b/>
          <w:sz w:val="22"/>
          <w:szCs w:val="22"/>
        </w:rPr>
      </w:pPr>
      <w:r w:rsidRPr="00224BE9">
        <w:rPr>
          <w:b/>
          <w:sz w:val="22"/>
          <w:szCs w:val="22"/>
        </w:rPr>
        <w:t>6.1</w:t>
      </w:r>
      <w:r w:rsidRPr="00224BE9">
        <w:rPr>
          <w:b/>
          <w:sz w:val="22"/>
          <w:szCs w:val="22"/>
        </w:rPr>
        <w:tab/>
        <w:t>Segédanyagok felsorolása</w:t>
      </w:r>
    </w:p>
    <w:p w14:paraId="518DC5C9" w14:textId="77777777" w:rsidR="000911B7" w:rsidRPr="00224BE9" w:rsidRDefault="000911B7" w:rsidP="00E66BD7">
      <w:pPr>
        <w:keepNext/>
        <w:rPr>
          <w:sz w:val="22"/>
          <w:szCs w:val="22"/>
        </w:rPr>
      </w:pPr>
    </w:p>
    <w:p w14:paraId="46E9A25C" w14:textId="77777777" w:rsidR="00D00469" w:rsidRPr="00224BE9" w:rsidRDefault="00D00469" w:rsidP="00E66BD7">
      <w:pPr>
        <w:widowControl w:val="0"/>
        <w:suppressAutoHyphens w:val="0"/>
        <w:rPr>
          <w:sz w:val="22"/>
          <w:szCs w:val="22"/>
        </w:rPr>
      </w:pPr>
      <w:r w:rsidRPr="00224BE9">
        <w:rPr>
          <w:sz w:val="22"/>
          <w:szCs w:val="22"/>
          <w:u w:val="single"/>
        </w:rPr>
        <w:t>Tablettamag</w:t>
      </w:r>
    </w:p>
    <w:p w14:paraId="0C06844F" w14:textId="77777777" w:rsidR="00D00469" w:rsidRPr="00224BE9" w:rsidRDefault="00D00469" w:rsidP="00E66BD7">
      <w:pPr>
        <w:widowControl w:val="0"/>
        <w:suppressAutoHyphens w:val="0"/>
        <w:rPr>
          <w:sz w:val="22"/>
          <w:szCs w:val="22"/>
        </w:rPr>
      </w:pPr>
      <w:r w:rsidRPr="00224BE9">
        <w:rPr>
          <w:sz w:val="22"/>
          <w:szCs w:val="22"/>
        </w:rPr>
        <w:t>kalcium-hidrogén-foszfát</w:t>
      </w:r>
      <w:r w:rsidRPr="00224BE9">
        <w:rPr>
          <w:sz w:val="22"/>
          <w:szCs w:val="22"/>
        </w:rPr>
        <w:noBreakHyphen/>
        <w:t>dihidrát</w:t>
      </w:r>
    </w:p>
    <w:p w14:paraId="710E78DA" w14:textId="77777777" w:rsidR="00D00469" w:rsidRPr="00224BE9" w:rsidRDefault="00D00469" w:rsidP="00E66BD7">
      <w:pPr>
        <w:widowControl w:val="0"/>
        <w:suppressAutoHyphens w:val="0"/>
        <w:rPr>
          <w:sz w:val="22"/>
          <w:szCs w:val="22"/>
        </w:rPr>
      </w:pPr>
      <w:r w:rsidRPr="00224BE9">
        <w:rPr>
          <w:sz w:val="22"/>
          <w:szCs w:val="22"/>
        </w:rPr>
        <w:t>hidegen duzzadó keményítő</w:t>
      </w:r>
    </w:p>
    <w:p w14:paraId="533F3F33" w14:textId="77777777" w:rsidR="00D00469" w:rsidRPr="00224BE9" w:rsidRDefault="00D00469" w:rsidP="00E66BD7">
      <w:pPr>
        <w:widowControl w:val="0"/>
        <w:suppressAutoHyphens w:val="0"/>
        <w:rPr>
          <w:sz w:val="22"/>
          <w:szCs w:val="22"/>
        </w:rPr>
      </w:pPr>
      <w:r w:rsidRPr="00224BE9">
        <w:rPr>
          <w:sz w:val="22"/>
          <w:szCs w:val="22"/>
        </w:rPr>
        <w:t>povidon</w:t>
      </w:r>
    </w:p>
    <w:p w14:paraId="3C68790B" w14:textId="77777777" w:rsidR="00D00469" w:rsidRPr="00224BE9" w:rsidRDefault="00D00469" w:rsidP="00E66BD7">
      <w:pPr>
        <w:widowControl w:val="0"/>
        <w:suppressAutoHyphens w:val="0"/>
        <w:rPr>
          <w:sz w:val="22"/>
          <w:szCs w:val="22"/>
        </w:rPr>
      </w:pPr>
      <w:r w:rsidRPr="00224BE9">
        <w:rPr>
          <w:sz w:val="22"/>
          <w:szCs w:val="22"/>
        </w:rPr>
        <w:t>kroszkarm</w:t>
      </w:r>
      <w:r w:rsidR="00A655C9" w:rsidRPr="00224BE9">
        <w:rPr>
          <w:sz w:val="22"/>
          <w:szCs w:val="22"/>
        </w:rPr>
        <w:t>e</w:t>
      </w:r>
      <w:r w:rsidRPr="00224BE9">
        <w:rPr>
          <w:sz w:val="22"/>
          <w:szCs w:val="22"/>
        </w:rPr>
        <w:t>llóz</w:t>
      </w:r>
      <w:r w:rsidRPr="00224BE9">
        <w:rPr>
          <w:sz w:val="22"/>
          <w:szCs w:val="22"/>
        </w:rPr>
        <w:noBreakHyphen/>
        <w:t>nátrium</w:t>
      </w:r>
    </w:p>
    <w:p w14:paraId="0EF87BF5" w14:textId="77777777" w:rsidR="00D00469" w:rsidRPr="00224BE9" w:rsidRDefault="00D00469" w:rsidP="00E66BD7">
      <w:pPr>
        <w:widowControl w:val="0"/>
        <w:suppressAutoHyphens w:val="0"/>
        <w:rPr>
          <w:sz w:val="22"/>
          <w:szCs w:val="22"/>
        </w:rPr>
      </w:pPr>
      <w:r w:rsidRPr="00224BE9">
        <w:rPr>
          <w:sz w:val="22"/>
          <w:szCs w:val="22"/>
        </w:rPr>
        <w:t>nátrium-lauril-szulfát</w:t>
      </w:r>
    </w:p>
    <w:p w14:paraId="6DB81B20" w14:textId="77777777" w:rsidR="00D00469" w:rsidRPr="00224BE9" w:rsidRDefault="00D00469" w:rsidP="00E66BD7">
      <w:pPr>
        <w:widowControl w:val="0"/>
        <w:suppressAutoHyphens w:val="0"/>
        <w:rPr>
          <w:sz w:val="22"/>
          <w:szCs w:val="22"/>
        </w:rPr>
      </w:pPr>
      <w:r w:rsidRPr="00224BE9">
        <w:rPr>
          <w:sz w:val="22"/>
          <w:szCs w:val="22"/>
        </w:rPr>
        <w:t>magnézium-sztearát</w:t>
      </w:r>
    </w:p>
    <w:p w14:paraId="4AF59283" w14:textId="77777777" w:rsidR="00D00469" w:rsidRPr="00224BE9" w:rsidRDefault="00D00469" w:rsidP="00E66BD7">
      <w:pPr>
        <w:widowControl w:val="0"/>
        <w:suppressAutoHyphens w:val="0"/>
        <w:rPr>
          <w:sz w:val="22"/>
          <w:szCs w:val="22"/>
        </w:rPr>
      </w:pPr>
    </w:p>
    <w:p w14:paraId="4A02770B" w14:textId="77777777" w:rsidR="00D00469" w:rsidRPr="00224BE9" w:rsidRDefault="00D00469" w:rsidP="00E66BD7">
      <w:pPr>
        <w:widowControl w:val="0"/>
        <w:suppressAutoHyphens w:val="0"/>
        <w:rPr>
          <w:sz w:val="22"/>
          <w:szCs w:val="22"/>
          <w:u w:val="single"/>
        </w:rPr>
      </w:pPr>
      <w:r w:rsidRPr="00224BE9">
        <w:rPr>
          <w:sz w:val="22"/>
          <w:szCs w:val="22"/>
          <w:u w:val="single"/>
        </w:rPr>
        <w:t>Tablettabevonat</w:t>
      </w:r>
    </w:p>
    <w:p w14:paraId="5B9DB776" w14:textId="77777777" w:rsidR="00D00469" w:rsidRPr="00224BE9" w:rsidRDefault="00D00469" w:rsidP="00E66BD7">
      <w:pPr>
        <w:widowControl w:val="0"/>
        <w:suppressAutoHyphens w:val="0"/>
        <w:rPr>
          <w:sz w:val="22"/>
          <w:szCs w:val="22"/>
        </w:rPr>
      </w:pPr>
      <w:r w:rsidRPr="00224BE9">
        <w:rPr>
          <w:sz w:val="22"/>
          <w:szCs w:val="22"/>
        </w:rPr>
        <w:t>hipromellóz</w:t>
      </w:r>
    </w:p>
    <w:p w14:paraId="4C941B3C" w14:textId="77777777" w:rsidR="00D00469" w:rsidRPr="00224BE9" w:rsidRDefault="00D00469" w:rsidP="00E66BD7">
      <w:pPr>
        <w:widowControl w:val="0"/>
        <w:suppressAutoHyphens w:val="0"/>
        <w:rPr>
          <w:sz w:val="22"/>
          <w:szCs w:val="22"/>
        </w:rPr>
      </w:pPr>
      <w:r w:rsidRPr="00224BE9">
        <w:rPr>
          <w:sz w:val="22"/>
          <w:szCs w:val="22"/>
        </w:rPr>
        <w:t>makrogol</w:t>
      </w:r>
    </w:p>
    <w:p w14:paraId="68E59FD1" w14:textId="77777777" w:rsidR="000911B7" w:rsidRPr="00224BE9" w:rsidRDefault="00D00469" w:rsidP="00E66BD7">
      <w:pPr>
        <w:rPr>
          <w:sz w:val="22"/>
          <w:szCs w:val="22"/>
        </w:rPr>
      </w:pPr>
      <w:r w:rsidRPr="00224BE9">
        <w:rPr>
          <w:sz w:val="22"/>
          <w:szCs w:val="22"/>
        </w:rPr>
        <w:t>titán-dioxid (E171)</w:t>
      </w:r>
    </w:p>
    <w:p w14:paraId="4C30F8A8" w14:textId="77777777" w:rsidR="000911B7" w:rsidRPr="00224BE9" w:rsidRDefault="000911B7" w:rsidP="00E66BD7">
      <w:pPr>
        <w:rPr>
          <w:sz w:val="22"/>
          <w:szCs w:val="22"/>
        </w:rPr>
      </w:pPr>
    </w:p>
    <w:p w14:paraId="0DC015CF" w14:textId="77777777" w:rsidR="000911B7" w:rsidRPr="00224BE9" w:rsidRDefault="000911B7" w:rsidP="00E66BD7">
      <w:pPr>
        <w:keepNext/>
        <w:rPr>
          <w:b/>
          <w:sz w:val="22"/>
          <w:szCs w:val="22"/>
        </w:rPr>
      </w:pPr>
      <w:r w:rsidRPr="00224BE9">
        <w:rPr>
          <w:b/>
          <w:sz w:val="22"/>
          <w:szCs w:val="22"/>
        </w:rPr>
        <w:t>6.2</w:t>
      </w:r>
      <w:r w:rsidRPr="00224BE9">
        <w:rPr>
          <w:b/>
          <w:sz w:val="22"/>
          <w:szCs w:val="22"/>
        </w:rPr>
        <w:tab/>
        <w:t>Inkompatibilitások</w:t>
      </w:r>
    </w:p>
    <w:p w14:paraId="1D115256" w14:textId="77777777" w:rsidR="000911B7" w:rsidRPr="00224BE9" w:rsidRDefault="000911B7" w:rsidP="00E66BD7">
      <w:pPr>
        <w:keepNext/>
        <w:rPr>
          <w:sz w:val="22"/>
          <w:szCs w:val="22"/>
        </w:rPr>
      </w:pPr>
    </w:p>
    <w:p w14:paraId="3C906032" w14:textId="77777777" w:rsidR="008A2DFE" w:rsidRPr="00224BE9" w:rsidRDefault="008A2DFE" w:rsidP="00E66BD7">
      <w:pPr>
        <w:rPr>
          <w:sz w:val="22"/>
          <w:szCs w:val="22"/>
        </w:rPr>
      </w:pPr>
      <w:r w:rsidRPr="00224BE9">
        <w:rPr>
          <w:sz w:val="22"/>
          <w:szCs w:val="22"/>
        </w:rPr>
        <w:t>Nem értelmezhető.</w:t>
      </w:r>
    </w:p>
    <w:p w14:paraId="09C7256D" w14:textId="77777777" w:rsidR="000911B7" w:rsidRPr="00224BE9" w:rsidRDefault="000911B7" w:rsidP="00E66BD7">
      <w:pPr>
        <w:rPr>
          <w:sz w:val="22"/>
          <w:szCs w:val="22"/>
        </w:rPr>
      </w:pPr>
    </w:p>
    <w:p w14:paraId="37F3701C" w14:textId="77777777" w:rsidR="000911B7" w:rsidRPr="00224BE9" w:rsidRDefault="000911B7" w:rsidP="00E66BD7">
      <w:pPr>
        <w:keepNext/>
        <w:rPr>
          <w:b/>
          <w:sz w:val="22"/>
          <w:szCs w:val="22"/>
        </w:rPr>
      </w:pPr>
      <w:r w:rsidRPr="00224BE9">
        <w:rPr>
          <w:b/>
          <w:sz w:val="22"/>
          <w:szCs w:val="22"/>
        </w:rPr>
        <w:t>6.3</w:t>
      </w:r>
      <w:r w:rsidRPr="00224BE9">
        <w:rPr>
          <w:b/>
          <w:sz w:val="22"/>
          <w:szCs w:val="22"/>
        </w:rPr>
        <w:tab/>
        <w:t>Felhasználhatósági időtartam</w:t>
      </w:r>
    </w:p>
    <w:p w14:paraId="1120ADC7" w14:textId="77777777" w:rsidR="000911B7" w:rsidRPr="00224BE9" w:rsidRDefault="000911B7" w:rsidP="00E66BD7">
      <w:pPr>
        <w:keepNext/>
        <w:rPr>
          <w:sz w:val="22"/>
          <w:szCs w:val="22"/>
        </w:rPr>
      </w:pPr>
    </w:p>
    <w:p w14:paraId="2DB76956" w14:textId="3AF06619" w:rsidR="000911B7" w:rsidRPr="00224BE9" w:rsidRDefault="00916062" w:rsidP="00E66BD7">
      <w:pPr>
        <w:rPr>
          <w:sz w:val="22"/>
          <w:szCs w:val="22"/>
        </w:rPr>
      </w:pPr>
      <w:r w:rsidRPr="00224BE9">
        <w:rPr>
          <w:sz w:val="22"/>
          <w:szCs w:val="22"/>
        </w:rPr>
        <w:t>3</w:t>
      </w:r>
      <w:r w:rsidR="003C0493">
        <w:rPr>
          <w:sz w:val="22"/>
          <w:szCs w:val="22"/>
        </w:rPr>
        <w:t> év</w:t>
      </w:r>
      <w:r w:rsidR="000911B7" w:rsidRPr="00224BE9">
        <w:rPr>
          <w:sz w:val="22"/>
          <w:szCs w:val="22"/>
        </w:rPr>
        <w:t>.</w:t>
      </w:r>
    </w:p>
    <w:p w14:paraId="7050CB00" w14:textId="77777777" w:rsidR="000911B7" w:rsidRPr="00224BE9" w:rsidRDefault="000911B7" w:rsidP="00E66BD7">
      <w:pPr>
        <w:rPr>
          <w:sz w:val="22"/>
          <w:szCs w:val="22"/>
        </w:rPr>
      </w:pPr>
    </w:p>
    <w:p w14:paraId="6688B922" w14:textId="77777777" w:rsidR="000911B7" w:rsidRPr="00224BE9" w:rsidRDefault="000911B7" w:rsidP="00E66BD7">
      <w:pPr>
        <w:keepNext/>
        <w:rPr>
          <w:b/>
          <w:sz w:val="22"/>
          <w:szCs w:val="22"/>
        </w:rPr>
      </w:pPr>
      <w:r w:rsidRPr="00224BE9">
        <w:rPr>
          <w:b/>
          <w:sz w:val="22"/>
          <w:szCs w:val="22"/>
        </w:rPr>
        <w:t>6.4</w:t>
      </w:r>
      <w:r w:rsidRPr="00224BE9">
        <w:rPr>
          <w:b/>
          <w:sz w:val="22"/>
          <w:szCs w:val="22"/>
        </w:rPr>
        <w:tab/>
        <w:t>Különleges tárolási előírások</w:t>
      </w:r>
    </w:p>
    <w:p w14:paraId="26332A31" w14:textId="77777777" w:rsidR="000911B7" w:rsidRPr="00224BE9" w:rsidRDefault="000911B7" w:rsidP="00E66BD7">
      <w:pPr>
        <w:keepNext/>
        <w:rPr>
          <w:sz w:val="22"/>
          <w:szCs w:val="22"/>
        </w:rPr>
      </w:pPr>
    </w:p>
    <w:p w14:paraId="13E64F4D" w14:textId="77777777" w:rsidR="00D00469" w:rsidRPr="00224BE9" w:rsidRDefault="00D00469" w:rsidP="00E66BD7">
      <w:pPr>
        <w:rPr>
          <w:sz w:val="22"/>
          <w:szCs w:val="22"/>
        </w:rPr>
      </w:pPr>
      <w:bookmarkStart w:id="13" w:name="_Hlk72854222"/>
      <w:r w:rsidRPr="00224BE9">
        <w:rPr>
          <w:sz w:val="22"/>
          <w:szCs w:val="22"/>
        </w:rPr>
        <w:t>Legfeljebb 30 °C-on tárolandó.</w:t>
      </w:r>
      <w:bookmarkEnd w:id="13"/>
    </w:p>
    <w:p w14:paraId="057D0AFA" w14:textId="77777777" w:rsidR="00EC379E" w:rsidRPr="00224BE9" w:rsidRDefault="00EC379E" w:rsidP="00E66BD7">
      <w:pPr>
        <w:rPr>
          <w:sz w:val="22"/>
          <w:szCs w:val="22"/>
        </w:rPr>
      </w:pPr>
    </w:p>
    <w:p w14:paraId="291ACFAB" w14:textId="77777777" w:rsidR="000911B7" w:rsidRPr="00224BE9" w:rsidRDefault="000911B7" w:rsidP="00E66BD7">
      <w:pPr>
        <w:keepNext/>
        <w:rPr>
          <w:b/>
          <w:sz w:val="22"/>
          <w:szCs w:val="22"/>
        </w:rPr>
      </w:pPr>
      <w:r w:rsidRPr="00224BE9">
        <w:rPr>
          <w:b/>
          <w:sz w:val="22"/>
          <w:szCs w:val="22"/>
        </w:rPr>
        <w:t>6.5</w:t>
      </w:r>
      <w:r w:rsidRPr="00224BE9">
        <w:rPr>
          <w:b/>
          <w:sz w:val="22"/>
          <w:szCs w:val="22"/>
        </w:rPr>
        <w:tab/>
        <w:t>Csomagolás típusa és kiszerelése</w:t>
      </w:r>
    </w:p>
    <w:p w14:paraId="049DAB77" w14:textId="77777777" w:rsidR="000911B7" w:rsidRPr="00224BE9" w:rsidRDefault="000911B7" w:rsidP="00E66BD7">
      <w:pPr>
        <w:keepNext/>
        <w:rPr>
          <w:b/>
          <w:sz w:val="22"/>
          <w:szCs w:val="22"/>
        </w:rPr>
      </w:pPr>
    </w:p>
    <w:p w14:paraId="2FC7ADA0" w14:textId="3F82A3B0" w:rsidR="000911B7" w:rsidRPr="00224BE9" w:rsidRDefault="00950B10" w:rsidP="00E66BD7">
      <w:pPr>
        <w:rPr>
          <w:sz w:val="22"/>
          <w:szCs w:val="22"/>
        </w:rPr>
      </w:pPr>
      <w:r w:rsidRPr="00224BE9">
        <w:rPr>
          <w:sz w:val="22"/>
          <w:szCs w:val="22"/>
        </w:rPr>
        <w:t>3 db filmtabletta</w:t>
      </w:r>
      <w:r w:rsidRPr="00224BE9" w:rsidDel="00950B10">
        <w:rPr>
          <w:sz w:val="22"/>
          <w:szCs w:val="22"/>
        </w:rPr>
        <w:t xml:space="preserve"> </w:t>
      </w:r>
      <w:r w:rsidR="00D00469" w:rsidRPr="00224BE9">
        <w:rPr>
          <w:sz w:val="22"/>
          <w:szCs w:val="22"/>
        </w:rPr>
        <w:t>PVC</w:t>
      </w:r>
      <w:r w:rsidRPr="00224BE9">
        <w:rPr>
          <w:sz w:val="22"/>
          <w:szCs w:val="22"/>
        </w:rPr>
        <w:t>/</w:t>
      </w:r>
      <w:r w:rsidR="006B1FE9">
        <w:rPr>
          <w:sz w:val="22"/>
          <w:szCs w:val="22"/>
        </w:rPr>
        <w:t>/</w:t>
      </w:r>
      <w:r w:rsidRPr="00224BE9">
        <w:rPr>
          <w:sz w:val="22"/>
          <w:szCs w:val="22"/>
        </w:rPr>
        <w:t>Al</w:t>
      </w:r>
      <w:r w:rsidR="00D00469" w:rsidRPr="00224BE9">
        <w:rPr>
          <w:sz w:val="22"/>
          <w:szCs w:val="22"/>
        </w:rPr>
        <w:t xml:space="preserve"> buborékcsomagolás</w:t>
      </w:r>
      <w:r w:rsidRPr="00224BE9">
        <w:rPr>
          <w:sz w:val="22"/>
          <w:szCs w:val="22"/>
        </w:rPr>
        <w:t>ban és dobozban</w:t>
      </w:r>
      <w:r w:rsidR="00D00469" w:rsidRPr="00224BE9">
        <w:rPr>
          <w:sz w:val="22"/>
          <w:szCs w:val="22"/>
        </w:rPr>
        <w:t>.</w:t>
      </w:r>
    </w:p>
    <w:p w14:paraId="1A5CB236" w14:textId="77777777" w:rsidR="000911B7" w:rsidRPr="00224BE9" w:rsidRDefault="000911B7" w:rsidP="00E66BD7">
      <w:pPr>
        <w:rPr>
          <w:sz w:val="22"/>
          <w:szCs w:val="22"/>
        </w:rPr>
      </w:pPr>
    </w:p>
    <w:p w14:paraId="712D8859" w14:textId="77777777" w:rsidR="00744906" w:rsidRPr="00224BE9" w:rsidRDefault="000911B7" w:rsidP="00E66BD7">
      <w:pPr>
        <w:keepNext/>
        <w:ind w:left="567" w:hanging="567"/>
        <w:rPr>
          <w:b/>
          <w:sz w:val="22"/>
          <w:szCs w:val="22"/>
        </w:rPr>
      </w:pPr>
      <w:r w:rsidRPr="00224BE9">
        <w:rPr>
          <w:b/>
          <w:sz w:val="22"/>
          <w:szCs w:val="22"/>
        </w:rPr>
        <w:t>6.6</w:t>
      </w:r>
      <w:r w:rsidRPr="00224BE9">
        <w:rPr>
          <w:b/>
          <w:sz w:val="22"/>
          <w:szCs w:val="22"/>
        </w:rPr>
        <w:tab/>
      </w:r>
      <w:r w:rsidR="00744906" w:rsidRPr="00224BE9">
        <w:rPr>
          <w:b/>
          <w:sz w:val="22"/>
          <w:szCs w:val="22"/>
        </w:rPr>
        <w:t>A megsemmisítésre vonatkozó különleges óvintézkedések és egyéb, a készítmény kezelésével kapcsolatos információk</w:t>
      </w:r>
    </w:p>
    <w:p w14:paraId="7AD4AA27" w14:textId="77777777" w:rsidR="00012983" w:rsidRPr="00224BE9" w:rsidRDefault="00012983" w:rsidP="00E66BD7">
      <w:pPr>
        <w:keepNext/>
        <w:rPr>
          <w:b/>
          <w:sz w:val="22"/>
          <w:szCs w:val="22"/>
        </w:rPr>
      </w:pPr>
    </w:p>
    <w:p w14:paraId="4B9082B1" w14:textId="77777777" w:rsidR="0027531C" w:rsidRPr="00224BE9" w:rsidRDefault="0027531C" w:rsidP="00E66BD7">
      <w:pPr>
        <w:rPr>
          <w:sz w:val="22"/>
          <w:szCs w:val="22"/>
        </w:rPr>
      </w:pPr>
      <w:r w:rsidRPr="00224BE9">
        <w:rPr>
          <w:sz w:val="22"/>
          <w:szCs w:val="22"/>
        </w:rPr>
        <w:t xml:space="preserve">Bármilyen fel nem használt gyógyszer, illetve hulladékanyag megsemmisítését a </w:t>
      </w:r>
      <w:r w:rsidRPr="00224BE9">
        <w:rPr>
          <w:noProof/>
          <w:sz w:val="22"/>
          <w:szCs w:val="22"/>
          <w:lang w:eastAsia="en-US"/>
        </w:rPr>
        <w:t xml:space="preserve">gyógyszerekre vonatkozó </w:t>
      </w:r>
      <w:r w:rsidRPr="00224BE9">
        <w:rPr>
          <w:sz w:val="22"/>
          <w:szCs w:val="22"/>
        </w:rPr>
        <w:t>előírások szerint kell végrehajtani.</w:t>
      </w:r>
    </w:p>
    <w:p w14:paraId="01F2A921" w14:textId="77777777" w:rsidR="00012983" w:rsidRPr="00224BE9" w:rsidRDefault="00012983" w:rsidP="00E66BD7">
      <w:pPr>
        <w:rPr>
          <w:sz w:val="22"/>
          <w:szCs w:val="22"/>
          <w:u w:val="single"/>
        </w:rPr>
      </w:pPr>
    </w:p>
    <w:p w14:paraId="554F0EE2" w14:textId="77777777" w:rsidR="000911B7" w:rsidRPr="00224BE9" w:rsidRDefault="000911B7" w:rsidP="00E66BD7">
      <w:pPr>
        <w:keepNext/>
        <w:tabs>
          <w:tab w:val="left" w:pos="567"/>
        </w:tabs>
        <w:rPr>
          <w:b/>
          <w:sz w:val="22"/>
          <w:szCs w:val="22"/>
        </w:rPr>
      </w:pPr>
      <w:r w:rsidRPr="00224BE9">
        <w:rPr>
          <w:b/>
          <w:sz w:val="22"/>
          <w:szCs w:val="22"/>
        </w:rPr>
        <w:t>Megjegyzés:</w:t>
      </w:r>
      <w:r w:rsidR="0027531C" w:rsidRPr="00224BE9">
        <w:rPr>
          <w:sz w:val="22"/>
          <w:szCs w:val="22"/>
        </w:rPr>
        <w:t xml:space="preserve"> </w:t>
      </w:r>
      <w:r w:rsidR="0027531C" w:rsidRPr="00224BE9">
        <w:rPr>
          <w:sz w:val="22"/>
          <w:szCs w:val="22"/>
        </w:rPr>
        <w:sym w:font="Wingdings" w:char="F058"/>
      </w:r>
      <w:r w:rsidR="0027531C" w:rsidRPr="00224BE9">
        <w:rPr>
          <w:sz w:val="22"/>
          <w:szCs w:val="22"/>
        </w:rPr>
        <w:sym w:font="Wingdings" w:char="F058"/>
      </w:r>
      <w:r w:rsidR="00A631F7" w:rsidRPr="00224BE9">
        <w:rPr>
          <w:b/>
          <w:sz w:val="22"/>
          <w:szCs w:val="22"/>
        </w:rPr>
        <w:t xml:space="preserve"> </w:t>
      </w:r>
      <w:r w:rsidR="00A631F7" w:rsidRPr="00224BE9">
        <w:rPr>
          <w:sz w:val="22"/>
          <w:szCs w:val="22"/>
        </w:rPr>
        <w:t>(két kereszt</w:t>
      </w:r>
      <w:r w:rsidR="00964691" w:rsidRPr="00224BE9">
        <w:rPr>
          <w:sz w:val="22"/>
          <w:szCs w:val="22"/>
        </w:rPr>
        <w:t>es</w:t>
      </w:r>
      <w:r w:rsidR="00A631F7" w:rsidRPr="00224BE9">
        <w:rPr>
          <w:sz w:val="22"/>
          <w:szCs w:val="22"/>
        </w:rPr>
        <w:t>)</w:t>
      </w:r>
      <w:r w:rsidR="00AE64A3" w:rsidRPr="00224BE9">
        <w:rPr>
          <w:b/>
          <w:sz w:val="22"/>
          <w:szCs w:val="22"/>
        </w:rPr>
        <w:t xml:space="preserve"> </w:t>
      </w:r>
    </w:p>
    <w:p w14:paraId="54FAE146" w14:textId="77777777" w:rsidR="000911B7" w:rsidRPr="00224BE9" w:rsidRDefault="000911B7" w:rsidP="00E66BD7">
      <w:pPr>
        <w:keepNext/>
        <w:tabs>
          <w:tab w:val="left" w:pos="567"/>
        </w:tabs>
        <w:rPr>
          <w:b/>
          <w:sz w:val="22"/>
          <w:szCs w:val="22"/>
        </w:rPr>
      </w:pPr>
      <w:r w:rsidRPr="00224BE9">
        <w:rPr>
          <w:sz w:val="22"/>
          <w:szCs w:val="22"/>
        </w:rPr>
        <w:t>Osztályozás:</w:t>
      </w:r>
      <w:r w:rsidRPr="00224BE9">
        <w:rPr>
          <w:b/>
          <w:sz w:val="22"/>
          <w:szCs w:val="22"/>
        </w:rPr>
        <w:t xml:space="preserve"> II. csoport</w:t>
      </w:r>
    </w:p>
    <w:p w14:paraId="37A11DDC" w14:textId="77777777" w:rsidR="000911B7" w:rsidRPr="00224BE9" w:rsidRDefault="000911B7" w:rsidP="00E66BD7">
      <w:pPr>
        <w:rPr>
          <w:sz w:val="22"/>
          <w:szCs w:val="22"/>
        </w:rPr>
      </w:pPr>
      <w:r w:rsidRPr="00224BE9">
        <w:rPr>
          <w:sz w:val="22"/>
          <w:szCs w:val="22"/>
        </w:rPr>
        <w:t>Kizárólag orvosi rendelvényhez kötött gyógyszer (V).</w:t>
      </w:r>
    </w:p>
    <w:p w14:paraId="3B035C2F" w14:textId="77777777" w:rsidR="000911B7" w:rsidRPr="00224BE9" w:rsidRDefault="000911B7" w:rsidP="00E66BD7">
      <w:pPr>
        <w:rPr>
          <w:sz w:val="22"/>
          <w:szCs w:val="22"/>
        </w:rPr>
      </w:pPr>
    </w:p>
    <w:p w14:paraId="0AF45A0F" w14:textId="77777777" w:rsidR="000911B7" w:rsidRPr="00224BE9" w:rsidRDefault="000911B7" w:rsidP="00E66BD7">
      <w:pPr>
        <w:rPr>
          <w:sz w:val="22"/>
          <w:szCs w:val="22"/>
        </w:rPr>
      </w:pPr>
    </w:p>
    <w:p w14:paraId="5B2FA2E7" w14:textId="77777777" w:rsidR="000911B7" w:rsidRPr="00224BE9" w:rsidRDefault="000911B7" w:rsidP="00E66BD7">
      <w:pPr>
        <w:keepNext/>
        <w:tabs>
          <w:tab w:val="left" w:pos="708"/>
        </w:tabs>
        <w:ind w:left="567" w:hanging="567"/>
        <w:rPr>
          <w:b/>
          <w:sz w:val="22"/>
          <w:szCs w:val="22"/>
        </w:rPr>
      </w:pPr>
      <w:r w:rsidRPr="00224BE9">
        <w:rPr>
          <w:b/>
          <w:sz w:val="22"/>
          <w:szCs w:val="22"/>
        </w:rPr>
        <w:t>7.</w:t>
      </w:r>
      <w:r w:rsidRPr="00224BE9">
        <w:rPr>
          <w:b/>
          <w:sz w:val="22"/>
          <w:szCs w:val="22"/>
        </w:rPr>
        <w:tab/>
        <w:t>A FORGALOMBA HOZATALI ENGEDÉLY JOGOSULTJA</w:t>
      </w:r>
    </w:p>
    <w:p w14:paraId="4D894D43" w14:textId="77777777" w:rsidR="000911B7" w:rsidRPr="00224BE9" w:rsidRDefault="000911B7" w:rsidP="00E66BD7">
      <w:pPr>
        <w:keepNext/>
        <w:rPr>
          <w:sz w:val="22"/>
          <w:szCs w:val="22"/>
        </w:rPr>
      </w:pPr>
    </w:p>
    <w:p w14:paraId="2765D8E9" w14:textId="77777777" w:rsidR="00261CC4" w:rsidRPr="00224BE9" w:rsidRDefault="00261CC4" w:rsidP="00E66BD7">
      <w:pPr>
        <w:rPr>
          <w:sz w:val="22"/>
          <w:szCs w:val="22"/>
        </w:rPr>
      </w:pPr>
      <w:r w:rsidRPr="00224BE9">
        <w:rPr>
          <w:sz w:val="22"/>
          <w:szCs w:val="22"/>
        </w:rPr>
        <w:t xml:space="preserve">Galenika International Kft. </w:t>
      </w:r>
    </w:p>
    <w:p w14:paraId="093F26C2" w14:textId="77777777" w:rsidR="00261CC4" w:rsidRPr="00224BE9" w:rsidRDefault="00261CC4" w:rsidP="00E66BD7">
      <w:pPr>
        <w:rPr>
          <w:sz w:val="22"/>
          <w:szCs w:val="22"/>
        </w:rPr>
      </w:pPr>
      <w:r w:rsidRPr="00224BE9">
        <w:rPr>
          <w:sz w:val="22"/>
          <w:szCs w:val="22"/>
        </w:rPr>
        <w:t xml:space="preserve">2040 Budaörs, Baross utca 165/3. </w:t>
      </w:r>
    </w:p>
    <w:p w14:paraId="56BE9839" w14:textId="77777777" w:rsidR="00261CC4" w:rsidRPr="00224BE9" w:rsidRDefault="00261CC4" w:rsidP="00E66BD7">
      <w:pPr>
        <w:rPr>
          <w:sz w:val="22"/>
          <w:szCs w:val="22"/>
        </w:rPr>
      </w:pPr>
      <w:r w:rsidRPr="00224BE9">
        <w:rPr>
          <w:sz w:val="22"/>
          <w:szCs w:val="22"/>
        </w:rPr>
        <w:t>Magyarország</w:t>
      </w:r>
    </w:p>
    <w:p w14:paraId="68E2A1F0" w14:textId="77777777" w:rsidR="000911B7" w:rsidRPr="00224BE9" w:rsidRDefault="000911B7" w:rsidP="00E66BD7">
      <w:pPr>
        <w:tabs>
          <w:tab w:val="left" w:pos="708"/>
        </w:tabs>
        <w:ind w:left="567" w:hanging="567"/>
        <w:rPr>
          <w:b/>
          <w:sz w:val="22"/>
          <w:szCs w:val="22"/>
        </w:rPr>
      </w:pPr>
    </w:p>
    <w:p w14:paraId="596B6F38" w14:textId="77777777" w:rsidR="000911B7" w:rsidRPr="00224BE9" w:rsidRDefault="000911B7" w:rsidP="00E66BD7">
      <w:pPr>
        <w:tabs>
          <w:tab w:val="left" w:pos="708"/>
        </w:tabs>
        <w:ind w:left="567" w:hanging="567"/>
        <w:rPr>
          <w:b/>
          <w:sz w:val="22"/>
          <w:szCs w:val="22"/>
        </w:rPr>
      </w:pPr>
    </w:p>
    <w:p w14:paraId="09969AED" w14:textId="77777777" w:rsidR="000911B7" w:rsidRPr="00224BE9" w:rsidRDefault="000911B7" w:rsidP="00E66BD7">
      <w:pPr>
        <w:keepNext/>
        <w:tabs>
          <w:tab w:val="left" w:pos="708"/>
        </w:tabs>
        <w:ind w:left="567" w:hanging="567"/>
        <w:rPr>
          <w:b/>
          <w:sz w:val="22"/>
          <w:szCs w:val="22"/>
        </w:rPr>
      </w:pPr>
      <w:r w:rsidRPr="00224BE9">
        <w:rPr>
          <w:b/>
          <w:sz w:val="22"/>
          <w:szCs w:val="22"/>
        </w:rPr>
        <w:t>8.</w:t>
      </w:r>
      <w:r w:rsidRPr="00224BE9">
        <w:rPr>
          <w:b/>
          <w:sz w:val="22"/>
          <w:szCs w:val="22"/>
        </w:rPr>
        <w:tab/>
        <w:t xml:space="preserve">A FORGALOMBA HOZATALI ENGEDÉLY SZÁMA </w:t>
      </w:r>
    </w:p>
    <w:p w14:paraId="71C238EE" w14:textId="77777777" w:rsidR="000911B7" w:rsidRPr="00224BE9" w:rsidRDefault="000911B7" w:rsidP="00E66BD7">
      <w:pPr>
        <w:keepNext/>
        <w:tabs>
          <w:tab w:val="left" w:pos="708"/>
        </w:tabs>
        <w:ind w:left="567" w:hanging="567"/>
        <w:rPr>
          <w:b/>
          <w:sz w:val="22"/>
          <w:szCs w:val="22"/>
        </w:rPr>
      </w:pPr>
    </w:p>
    <w:p w14:paraId="430F0390" w14:textId="11CE688A" w:rsidR="00430536" w:rsidRPr="00224BE9" w:rsidRDefault="00430536" w:rsidP="00430536">
      <w:pPr>
        <w:tabs>
          <w:tab w:val="left" w:pos="2268"/>
          <w:tab w:val="left" w:pos="3119"/>
        </w:tabs>
        <w:rPr>
          <w:noProof/>
          <w:sz w:val="22"/>
        </w:rPr>
      </w:pPr>
      <w:r w:rsidRPr="00224BE9">
        <w:rPr>
          <w:noProof/>
          <w:sz w:val="22"/>
        </w:rPr>
        <w:t>OGYI-T-24601/01</w:t>
      </w:r>
      <w:r w:rsidRPr="00224BE9">
        <w:rPr>
          <w:noProof/>
          <w:sz w:val="22"/>
        </w:rPr>
        <w:tab/>
        <w:t>3×</w:t>
      </w:r>
      <w:r w:rsidRPr="00224BE9">
        <w:rPr>
          <w:noProof/>
          <w:sz w:val="22"/>
        </w:rPr>
        <w:tab/>
        <w:t>P</w:t>
      </w:r>
      <w:r w:rsidR="005E4ECC" w:rsidRPr="00224BE9">
        <w:rPr>
          <w:noProof/>
          <w:sz w:val="22"/>
        </w:rPr>
        <w:t>VC</w:t>
      </w:r>
      <w:r w:rsidR="006B1FE9">
        <w:rPr>
          <w:noProof/>
          <w:sz w:val="22"/>
        </w:rPr>
        <w:t>/</w:t>
      </w:r>
      <w:r w:rsidR="005E4ECC" w:rsidRPr="00224BE9">
        <w:rPr>
          <w:noProof/>
          <w:sz w:val="22"/>
        </w:rPr>
        <w:t>/Al buborékcsomagolásban</w:t>
      </w:r>
    </w:p>
    <w:p w14:paraId="320883F4" w14:textId="77777777" w:rsidR="002805EE" w:rsidRPr="00224BE9" w:rsidRDefault="002805EE" w:rsidP="00E66BD7">
      <w:pPr>
        <w:tabs>
          <w:tab w:val="left" w:pos="708"/>
        </w:tabs>
        <w:ind w:left="567" w:hanging="567"/>
        <w:rPr>
          <w:sz w:val="22"/>
          <w:szCs w:val="22"/>
        </w:rPr>
      </w:pPr>
    </w:p>
    <w:p w14:paraId="0BBAFCEA" w14:textId="77777777" w:rsidR="000911B7" w:rsidRPr="00224BE9" w:rsidRDefault="000911B7" w:rsidP="00E66BD7">
      <w:pPr>
        <w:tabs>
          <w:tab w:val="left" w:pos="708"/>
        </w:tabs>
        <w:ind w:left="567" w:hanging="567"/>
        <w:rPr>
          <w:sz w:val="22"/>
          <w:szCs w:val="22"/>
        </w:rPr>
      </w:pPr>
    </w:p>
    <w:p w14:paraId="1F85453F" w14:textId="77777777" w:rsidR="000911B7" w:rsidRPr="00224BE9" w:rsidRDefault="00C94BD9" w:rsidP="00E66BD7">
      <w:pPr>
        <w:keepNext/>
        <w:tabs>
          <w:tab w:val="left" w:pos="708"/>
        </w:tabs>
        <w:ind w:left="567" w:hanging="567"/>
        <w:rPr>
          <w:b/>
          <w:sz w:val="22"/>
          <w:szCs w:val="22"/>
        </w:rPr>
      </w:pPr>
      <w:r w:rsidRPr="00224BE9">
        <w:rPr>
          <w:b/>
          <w:sz w:val="22"/>
          <w:szCs w:val="22"/>
        </w:rPr>
        <w:lastRenderedPageBreak/>
        <w:t>9.</w:t>
      </w:r>
      <w:r w:rsidRPr="00224BE9">
        <w:rPr>
          <w:b/>
          <w:sz w:val="22"/>
          <w:szCs w:val="22"/>
        </w:rPr>
        <w:tab/>
        <w:t xml:space="preserve">A </w:t>
      </w:r>
      <w:r w:rsidR="000911B7" w:rsidRPr="00224BE9">
        <w:rPr>
          <w:b/>
          <w:sz w:val="22"/>
          <w:szCs w:val="22"/>
        </w:rPr>
        <w:t>FORGALOMBA HOZATALI ENGEDÉLY ELSŐ KIADÁSÁNAK/MEGÚJÍTÁSÁNAK DÁTUMA</w:t>
      </w:r>
    </w:p>
    <w:p w14:paraId="56BE4A1E" w14:textId="77777777" w:rsidR="000911B7" w:rsidRPr="00224BE9" w:rsidRDefault="000911B7" w:rsidP="00E66BD7">
      <w:pPr>
        <w:keepNext/>
        <w:tabs>
          <w:tab w:val="left" w:pos="708"/>
        </w:tabs>
        <w:ind w:left="567" w:hanging="567"/>
        <w:rPr>
          <w:b/>
          <w:sz w:val="22"/>
          <w:szCs w:val="22"/>
        </w:rPr>
      </w:pPr>
    </w:p>
    <w:p w14:paraId="5D2E3EA2" w14:textId="77777777" w:rsidR="000911B7" w:rsidRPr="00224BE9" w:rsidRDefault="00507382" w:rsidP="00C408BC">
      <w:pPr>
        <w:tabs>
          <w:tab w:val="left" w:pos="708"/>
        </w:tabs>
        <w:rPr>
          <w:sz w:val="22"/>
          <w:szCs w:val="22"/>
        </w:rPr>
      </w:pPr>
      <w:r w:rsidRPr="00224BE9">
        <w:rPr>
          <w:sz w:val="22"/>
          <w:szCs w:val="22"/>
        </w:rPr>
        <w:t xml:space="preserve">A forgalomba hozatali engedély </w:t>
      </w:r>
      <w:r w:rsidR="000843DB" w:rsidRPr="00224BE9">
        <w:rPr>
          <w:sz w:val="22"/>
          <w:szCs w:val="22"/>
        </w:rPr>
        <w:t xml:space="preserve">első </w:t>
      </w:r>
      <w:r w:rsidRPr="00224BE9">
        <w:rPr>
          <w:sz w:val="22"/>
          <w:szCs w:val="22"/>
        </w:rPr>
        <w:t xml:space="preserve">kiadásának dátuma: </w:t>
      </w:r>
      <w:r w:rsidR="000843DB" w:rsidRPr="00224BE9">
        <w:rPr>
          <w:sz w:val="22"/>
          <w:szCs w:val="22"/>
        </w:rPr>
        <w:t>202</w:t>
      </w:r>
      <w:r w:rsidR="00430536" w:rsidRPr="00224BE9">
        <w:rPr>
          <w:sz w:val="22"/>
          <w:szCs w:val="22"/>
        </w:rPr>
        <w:t>5</w:t>
      </w:r>
      <w:r w:rsidR="000843DB" w:rsidRPr="00224BE9">
        <w:rPr>
          <w:sz w:val="22"/>
          <w:szCs w:val="22"/>
        </w:rPr>
        <w:t xml:space="preserve">. </w:t>
      </w:r>
      <w:r w:rsidR="00430536" w:rsidRPr="00224BE9">
        <w:rPr>
          <w:sz w:val="22"/>
          <w:szCs w:val="22"/>
        </w:rPr>
        <w:t>július 25</w:t>
      </w:r>
      <w:r w:rsidR="000843DB" w:rsidRPr="00224BE9">
        <w:rPr>
          <w:sz w:val="22"/>
          <w:szCs w:val="22"/>
        </w:rPr>
        <w:t>.</w:t>
      </w:r>
    </w:p>
    <w:p w14:paraId="5225AF9B" w14:textId="77777777" w:rsidR="000911B7" w:rsidRPr="00224BE9" w:rsidRDefault="000911B7" w:rsidP="00E66BD7">
      <w:pPr>
        <w:tabs>
          <w:tab w:val="left" w:pos="708"/>
        </w:tabs>
        <w:ind w:left="567" w:hanging="567"/>
        <w:rPr>
          <w:sz w:val="22"/>
          <w:szCs w:val="22"/>
        </w:rPr>
      </w:pPr>
    </w:p>
    <w:p w14:paraId="0ACEB696" w14:textId="77777777" w:rsidR="000911B7" w:rsidRPr="00224BE9" w:rsidRDefault="000911B7" w:rsidP="00E66BD7">
      <w:pPr>
        <w:tabs>
          <w:tab w:val="left" w:pos="708"/>
        </w:tabs>
        <w:ind w:left="567" w:hanging="567"/>
        <w:rPr>
          <w:sz w:val="22"/>
          <w:szCs w:val="22"/>
        </w:rPr>
      </w:pPr>
    </w:p>
    <w:p w14:paraId="373F53D6" w14:textId="77777777" w:rsidR="000911B7" w:rsidRPr="00224BE9" w:rsidRDefault="000911B7" w:rsidP="00E66BD7">
      <w:pPr>
        <w:keepNext/>
        <w:tabs>
          <w:tab w:val="left" w:pos="708"/>
        </w:tabs>
        <w:ind w:left="567" w:hanging="567"/>
        <w:rPr>
          <w:b/>
          <w:sz w:val="22"/>
          <w:szCs w:val="22"/>
        </w:rPr>
      </w:pPr>
      <w:r w:rsidRPr="00224BE9">
        <w:rPr>
          <w:b/>
          <w:sz w:val="22"/>
          <w:szCs w:val="22"/>
        </w:rPr>
        <w:t>10.</w:t>
      </w:r>
      <w:r w:rsidRPr="00224BE9">
        <w:rPr>
          <w:b/>
          <w:sz w:val="22"/>
          <w:szCs w:val="22"/>
        </w:rPr>
        <w:tab/>
        <w:t>A SZÖVEG ELLENŐRZÉSÉNEK DÁTUMA</w:t>
      </w:r>
    </w:p>
    <w:p w14:paraId="13800D30" w14:textId="77777777" w:rsidR="00861CFF" w:rsidRPr="00EF1044" w:rsidRDefault="00861CFF" w:rsidP="00E66BD7">
      <w:pPr>
        <w:tabs>
          <w:tab w:val="left" w:pos="708"/>
        </w:tabs>
        <w:ind w:left="567" w:hanging="567"/>
        <w:rPr>
          <w:bCs/>
          <w:sz w:val="22"/>
          <w:szCs w:val="22"/>
        </w:rPr>
      </w:pPr>
    </w:p>
    <w:p w14:paraId="3286B91D" w14:textId="45A35FCC" w:rsidR="00261CC4" w:rsidRPr="00EF1044" w:rsidRDefault="000E68B4" w:rsidP="00E66BD7">
      <w:pPr>
        <w:keepNext/>
        <w:tabs>
          <w:tab w:val="left" w:pos="708"/>
        </w:tabs>
        <w:ind w:left="567" w:hanging="567"/>
        <w:rPr>
          <w:bCs/>
          <w:sz w:val="22"/>
          <w:szCs w:val="22"/>
        </w:rPr>
      </w:pPr>
      <w:r w:rsidRPr="00EF1044">
        <w:rPr>
          <w:bCs/>
          <w:sz w:val="22"/>
          <w:szCs w:val="22"/>
        </w:rPr>
        <w:t>2025. december 19.</w:t>
      </w:r>
    </w:p>
    <w:p w14:paraId="401C18B3" w14:textId="77777777" w:rsidR="000E68B4" w:rsidRPr="00EF1044" w:rsidRDefault="000E68B4" w:rsidP="00E66BD7">
      <w:pPr>
        <w:keepNext/>
        <w:tabs>
          <w:tab w:val="left" w:pos="708"/>
        </w:tabs>
        <w:ind w:left="567" w:hanging="567"/>
        <w:rPr>
          <w:bCs/>
          <w:sz w:val="22"/>
          <w:szCs w:val="22"/>
        </w:rPr>
      </w:pPr>
    </w:p>
    <w:p w14:paraId="75785CBB" w14:textId="77777777" w:rsidR="000911B7" w:rsidRPr="000E68B4" w:rsidRDefault="000911B7" w:rsidP="00E66BD7">
      <w:pPr>
        <w:tabs>
          <w:tab w:val="left" w:pos="708"/>
        </w:tabs>
        <w:ind w:left="567" w:hanging="567"/>
        <w:rPr>
          <w:bCs/>
          <w:sz w:val="22"/>
          <w:szCs w:val="22"/>
        </w:rPr>
      </w:pPr>
    </w:p>
    <w:sectPr w:rsidR="000911B7" w:rsidRPr="000E68B4" w:rsidSect="00E66BD7">
      <w:headerReference w:type="default" r:id="rId14"/>
      <w:footerReference w:type="first" r:id="rId15"/>
      <w:footnotePr>
        <w:pos w:val="beneathText"/>
      </w:footnotePr>
      <w:pgSz w:w="11907" w:h="16840"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14F1F" w14:textId="77777777" w:rsidR="000B4CCD" w:rsidRDefault="000B4CCD">
      <w:r>
        <w:separator/>
      </w:r>
    </w:p>
  </w:endnote>
  <w:endnote w:type="continuationSeparator" w:id="0">
    <w:p w14:paraId="4AF1D2A2" w14:textId="77777777" w:rsidR="000B4CCD" w:rsidRDefault="000B4CCD">
      <w:r>
        <w:continuationSeparator/>
      </w:r>
    </w:p>
  </w:endnote>
  <w:endnote w:type="continuationNotice" w:id="1">
    <w:p w14:paraId="08125C90" w14:textId="77777777" w:rsidR="000B4CCD" w:rsidRDefault="000B4C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G Mincho Light J">
    <w:altName w:val="Times New Roman"/>
    <w:panose1 w:val="00000000000000000000"/>
    <w:charset w:val="EE"/>
    <w:family w:val="auto"/>
    <w:notTrueType/>
    <w:pitch w:val="variable"/>
    <w:sig w:usb0="00000005" w:usb1="00000000" w:usb2="00000000" w:usb3="00000000" w:csb0="00000002" w:csb1="00000000"/>
  </w:font>
  <w:font w:name="Albany">
    <w:altName w:val="Arial"/>
    <w:charset w:val="00"/>
    <w:family w:val="swiss"/>
    <w:pitch w:val="variable"/>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37736" w14:textId="77777777" w:rsidR="000E68B4" w:rsidRPr="000E68B4" w:rsidRDefault="000E68B4" w:rsidP="000E68B4">
    <w:pPr>
      <w:pStyle w:val="llb"/>
      <w:rPr>
        <w:sz w:val="18"/>
        <w:szCs w:val="18"/>
      </w:rPr>
    </w:pPr>
    <w:r w:rsidRPr="000E68B4">
      <w:rPr>
        <w:sz w:val="18"/>
        <w:szCs w:val="18"/>
      </w:rPr>
      <w:t>NNGYK/ETGY/27560/2025</w:t>
    </w:r>
  </w:p>
  <w:p w14:paraId="4F652D4D" w14:textId="368D2231" w:rsidR="000161B7" w:rsidRPr="00A6559C" w:rsidRDefault="000E68B4" w:rsidP="000E68B4">
    <w:pPr>
      <w:pStyle w:val="llb"/>
      <w:rPr>
        <w:sz w:val="18"/>
        <w:szCs w:val="18"/>
      </w:rPr>
    </w:pPr>
    <w:r w:rsidRPr="000E68B4">
      <w:rPr>
        <w:sz w:val="18"/>
        <w:szCs w:val="18"/>
      </w:rPr>
      <w:t>NNGYK/ETGY/29551/2025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449F9" w14:textId="77777777" w:rsidR="000B4CCD" w:rsidRDefault="000B4CCD">
      <w:r>
        <w:separator/>
      </w:r>
    </w:p>
  </w:footnote>
  <w:footnote w:type="continuationSeparator" w:id="0">
    <w:p w14:paraId="0D29AD46" w14:textId="77777777" w:rsidR="000B4CCD" w:rsidRDefault="000B4CCD">
      <w:r>
        <w:continuationSeparator/>
      </w:r>
    </w:p>
  </w:footnote>
  <w:footnote w:type="continuationNotice" w:id="1">
    <w:p w14:paraId="0F846E19" w14:textId="77777777" w:rsidR="000B4CCD" w:rsidRDefault="000B4C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21774" w14:textId="77777777" w:rsidR="000161B7" w:rsidRDefault="000161B7">
    <w:pPr>
      <w:pStyle w:val="lfej"/>
      <w:jc w:val="center"/>
    </w:pPr>
    <w:r>
      <w:fldChar w:fldCharType="begin"/>
    </w:r>
    <w:r>
      <w:instrText xml:space="preserve"> PAGE </w:instrText>
    </w:r>
    <w:r>
      <w:fldChar w:fldCharType="separate"/>
    </w:r>
    <w:r w:rsidR="005E4ECC">
      <w:rPr>
        <w:noProof/>
      </w:rPr>
      <w:t>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Cmsor1"/>
      <w:suff w:val="nothing"/>
      <w:lvlText w:val=""/>
      <w:lvlJc w:val="left"/>
    </w:lvl>
    <w:lvl w:ilvl="1">
      <w:start w:val="1"/>
      <w:numFmt w:val="none"/>
      <w:pStyle w:val="Cmsor2"/>
      <w:suff w:val="nothing"/>
      <w:lvlText w:val=""/>
      <w:lvlJc w:val="left"/>
    </w:lvl>
    <w:lvl w:ilvl="2">
      <w:start w:val="1"/>
      <w:numFmt w:val="none"/>
      <w:pStyle w:val="Cmsor3"/>
      <w:suff w:val="nothing"/>
      <w:lvlText w:val=""/>
      <w:lvlJc w:val="left"/>
    </w:lvl>
    <w:lvl w:ilvl="3">
      <w:start w:val="1"/>
      <w:numFmt w:val="none"/>
      <w:pStyle w:val="Cmsor4"/>
      <w:suff w:val="nothing"/>
      <w:lvlText w:val=""/>
      <w:lvlJc w:val="left"/>
    </w:lvl>
    <w:lvl w:ilvl="4">
      <w:start w:val="1"/>
      <w:numFmt w:val="none"/>
      <w:pStyle w:val="Cmsor5"/>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00000002"/>
    <w:multiLevelType w:val="singleLevel"/>
    <w:tmpl w:val="00000002"/>
    <w:name w:val="WW8Num2"/>
    <w:lvl w:ilvl="0">
      <w:start w:val="1"/>
      <w:numFmt w:val="bullet"/>
      <w:lvlText w:val="·"/>
      <w:lvlJc w:val="left"/>
      <w:pPr>
        <w:tabs>
          <w:tab w:val="num" w:pos="357"/>
        </w:tabs>
        <w:ind w:left="357" w:hanging="357"/>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tarSymbol" w:hAnsi="StarSymbol"/>
      </w:rPr>
    </w:lvl>
  </w:abstractNum>
  <w:abstractNum w:abstractNumId="3" w15:restartNumberingAfterBreak="0">
    <w:nsid w:val="0E421F03"/>
    <w:multiLevelType w:val="hybridMultilevel"/>
    <w:tmpl w:val="5F688740"/>
    <w:lvl w:ilvl="0" w:tplc="F0E65DB4">
      <w:start w:val="4"/>
      <w:numFmt w:val="decimal"/>
      <w:lvlText w:val="%1"/>
      <w:lvlJc w:val="left"/>
      <w:pPr>
        <w:tabs>
          <w:tab w:val="num" w:pos="1043"/>
        </w:tabs>
        <w:ind w:left="1043" w:hanging="360"/>
      </w:pPr>
      <w:rPr>
        <w:rFonts w:hint="default"/>
      </w:rPr>
    </w:lvl>
    <w:lvl w:ilvl="1" w:tplc="08090019" w:tentative="1">
      <w:start w:val="1"/>
      <w:numFmt w:val="lowerLetter"/>
      <w:lvlText w:val="%2."/>
      <w:lvlJc w:val="left"/>
      <w:pPr>
        <w:tabs>
          <w:tab w:val="num" w:pos="1763"/>
        </w:tabs>
        <w:ind w:left="1763" w:hanging="360"/>
      </w:pPr>
    </w:lvl>
    <w:lvl w:ilvl="2" w:tplc="0809001B" w:tentative="1">
      <w:start w:val="1"/>
      <w:numFmt w:val="lowerRoman"/>
      <w:lvlText w:val="%3."/>
      <w:lvlJc w:val="right"/>
      <w:pPr>
        <w:tabs>
          <w:tab w:val="num" w:pos="2483"/>
        </w:tabs>
        <w:ind w:left="2483" w:hanging="180"/>
      </w:pPr>
    </w:lvl>
    <w:lvl w:ilvl="3" w:tplc="0809000F" w:tentative="1">
      <w:start w:val="1"/>
      <w:numFmt w:val="decimal"/>
      <w:lvlText w:val="%4."/>
      <w:lvlJc w:val="left"/>
      <w:pPr>
        <w:tabs>
          <w:tab w:val="num" w:pos="3203"/>
        </w:tabs>
        <w:ind w:left="3203" w:hanging="360"/>
      </w:pPr>
    </w:lvl>
    <w:lvl w:ilvl="4" w:tplc="08090019" w:tentative="1">
      <w:start w:val="1"/>
      <w:numFmt w:val="lowerLetter"/>
      <w:lvlText w:val="%5."/>
      <w:lvlJc w:val="left"/>
      <w:pPr>
        <w:tabs>
          <w:tab w:val="num" w:pos="3923"/>
        </w:tabs>
        <w:ind w:left="3923" w:hanging="360"/>
      </w:pPr>
    </w:lvl>
    <w:lvl w:ilvl="5" w:tplc="0809001B" w:tentative="1">
      <w:start w:val="1"/>
      <w:numFmt w:val="lowerRoman"/>
      <w:lvlText w:val="%6."/>
      <w:lvlJc w:val="right"/>
      <w:pPr>
        <w:tabs>
          <w:tab w:val="num" w:pos="4643"/>
        </w:tabs>
        <w:ind w:left="4643" w:hanging="180"/>
      </w:pPr>
    </w:lvl>
    <w:lvl w:ilvl="6" w:tplc="0809000F" w:tentative="1">
      <w:start w:val="1"/>
      <w:numFmt w:val="decimal"/>
      <w:lvlText w:val="%7."/>
      <w:lvlJc w:val="left"/>
      <w:pPr>
        <w:tabs>
          <w:tab w:val="num" w:pos="5363"/>
        </w:tabs>
        <w:ind w:left="5363" w:hanging="360"/>
      </w:pPr>
    </w:lvl>
    <w:lvl w:ilvl="7" w:tplc="08090019" w:tentative="1">
      <w:start w:val="1"/>
      <w:numFmt w:val="lowerLetter"/>
      <w:lvlText w:val="%8."/>
      <w:lvlJc w:val="left"/>
      <w:pPr>
        <w:tabs>
          <w:tab w:val="num" w:pos="6083"/>
        </w:tabs>
        <w:ind w:left="6083" w:hanging="360"/>
      </w:pPr>
    </w:lvl>
    <w:lvl w:ilvl="8" w:tplc="0809001B" w:tentative="1">
      <w:start w:val="1"/>
      <w:numFmt w:val="lowerRoman"/>
      <w:lvlText w:val="%9."/>
      <w:lvlJc w:val="right"/>
      <w:pPr>
        <w:tabs>
          <w:tab w:val="num" w:pos="6803"/>
        </w:tabs>
        <w:ind w:left="6803" w:hanging="180"/>
      </w:pPr>
    </w:lvl>
  </w:abstractNum>
  <w:abstractNum w:abstractNumId="4" w15:restartNumberingAfterBreak="0">
    <w:nsid w:val="15981970"/>
    <w:multiLevelType w:val="hybridMultilevel"/>
    <w:tmpl w:val="EC3C7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92CFB"/>
    <w:multiLevelType w:val="hybridMultilevel"/>
    <w:tmpl w:val="9AE85426"/>
    <w:lvl w:ilvl="0" w:tplc="1018DA9A">
      <w:start w:val="1"/>
      <w:numFmt w:val="bullet"/>
      <w:lvlText w:val="-"/>
      <w:lvlJc w:val="left"/>
      <w:pPr>
        <w:tabs>
          <w:tab w:val="num" w:pos="720"/>
        </w:tabs>
        <w:ind w:left="720"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BB4206"/>
    <w:multiLevelType w:val="hybridMultilevel"/>
    <w:tmpl w:val="9A8A0BDC"/>
    <w:lvl w:ilvl="0" w:tplc="D0861E5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52917CD"/>
    <w:multiLevelType w:val="hybridMultilevel"/>
    <w:tmpl w:val="6FFEF0A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7041CEA"/>
    <w:multiLevelType w:val="hybridMultilevel"/>
    <w:tmpl w:val="00C6EDE4"/>
    <w:lvl w:ilvl="0" w:tplc="F0A6B998">
      <w:start w:val="1"/>
      <w:numFmt w:val="bullet"/>
      <w:lvlText w:val=""/>
      <w:lvlJc w:val="left"/>
      <w:pPr>
        <w:tabs>
          <w:tab w:val="num" w:pos="1066"/>
        </w:tabs>
        <w:ind w:left="1066" w:hanging="706"/>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376DCC"/>
    <w:multiLevelType w:val="hybridMultilevel"/>
    <w:tmpl w:val="E5ACB226"/>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EA53053"/>
    <w:multiLevelType w:val="hybridMultilevel"/>
    <w:tmpl w:val="16FE56D8"/>
    <w:lvl w:ilvl="0" w:tplc="1018DA9A">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551658"/>
    <w:multiLevelType w:val="hybridMultilevel"/>
    <w:tmpl w:val="F622278E"/>
    <w:lvl w:ilvl="0" w:tplc="F4085C3C">
      <w:numFmt w:val="bullet"/>
      <w:lvlText w:val=""/>
      <w:lvlJc w:val="left"/>
      <w:pPr>
        <w:tabs>
          <w:tab w:val="num" w:pos="1065"/>
        </w:tabs>
        <w:ind w:left="1065" w:hanging="705"/>
      </w:pPr>
      <w:rPr>
        <w:rFonts w:ascii="Symbol" w:eastAsia="Times New Roman" w:hAnsi="Symbol"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6E2FEE"/>
    <w:multiLevelType w:val="hybridMultilevel"/>
    <w:tmpl w:val="E1BEC824"/>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76D10287"/>
    <w:multiLevelType w:val="hybridMultilevel"/>
    <w:tmpl w:val="3CDC4D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94933766">
    <w:abstractNumId w:val="0"/>
  </w:num>
  <w:num w:numId="2" w16cid:durableId="1156460698">
    <w:abstractNumId w:val="3"/>
  </w:num>
  <w:num w:numId="3" w16cid:durableId="1270312300">
    <w:abstractNumId w:val="2"/>
  </w:num>
  <w:num w:numId="4" w16cid:durableId="109477883">
    <w:abstractNumId w:val="1"/>
  </w:num>
  <w:num w:numId="5" w16cid:durableId="585572566">
    <w:abstractNumId w:val="11"/>
  </w:num>
  <w:num w:numId="6" w16cid:durableId="1467578513">
    <w:abstractNumId w:val="8"/>
  </w:num>
  <w:num w:numId="7" w16cid:durableId="917250672">
    <w:abstractNumId w:val="9"/>
  </w:num>
  <w:num w:numId="8" w16cid:durableId="1795753329">
    <w:abstractNumId w:val="6"/>
  </w:num>
  <w:num w:numId="9" w16cid:durableId="2069718668">
    <w:abstractNumId w:val="7"/>
  </w:num>
  <w:num w:numId="10" w16cid:durableId="1475022888">
    <w:abstractNumId w:val="13"/>
  </w:num>
  <w:num w:numId="11" w16cid:durableId="41246764">
    <w:abstractNumId w:val="12"/>
  </w:num>
  <w:num w:numId="12" w16cid:durableId="1106542472">
    <w:abstractNumId w:val="5"/>
  </w:num>
  <w:num w:numId="13" w16cid:durableId="1650015048">
    <w:abstractNumId w:val="10"/>
  </w:num>
  <w:num w:numId="14" w16cid:durableId="18955759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11B7"/>
    <w:rsid w:val="000010FA"/>
    <w:rsid w:val="00001627"/>
    <w:rsid w:val="000026BE"/>
    <w:rsid w:val="00002778"/>
    <w:rsid w:val="00005694"/>
    <w:rsid w:val="00006350"/>
    <w:rsid w:val="00012983"/>
    <w:rsid w:val="000161B7"/>
    <w:rsid w:val="0002269B"/>
    <w:rsid w:val="0003512C"/>
    <w:rsid w:val="00035629"/>
    <w:rsid w:val="00035FF7"/>
    <w:rsid w:val="00036380"/>
    <w:rsid w:val="00040F6A"/>
    <w:rsid w:val="00043640"/>
    <w:rsid w:val="00043C3A"/>
    <w:rsid w:val="00050A1A"/>
    <w:rsid w:val="00055562"/>
    <w:rsid w:val="000556E9"/>
    <w:rsid w:val="00055E7F"/>
    <w:rsid w:val="00056919"/>
    <w:rsid w:val="0005756B"/>
    <w:rsid w:val="000608B7"/>
    <w:rsid w:val="00063C50"/>
    <w:rsid w:val="00066208"/>
    <w:rsid w:val="000714B6"/>
    <w:rsid w:val="00074EA8"/>
    <w:rsid w:val="00076ED5"/>
    <w:rsid w:val="000843DB"/>
    <w:rsid w:val="0008670B"/>
    <w:rsid w:val="000911B7"/>
    <w:rsid w:val="000913CD"/>
    <w:rsid w:val="00094D49"/>
    <w:rsid w:val="0009768D"/>
    <w:rsid w:val="000A1A87"/>
    <w:rsid w:val="000A418E"/>
    <w:rsid w:val="000A4E7F"/>
    <w:rsid w:val="000A5475"/>
    <w:rsid w:val="000A5794"/>
    <w:rsid w:val="000A58EF"/>
    <w:rsid w:val="000A6CF2"/>
    <w:rsid w:val="000B1AD6"/>
    <w:rsid w:val="000B2682"/>
    <w:rsid w:val="000B4CCD"/>
    <w:rsid w:val="000C2812"/>
    <w:rsid w:val="000C553E"/>
    <w:rsid w:val="000D21CC"/>
    <w:rsid w:val="000D321D"/>
    <w:rsid w:val="000D388F"/>
    <w:rsid w:val="000D4F80"/>
    <w:rsid w:val="000D676A"/>
    <w:rsid w:val="000E4388"/>
    <w:rsid w:val="000E68B4"/>
    <w:rsid w:val="000F4DC5"/>
    <w:rsid w:val="000F585F"/>
    <w:rsid w:val="00106C33"/>
    <w:rsid w:val="0011452E"/>
    <w:rsid w:val="00115E73"/>
    <w:rsid w:val="00115F9F"/>
    <w:rsid w:val="00123506"/>
    <w:rsid w:val="00131AE4"/>
    <w:rsid w:val="00133068"/>
    <w:rsid w:val="00133E60"/>
    <w:rsid w:val="00134093"/>
    <w:rsid w:val="00136AB6"/>
    <w:rsid w:val="00136FA3"/>
    <w:rsid w:val="00140C9E"/>
    <w:rsid w:val="0014770C"/>
    <w:rsid w:val="0015234B"/>
    <w:rsid w:val="00155677"/>
    <w:rsid w:val="0017277C"/>
    <w:rsid w:val="00172A13"/>
    <w:rsid w:val="00174FE8"/>
    <w:rsid w:val="00177050"/>
    <w:rsid w:val="00181B95"/>
    <w:rsid w:val="0018248A"/>
    <w:rsid w:val="00182B16"/>
    <w:rsid w:val="00185515"/>
    <w:rsid w:val="00195A05"/>
    <w:rsid w:val="00197F5B"/>
    <w:rsid w:val="001A17AA"/>
    <w:rsid w:val="001A2847"/>
    <w:rsid w:val="001B0406"/>
    <w:rsid w:val="001B16F3"/>
    <w:rsid w:val="001B3296"/>
    <w:rsid w:val="001C3085"/>
    <w:rsid w:val="001C34A6"/>
    <w:rsid w:val="001D6641"/>
    <w:rsid w:val="001E4119"/>
    <w:rsid w:val="001E5233"/>
    <w:rsid w:val="001F020F"/>
    <w:rsid w:val="001F16D6"/>
    <w:rsid w:val="001F33FE"/>
    <w:rsid w:val="001F3D40"/>
    <w:rsid w:val="001F433E"/>
    <w:rsid w:val="001F5DAA"/>
    <w:rsid w:val="00200DA9"/>
    <w:rsid w:val="00206D6C"/>
    <w:rsid w:val="00207DCD"/>
    <w:rsid w:val="00211870"/>
    <w:rsid w:val="002156AE"/>
    <w:rsid w:val="002201C2"/>
    <w:rsid w:val="0022189B"/>
    <w:rsid w:val="00224BE9"/>
    <w:rsid w:val="00225CC8"/>
    <w:rsid w:val="00227BE6"/>
    <w:rsid w:val="00230A61"/>
    <w:rsid w:val="00231002"/>
    <w:rsid w:val="00235AD1"/>
    <w:rsid w:val="002367C3"/>
    <w:rsid w:val="002370BE"/>
    <w:rsid w:val="00241583"/>
    <w:rsid w:val="00242498"/>
    <w:rsid w:val="00246A7D"/>
    <w:rsid w:val="00247E81"/>
    <w:rsid w:val="0025521E"/>
    <w:rsid w:val="0026026D"/>
    <w:rsid w:val="00261132"/>
    <w:rsid w:val="00261CC4"/>
    <w:rsid w:val="0026278B"/>
    <w:rsid w:val="002628AD"/>
    <w:rsid w:val="002701E4"/>
    <w:rsid w:val="00270E17"/>
    <w:rsid w:val="0027531C"/>
    <w:rsid w:val="00275AD9"/>
    <w:rsid w:val="00276CCA"/>
    <w:rsid w:val="00280021"/>
    <w:rsid w:val="002805EE"/>
    <w:rsid w:val="00283E06"/>
    <w:rsid w:val="00285539"/>
    <w:rsid w:val="002861B8"/>
    <w:rsid w:val="00290F82"/>
    <w:rsid w:val="00291FD7"/>
    <w:rsid w:val="0029379F"/>
    <w:rsid w:val="00295181"/>
    <w:rsid w:val="002A1619"/>
    <w:rsid w:val="002A2763"/>
    <w:rsid w:val="002A4430"/>
    <w:rsid w:val="002A63E7"/>
    <w:rsid w:val="002A6513"/>
    <w:rsid w:val="002B4851"/>
    <w:rsid w:val="002B6671"/>
    <w:rsid w:val="002B6B83"/>
    <w:rsid w:val="002C57C2"/>
    <w:rsid w:val="002C78E9"/>
    <w:rsid w:val="002D075B"/>
    <w:rsid w:val="002D0DB0"/>
    <w:rsid w:val="002D1DA2"/>
    <w:rsid w:val="002D502C"/>
    <w:rsid w:val="002D77F4"/>
    <w:rsid w:val="002E1844"/>
    <w:rsid w:val="002E37EF"/>
    <w:rsid w:val="002E5E1E"/>
    <w:rsid w:val="002F02F7"/>
    <w:rsid w:val="002F221E"/>
    <w:rsid w:val="002F4854"/>
    <w:rsid w:val="00302635"/>
    <w:rsid w:val="00303736"/>
    <w:rsid w:val="00305FFC"/>
    <w:rsid w:val="00306D79"/>
    <w:rsid w:val="0031202D"/>
    <w:rsid w:val="00316E8B"/>
    <w:rsid w:val="00325116"/>
    <w:rsid w:val="00325A56"/>
    <w:rsid w:val="003348D3"/>
    <w:rsid w:val="00335686"/>
    <w:rsid w:val="003372D2"/>
    <w:rsid w:val="003405DC"/>
    <w:rsid w:val="00342D87"/>
    <w:rsid w:val="00343D7D"/>
    <w:rsid w:val="003536F8"/>
    <w:rsid w:val="003549AD"/>
    <w:rsid w:val="00356200"/>
    <w:rsid w:val="003616FB"/>
    <w:rsid w:val="003632C6"/>
    <w:rsid w:val="00365BD4"/>
    <w:rsid w:val="003672D6"/>
    <w:rsid w:val="0036776A"/>
    <w:rsid w:val="003769F4"/>
    <w:rsid w:val="00382969"/>
    <w:rsid w:val="003860C4"/>
    <w:rsid w:val="003902C1"/>
    <w:rsid w:val="00390874"/>
    <w:rsid w:val="00393AC6"/>
    <w:rsid w:val="003960CE"/>
    <w:rsid w:val="003A52E4"/>
    <w:rsid w:val="003A6555"/>
    <w:rsid w:val="003A65A3"/>
    <w:rsid w:val="003B2154"/>
    <w:rsid w:val="003B39EC"/>
    <w:rsid w:val="003B41C2"/>
    <w:rsid w:val="003B62DC"/>
    <w:rsid w:val="003B6BC0"/>
    <w:rsid w:val="003C00F1"/>
    <w:rsid w:val="003C0493"/>
    <w:rsid w:val="003C0613"/>
    <w:rsid w:val="003C4BD4"/>
    <w:rsid w:val="003D1ED4"/>
    <w:rsid w:val="003D4946"/>
    <w:rsid w:val="003E0106"/>
    <w:rsid w:val="003E35E3"/>
    <w:rsid w:val="003E5211"/>
    <w:rsid w:val="003E748A"/>
    <w:rsid w:val="003F13B3"/>
    <w:rsid w:val="003F7176"/>
    <w:rsid w:val="00400F0A"/>
    <w:rsid w:val="00410986"/>
    <w:rsid w:val="00414D92"/>
    <w:rsid w:val="004178AC"/>
    <w:rsid w:val="00417AED"/>
    <w:rsid w:val="004233D4"/>
    <w:rsid w:val="00425FB1"/>
    <w:rsid w:val="00427DC4"/>
    <w:rsid w:val="00430536"/>
    <w:rsid w:val="004307EC"/>
    <w:rsid w:val="00431DAC"/>
    <w:rsid w:val="00444595"/>
    <w:rsid w:val="0046473F"/>
    <w:rsid w:val="00464DD6"/>
    <w:rsid w:val="004713B5"/>
    <w:rsid w:val="00472430"/>
    <w:rsid w:val="00475834"/>
    <w:rsid w:val="00476D22"/>
    <w:rsid w:val="0047764F"/>
    <w:rsid w:val="004819B6"/>
    <w:rsid w:val="004864EA"/>
    <w:rsid w:val="004A489E"/>
    <w:rsid w:val="004A7F4A"/>
    <w:rsid w:val="004B1AA5"/>
    <w:rsid w:val="004B1FFE"/>
    <w:rsid w:val="004B2DB8"/>
    <w:rsid w:val="004B38C6"/>
    <w:rsid w:val="004C49F8"/>
    <w:rsid w:val="004C4A4A"/>
    <w:rsid w:val="004D1CAB"/>
    <w:rsid w:val="004D27A5"/>
    <w:rsid w:val="004D36A1"/>
    <w:rsid w:val="004E34EA"/>
    <w:rsid w:val="004E37DE"/>
    <w:rsid w:val="004E6B30"/>
    <w:rsid w:val="004E6F0A"/>
    <w:rsid w:val="004F6609"/>
    <w:rsid w:val="00502AA7"/>
    <w:rsid w:val="005045AA"/>
    <w:rsid w:val="00504FAB"/>
    <w:rsid w:val="005067F6"/>
    <w:rsid w:val="00507382"/>
    <w:rsid w:val="00520396"/>
    <w:rsid w:val="00520988"/>
    <w:rsid w:val="0052127A"/>
    <w:rsid w:val="005257F2"/>
    <w:rsid w:val="0052614C"/>
    <w:rsid w:val="005464C9"/>
    <w:rsid w:val="00553033"/>
    <w:rsid w:val="00554CF5"/>
    <w:rsid w:val="00554EBF"/>
    <w:rsid w:val="005572C5"/>
    <w:rsid w:val="00565BB5"/>
    <w:rsid w:val="00566B08"/>
    <w:rsid w:val="0058290A"/>
    <w:rsid w:val="00583439"/>
    <w:rsid w:val="0058657E"/>
    <w:rsid w:val="00592D63"/>
    <w:rsid w:val="005943C4"/>
    <w:rsid w:val="0059533B"/>
    <w:rsid w:val="0059638B"/>
    <w:rsid w:val="005A3B7C"/>
    <w:rsid w:val="005A55CB"/>
    <w:rsid w:val="005B2670"/>
    <w:rsid w:val="005B5B04"/>
    <w:rsid w:val="005C7538"/>
    <w:rsid w:val="005D0CB9"/>
    <w:rsid w:val="005D1265"/>
    <w:rsid w:val="005D31B3"/>
    <w:rsid w:val="005D5DFC"/>
    <w:rsid w:val="005D61EE"/>
    <w:rsid w:val="005D7B30"/>
    <w:rsid w:val="005E3120"/>
    <w:rsid w:val="005E3150"/>
    <w:rsid w:val="005E4ECC"/>
    <w:rsid w:val="005E709E"/>
    <w:rsid w:val="005E7B45"/>
    <w:rsid w:val="005F03C4"/>
    <w:rsid w:val="005F1876"/>
    <w:rsid w:val="005F1D24"/>
    <w:rsid w:val="005F5141"/>
    <w:rsid w:val="005F7395"/>
    <w:rsid w:val="005F7556"/>
    <w:rsid w:val="00615F9D"/>
    <w:rsid w:val="00617126"/>
    <w:rsid w:val="00630687"/>
    <w:rsid w:val="00630D47"/>
    <w:rsid w:val="0063159A"/>
    <w:rsid w:val="006365DE"/>
    <w:rsid w:val="006416AB"/>
    <w:rsid w:val="006471DC"/>
    <w:rsid w:val="006504AD"/>
    <w:rsid w:val="00656289"/>
    <w:rsid w:val="00661BF4"/>
    <w:rsid w:val="00662B96"/>
    <w:rsid w:val="00663E66"/>
    <w:rsid w:val="00664364"/>
    <w:rsid w:val="006667C5"/>
    <w:rsid w:val="006706C8"/>
    <w:rsid w:val="00670DDF"/>
    <w:rsid w:val="006779A8"/>
    <w:rsid w:val="00686D40"/>
    <w:rsid w:val="00696B0B"/>
    <w:rsid w:val="006A2B04"/>
    <w:rsid w:val="006A30E7"/>
    <w:rsid w:val="006A4751"/>
    <w:rsid w:val="006B0F82"/>
    <w:rsid w:val="006B1FE9"/>
    <w:rsid w:val="006C47A0"/>
    <w:rsid w:val="006C47FD"/>
    <w:rsid w:val="006C4F04"/>
    <w:rsid w:val="006C5CB4"/>
    <w:rsid w:val="006D6AA9"/>
    <w:rsid w:val="006E042C"/>
    <w:rsid w:val="006E6C08"/>
    <w:rsid w:val="006F11FE"/>
    <w:rsid w:val="006F28BA"/>
    <w:rsid w:val="00707588"/>
    <w:rsid w:val="007107D9"/>
    <w:rsid w:val="007130D7"/>
    <w:rsid w:val="00715913"/>
    <w:rsid w:val="00716A49"/>
    <w:rsid w:val="0072190B"/>
    <w:rsid w:val="007277C3"/>
    <w:rsid w:val="007278B9"/>
    <w:rsid w:val="00732B2D"/>
    <w:rsid w:val="007359FE"/>
    <w:rsid w:val="00737AD3"/>
    <w:rsid w:val="00744906"/>
    <w:rsid w:val="00750C8F"/>
    <w:rsid w:val="00750F84"/>
    <w:rsid w:val="0075428F"/>
    <w:rsid w:val="007706C6"/>
    <w:rsid w:val="00781606"/>
    <w:rsid w:val="00781CCD"/>
    <w:rsid w:val="00787038"/>
    <w:rsid w:val="00790FBC"/>
    <w:rsid w:val="00791984"/>
    <w:rsid w:val="007924E9"/>
    <w:rsid w:val="007942F9"/>
    <w:rsid w:val="007A3DDA"/>
    <w:rsid w:val="007C20FC"/>
    <w:rsid w:val="007C6D66"/>
    <w:rsid w:val="007D2F70"/>
    <w:rsid w:val="007E0496"/>
    <w:rsid w:val="007E09B0"/>
    <w:rsid w:val="007E2A63"/>
    <w:rsid w:val="007E7DDF"/>
    <w:rsid w:val="0080139B"/>
    <w:rsid w:val="00802ECB"/>
    <w:rsid w:val="00803611"/>
    <w:rsid w:val="008038F9"/>
    <w:rsid w:val="0080518A"/>
    <w:rsid w:val="0080582C"/>
    <w:rsid w:val="00807247"/>
    <w:rsid w:val="0081108C"/>
    <w:rsid w:val="008125B3"/>
    <w:rsid w:val="008133F6"/>
    <w:rsid w:val="00814B39"/>
    <w:rsid w:val="00827106"/>
    <w:rsid w:val="00835459"/>
    <w:rsid w:val="00835CA8"/>
    <w:rsid w:val="008373D7"/>
    <w:rsid w:val="0084022F"/>
    <w:rsid w:val="00841438"/>
    <w:rsid w:val="00851456"/>
    <w:rsid w:val="00854D96"/>
    <w:rsid w:val="00861CFF"/>
    <w:rsid w:val="008647DB"/>
    <w:rsid w:val="0086575C"/>
    <w:rsid w:val="008660A8"/>
    <w:rsid w:val="00876AFD"/>
    <w:rsid w:val="00881665"/>
    <w:rsid w:val="008826DD"/>
    <w:rsid w:val="008A14FC"/>
    <w:rsid w:val="008A2374"/>
    <w:rsid w:val="008A2DFE"/>
    <w:rsid w:val="008A3297"/>
    <w:rsid w:val="008A7F7F"/>
    <w:rsid w:val="008B3BAF"/>
    <w:rsid w:val="008B57C0"/>
    <w:rsid w:val="008C0C18"/>
    <w:rsid w:val="008C171A"/>
    <w:rsid w:val="008C7D22"/>
    <w:rsid w:val="008D33FA"/>
    <w:rsid w:val="008E1E9A"/>
    <w:rsid w:val="008E1FB2"/>
    <w:rsid w:val="008E2621"/>
    <w:rsid w:val="008E30CB"/>
    <w:rsid w:val="008F00CE"/>
    <w:rsid w:val="008F0D5F"/>
    <w:rsid w:val="008F404E"/>
    <w:rsid w:val="008F4E85"/>
    <w:rsid w:val="008F531A"/>
    <w:rsid w:val="00904D8D"/>
    <w:rsid w:val="009062FE"/>
    <w:rsid w:val="00910517"/>
    <w:rsid w:val="00915292"/>
    <w:rsid w:val="00916062"/>
    <w:rsid w:val="00923AE0"/>
    <w:rsid w:val="00932390"/>
    <w:rsid w:val="00933A6F"/>
    <w:rsid w:val="00934CA8"/>
    <w:rsid w:val="00934D1E"/>
    <w:rsid w:val="00942C79"/>
    <w:rsid w:val="00945200"/>
    <w:rsid w:val="00950B10"/>
    <w:rsid w:val="009531B6"/>
    <w:rsid w:val="0095545B"/>
    <w:rsid w:val="009616E0"/>
    <w:rsid w:val="00964691"/>
    <w:rsid w:val="009660B9"/>
    <w:rsid w:val="00972E7C"/>
    <w:rsid w:val="0097379F"/>
    <w:rsid w:val="00974525"/>
    <w:rsid w:val="0097607A"/>
    <w:rsid w:val="00977255"/>
    <w:rsid w:val="00983D99"/>
    <w:rsid w:val="00985EBF"/>
    <w:rsid w:val="00993659"/>
    <w:rsid w:val="009945BB"/>
    <w:rsid w:val="00996970"/>
    <w:rsid w:val="009A439A"/>
    <w:rsid w:val="009B247D"/>
    <w:rsid w:val="009C1C87"/>
    <w:rsid w:val="009C64F4"/>
    <w:rsid w:val="009C6E0E"/>
    <w:rsid w:val="009D1561"/>
    <w:rsid w:val="009D1FDF"/>
    <w:rsid w:val="009D758B"/>
    <w:rsid w:val="009E274A"/>
    <w:rsid w:val="009E3556"/>
    <w:rsid w:val="009E3B80"/>
    <w:rsid w:val="009E7086"/>
    <w:rsid w:val="009F1B61"/>
    <w:rsid w:val="009F2195"/>
    <w:rsid w:val="00A00A82"/>
    <w:rsid w:val="00A01752"/>
    <w:rsid w:val="00A046B2"/>
    <w:rsid w:val="00A26C55"/>
    <w:rsid w:val="00A27F08"/>
    <w:rsid w:val="00A37619"/>
    <w:rsid w:val="00A4187A"/>
    <w:rsid w:val="00A41A8B"/>
    <w:rsid w:val="00A41CE4"/>
    <w:rsid w:val="00A46EBD"/>
    <w:rsid w:val="00A52F15"/>
    <w:rsid w:val="00A545E8"/>
    <w:rsid w:val="00A55021"/>
    <w:rsid w:val="00A55F97"/>
    <w:rsid w:val="00A56C15"/>
    <w:rsid w:val="00A61BBC"/>
    <w:rsid w:val="00A631F7"/>
    <w:rsid w:val="00A6559C"/>
    <w:rsid w:val="00A655C9"/>
    <w:rsid w:val="00A671A3"/>
    <w:rsid w:val="00A71109"/>
    <w:rsid w:val="00A77DB2"/>
    <w:rsid w:val="00A8227D"/>
    <w:rsid w:val="00A87833"/>
    <w:rsid w:val="00AA12A4"/>
    <w:rsid w:val="00AA358D"/>
    <w:rsid w:val="00AA7A6B"/>
    <w:rsid w:val="00AB136E"/>
    <w:rsid w:val="00AB4CF1"/>
    <w:rsid w:val="00AB53B1"/>
    <w:rsid w:val="00AB6F61"/>
    <w:rsid w:val="00AB7CF5"/>
    <w:rsid w:val="00AC2901"/>
    <w:rsid w:val="00AC6F7B"/>
    <w:rsid w:val="00AD04A9"/>
    <w:rsid w:val="00AD56B8"/>
    <w:rsid w:val="00AD5EF5"/>
    <w:rsid w:val="00AE3FF1"/>
    <w:rsid w:val="00AE4E1D"/>
    <w:rsid w:val="00AE5AC3"/>
    <w:rsid w:val="00AE64A3"/>
    <w:rsid w:val="00AF3636"/>
    <w:rsid w:val="00AF3E61"/>
    <w:rsid w:val="00AF4A68"/>
    <w:rsid w:val="00B04535"/>
    <w:rsid w:val="00B04B8E"/>
    <w:rsid w:val="00B04D80"/>
    <w:rsid w:val="00B05C6A"/>
    <w:rsid w:val="00B0689B"/>
    <w:rsid w:val="00B077FE"/>
    <w:rsid w:val="00B115D2"/>
    <w:rsid w:val="00B15D4C"/>
    <w:rsid w:val="00B24169"/>
    <w:rsid w:val="00B31AD9"/>
    <w:rsid w:val="00B31B64"/>
    <w:rsid w:val="00B3261A"/>
    <w:rsid w:val="00B44104"/>
    <w:rsid w:val="00B51B77"/>
    <w:rsid w:val="00B55367"/>
    <w:rsid w:val="00B57206"/>
    <w:rsid w:val="00B5797F"/>
    <w:rsid w:val="00B6029F"/>
    <w:rsid w:val="00B6201D"/>
    <w:rsid w:val="00B65401"/>
    <w:rsid w:val="00B66DD0"/>
    <w:rsid w:val="00B67EC5"/>
    <w:rsid w:val="00B806AA"/>
    <w:rsid w:val="00B819A1"/>
    <w:rsid w:val="00B82894"/>
    <w:rsid w:val="00B83089"/>
    <w:rsid w:val="00B83847"/>
    <w:rsid w:val="00B87038"/>
    <w:rsid w:val="00B873A4"/>
    <w:rsid w:val="00B966BB"/>
    <w:rsid w:val="00B97EE0"/>
    <w:rsid w:val="00BA0865"/>
    <w:rsid w:val="00BA09EE"/>
    <w:rsid w:val="00BA2412"/>
    <w:rsid w:val="00BB4AC3"/>
    <w:rsid w:val="00BD11C7"/>
    <w:rsid w:val="00BD6313"/>
    <w:rsid w:val="00BD7422"/>
    <w:rsid w:val="00BE64A5"/>
    <w:rsid w:val="00BF2A1D"/>
    <w:rsid w:val="00BF7FFA"/>
    <w:rsid w:val="00C00CA9"/>
    <w:rsid w:val="00C02370"/>
    <w:rsid w:val="00C043B5"/>
    <w:rsid w:val="00C05979"/>
    <w:rsid w:val="00C12780"/>
    <w:rsid w:val="00C14545"/>
    <w:rsid w:val="00C30C59"/>
    <w:rsid w:val="00C33DAC"/>
    <w:rsid w:val="00C34EEE"/>
    <w:rsid w:val="00C408BC"/>
    <w:rsid w:val="00C54263"/>
    <w:rsid w:val="00C62621"/>
    <w:rsid w:val="00C676C3"/>
    <w:rsid w:val="00C72FE1"/>
    <w:rsid w:val="00C81596"/>
    <w:rsid w:val="00C91A88"/>
    <w:rsid w:val="00C94BD9"/>
    <w:rsid w:val="00CB6BA2"/>
    <w:rsid w:val="00CB7D1B"/>
    <w:rsid w:val="00CC595A"/>
    <w:rsid w:val="00CC6279"/>
    <w:rsid w:val="00CC6D6E"/>
    <w:rsid w:val="00CD4792"/>
    <w:rsid w:val="00CD6AC3"/>
    <w:rsid w:val="00CD6B0A"/>
    <w:rsid w:val="00CE1BFD"/>
    <w:rsid w:val="00CE1CE7"/>
    <w:rsid w:val="00CF5963"/>
    <w:rsid w:val="00D00469"/>
    <w:rsid w:val="00D01ED1"/>
    <w:rsid w:val="00D02A7E"/>
    <w:rsid w:val="00D03BFB"/>
    <w:rsid w:val="00D07A3A"/>
    <w:rsid w:val="00D203A6"/>
    <w:rsid w:val="00D3297B"/>
    <w:rsid w:val="00D3652F"/>
    <w:rsid w:val="00D37A5A"/>
    <w:rsid w:val="00D409B6"/>
    <w:rsid w:val="00D41D76"/>
    <w:rsid w:val="00D47C8E"/>
    <w:rsid w:val="00D508FD"/>
    <w:rsid w:val="00D51715"/>
    <w:rsid w:val="00D67507"/>
    <w:rsid w:val="00D67C4E"/>
    <w:rsid w:val="00D711E0"/>
    <w:rsid w:val="00D724BE"/>
    <w:rsid w:val="00D73B36"/>
    <w:rsid w:val="00D74197"/>
    <w:rsid w:val="00D7420B"/>
    <w:rsid w:val="00D77944"/>
    <w:rsid w:val="00D906A6"/>
    <w:rsid w:val="00DA1C29"/>
    <w:rsid w:val="00DA2968"/>
    <w:rsid w:val="00DA54D5"/>
    <w:rsid w:val="00DA5C56"/>
    <w:rsid w:val="00DB1F77"/>
    <w:rsid w:val="00DB306F"/>
    <w:rsid w:val="00DB5D60"/>
    <w:rsid w:val="00DC0E78"/>
    <w:rsid w:val="00DC7D37"/>
    <w:rsid w:val="00DD2893"/>
    <w:rsid w:val="00DD4CAB"/>
    <w:rsid w:val="00DD534B"/>
    <w:rsid w:val="00DD5E7F"/>
    <w:rsid w:val="00DE3C31"/>
    <w:rsid w:val="00DE5519"/>
    <w:rsid w:val="00DE5A63"/>
    <w:rsid w:val="00DF74A9"/>
    <w:rsid w:val="00E050F1"/>
    <w:rsid w:val="00E05F16"/>
    <w:rsid w:val="00E10281"/>
    <w:rsid w:val="00E1791C"/>
    <w:rsid w:val="00E23C6E"/>
    <w:rsid w:val="00E2755D"/>
    <w:rsid w:val="00E31722"/>
    <w:rsid w:val="00E31CC6"/>
    <w:rsid w:val="00E3570F"/>
    <w:rsid w:val="00E4264F"/>
    <w:rsid w:val="00E511ED"/>
    <w:rsid w:val="00E53BA5"/>
    <w:rsid w:val="00E53D2C"/>
    <w:rsid w:val="00E550D3"/>
    <w:rsid w:val="00E563A9"/>
    <w:rsid w:val="00E66BD7"/>
    <w:rsid w:val="00E82C3E"/>
    <w:rsid w:val="00E959DF"/>
    <w:rsid w:val="00EA0DBF"/>
    <w:rsid w:val="00EA4047"/>
    <w:rsid w:val="00EA4651"/>
    <w:rsid w:val="00EA476C"/>
    <w:rsid w:val="00EA5184"/>
    <w:rsid w:val="00EA5273"/>
    <w:rsid w:val="00EB03AF"/>
    <w:rsid w:val="00EB08C4"/>
    <w:rsid w:val="00EB123D"/>
    <w:rsid w:val="00EB1836"/>
    <w:rsid w:val="00EB351E"/>
    <w:rsid w:val="00EB553B"/>
    <w:rsid w:val="00EB5FEA"/>
    <w:rsid w:val="00EB75CB"/>
    <w:rsid w:val="00EC29D2"/>
    <w:rsid w:val="00EC379E"/>
    <w:rsid w:val="00ED0CD4"/>
    <w:rsid w:val="00ED2BF4"/>
    <w:rsid w:val="00EE03B8"/>
    <w:rsid w:val="00EF1044"/>
    <w:rsid w:val="00EF4C73"/>
    <w:rsid w:val="00EF6D57"/>
    <w:rsid w:val="00F00340"/>
    <w:rsid w:val="00F02064"/>
    <w:rsid w:val="00F02278"/>
    <w:rsid w:val="00F0569F"/>
    <w:rsid w:val="00F05F59"/>
    <w:rsid w:val="00F06869"/>
    <w:rsid w:val="00F107DF"/>
    <w:rsid w:val="00F13F1B"/>
    <w:rsid w:val="00F14581"/>
    <w:rsid w:val="00F153E2"/>
    <w:rsid w:val="00F2019A"/>
    <w:rsid w:val="00F2698F"/>
    <w:rsid w:val="00F26BF9"/>
    <w:rsid w:val="00F26D42"/>
    <w:rsid w:val="00F30E5C"/>
    <w:rsid w:val="00F3484A"/>
    <w:rsid w:val="00F400F1"/>
    <w:rsid w:val="00F45249"/>
    <w:rsid w:val="00F4556A"/>
    <w:rsid w:val="00F51CC6"/>
    <w:rsid w:val="00F530FC"/>
    <w:rsid w:val="00F539C6"/>
    <w:rsid w:val="00F563F1"/>
    <w:rsid w:val="00F6061E"/>
    <w:rsid w:val="00F7053C"/>
    <w:rsid w:val="00F71847"/>
    <w:rsid w:val="00F734D2"/>
    <w:rsid w:val="00F824A5"/>
    <w:rsid w:val="00F86128"/>
    <w:rsid w:val="00F8712A"/>
    <w:rsid w:val="00F87BF6"/>
    <w:rsid w:val="00F90B07"/>
    <w:rsid w:val="00F9183E"/>
    <w:rsid w:val="00F93ADC"/>
    <w:rsid w:val="00FA10C4"/>
    <w:rsid w:val="00FB182E"/>
    <w:rsid w:val="00FB6E85"/>
    <w:rsid w:val="00FC20D1"/>
    <w:rsid w:val="00FC374B"/>
    <w:rsid w:val="00FC7624"/>
    <w:rsid w:val="00FE5170"/>
    <w:rsid w:val="00FE649B"/>
    <w:rsid w:val="00FE707D"/>
    <w:rsid w:val="00FE7533"/>
    <w:rsid w:val="00FF053F"/>
    <w:rsid w:val="00FF3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4A940"/>
  <w15:chartTrackingRefBased/>
  <w15:docId w15:val="{320DDE2D-25C6-49E1-B266-EC2EFC34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CE1BFD"/>
    <w:pPr>
      <w:suppressAutoHyphens/>
    </w:pPr>
    <w:rPr>
      <w:lang w:val="hu-HU" w:eastAsia="hu-HU"/>
    </w:rPr>
  </w:style>
  <w:style w:type="paragraph" w:styleId="Cmsor1">
    <w:name w:val="heading 1"/>
    <w:basedOn w:val="Norml"/>
    <w:next w:val="Norml"/>
    <w:qFormat/>
    <w:rsid w:val="00325116"/>
    <w:pPr>
      <w:keepNext/>
      <w:numPr>
        <w:numId w:val="1"/>
      </w:numPr>
      <w:tabs>
        <w:tab w:val="left" w:pos="5664"/>
      </w:tabs>
      <w:spacing w:before="120" w:line="360" w:lineRule="atLeast"/>
      <w:ind w:left="561" w:firstLine="1"/>
      <w:jc w:val="both"/>
      <w:outlineLvl w:val="0"/>
    </w:pPr>
    <w:rPr>
      <w:i/>
      <w:sz w:val="24"/>
      <w:lang w:val="en-US"/>
    </w:rPr>
  </w:style>
  <w:style w:type="paragraph" w:styleId="Cmsor2">
    <w:name w:val="heading 2"/>
    <w:basedOn w:val="Norml"/>
    <w:next w:val="Norml"/>
    <w:qFormat/>
    <w:rsid w:val="00325116"/>
    <w:pPr>
      <w:keepNext/>
      <w:numPr>
        <w:ilvl w:val="1"/>
        <w:numId w:val="1"/>
      </w:numPr>
      <w:tabs>
        <w:tab w:val="left" w:pos="5663"/>
      </w:tabs>
      <w:spacing w:before="9" w:line="360" w:lineRule="atLeast"/>
      <w:ind w:left="560" w:firstLine="1"/>
      <w:jc w:val="both"/>
      <w:outlineLvl w:val="1"/>
    </w:pPr>
    <w:rPr>
      <w:i/>
      <w:sz w:val="24"/>
      <w:lang w:val="fr-FR"/>
    </w:rPr>
  </w:style>
  <w:style w:type="paragraph" w:styleId="Cmsor3">
    <w:name w:val="heading 3"/>
    <w:basedOn w:val="Norml"/>
    <w:next w:val="Norml"/>
    <w:qFormat/>
    <w:rsid w:val="00325116"/>
    <w:pPr>
      <w:keepNext/>
      <w:numPr>
        <w:ilvl w:val="2"/>
        <w:numId w:val="1"/>
      </w:numPr>
      <w:tabs>
        <w:tab w:val="left" w:pos="5663"/>
      </w:tabs>
      <w:spacing w:before="9" w:line="360" w:lineRule="atLeast"/>
      <w:ind w:left="560" w:firstLine="1"/>
      <w:outlineLvl w:val="2"/>
    </w:pPr>
    <w:rPr>
      <w:i/>
      <w:sz w:val="24"/>
      <w:lang w:val="en-US"/>
    </w:rPr>
  </w:style>
  <w:style w:type="paragraph" w:styleId="Cmsor4">
    <w:name w:val="heading 4"/>
    <w:basedOn w:val="Norml"/>
    <w:next w:val="Norml"/>
    <w:qFormat/>
    <w:rsid w:val="00325116"/>
    <w:pPr>
      <w:keepNext/>
      <w:numPr>
        <w:ilvl w:val="3"/>
        <w:numId w:val="1"/>
      </w:numPr>
      <w:tabs>
        <w:tab w:val="left" w:pos="1204"/>
        <w:tab w:val="left" w:pos="8264"/>
      </w:tabs>
      <w:jc w:val="both"/>
      <w:outlineLvl w:val="3"/>
    </w:pPr>
    <w:rPr>
      <w:rFonts w:ascii="Arial" w:hAnsi="Arial"/>
      <w:b/>
      <w:sz w:val="24"/>
    </w:rPr>
  </w:style>
  <w:style w:type="paragraph" w:styleId="Cmsor5">
    <w:name w:val="heading 5"/>
    <w:basedOn w:val="Norml"/>
    <w:next w:val="Norml"/>
    <w:qFormat/>
    <w:rsid w:val="00325116"/>
    <w:pPr>
      <w:keepNext/>
      <w:numPr>
        <w:ilvl w:val="4"/>
        <w:numId w:val="1"/>
      </w:numPr>
      <w:jc w:val="both"/>
      <w:outlineLvl w:val="4"/>
    </w:pPr>
    <w:rPr>
      <w:rFonts w:ascii="Arial" w:hAnsi="Arial"/>
      <w:b/>
      <w:i/>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WW-Bekezdsalap-bettpusa"/>
    <w:rsid w:val="00325116"/>
  </w:style>
  <w:style w:type="character" w:customStyle="1" w:styleId="WW-Bekezdsalap-bettpusa">
    <w:name w:val="WW-Bekezdés alap-betűtípusa"/>
    <w:rsid w:val="00325116"/>
  </w:style>
  <w:style w:type="character" w:customStyle="1" w:styleId="WW8Num6z0">
    <w:name w:val="WW8Num6z0"/>
    <w:rsid w:val="00325116"/>
    <w:rPr>
      <w:b/>
    </w:rPr>
  </w:style>
  <w:style w:type="character" w:customStyle="1" w:styleId="WW8NumSt1z0">
    <w:name w:val="WW8NumSt1z0"/>
    <w:rsid w:val="00325116"/>
    <w:rPr>
      <w:rFonts w:ascii="Symbol" w:hAnsi="Symbol"/>
    </w:rPr>
  </w:style>
  <w:style w:type="character" w:customStyle="1" w:styleId="WW8NumSt2z0">
    <w:name w:val="WW8NumSt2z0"/>
    <w:rsid w:val="00325116"/>
    <w:rPr>
      <w:rFonts w:ascii="Times" w:hAnsi="Times"/>
    </w:rPr>
  </w:style>
  <w:style w:type="paragraph" w:styleId="Szvegtrzs">
    <w:name w:val="Body Text"/>
    <w:basedOn w:val="Norml"/>
    <w:rsid w:val="00325116"/>
    <w:rPr>
      <w:rFonts w:ascii="Arial" w:hAnsi="Arial"/>
      <w:sz w:val="24"/>
    </w:rPr>
  </w:style>
  <w:style w:type="paragraph" w:styleId="Szvegtrzsbehzssal">
    <w:name w:val="Body Text Indent"/>
    <w:basedOn w:val="Norml"/>
    <w:rsid w:val="00325116"/>
    <w:pPr>
      <w:tabs>
        <w:tab w:val="left" w:pos="1418"/>
        <w:tab w:val="left" w:pos="8973"/>
      </w:tabs>
      <w:ind w:left="709" w:firstLine="1"/>
      <w:jc w:val="both"/>
    </w:pPr>
    <w:rPr>
      <w:rFonts w:ascii="Arial" w:hAnsi="Arial"/>
      <w:i/>
      <w:sz w:val="24"/>
    </w:rPr>
  </w:style>
  <w:style w:type="paragraph" w:styleId="Bortkcm">
    <w:name w:val="envelope address"/>
    <w:basedOn w:val="Norml"/>
    <w:next w:val="Szvegtrzs"/>
    <w:rsid w:val="00325116"/>
    <w:pPr>
      <w:keepNext/>
      <w:spacing w:before="240" w:after="120"/>
    </w:pPr>
    <w:rPr>
      <w:rFonts w:eastAsia="HG Mincho Light J"/>
      <w:sz w:val="28"/>
    </w:rPr>
  </w:style>
  <w:style w:type="paragraph" w:customStyle="1" w:styleId="Cmsor">
    <w:name w:val="Címsor"/>
    <w:basedOn w:val="Norml"/>
    <w:next w:val="Szvegtrzs"/>
    <w:rsid w:val="00325116"/>
    <w:pPr>
      <w:keepNext/>
      <w:spacing w:before="240" w:after="120"/>
    </w:pPr>
    <w:rPr>
      <w:rFonts w:ascii="Albany" w:eastAsia="HG Mincho Light J" w:hAnsi="Albany"/>
      <w:sz w:val="28"/>
    </w:rPr>
  </w:style>
  <w:style w:type="paragraph" w:styleId="Lista">
    <w:name w:val="List"/>
    <w:basedOn w:val="Szvegtrzs"/>
    <w:rsid w:val="00325116"/>
    <w:rPr>
      <w:rFonts w:ascii="Times New Roman" w:hAnsi="Times New Roman"/>
    </w:rPr>
  </w:style>
  <w:style w:type="paragraph" w:styleId="lfej">
    <w:name w:val="header"/>
    <w:basedOn w:val="Norml"/>
    <w:rsid w:val="00325116"/>
    <w:pPr>
      <w:tabs>
        <w:tab w:val="center" w:pos="4536"/>
        <w:tab w:val="right" w:pos="9072"/>
      </w:tabs>
    </w:pPr>
  </w:style>
  <w:style w:type="paragraph" w:customStyle="1" w:styleId="Tblzattartalom">
    <w:name w:val="Táblázattartalom"/>
    <w:basedOn w:val="Szvegtrzs"/>
    <w:rsid w:val="00325116"/>
    <w:pPr>
      <w:suppressLineNumbers/>
    </w:pPr>
  </w:style>
  <w:style w:type="paragraph" w:customStyle="1" w:styleId="Tblzatfejlc">
    <w:name w:val="Táblázatfejléc"/>
    <w:basedOn w:val="Tblzattartalom"/>
    <w:rsid w:val="00325116"/>
    <w:pPr>
      <w:jc w:val="center"/>
    </w:pPr>
    <w:rPr>
      <w:b/>
      <w:i/>
    </w:rPr>
  </w:style>
  <w:style w:type="paragraph" w:customStyle="1" w:styleId="Kpalrs1">
    <w:name w:val="Képaláírás1"/>
    <w:basedOn w:val="Norml"/>
    <w:rsid w:val="00325116"/>
    <w:pPr>
      <w:suppressLineNumbers/>
      <w:spacing w:before="120" w:after="120"/>
    </w:pPr>
    <w:rPr>
      <w:i/>
    </w:rPr>
  </w:style>
  <w:style w:type="paragraph" w:customStyle="1" w:styleId="Kerettartalom">
    <w:name w:val="Kerettartalom"/>
    <w:basedOn w:val="Szvegtrzs"/>
    <w:rsid w:val="00325116"/>
  </w:style>
  <w:style w:type="paragraph" w:customStyle="1" w:styleId="Trgymutat">
    <w:name w:val="Tárgymutató"/>
    <w:basedOn w:val="Norml"/>
    <w:rsid w:val="00325116"/>
    <w:pPr>
      <w:suppressLineNumbers/>
    </w:pPr>
  </w:style>
  <w:style w:type="paragraph" w:styleId="Szvegtrzsbehzssal3">
    <w:name w:val="Body Text Indent 3"/>
    <w:basedOn w:val="Norml"/>
    <w:rsid w:val="00325116"/>
    <w:pPr>
      <w:tabs>
        <w:tab w:val="left" w:pos="1418"/>
        <w:tab w:val="left" w:pos="9993"/>
      </w:tabs>
      <w:ind w:left="709" w:hanging="709"/>
      <w:jc w:val="both"/>
    </w:pPr>
    <w:rPr>
      <w:rFonts w:ascii="Arial" w:hAnsi="Arial"/>
      <w:sz w:val="24"/>
    </w:rPr>
  </w:style>
  <w:style w:type="paragraph" w:customStyle="1" w:styleId="SmPCtext">
    <w:name w:val="SmPC text"/>
    <w:basedOn w:val="Norml"/>
    <w:rsid w:val="00325116"/>
    <w:pPr>
      <w:spacing w:before="9" w:after="120" w:line="360" w:lineRule="atLeast"/>
      <w:jc w:val="both"/>
    </w:pPr>
    <w:rPr>
      <w:rFonts w:ascii="Helvetica" w:hAnsi="Helvetica"/>
      <w:sz w:val="24"/>
      <w:lang w:val="en-US"/>
    </w:rPr>
  </w:style>
  <w:style w:type="paragraph" w:customStyle="1" w:styleId="SmPCheading">
    <w:name w:val="SmPC heading"/>
    <w:basedOn w:val="Norml"/>
    <w:rsid w:val="00325116"/>
    <w:pPr>
      <w:spacing w:before="240" w:after="120" w:line="360" w:lineRule="atLeast"/>
    </w:pPr>
    <w:rPr>
      <w:rFonts w:ascii="Helvetica" w:hAnsi="Helvetica"/>
      <w:b/>
      <w:sz w:val="24"/>
      <w:lang w:val="en-GB"/>
    </w:rPr>
  </w:style>
  <w:style w:type="paragraph" w:customStyle="1" w:styleId="Style1">
    <w:name w:val="Style1"/>
    <w:basedOn w:val="Norml"/>
    <w:rsid w:val="00325116"/>
    <w:pPr>
      <w:tabs>
        <w:tab w:val="left" w:pos="567"/>
      </w:tabs>
      <w:jc w:val="both"/>
    </w:pPr>
    <w:rPr>
      <w:rFonts w:ascii="Helvetica" w:hAnsi="Helvetica"/>
      <w:b/>
      <w:sz w:val="24"/>
      <w:lang w:val="en-GB"/>
    </w:rPr>
  </w:style>
  <w:style w:type="paragraph" w:customStyle="1" w:styleId="WW-Szvegtrzsbehzssal2">
    <w:name w:val="WW-Szövegtörzs behúzással 2"/>
    <w:basedOn w:val="Norml"/>
    <w:rsid w:val="00325116"/>
    <w:pPr>
      <w:ind w:left="720" w:firstLine="1"/>
      <w:jc w:val="both"/>
    </w:pPr>
    <w:rPr>
      <w:rFonts w:ascii="Arial" w:hAnsi="Arial"/>
      <w:i/>
      <w:sz w:val="24"/>
    </w:rPr>
  </w:style>
  <w:style w:type="paragraph" w:customStyle="1" w:styleId="WW-Szvegtrzs2">
    <w:name w:val="WW-Szövegtörzs 2"/>
    <w:basedOn w:val="Norml"/>
    <w:rsid w:val="00325116"/>
    <w:rPr>
      <w:sz w:val="22"/>
    </w:rPr>
  </w:style>
  <w:style w:type="paragraph" w:styleId="llb">
    <w:name w:val="footer"/>
    <w:basedOn w:val="Norml"/>
    <w:rsid w:val="00325116"/>
    <w:pPr>
      <w:tabs>
        <w:tab w:val="center" w:pos="4536"/>
        <w:tab w:val="right" w:pos="9072"/>
      </w:tabs>
    </w:pPr>
  </w:style>
  <w:style w:type="paragraph" w:styleId="Buborkszveg">
    <w:name w:val="Balloon Text"/>
    <w:basedOn w:val="Norml"/>
    <w:semiHidden/>
    <w:rsid w:val="00325116"/>
    <w:rPr>
      <w:rFonts w:ascii="Tahoma" w:hAnsi="Tahoma" w:cs="Tahoma"/>
      <w:sz w:val="16"/>
      <w:szCs w:val="16"/>
    </w:rPr>
  </w:style>
  <w:style w:type="paragraph" w:customStyle="1" w:styleId="OmniPage264">
    <w:name w:val="OmniPage #264"/>
    <w:basedOn w:val="Norml"/>
    <w:rsid w:val="00583439"/>
    <w:pPr>
      <w:tabs>
        <w:tab w:val="right" w:pos="8567"/>
      </w:tabs>
      <w:ind w:left="2137" w:right="533"/>
    </w:pPr>
    <w:rPr>
      <w:rFonts w:ascii="Arial" w:hAnsi="Arial"/>
      <w:lang w:eastAsia="ar-SA"/>
    </w:rPr>
  </w:style>
  <w:style w:type="paragraph" w:customStyle="1" w:styleId="OmniPage1028">
    <w:name w:val="OmniPage #1028"/>
    <w:basedOn w:val="Norml"/>
    <w:rsid w:val="00583439"/>
    <w:pPr>
      <w:tabs>
        <w:tab w:val="right" w:pos="8868"/>
      </w:tabs>
      <w:ind w:left="1743" w:right="233"/>
    </w:pPr>
    <w:rPr>
      <w:rFonts w:ascii="Arial" w:hAnsi="Arial"/>
      <w:lang w:eastAsia="ar-SA"/>
    </w:rPr>
  </w:style>
  <w:style w:type="paragraph" w:customStyle="1" w:styleId="OmniPage1033">
    <w:name w:val="OmniPage #1033"/>
    <w:basedOn w:val="Norml"/>
    <w:rsid w:val="00F9183E"/>
    <w:pPr>
      <w:tabs>
        <w:tab w:val="right" w:pos="9001"/>
      </w:tabs>
      <w:ind w:left="2150" w:right="100"/>
    </w:pPr>
    <w:rPr>
      <w:rFonts w:ascii="Arial" w:hAnsi="Arial"/>
      <w:lang w:eastAsia="ar-SA"/>
    </w:rPr>
  </w:style>
  <w:style w:type="paragraph" w:customStyle="1" w:styleId="WW-Szvegblokk">
    <w:name w:val="WW-Szövegblokk"/>
    <w:basedOn w:val="Norml"/>
    <w:rsid w:val="00DD534B"/>
    <w:pPr>
      <w:pBdr>
        <w:top w:val="single" w:sz="8" w:space="1" w:color="000000"/>
        <w:left w:val="single" w:sz="8" w:space="4" w:color="000000"/>
        <w:bottom w:val="single" w:sz="8" w:space="1" w:color="000000"/>
        <w:right w:val="single" w:sz="8" w:space="4" w:color="000000"/>
      </w:pBdr>
      <w:ind w:left="142" w:right="213"/>
    </w:pPr>
    <w:rPr>
      <w:rFonts w:ascii="Arial" w:hAnsi="Arial" w:cs="Arial"/>
      <w:lang w:val="de-DE" w:eastAsia="ar-SA"/>
    </w:rPr>
  </w:style>
  <w:style w:type="paragraph" w:customStyle="1" w:styleId="OmniPage1805">
    <w:name w:val="OmniPage #1805"/>
    <w:basedOn w:val="Norml"/>
    <w:rsid w:val="008A7F7F"/>
    <w:pPr>
      <w:tabs>
        <w:tab w:val="right" w:pos="8996"/>
      </w:tabs>
      <w:ind w:left="1723" w:right="100"/>
    </w:pPr>
    <w:rPr>
      <w:rFonts w:ascii="Arial" w:hAnsi="Arial"/>
      <w:lang w:eastAsia="ar-SA"/>
    </w:rPr>
  </w:style>
  <w:style w:type="character" w:styleId="Jegyzethivatkozs">
    <w:name w:val="annotation reference"/>
    <w:rsid w:val="00CE1BFD"/>
    <w:rPr>
      <w:sz w:val="16"/>
      <w:szCs w:val="16"/>
    </w:rPr>
  </w:style>
  <w:style w:type="paragraph" w:styleId="Jegyzetszveg">
    <w:name w:val="annotation text"/>
    <w:basedOn w:val="Norml"/>
    <w:link w:val="JegyzetszvegChar"/>
    <w:rsid w:val="00CE1BFD"/>
  </w:style>
  <w:style w:type="paragraph" w:styleId="Megjegyzstrgya">
    <w:name w:val="annotation subject"/>
    <w:basedOn w:val="Jegyzetszveg"/>
    <w:next w:val="Jegyzetszveg"/>
    <w:semiHidden/>
    <w:rsid w:val="0080139B"/>
    <w:rPr>
      <w:b/>
      <w:bCs/>
    </w:rPr>
  </w:style>
  <w:style w:type="paragraph" w:styleId="Dokumentumtrkp">
    <w:name w:val="Document Map"/>
    <w:basedOn w:val="Norml"/>
    <w:semiHidden/>
    <w:rsid w:val="00EE03B8"/>
    <w:pPr>
      <w:shd w:val="clear" w:color="auto" w:fill="000080"/>
    </w:pPr>
    <w:rPr>
      <w:rFonts w:ascii="Tahoma" w:hAnsi="Tahoma" w:cs="Tahoma"/>
    </w:rPr>
  </w:style>
  <w:style w:type="paragraph" w:styleId="Szvegtrzs2">
    <w:name w:val="Body Text 2"/>
    <w:basedOn w:val="Norml"/>
    <w:rsid w:val="00663E66"/>
    <w:pPr>
      <w:spacing w:after="120" w:line="480" w:lineRule="auto"/>
    </w:pPr>
  </w:style>
  <w:style w:type="paragraph" w:customStyle="1" w:styleId="CM61">
    <w:name w:val="CM61"/>
    <w:basedOn w:val="Norml"/>
    <w:next w:val="Norml"/>
    <w:rsid w:val="00B31B64"/>
    <w:pPr>
      <w:widowControl w:val="0"/>
      <w:suppressAutoHyphens w:val="0"/>
      <w:autoSpaceDE w:val="0"/>
      <w:autoSpaceDN w:val="0"/>
      <w:adjustRightInd w:val="0"/>
      <w:spacing w:after="360"/>
    </w:pPr>
    <w:rPr>
      <w:sz w:val="24"/>
      <w:szCs w:val="24"/>
    </w:rPr>
  </w:style>
  <w:style w:type="paragraph" w:customStyle="1" w:styleId="OmniPage1542">
    <w:name w:val="OmniPage #1542"/>
    <w:basedOn w:val="Norml"/>
    <w:rsid w:val="006779A8"/>
    <w:pPr>
      <w:tabs>
        <w:tab w:val="right" w:pos="8960"/>
      </w:tabs>
      <w:ind w:left="1722" w:right="142"/>
    </w:pPr>
    <w:rPr>
      <w:rFonts w:ascii="Arial" w:hAnsi="Arial"/>
      <w:lang w:eastAsia="ar-SA"/>
    </w:rPr>
  </w:style>
  <w:style w:type="paragraph" w:customStyle="1" w:styleId="a">
    <w:basedOn w:val="Norml"/>
    <w:rsid w:val="0058657E"/>
    <w:pPr>
      <w:suppressAutoHyphens w:val="0"/>
      <w:spacing w:after="100" w:afterAutospacing="1"/>
    </w:pPr>
    <w:rPr>
      <w:rFonts w:cs="Verdana"/>
      <w:sz w:val="22"/>
      <w:lang w:val="en-AU" w:eastAsia="en-US" w:bidi="gu-IN"/>
    </w:rPr>
  </w:style>
  <w:style w:type="table" w:styleId="Rcsostblzat">
    <w:name w:val="Table Grid"/>
    <w:basedOn w:val="Normltblzat"/>
    <w:uiPriority w:val="39"/>
    <w:rsid w:val="006F1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kntformzott">
    <w:name w:val="HTML Preformatted"/>
    <w:basedOn w:val="Norml"/>
    <w:rsid w:val="001F5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rPr>
  </w:style>
  <w:style w:type="paragraph" w:styleId="Listaszerbekezds">
    <w:name w:val="List Paragraph"/>
    <w:basedOn w:val="Norml"/>
    <w:uiPriority w:val="34"/>
    <w:qFormat/>
    <w:rsid w:val="00E3570F"/>
    <w:pPr>
      <w:suppressAutoHyphens w:val="0"/>
      <w:spacing w:after="200" w:line="276" w:lineRule="auto"/>
      <w:ind w:left="720"/>
      <w:contextualSpacing/>
    </w:pPr>
    <w:rPr>
      <w:rFonts w:ascii="Calibri" w:eastAsia="Calibri" w:hAnsi="Calibri"/>
      <w:sz w:val="22"/>
      <w:szCs w:val="22"/>
      <w:lang w:eastAsia="en-US"/>
    </w:rPr>
  </w:style>
  <w:style w:type="character" w:customStyle="1" w:styleId="JegyzetszvegChar">
    <w:name w:val="Jegyzetszöveg Char"/>
    <w:link w:val="Jegyzetszveg"/>
    <w:rsid w:val="00707588"/>
  </w:style>
  <w:style w:type="paragraph" w:styleId="Vltozat">
    <w:name w:val="Revision"/>
    <w:hidden/>
    <w:uiPriority w:val="99"/>
    <w:semiHidden/>
    <w:rsid w:val="00410986"/>
    <w:rPr>
      <w:lang w:val="hu-HU" w:eastAsia="hu-HU"/>
    </w:rPr>
  </w:style>
  <w:style w:type="character" w:styleId="Hiperhivatkozs">
    <w:name w:val="Hyperlink"/>
    <w:rsid w:val="001F3D40"/>
    <w:rPr>
      <w:color w:val="0563C1"/>
      <w:u w:val="single"/>
    </w:rPr>
  </w:style>
  <w:style w:type="paragraph" w:customStyle="1" w:styleId="Default">
    <w:name w:val="Default"/>
    <w:rsid w:val="002F4854"/>
    <w:pPr>
      <w:autoSpaceDE w:val="0"/>
      <w:autoSpaceDN w:val="0"/>
      <w:adjustRightInd w:val="0"/>
    </w:pPr>
    <w:rPr>
      <w:color w:val="000000"/>
      <w:sz w:val="24"/>
      <w:szCs w:val="24"/>
      <w:lang w:val="hu-HU" w:eastAsia="hu-HU"/>
    </w:rPr>
  </w:style>
  <w:style w:type="character" w:styleId="Feloldatlanmegemlts">
    <w:name w:val="Unresolved Mention"/>
    <w:basedOn w:val="Bekezdsalapbettpusa"/>
    <w:uiPriority w:val="99"/>
    <w:semiHidden/>
    <w:unhideWhenUsed/>
    <w:rsid w:val="006B1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764424">
      <w:bodyDiv w:val="1"/>
      <w:marLeft w:val="0"/>
      <w:marRight w:val="0"/>
      <w:marTop w:val="0"/>
      <w:marBottom w:val="0"/>
      <w:divBdr>
        <w:top w:val="none" w:sz="0" w:space="0" w:color="auto"/>
        <w:left w:val="none" w:sz="0" w:space="0" w:color="auto"/>
        <w:bottom w:val="none" w:sz="0" w:space="0" w:color="auto"/>
        <w:right w:val="none" w:sz="0" w:space="0" w:color="auto"/>
      </w:divBdr>
    </w:div>
    <w:div w:id="1262878914">
      <w:bodyDiv w:val="1"/>
      <w:marLeft w:val="0"/>
      <w:marRight w:val="0"/>
      <w:marTop w:val="0"/>
      <w:marBottom w:val="0"/>
      <w:divBdr>
        <w:top w:val="none" w:sz="0" w:space="0" w:color="auto"/>
        <w:left w:val="none" w:sz="0" w:space="0" w:color="auto"/>
        <w:bottom w:val="none" w:sz="0" w:space="0" w:color="auto"/>
        <w:right w:val="none" w:sz="0" w:space="0" w:color="auto"/>
      </w:divBdr>
    </w:div>
    <w:div w:id="1456367554">
      <w:bodyDiv w:val="1"/>
      <w:marLeft w:val="0"/>
      <w:marRight w:val="0"/>
      <w:marTop w:val="0"/>
      <w:marBottom w:val="0"/>
      <w:divBdr>
        <w:top w:val="none" w:sz="0" w:space="0" w:color="auto"/>
        <w:left w:val="none" w:sz="0" w:space="0" w:color="auto"/>
        <w:bottom w:val="none" w:sz="0" w:space="0" w:color="auto"/>
        <w:right w:val="none" w:sz="0" w:space="0" w:color="auto"/>
      </w:divBdr>
    </w:div>
    <w:div w:id="1491947007">
      <w:bodyDiv w:val="1"/>
      <w:marLeft w:val="0"/>
      <w:marRight w:val="0"/>
      <w:marTop w:val="0"/>
      <w:marBottom w:val="0"/>
      <w:divBdr>
        <w:top w:val="none" w:sz="0" w:space="0" w:color="auto"/>
        <w:left w:val="none" w:sz="0" w:space="0" w:color="auto"/>
        <w:bottom w:val="none" w:sz="0" w:space="0" w:color="auto"/>
        <w:right w:val="none" w:sz="0" w:space="0" w:color="auto"/>
      </w:divBdr>
    </w:div>
    <w:div w:id="1809012519">
      <w:bodyDiv w:val="1"/>
      <w:marLeft w:val="0"/>
      <w:marRight w:val="0"/>
      <w:marTop w:val="0"/>
      <w:marBottom w:val="0"/>
      <w:divBdr>
        <w:top w:val="none" w:sz="0" w:space="0" w:color="auto"/>
        <w:left w:val="none" w:sz="0" w:space="0" w:color="auto"/>
        <w:bottom w:val="none" w:sz="0" w:space="0" w:color="auto"/>
        <w:right w:val="none" w:sz="0" w:space="0" w:color="auto"/>
      </w:divBdr>
    </w:div>
    <w:div w:id="2075539275">
      <w:bodyDiv w:val="1"/>
      <w:marLeft w:val="0"/>
      <w:marRight w:val="0"/>
      <w:marTop w:val="0"/>
      <w:marBottom w:val="0"/>
      <w:divBdr>
        <w:top w:val="none" w:sz="0" w:space="0" w:color="auto"/>
        <w:left w:val="none" w:sz="0" w:space="0" w:color="auto"/>
        <w:bottom w:val="none" w:sz="0" w:space="0" w:color="auto"/>
        <w:right w:val="none" w:sz="0" w:space="0" w:color="auto"/>
      </w:divBdr>
    </w:div>
    <w:div w:id="207619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ma.europa.eu/documents/other/minimum-inhibitory-concentration-mic-breakpoints_en.xlsx"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ema.europa.eu/en/documents/template-form/qrd-appendix-v-adverse-drug-reaction-reporting-details_en.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ze xmlns="16b5af92-3337-4aab-aaa2-18764cb258e9" xsi:nil="true"/>
    <_Flow_SignoffStatus xmlns="16b5af92-3337-4aab-aaa2-18764cb258e9" xsi:nil="true"/>
    <lcf76f155ced4ddcb4097134ff3c332f xmlns="16b5af92-3337-4aab-aaa2-18764cb258e9">
      <Terms xmlns="http://schemas.microsoft.com/office/infopath/2007/PartnerControls"/>
    </lcf76f155ced4ddcb4097134ff3c332f>
    <TaxCatchAll xmlns="12a5d3b2-884a-452c-a3ce-6c7caf240f58"/>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CBE9FD1C53E35438C7A9669A8044429" ma:contentTypeVersion="18" ma:contentTypeDescription="Create a new document." ma:contentTypeScope="" ma:versionID="f05016d6420ebb071a2b454f6b332c67">
  <xsd:schema xmlns:xsd="http://www.w3.org/2001/XMLSchema" xmlns:xs="http://www.w3.org/2001/XMLSchema" xmlns:p="http://schemas.microsoft.com/office/2006/metadata/properties" xmlns:ns2="12a5d3b2-884a-452c-a3ce-6c7caf240f58" xmlns:ns3="16b5af92-3337-4aab-aaa2-18764cb258e9" targetNamespace="http://schemas.microsoft.com/office/2006/metadata/properties" ma:root="true" ma:fieldsID="7ef2aecf663c5764ab684c0d0dcd0e2d" ns2:_="" ns3:_="">
    <xsd:import namespace="12a5d3b2-884a-452c-a3ce-6c7caf240f58"/>
    <xsd:import namespace="16b5af92-3337-4aab-aaa2-18764cb258e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LengthInSeconds" minOccurs="0"/>
                <xsd:element ref="ns3:Size" minOccurs="0"/>
                <xsd:element ref="ns3:MediaServiceLocation" minOccurs="0"/>
                <xsd:element ref="ns3:_Flow_SignoffStatu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a5d3b2-884a-452c-a3ce-6c7caf240f5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974f49e-171d-441d-a206-0b7511a91abb}" ma:internalName="TaxCatchAll" ma:showField="CatchAllData" ma:web="12a5d3b2-884a-452c-a3ce-6c7caf240f5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b5af92-3337-4aab-aaa2-18764cb258e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02a2283-e719-49bb-86f7-d9f5b7e31b2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descriptio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Size" ma:index="25" nillable="true" ma:displayName="Size" ma:format="Dropdown" ma:internalName="Size" ma:percentage="FALSE">
      <xsd:simpleType>
        <xsd:restriction base="dms:Number"/>
      </xsd:simpleType>
    </xsd:element>
    <xsd:element name="MediaServiceLocation" ma:index="26" nillable="true" ma:displayName="Location" ma:description="" ma:indexed="true" ma:internalName="MediaServiceLocation" ma:readOnly="true">
      <xsd:simpleType>
        <xsd:restriction base="dms:Text"/>
      </xsd:simpleType>
    </xsd:element>
    <xsd:element name="_Flow_SignoffStatus" ma:index="27" nillable="true" ma:displayName="Sign-off status" ma:internalName="Sign_x002d_off_x0020_status">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158F6384-B11E-4821-8551-42F7D82698B8}">
  <ds:schemaRefs>
    <ds:schemaRef ds:uri="http://schemas.microsoft.com/office/2006/metadata/properties"/>
    <ds:schemaRef ds:uri="http://schemas.microsoft.com/office/infopath/2007/PartnerControls"/>
    <ds:schemaRef ds:uri="16b5af92-3337-4aab-aaa2-18764cb258e9"/>
    <ds:schemaRef ds:uri="12a5d3b2-884a-452c-a3ce-6c7caf240f58"/>
  </ds:schemaRefs>
</ds:datastoreItem>
</file>

<file path=customXml/itemProps2.xml><?xml version="1.0" encoding="utf-8"?>
<ds:datastoreItem xmlns:ds="http://schemas.openxmlformats.org/officeDocument/2006/customXml" ds:itemID="{ABECA649-86CC-4576-9CDD-35BD790FD46D}">
  <ds:schemaRefs>
    <ds:schemaRef ds:uri="http://schemas.openxmlformats.org/officeDocument/2006/bibliography"/>
  </ds:schemaRefs>
</ds:datastoreItem>
</file>

<file path=customXml/itemProps3.xml><?xml version="1.0" encoding="utf-8"?>
<ds:datastoreItem xmlns:ds="http://schemas.openxmlformats.org/officeDocument/2006/customXml" ds:itemID="{EFF137A6-CD6F-4B1C-BA2F-5DFCFB54491E}">
  <ds:schemaRefs>
    <ds:schemaRef ds:uri="http://schemas.microsoft.com/sharepoint/v3/contenttype/forms"/>
  </ds:schemaRefs>
</ds:datastoreItem>
</file>

<file path=customXml/itemProps4.xml><?xml version="1.0" encoding="utf-8"?>
<ds:datastoreItem xmlns:ds="http://schemas.openxmlformats.org/officeDocument/2006/customXml" ds:itemID="{39819D93-7DBF-41D2-974C-7497A976D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a5d3b2-884a-452c-a3ce-6c7caf240f58"/>
    <ds:schemaRef ds:uri="16b5af92-3337-4aab-aaa2-18764cb258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747AD5F-CA8A-4E71-94DD-2A47077DBB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5034</Words>
  <Characters>34742</Characters>
  <Application>Microsoft Office Word</Application>
  <DocSecurity>0</DocSecurity>
  <Lines>289</Lines>
  <Paragraphs>79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ALKALMAZÁSI ELŐÍRÁS TERVEZET</vt:lpstr>
      <vt:lpstr>ALKALMAZÁSI ELŐÍRÁS TERVEZET</vt:lpstr>
    </vt:vector>
  </TitlesOfParts>
  <Company>Asta Medica Kft.</Company>
  <LinksUpToDate>false</LinksUpToDate>
  <CharactersWithSpaces>39697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ALKALMAZÁSI ELŐÍRÁS TERVEZET</dc:title>
  <dc:subject/>
  <dc:creator>Schäffer Judit</dc:creator>
  <cp:keywords/>
  <cp:lastModifiedBy>HU_NNGYK_56.1</cp:lastModifiedBy>
  <cp:revision>18</cp:revision>
  <cp:lastPrinted>2010-08-25T09:55:00Z</cp:lastPrinted>
  <dcterms:created xsi:type="dcterms:W3CDTF">2025-11-07T12:56:00Z</dcterms:created>
  <dcterms:modified xsi:type="dcterms:W3CDTF">2026-06-15T11:11:00Z</dcterms:modified>
</cp:coreProperties>
</file>