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7A301B" w14:textId="428CADDC" w:rsidR="006C2A98" w:rsidRPr="008F5A8D" w:rsidRDefault="002E05FA" w:rsidP="00BC10BA">
      <w:pPr>
        <w:rPr>
          <w:b/>
          <w:bCs/>
        </w:rPr>
      </w:pPr>
      <w:r w:rsidRPr="008F5A8D">
        <w:rPr>
          <w:b/>
          <w:bCs/>
        </w:rPr>
        <w:t>1.</w:t>
      </w:r>
      <w:r w:rsidRPr="008F5A8D">
        <w:rPr>
          <w:b/>
          <w:bCs/>
        </w:rPr>
        <w:tab/>
      </w:r>
      <w:r w:rsidR="00220A43" w:rsidRPr="008F5A8D">
        <w:rPr>
          <w:b/>
          <w:bCs/>
        </w:rPr>
        <w:t>A GYÓGYSZER NEVE</w:t>
      </w:r>
    </w:p>
    <w:p w14:paraId="24CDC99D" w14:textId="77777777" w:rsidR="006C2A98" w:rsidRPr="00BC10BA" w:rsidRDefault="006C2A98" w:rsidP="008F5A8D"/>
    <w:p w14:paraId="3E3C2874" w14:textId="391B7D3E" w:rsidR="00945359" w:rsidRDefault="00701BD2" w:rsidP="008F5A8D">
      <w:pPr>
        <w:pStyle w:val="Szvegtrzs"/>
        <w:tabs>
          <w:tab w:val="left" w:pos="567"/>
        </w:tabs>
      </w:pPr>
      <w:r>
        <w:t>Dabigatran Etexilate Laboratorios Liconsa</w:t>
      </w:r>
      <w:r w:rsidR="00220A43">
        <w:rPr>
          <w:spacing w:val="-5"/>
        </w:rPr>
        <w:t xml:space="preserve"> </w:t>
      </w:r>
      <w:r w:rsidR="00220A43">
        <w:t>110</w:t>
      </w:r>
      <w:r w:rsidR="00294835">
        <w:rPr>
          <w:spacing w:val="-5"/>
        </w:rPr>
        <w:t> mg</w:t>
      </w:r>
      <w:r w:rsidR="00220A43">
        <w:rPr>
          <w:spacing w:val="-5"/>
        </w:rPr>
        <w:t xml:space="preserve"> </w:t>
      </w:r>
      <w:r w:rsidR="00220A43">
        <w:t>kemény</w:t>
      </w:r>
      <w:r w:rsidR="00220A43">
        <w:rPr>
          <w:spacing w:val="-5"/>
        </w:rPr>
        <w:t xml:space="preserve"> </w:t>
      </w:r>
      <w:r w:rsidR="00220A43">
        <w:rPr>
          <w:spacing w:val="-2"/>
        </w:rPr>
        <w:t>kapszula</w:t>
      </w:r>
    </w:p>
    <w:p w14:paraId="24E8C40E" w14:textId="77777777" w:rsidR="00945359" w:rsidRDefault="00945359" w:rsidP="008F5A8D">
      <w:pPr>
        <w:pStyle w:val="Szvegtrzs"/>
        <w:tabs>
          <w:tab w:val="left" w:pos="567"/>
        </w:tabs>
      </w:pPr>
    </w:p>
    <w:p w14:paraId="10B625BB" w14:textId="77777777" w:rsidR="00945359" w:rsidRDefault="00945359" w:rsidP="008F5A8D">
      <w:pPr>
        <w:pStyle w:val="Szvegtrzs"/>
        <w:tabs>
          <w:tab w:val="left" w:pos="567"/>
        </w:tabs>
      </w:pPr>
    </w:p>
    <w:p w14:paraId="36D225D7" w14:textId="62DDA653" w:rsidR="00945359" w:rsidRPr="00BC10BA" w:rsidRDefault="002E05FA" w:rsidP="00BC10BA">
      <w:r w:rsidRPr="00BC10BA">
        <w:rPr>
          <w:b/>
        </w:rPr>
        <w:t>2.</w:t>
      </w:r>
      <w:r w:rsidR="0075692F" w:rsidRPr="00BC10BA">
        <w:rPr>
          <w:b/>
        </w:rPr>
        <w:tab/>
      </w:r>
      <w:r w:rsidR="00220A43" w:rsidRPr="00BC10BA">
        <w:rPr>
          <w:b/>
        </w:rPr>
        <w:t>MINŐSÉGI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ÉS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MENNYISÉGI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  <w:spacing w:val="-2"/>
        </w:rPr>
        <w:t>ÖSSZETÉTEL</w:t>
      </w:r>
    </w:p>
    <w:p w14:paraId="7A189E25" w14:textId="77777777" w:rsidR="006C2A98" w:rsidRPr="00BC10BA" w:rsidRDefault="006C2A98" w:rsidP="008F5A8D"/>
    <w:p w14:paraId="78D862FF" w14:textId="65C59091" w:rsidR="00294835" w:rsidRDefault="00220A43" w:rsidP="008F5A8D">
      <w:pPr>
        <w:pStyle w:val="Szvegtrzs"/>
        <w:tabs>
          <w:tab w:val="left" w:pos="567"/>
        </w:tabs>
      </w:pPr>
      <w:r>
        <w:t>110</w:t>
      </w:r>
      <w:r w:rsidR="00294835">
        <w:rPr>
          <w:spacing w:val="-4"/>
        </w:rPr>
        <w:t> mg</w:t>
      </w:r>
      <w:r>
        <w:rPr>
          <w:spacing w:val="-6"/>
        </w:rPr>
        <w:t xml:space="preserve"> </w:t>
      </w:r>
      <w:r>
        <w:t>dabigatrán-etexilát</w:t>
      </w:r>
      <w:bookmarkStart w:id="0" w:name="_Hlk197960377"/>
      <w:r w:rsidR="00B532D6">
        <w:t>nak megfelelő</w:t>
      </w:r>
      <w:r w:rsidR="00294835">
        <w:t xml:space="preserve"> dabigatrán-etexilát-mezilátot tartalmaz</w:t>
      </w:r>
      <w:r>
        <w:rPr>
          <w:spacing w:val="-6"/>
        </w:rPr>
        <w:t xml:space="preserve"> </w:t>
      </w:r>
      <w:bookmarkEnd w:id="0"/>
      <w:r>
        <w:t>kemény</w:t>
      </w:r>
      <w:r>
        <w:rPr>
          <w:spacing w:val="-5"/>
        </w:rPr>
        <w:t xml:space="preserve"> </w:t>
      </w:r>
      <w:r>
        <w:t>kapszulánként.</w:t>
      </w:r>
    </w:p>
    <w:p w14:paraId="54C31408" w14:textId="77777777" w:rsidR="00294835" w:rsidRDefault="00294835" w:rsidP="008F5A8D">
      <w:pPr>
        <w:pStyle w:val="Szvegtrzs"/>
        <w:tabs>
          <w:tab w:val="left" w:pos="567"/>
        </w:tabs>
      </w:pPr>
    </w:p>
    <w:p w14:paraId="370277B5" w14:textId="4D91DC8E" w:rsidR="00945359" w:rsidRDefault="00220A43" w:rsidP="008F5A8D">
      <w:pPr>
        <w:pStyle w:val="Szvegtrzs"/>
        <w:tabs>
          <w:tab w:val="left" w:pos="567"/>
        </w:tabs>
      </w:pPr>
      <w:r>
        <w:t>A segédanyagok teljes listáját lásd a 6.1</w:t>
      </w:r>
      <w:r w:rsidR="00294835">
        <w:t> pont</w:t>
      </w:r>
      <w:r>
        <w:t>ban.</w:t>
      </w:r>
    </w:p>
    <w:p w14:paraId="74B722FB" w14:textId="77777777" w:rsidR="00945359" w:rsidRDefault="00945359" w:rsidP="0075692F">
      <w:pPr>
        <w:pStyle w:val="Szvegtrzs"/>
        <w:tabs>
          <w:tab w:val="left" w:pos="567"/>
        </w:tabs>
      </w:pPr>
    </w:p>
    <w:p w14:paraId="73F5B14A" w14:textId="77777777" w:rsidR="006C2A98" w:rsidRDefault="006C2A98" w:rsidP="008F5A8D">
      <w:pPr>
        <w:pStyle w:val="Szvegtrzs"/>
        <w:tabs>
          <w:tab w:val="left" w:pos="567"/>
        </w:tabs>
      </w:pPr>
    </w:p>
    <w:p w14:paraId="30C5FB49" w14:textId="78FFC281" w:rsidR="00945359" w:rsidRPr="00BC10BA" w:rsidRDefault="0075692F" w:rsidP="00BC10BA">
      <w:r w:rsidRPr="00BC10BA">
        <w:rPr>
          <w:b/>
          <w:spacing w:val="-2"/>
        </w:rPr>
        <w:t>3.</w:t>
      </w:r>
      <w:r w:rsidRPr="00BC10BA">
        <w:rPr>
          <w:b/>
          <w:spacing w:val="-2"/>
        </w:rPr>
        <w:tab/>
      </w:r>
      <w:r w:rsidR="00220A43" w:rsidRPr="00BC10BA">
        <w:rPr>
          <w:b/>
          <w:spacing w:val="-2"/>
        </w:rPr>
        <w:t>GYÓGYSZERFORMA</w:t>
      </w:r>
    </w:p>
    <w:p w14:paraId="6E350B55" w14:textId="77777777" w:rsidR="004D28E3" w:rsidRPr="00BC10BA" w:rsidRDefault="004D28E3" w:rsidP="008F5A8D"/>
    <w:p w14:paraId="3645DBFD" w14:textId="77777777" w:rsidR="00945359" w:rsidRDefault="00220A43" w:rsidP="008F5A8D">
      <w:pPr>
        <w:pStyle w:val="Szvegtrzs"/>
        <w:tabs>
          <w:tab w:val="left" w:pos="567"/>
        </w:tabs>
      </w:pPr>
      <w:r>
        <w:t>Kemény</w:t>
      </w:r>
      <w:r>
        <w:rPr>
          <w:spacing w:val="-6"/>
        </w:rPr>
        <w:t xml:space="preserve"> </w:t>
      </w:r>
      <w:r>
        <w:rPr>
          <w:spacing w:val="-2"/>
        </w:rPr>
        <w:t>kapszula.</w:t>
      </w:r>
    </w:p>
    <w:p w14:paraId="311542CA" w14:textId="77777777" w:rsidR="00945359" w:rsidRDefault="00945359" w:rsidP="008F5A8D">
      <w:pPr>
        <w:pStyle w:val="Szvegtrzs"/>
        <w:tabs>
          <w:tab w:val="left" w:pos="567"/>
        </w:tabs>
      </w:pPr>
    </w:p>
    <w:p w14:paraId="5A542AE9" w14:textId="7C66072B" w:rsidR="00945359" w:rsidRDefault="003F5430" w:rsidP="008F5A8D">
      <w:pPr>
        <w:pStyle w:val="Szvegtrzs"/>
        <w:tabs>
          <w:tab w:val="left" w:pos="567"/>
        </w:tabs>
      </w:pPr>
      <w:bookmarkStart w:id="1" w:name="_Hlk209098037"/>
      <w:r w:rsidRPr="004F4A3C">
        <w:rPr>
          <w:u w:val="single"/>
        </w:rPr>
        <w:t xml:space="preserve">Dabigatran </w:t>
      </w:r>
      <w:r w:rsidR="00067923" w:rsidRPr="004F4A3C">
        <w:rPr>
          <w:u w:val="single"/>
        </w:rPr>
        <w:t>E</w:t>
      </w:r>
      <w:r w:rsidRPr="004F4A3C">
        <w:rPr>
          <w:u w:val="single"/>
        </w:rPr>
        <w:t>texilate Laboratorios Liconsa 110</w:t>
      </w:r>
      <w:r w:rsidR="00294835" w:rsidRPr="004F4A3C">
        <w:rPr>
          <w:u w:val="single"/>
        </w:rPr>
        <w:t> mg</w:t>
      </w:r>
      <w:r w:rsidRPr="004F4A3C">
        <w:rPr>
          <w:u w:val="single"/>
        </w:rPr>
        <w:t xml:space="preserve"> kemény kapszula</w:t>
      </w:r>
      <w:bookmarkEnd w:id="1"/>
      <w:r w:rsidRPr="003F5430">
        <w:t xml:space="preserve">: </w:t>
      </w:r>
      <w:r w:rsidR="003811EA" w:rsidRPr="00F7482E">
        <w:t>Törtfehér vagy sárgás színű pelletekkel töltött, átlátszatlan, halványkék színű alsó és felső részű „1”-es méretű (kb. 19 mm) kemény kapszula</w:t>
      </w:r>
      <w:r w:rsidR="003811EA">
        <w:t>.</w:t>
      </w:r>
    </w:p>
    <w:p w14:paraId="69FF1E29" w14:textId="77777777" w:rsidR="00945359" w:rsidRDefault="00945359" w:rsidP="0075692F">
      <w:pPr>
        <w:pStyle w:val="Szvegtrzs"/>
        <w:tabs>
          <w:tab w:val="left" w:pos="567"/>
        </w:tabs>
      </w:pPr>
    </w:p>
    <w:p w14:paraId="71B9D730" w14:textId="77777777" w:rsidR="0075692F" w:rsidRDefault="0075692F" w:rsidP="008F5A8D">
      <w:pPr>
        <w:pStyle w:val="Szvegtrzs"/>
        <w:tabs>
          <w:tab w:val="left" w:pos="567"/>
        </w:tabs>
      </w:pPr>
    </w:p>
    <w:p w14:paraId="7B34EBD9" w14:textId="6ADDC248" w:rsidR="00945359" w:rsidRPr="00BC10BA" w:rsidRDefault="0075692F" w:rsidP="008F5A8D">
      <w:r w:rsidRPr="00BC10BA">
        <w:rPr>
          <w:b/>
        </w:rPr>
        <w:t>4.</w:t>
      </w:r>
      <w:r w:rsidRPr="00BC10BA">
        <w:rPr>
          <w:b/>
        </w:rPr>
        <w:tab/>
      </w:r>
      <w:r w:rsidR="00220A43" w:rsidRPr="00BC10BA">
        <w:rPr>
          <w:b/>
        </w:rPr>
        <w:t>KLINIKAI</w:t>
      </w:r>
      <w:r w:rsidR="00220A43" w:rsidRPr="00BC10BA">
        <w:rPr>
          <w:b/>
          <w:spacing w:val="-8"/>
        </w:rPr>
        <w:t xml:space="preserve"> </w:t>
      </w:r>
      <w:r w:rsidR="00220A43" w:rsidRPr="00BC10BA">
        <w:rPr>
          <w:b/>
          <w:spacing w:val="-2"/>
        </w:rPr>
        <w:t>JELLEMZŐK</w:t>
      </w:r>
    </w:p>
    <w:p w14:paraId="5722FCD1" w14:textId="77777777" w:rsidR="0075692F" w:rsidRDefault="0075692F" w:rsidP="008F5A8D">
      <w:pPr>
        <w:pStyle w:val="Szvegtrzs"/>
        <w:tabs>
          <w:tab w:val="left" w:pos="567"/>
        </w:tabs>
        <w:rPr>
          <w:b/>
        </w:rPr>
      </w:pPr>
    </w:p>
    <w:p w14:paraId="5FA03C2B" w14:textId="55884245" w:rsidR="00945359" w:rsidRPr="00511F35" w:rsidRDefault="0075692F" w:rsidP="00511F35">
      <w:r w:rsidRPr="00511F35">
        <w:rPr>
          <w:b/>
        </w:rPr>
        <w:t>4.1</w:t>
      </w:r>
      <w:r w:rsidRPr="00511F35">
        <w:rPr>
          <w:b/>
        </w:rPr>
        <w:tab/>
      </w:r>
      <w:r w:rsidR="00220A43" w:rsidRPr="00511F35">
        <w:rPr>
          <w:b/>
        </w:rPr>
        <w:t>Terápiás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  <w:spacing w:val="-2"/>
        </w:rPr>
        <w:t>javallatok</w:t>
      </w:r>
    </w:p>
    <w:p w14:paraId="715F7124" w14:textId="77777777" w:rsidR="0075692F" w:rsidRPr="00511F35" w:rsidRDefault="0075692F" w:rsidP="008F5A8D"/>
    <w:p w14:paraId="21313668" w14:textId="0ACAADAE" w:rsidR="00945359" w:rsidRDefault="00220A43" w:rsidP="008F5A8D">
      <w:pPr>
        <w:pStyle w:val="Szvegtrzs"/>
        <w:tabs>
          <w:tab w:val="left" w:pos="567"/>
        </w:tabs>
      </w:pPr>
      <w:r>
        <w:t>Vénás</w:t>
      </w:r>
      <w:r>
        <w:rPr>
          <w:spacing w:val="-4"/>
        </w:rPr>
        <w:t xml:space="preserve"> </w:t>
      </w:r>
      <w:r>
        <w:t>thromboemboliás</w:t>
      </w:r>
      <w:r>
        <w:rPr>
          <w:spacing w:val="-4"/>
        </w:rPr>
        <w:t xml:space="preserve"> </w:t>
      </w:r>
      <w:r>
        <w:t>események</w:t>
      </w:r>
      <w:r>
        <w:rPr>
          <w:spacing w:val="-4"/>
        </w:rPr>
        <w:t xml:space="preserve"> </w:t>
      </w:r>
      <w:r>
        <w:t>(VTE)</w:t>
      </w:r>
      <w:r>
        <w:rPr>
          <w:spacing w:val="-4"/>
        </w:rPr>
        <w:t xml:space="preserve"> </w:t>
      </w:r>
      <w:r>
        <w:t>primer</w:t>
      </w:r>
      <w:r>
        <w:rPr>
          <w:spacing w:val="-4"/>
        </w:rPr>
        <w:t xml:space="preserve"> </w:t>
      </w:r>
      <w:r>
        <w:t>prevenciója</w:t>
      </w:r>
      <w:r>
        <w:rPr>
          <w:spacing w:val="-4"/>
        </w:rPr>
        <w:t xml:space="preserve"> </w:t>
      </w:r>
      <w:r>
        <w:t>elektív,</w:t>
      </w:r>
      <w:r>
        <w:rPr>
          <w:spacing w:val="-4"/>
        </w:rPr>
        <w:t xml:space="preserve"> </w:t>
      </w:r>
      <w:r>
        <w:t>teljes</w:t>
      </w:r>
      <w:r>
        <w:rPr>
          <w:spacing w:val="-4"/>
        </w:rPr>
        <w:t xml:space="preserve"> </w:t>
      </w:r>
      <w:r>
        <w:t>csípőízületi</w:t>
      </w:r>
      <w:r>
        <w:rPr>
          <w:spacing w:val="-4"/>
        </w:rPr>
        <w:t xml:space="preserve"> </w:t>
      </w:r>
      <w:r>
        <w:t>endoprotézis</w:t>
      </w:r>
      <w:r w:rsidR="00067923">
        <w:t>-műtéten</w:t>
      </w:r>
      <w:r>
        <w:t xml:space="preserve"> vagy teljes térdízületi </w:t>
      </w:r>
      <w:r w:rsidR="00067923">
        <w:t>endoprotézis-műtét</w:t>
      </w:r>
      <w:r>
        <w:t>en átesett, felnőtt betegeknél.</w:t>
      </w:r>
    </w:p>
    <w:p w14:paraId="5BD90918" w14:textId="77777777" w:rsidR="000458CD" w:rsidRDefault="000458CD" w:rsidP="008F5A8D">
      <w:pPr>
        <w:pStyle w:val="Szvegtrzs"/>
        <w:tabs>
          <w:tab w:val="left" w:pos="567"/>
        </w:tabs>
      </w:pPr>
    </w:p>
    <w:p w14:paraId="5A54EB5D" w14:textId="3A00B17E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stroke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embolizáció</w:t>
      </w:r>
      <w:r>
        <w:rPr>
          <w:spacing w:val="-3"/>
        </w:rPr>
        <w:t xml:space="preserve"> </w:t>
      </w:r>
      <w:r>
        <w:t>prevenciója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billentyűeredetű</w:t>
      </w:r>
      <w:r>
        <w:rPr>
          <w:spacing w:val="-3"/>
        </w:rPr>
        <w:t xml:space="preserve"> </w:t>
      </w:r>
      <w:r>
        <w:t>pitvarfibrillációban</w:t>
      </w:r>
      <w:r>
        <w:rPr>
          <w:spacing w:val="-3"/>
        </w:rPr>
        <w:t xml:space="preserve"> </w:t>
      </w:r>
      <w:r>
        <w:t xml:space="preserve">(NVAF) szenvedő felnőtt betegeknél, akiknél egy vagy több kockázati tényező áll fenn, mint például korábbi stroke vagy tranziens ischaemiás attack (TIA), életkor </w:t>
      </w:r>
      <w:r w:rsidR="00294835">
        <w:t>≥</w:t>
      </w:r>
      <w:r>
        <w:t>75</w:t>
      </w:r>
      <w:r w:rsidR="00294835">
        <w:t> év</w:t>
      </w:r>
      <w:r>
        <w:t>, szívelégtelenség (≥ NYHA</w:t>
      </w:r>
      <w:r w:rsidR="00930933">
        <w:t xml:space="preserve"> I.</w:t>
      </w:r>
      <w:r w:rsidR="00B95CAF">
        <w:t> stádium</w:t>
      </w:r>
      <w:r>
        <w:t>),</w:t>
      </w:r>
      <w:r>
        <w:rPr>
          <w:spacing w:val="-9"/>
        </w:rPr>
        <w:t xml:space="preserve"> </w:t>
      </w:r>
      <w:r>
        <w:t>diabetes</w:t>
      </w:r>
      <w:r>
        <w:rPr>
          <w:spacing w:val="-9"/>
        </w:rPr>
        <w:t xml:space="preserve"> </w:t>
      </w:r>
      <w:r>
        <w:t>mellitus,</w:t>
      </w:r>
      <w:r>
        <w:rPr>
          <w:spacing w:val="-8"/>
        </w:rPr>
        <w:t xml:space="preserve"> </w:t>
      </w:r>
      <w:r>
        <w:rPr>
          <w:spacing w:val="-2"/>
        </w:rPr>
        <w:t>hypertonia.</w:t>
      </w:r>
    </w:p>
    <w:p w14:paraId="06D644CD" w14:textId="77777777" w:rsidR="00945359" w:rsidRDefault="00945359" w:rsidP="008F5A8D">
      <w:pPr>
        <w:pStyle w:val="Szvegtrzs"/>
        <w:tabs>
          <w:tab w:val="left" w:pos="567"/>
        </w:tabs>
      </w:pPr>
    </w:p>
    <w:p w14:paraId="651A232B" w14:textId="303EB9E2" w:rsidR="00945359" w:rsidRDefault="00220A43" w:rsidP="008F5A8D">
      <w:pPr>
        <w:pStyle w:val="Szvegtrzs"/>
        <w:tabs>
          <w:tab w:val="left" w:pos="567"/>
        </w:tabs>
      </w:pPr>
      <w:r>
        <w:t>Mélyvénás</w:t>
      </w:r>
      <w:r>
        <w:rPr>
          <w:spacing w:val="-3"/>
        </w:rPr>
        <w:t xml:space="preserve"> </w:t>
      </w:r>
      <w:r>
        <w:t>thrombosis</w:t>
      </w:r>
      <w:r>
        <w:rPr>
          <w:spacing w:val="-3"/>
        </w:rPr>
        <w:t xml:space="preserve"> </w:t>
      </w:r>
      <w:r>
        <w:t>(MVT)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pulmonalis</w:t>
      </w:r>
      <w:r>
        <w:rPr>
          <w:spacing w:val="-3"/>
        </w:rPr>
        <w:t xml:space="preserve"> </w:t>
      </w:r>
      <w:r>
        <w:t>embolia</w:t>
      </w:r>
      <w:r>
        <w:rPr>
          <w:spacing w:val="-3"/>
        </w:rPr>
        <w:t xml:space="preserve"> </w:t>
      </w:r>
      <w:r>
        <w:t>(PE)</w:t>
      </w:r>
      <w:r>
        <w:rPr>
          <w:spacing w:val="-3"/>
        </w:rPr>
        <w:t xml:space="preserve"> </w:t>
      </w:r>
      <w:r>
        <w:t>kezelése,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MVT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kiújulásának megelőzése felnőtt betegeknél.</w:t>
      </w:r>
    </w:p>
    <w:p w14:paraId="716DD69C" w14:textId="77777777" w:rsidR="000458CD" w:rsidRDefault="000458CD" w:rsidP="008F5A8D">
      <w:pPr>
        <w:pStyle w:val="Szvegtrzs"/>
        <w:tabs>
          <w:tab w:val="left" w:pos="567"/>
        </w:tabs>
      </w:pPr>
    </w:p>
    <w:p w14:paraId="36C41964" w14:textId="47A5F428" w:rsidR="00945359" w:rsidRDefault="00220A43" w:rsidP="008F5A8D">
      <w:pPr>
        <w:pStyle w:val="Szvegtrzs"/>
        <w:tabs>
          <w:tab w:val="left" w:pos="567"/>
        </w:tabs>
      </w:pPr>
      <w:r>
        <w:t>VTE</w:t>
      </w:r>
      <w:r>
        <w:rPr>
          <w:spacing w:val="-3"/>
        </w:rPr>
        <w:t xml:space="preserve"> </w:t>
      </w:r>
      <w:r>
        <w:t>kezelése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kiújulásának</w:t>
      </w:r>
      <w:r>
        <w:rPr>
          <w:spacing w:val="-3"/>
        </w:rPr>
        <w:t xml:space="preserve"> </w:t>
      </w:r>
      <w:r>
        <w:t>megelőzése</w:t>
      </w:r>
      <w:r>
        <w:rPr>
          <w:spacing w:val="-3"/>
        </w:rPr>
        <w:t xml:space="preserve"> </w:t>
      </w:r>
      <w:r>
        <w:t>gyermekeknél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serdülőknél,</w:t>
      </w:r>
      <w:r>
        <w:rPr>
          <w:spacing w:val="-2"/>
        </w:rPr>
        <w:t xml:space="preserve"> </w:t>
      </w:r>
      <w:r>
        <w:t>attól</w:t>
      </w:r>
      <w:r>
        <w:rPr>
          <w:spacing w:val="-3"/>
        </w:rPr>
        <w:t xml:space="preserve"> </w:t>
      </w:r>
      <w:r>
        <w:t>kezdve,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 gyermek képes pépes ételt lenyelni, a 18.</w:t>
      </w:r>
      <w:r w:rsidR="00294835">
        <w:t> életév</w:t>
      </w:r>
      <w:r>
        <w:t xml:space="preserve"> betöltéséig.</w:t>
      </w:r>
    </w:p>
    <w:p w14:paraId="1C0ED2F8" w14:textId="77777777" w:rsidR="00945359" w:rsidRDefault="00945359" w:rsidP="008F5A8D">
      <w:pPr>
        <w:pStyle w:val="Szvegtrzs"/>
        <w:tabs>
          <w:tab w:val="left" w:pos="567"/>
        </w:tabs>
      </w:pPr>
    </w:p>
    <w:p w14:paraId="7FC02C10" w14:textId="10994CFF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6"/>
        </w:rPr>
        <w:t xml:space="preserve"> </w:t>
      </w:r>
      <w:r>
        <w:t>életkornak</w:t>
      </w:r>
      <w:r>
        <w:rPr>
          <w:spacing w:val="-6"/>
        </w:rPr>
        <w:t xml:space="preserve"> </w:t>
      </w:r>
      <w:r>
        <w:t>megfelelő</w:t>
      </w:r>
      <w:r>
        <w:rPr>
          <w:spacing w:val="-6"/>
        </w:rPr>
        <w:t xml:space="preserve"> </w:t>
      </w:r>
      <w:r>
        <w:t>adagolási</w:t>
      </w:r>
      <w:r>
        <w:rPr>
          <w:spacing w:val="-6"/>
        </w:rPr>
        <w:t xml:space="preserve"> </w:t>
      </w:r>
      <w:r>
        <w:t>formákért</w:t>
      </w:r>
      <w:r>
        <w:rPr>
          <w:spacing w:val="-6"/>
        </w:rPr>
        <w:t xml:space="preserve"> </w:t>
      </w:r>
      <w:r>
        <w:t>lásd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4.2</w:t>
      </w:r>
      <w:r w:rsidR="00294835">
        <w:rPr>
          <w:spacing w:val="-8"/>
        </w:rPr>
        <w:t> pont</w:t>
      </w:r>
      <w:r>
        <w:rPr>
          <w:spacing w:val="-2"/>
        </w:rPr>
        <w:t>ot.</w:t>
      </w:r>
    </w:p>
    <w:p w14:paraId="0A6755F4" w14:textId="77777777" w:rsidR="00945359" w:rsidRDefault="00945359" w:rsidP="008F5A8D">
      <w:pPr>
        <w:pStyle w:val="Szvegtrzs"/>
        <w:tabs>
          <w:tab w:val="left" w:pos="567"/>
        </w:tabs>
      </w:pPr>
    </w:p>
    <w:p w14:paraId="39593A19" w14:textId="06E57037" w:rsidR="00945359" w:rsidRPr="00511F35" w:rsidRDefault="00F464B5" w:rsidP="00511F35">
      <w:r w:rsidRPr="00511F35">
        <w:rPr>
          <w:b/>
        </w:rPr>
        <w:t>4.2</w:t>
      </w:r>
      <w:r w:rsidRPr="00511F35">
        <w:rPr>
          <w:b/>
        </w:rPr>
        <w:tab/>
      </w:r>
      <w:r w:rsidR="00220A43" w:rsidRPr="00511F35">
        <w:rPr>
          <w:b/>
        </w:rPr>
        <w:t>Adagolás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  <w:spacing w:val="-2"/>
        </w:rPr>
        <w:t>alkalmazás</w:t>
      </w:r>
    </w:p>
    <w:p w14:paraId="3FBCAC30" w14:textId="77777777" w:rsidR="00F464B5" w:rsidRPr="00511F35" w:rsidRDefault="00F464B5" w:rsidP="008F5A8D"/>
    <w:p w14:paraId="2F169D5C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Adagolás</w:t>
      </w:r>
    </w:p>
    <w:p w14:paraId="1D8837DF" w14:textId="09850240" w:rsidR="003811EA" w:rsidRDefault="00220A43" w:rsidP="003811EA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1BD2">
        <w:t>Dabigatran Etexilate Laboratorios Liconsa</w:t>
      </w:r>
      <w:r>
        <w:rPr>
          <w:spacing w:val="-3"/>
        </w:rPr>
        <w:t xml:space="preserve"> </w:t>
      </w:r>
      <w:r>
        <w:t>kapszula</w:t>
      </w:r>
      <w:r>
        <w:rPr>
          <w:spacing w:val="-3"/>
        </w:rPr>
        <w:t xml:space="preserve"> </w:t>
      </w:r>
      <w:r>
        <w:t>felnőtteknek</w:t>
      </w:r>
      <w:r w:rsidR="00425D7B">
        <w:t>, valamint</w:t>
      </w:r>
      <w:r>
        <w:rPr>
          <w:spacing w:val="-3"/>
        </w:rPr>
        <w:t xml:space="preserve"> </w:t>
      </w:r>
      <w:r>
        <w:t>8</w:t>
      </w:r>
      <w:r w:rsidR="00294835">
        <w:rPr>
          <w:spacing w:val="-3"/>
        </w:rPr>
        <w:t> éves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ennél</w:t>
      </w:r>
      <w:r>
        <w:rPr>
          <w:spacing w:val="-3"/>
        </w:rPr>
        <w:t xml:space="preserve"> </w:t>
      </w:r>
      <w:r>
        <w:t>idősebb</w:t>
      </w:r>
      <w:r>
        <w:rPr>
          <w:spacing w:val="-3"/>
        </w:rPr>
        <w:t xml:space="preserve"> </w:t>
      </w:r>
      <w:r>
        <w:t>gyermekeknek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serdülőknek</w:t>
      </w:r>
      <w:r>
        <w:rPr>
          <w:spacing w:val="-3"/>
        </w:rPr>
        <w:t xml:space="preserve"> </w:t>
      </w:r>
      <w:r>
        <w:t xml:space="preserve">adható, akik képesek egészben lenyelni a kapszulát. </w:t>
      </w:r>
      <w:r w:rsidR="003811EA" w:rsidRPr="009E4CF5">
        <w:t>A felír</w:t>
      </w:r>
      <w:r w:rsidR="003811EA">
        <w:t>andó</w:t>
      </w:r>
      <w:r w:rsidR="003811EA" w:rsidRPr="009E4CF5">
        <w:t xml:space="preserve"> dózist az adott gyógyszerforma</w:t>
      </w:r>
      <w:r w:rsidR="003811EA" w:rsidRPr="009E4CF5">
        <w:rPr>
          <w:spacing w:val="-3"/>
        </w:rPr>
        <w:t xml:space="preserve"> </w:t>
      </w:r>
      <w:r w:rsidR="003811EA" w:rsidRPr="009E4CF5">
        <w:t>adagolási</w:t>
      </w:r>
      <w:r w:rsidR="003811EA" w:rsidRPr="009E4CF5">
        <w:rPr>
          <w:spacing w:val="-3"/>
        </w:rPr>
        <w:t xml:space="preserve"> </w:t>
      </w:r>
      <w:r w:rsidR="003811EA" w:rsidRPr="009E4CF5">
        <w:t>táblázata</w:t>
      </w:r>
      <w:r w:rsidR="003811EA" w:rsidRPr="009E4CF5">
        <w:rPr>
          <w:spacing w:val="-3"/>
        </w:rPr>
        <w:t xml:space="preserve"> </w:t>
      </w:r>
      <w:r w:rsidR="003811EA" w:rsidRPr="009E4CF5">
        <w:t>alapján,</w:t>
      </w:r>
      <w:r w:rsidR="003811EA" w:rsidRPr="009E4CF5">
        <w:rPr>
          <w:spacing w:val="-3"/>
        </w:rPr>
        <w:t xml:space="preserve"> </w:t>
      </w:r>
      <w:r w:rsidR="003811EA" w:rsidRPr="009E4CF5">
        <w:t>a</w:t>
      </w:r>
      <w:r w:rsidR="003811EA" w:rsidRPr="009E4CF5">
        <w:rPr>
          <w:spacing w:val="-3"/>
        </w:rPr>
        <w:t xml:space="preserve"> </w:t>
      </w:r>
      <w:r w:rsidR="003811EA" w:rsidRPr="009E4CF5">
        <w:t>gyermek</w:t>
      </w:r>
      <w:r w:rsidR="003811EA" w:rsidRPr="009E4CF5">
        <w:rPr>
          <w:spacing w:val="-3"/>
        </w:rPr>
        <w:t xml:space="preserve"> </w:t>
      </w:r>
      <w:r w:rsidR="003811EA" w:rsidRPr="009E4CF5">
        <w:t>testtömegének</w:t>
      </w:r>
      <w:r w:rsidR="003811EA" w:rsidRPr="009E4CF5">
        <w:rPr>
          <w:spacing w:val="-3"/>
        </w:rPr>
        <w:t xml:space="preserve"> </w:t>
      </w:r>
      <w:r w:rsidR="003811EA" w:rsidRPr="009E4CF5">
        <w:t>és</w:t>
      </w:r>
      <w:r w:rsidR="003811EA" w:rsidRPr="009E4CF5">
        <w:rPr>
          <w:spacing w:val="-3"/>
        </w:rPr>
        <w:t xml:space="preserve"> </w:t>
      </w:r>
      <w:r w:rsidR="003811EA" w:rsidRPr="009E4CF5">
        <w:t>életkorának</w:t>
      </w:r>
      <w:r w:rsidR="003811EA" w:rsidRPr="009E4CF5">
        <w:rPr>
          <w:spacing w:val="-3"/>
        </w:rPr>
        <w:t xml:space="preserve"> </w:t>
      </w:r>
      <w:r w:rsidR="003811EA" w:rsidRPr="009E4CF5">
        <w:t>megfelelően</w:t>
      </w:r>
      <w:r w:rsidR="003811EA" w:rsidRPr="009E4CF5">
        <w:rPr>
          <w:spacing w:val="-3"/>
        </w:rPr>
        <w:t xml:space="preserve"> </w:t>
      </w:r>
      <w:r w:rsidR="003811EA" w:rsidRPr="009E4CF5">
        <w:t xml:space="preserve">kell </w:t>
      </w:r>
      <w:r w:rsidR="003811EA" w:rsidRPr="009E4CF5">
        <w:rPr>
          <w:spacing w:val="-2"/>
        </w:rPr>
        <w:t>megállapítani.</w:t>
      </w:r>
    </w:p>
    <w:p w14:paraId="0DD430B8" w14:textId="77777777" w:rsidR="003811EA" w:rsidRDefault="003811EA" w:rsidP="003811EA">
      <w:pPr>
        <w:pStyle w:val="Szvegtrzs"/>
        <w:tabs>
          <w:tab w:val="left" w:pos="567"/>
        </w:tabs>
      </w:pPr>
    </w:p>
    <w:p w14:paraId="351C1DF6" w14:textId="0BD89C26" w:rsidR="00945359" w:rsidRPr="004F4A3C" w:rsidRDefault="003811EA" w:rsidP="008F5A8D">
      <w:pPr>
        <w:pStyle w:val="Szvegtrzs"/>
        <w:tabs>
          <w:tab w:val="left" w:pos="567"/>
        </w:tabs>
        <w:rPr>
          <w:u w:val="single"/>
        </w:rPr>
      </w:pPr>
      <w:r w:rsidRPr="00A63735">
        <w:rPr>
          <w:u w:val="single"/>
        </w:rPr>
        <w:t>Olyan dózis biztosítására, amely</w:t>
      </w:r>
      <w:r>
        <w:rPr>
          <w:u w:val="single"/>
        </w:rPr>
        <w:t>nek elérése</w:t>
      </w:r>
      <w:r w:rsidRPr="00A63735">
        <w:rPr>
          <w:u w:val="single"/>
        </w:rPr>
        <w:t xml:space="preserve"> ezzel a gyógyszerrel nem megvalósítható, más hatáserősségek és gyógyszerformák állnak rendelkezésre.</w:t>
      </w:r>
    </w:p>
    <w:p w14:paraId="6CCD027D" w14:textId="77777777" w:rsidR="000458CD" w:rsidRDefault="000458CD" w:rsidP="008F5A8D">
      <w:pPr>
        <w:pStyle w:val="Szvegtrzs"/>
        <w:tabs>
          <w:tab w:val="left" w:pos="567"/>
        </w:tabs>
      </w:pPr>
    </w:p>
    <w:p w14:paraId="12B63D83" w14:textId="506E1189" w:rsidR="00945359" w:rsidRDefault="00220A43" w:rsidP="008F5A8D">
      <w:pPr>
        <w:pStyle w:val="Szvegtrzs"/>
        <w:tabs>
          <w:tab w:val="left" w:pos="567"/>
        </w:tabs>
      </w:pPr>
      <w:r>
        <w:t>Gyógyszerformák közti váltás esetén szükséges lehet a felírt dózis módosítása. A felír</w:t>
      </w:r>
      <w:r w:rsidR="00067923">
        <w:t>andó</w:t>
      </w:r>
      <w:r>
        <w:t xml:space="preserve"> dózist az adott gyógyszerforma</w:t>
      </w:r>
      <w:r>
        <w:rPr>
          <w:spacing w:val="-3"/>
        </w:rPr>
        <w:t xml:space="preserve"> </w:t>
      </w:r>
      <w:r>
        <w:t>adagolási</w:t>
      </w:r>
      <w:r>
        <w:rPr>
          <w:spacing w:val="-3"/>
        </w:rPr>
        <w:t xml:space="preserve"> </w:t>
      </w:r>
      <w:r>
        <w:t>táblázata</w:t>
      </w:r>
      <w:r>
        <w:rPr>
          <w:spacing w:val="-3"/>
        </w:rPr>
        <w:t xml:space="preserve"> </w:t>
      </w:r>
      <w:r>
        <w:t>alapján,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gyermek</w:t>
      </w:r>
      <w:r>
        <w:rPr>
          <w:spacing w:val="-3"/>
        </w:rPr>
        <w:t xml:space="preserve"> </w:t>
      </w:r>
      <w:r>
        <w:t>testtömeg</w:t>
      </w:r>
      <w:r w:rsidR="003811EA">
        <w:t>e és életkora alapján</w:t>
      </w:r>
      <w:r>
        <w:rPr>
          <w:spacing w:val="-3"/>
        </w:rPr>
        <w:t xml:space="preserve"> </w:t>
      </w:r>
      <w:r>
        <w:t xml:space="preserve">kell </w:t>
      </w:r>
      <w:r>
        <w:rPr>
          <w:spacing w:val="-2"/>
        </w:rPr>
        <w:t>megállapítani.</w:t>
      </w:r>
    </w:p>
    <w:p w14:paraId="74628794" w14:textId="77777777" w:rsidR="00945359" w:rsidRDefault="00945359" w:rsidP="008F5A8D">
      <w:pPr>
        <w:pStyle w:val="Szvegtrzs"/>
        <w:tabs>
          <w:tab w:val="left" w:pos="567"/>
        </w:tabs>
      </w:pPr>
    </w:p>
    <w:p w14:paraId="02F8336D" w14:textId="77777777" w:rsidR="00945359" w:rsidRPr="006D73BD" w:rsidRDefault="00220A43" w:rsidP="008F5A8D">
      <w:r w:rsidRPr="006D73BD">
        <w:rPr>
          <w:b/>
          <w:i/>
          <w:u w:val="words"/>
        </w:rPr>
        <w:lastRenderedPageBreak/>
        <w:t>VTE</w:t>
      </w:r>
      <w:r w:rsidRPr="006D73BD">
        <w:rPr>
          <w:b/>
          <w:i/>
          <w:spacing w:val="-10"/>
          <w:u w:val="words"/>
        </w:rPr>
        <w:t xml:space="preserve"> </w:t>
      </w:r>
      <w:r w:rsidRPr="006D73BD">
        <w:rPr>
          <w:b/>
          <w:i/>
          <w:u w:val="words"/>
        </w:rPr>
        <w:t>primer</w:t>
      </w:r>
      <w:r w:rsidRPr="006D73BD">
        <w:rPr>
          <w:b/>
          <w:i/>
          <w:spacing w:val="-7"/>
          <w:u w:val="words"/>
        </w:rPr>
        <w:t xml:space="preserve"> </w:t>
      </w:r>
      <w:r w:rsidRPr="006D73BD">
        <w:rPr>
          <w:b/>
          <w:i/>
          <w:u w:val="words"/>
        </w:rPr>
        <w:t>prevenciója</w:t>
      </w:r>
      <w:r w:rsidRPr="006D73BD">
        <w:rPr>
          <w:b/>
          <w:i/>
          <w:spacing w:val="-7"/>
          <w:u w:val="words"/>
        </w:rPr>
        <w:t xml:space="preserve"> </w:t>
      </w:r>
      <w:r w:rsidRPr="006D73BD">
        <w:rPr>
          <w:b/>
          <w:i/>
          <w:u w:val="words"/>
        </w:rPr>
        <w:t>ortopédiai</w:t>
      </w:r>
      <w:r w:rsidRPr="006D73BD">
        <w:rPr>
          <w:b/>
          <w:i/>
          <w:spacing w:val="-7"/>
          <w:u w:val="words"/>
        </w:rPr>
        <w:t xml:space="preserve"> </w:t>
      </w:r>
      <w:r w:rsidRPr="006D73BD">
        <w:rPr>
          <w:b/>
          <w:i/>
          <w:spacing w:val="-2"/>
          <w:u w:val="words"/>
        </w:rPr>
        <w:t>műtéteknél</w:t>
      </w:r>
    </w:p>
    <w:p w14:paraId="06D99D6A" w14:textId="06405EB4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dózisa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terápia</w:t>
      </w:r>
      <w:r>
        <w:rPr>
          <w:spacing w:val="-3"/>
        </w:rPr>
        <w:t xml:space="preserve"> </w:t>
      </w:r>
      <w:r>
        <w:t>időtartama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primer</w:t>
      </w:r>
      <w:r>
        <w:rPr>
          <w:spacing w:val="-3"/>
        </w:rPr>
        <w:t xml:space="preserve"> </w:t>
      </w:r>
      <w:r>
        <w:t>prevenciója</w:t>
      </w:r>
      <w:r>
        <w:rPr>
          <w:spacing w:val="-3"/>
        </w:rPr>
        <w:t xml:space="preserve"> </w:t>
      </w:r>
      <w:r>
        <w:t>esetén ortopédiai műtéteknél az 1.</w:t>
      </w:r>
      <w:r w:rsidR="00B95CAF">
        <w:t> táblázat</w:t>
      </w:r>
      <w:r>
        <w:t>ban található.</w:t>
      </w:r>
    </w:p>
    <w:p w14:paraId="53D3AC53" w14:textId="77777777" w:rsidR="00BC10BA" w:rsidRDefault="00BC10BA" w:rsidP="008F5A8D">
      <w:pPr>
        <w:pStyle w:val="Szvegtrzs"/>
        <w:tabs>
          <w:tab w:val="left" w:pos="567"/>
        </w:tabs>
      </w:pPr>
    </w:p>
    <w:p w14:paraId="60276A52" w14:textId="65E9F9D9" w:rsidR="00945359" w:rsidRPr="00511F35" w:rsidRDefault="006C2A98" w:rsidP="008F5A8D">
      <w:pPr>
        <w:widowControl/>
      </w:pPr>
      <w:r w:rsidRPr="008F5A8D">
        <w:rPr>
          <w:b/>
        </w:rPr>
        <w:t>1.</w:t>
      </w:r>
      <w:r w:rsidR="00E44D56">
        <w:rPr>
          <w:b/>
        </w:rPr>
        <w:t> </w:t>
      </w:r>
      <w:r w:rsidR="00220A43" w:rsidRPr="00511F35">
        <w:rPr>
          <w:b/>
          <w:spacing w:val="-2"/>
        </w:rPr>
        <w:t>táblázat</w:t>
      </w:r>
      <w:r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Adagolási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javaslat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terápia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időtartama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VTE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primer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prevenciója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esetén ortopédiai műtéteknél</w:t>
      </w: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377"/>
        <w:gridCol w:w="2182"/>
        <w:gridCol w:w="1632"/>
        <w:gridCol w:w="1870"/>
      </w:tblGrid>
      <w:tr w:rsidR="00945359" w14:paraId="39D36529" w14:textId="77777777" w:rsidTr="008F5A8D">
        <w:trPr>
          <w:trHeight w:val="1012"/>
        </w:trPr>
        <w:tc>
          <w:tcPr>
            <w:tcW w:w="3377" w:type="dxa"/>
          </w:tcPr>
          <w:p w14:paraId="61476E23" w14:textId="77777777" w:rsidR="00945359" w:rsidRDefault="00945359" w:rsidP="008F5A8D">
            <w:pPr>
              <w:pStyle w:val="TableParagraph"/>
              <w:widowControl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182" w:type="dxa"/>
          </w:tcPr>
          <w:p w14:paraId="0C590C76" w14:textId="55FE6CD3" w:rsidR="00945359" w:rsidRDefault="00220A43" w:rsidP="008F5A8D">
            <w:pPr>
              <w:pStyle w:val="TableParagraph"/>
              <w:widowControl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kezelés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elkezdése a műtét napján, a műtét befejezése</w:t>
            </w:r>
          </w:p>
          <w:p w14:paraId="4F3FB2E1" w14:textId="6E7DE226" w:rsidR="00945359" w:rsidRDefault="00220A43" w:rsidP="008F5A8D">
            <w:pPr>
              <w:pStyle w:val="TableParagraph"/>
              <w:widowControl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után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1-4</w:t>
            </w:r>
            <w:r w:rsidR="002E2A7B">
              <w:rPr>
                <w:b/>
                <w:spacing w:val="-2"/>
              </w:rPr>
              <w:t> órá</w:t>
            </w:r>
            <w:r>
              <w:rPr>
                <w:b/>
                <w:spacing w:val="-2"/>
              </w:rPr>
              <w:t>val</w:t>
            </w:r>
          </w:p>
        </w:tc>
        <w:tc>
          <w:tcPr>
            <w:tcW w:w="1632" w:type="dxa"/>
          </w:tcPr>
          <w:p w14:paraId="59BE3B6D" w14:textId="77777777" w:rsidR="00945359" w:rsidRDefault="00220A43" w:rsidP="008F5A8D">
            <w:pPr>
              <w:pStyle w:val="TableParagraph"/>
              <w:widowControl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  <w:spacing w:val="-2"/>
              </w:rPr>
              <w:t xml:space="preserve">Fenntartó </w:t>
            </w:r>
            <w:r>
              <w:rPr>
                <w:b/>
              </w:rPr>
              <w:t>dózis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műtét utáni első</w:t>
            </w:r>
          </w:p>
          <w:p w14:paraId="71FAAEB2" w14:textId="77777777" w:rsidR="00945359" w:rsidRDefault="00220A43" w:rsidP="008F5A8D">
            <w:pPr>
              <w:pStyle w:val="TableParagraph"/>
              <w:widowControl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napon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indítva</w:t>
            </w:r>
          </w:p>
        </w:tc>
        <w:tc>
          <w:tcPr>
            <w:tcW w:w="1870" w:type="dxa"/>
          </w:tcPr>
          <w:p w14:paraId="390CC44C" w14:textId="77777777" w:rsidR="00945359" w:rsidRDefault="00220A43" w:rsidP="008F5A8D">
            <w:pPr>
              <w:pStyle w:val="TableParagraph"/>
              <w:widowControl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fenntartó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dózis </w:t>
            </w:r>
            <w:r>
              <w:rPr>
                <w:b/>
                <w:spacing w:val="-2"/>
              </w:rPr>
              <w:t>időtartama</w:t>
            </w:r>
          </w:p>
        </w:tc>
      </w:tr>
      <w:tr w:rsidR="00945359" w14:paraId="092FC405" w14:textId="77777777" w:rsidTr="008F5A8D">
        <w:trPr>
          <w:trHeight w:val="505"/>
        </w:trPr>
        <w:tc>
          <w:tcPr>
            <w:tcW w:w="3377" w:type="dxa"/>
          </w:tcPr>
          <w:p w14:paraId="164BB11A" w14:textId="212F731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Elektív</w:t>
            </w:r>
            <w:r>
              <w:rPr>
                <w:spacing w:val="-9"/>
              </w:rPr>
              <w:t xml:space="preserve"> </w:t>
            </w:r>
            <w:r>
              <w:t>térdízületi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endoprotézis</w:t>
            </w:r>
            <w:r w:rsidR="00067923">
              <w:t>-</w:t>
            </w:r>
            <w:r>
              <w:t>műtét</w:t>
            </w:r>
            <w:r w:rsidR="00067923">
              <w:t>en átesett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182" w:type="dxa"/>
            <w:vMerge w:val="restart"/>
          </w:tcPr>
          <w:p w14:paraId="70D5E9A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597219F0" w14:textId="2340251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</w:t>
            </w:r>
            <w:r w:rsidR="00B95CAF">
              <w:rPr>
                <w:spacing w:val="-11"/>
              </w:rPr>
              <w:t> darab</w:t>
            </w:r>
            <w:r>
              <w:rPr>
                <w:spacing w:val="-11"/>
              </w:rPr>
              <w:t xml:space="preserve"> </w:t>
            </w:r>
            <w:r>
              <w:t>110</w:t>
            </w:r>
            <w:r w:rsidR="00294835">
              <w:rPr>
                <w:spacing w:val="-11"/>
              </w:rPr>
              <w:t> mg</w:t>
            </w:r>
            <w:r>
              <w:t xml:space="preserve">-os </w:t>
            </w:r>
            <w:r>
              <w:rPr>
                <w:spacing w:val="-2"/>
              </w:rPr>
              <w:t>dabigatrán-etexilát kapszula</w:t>
            </w:r>
          </w:p>
        </w:tc>
        <w:tc>
          <w:tcPr>
            <w:tcW w:w="1632" w:type="dxa"/>
            <w:vMerge w:val="restart"/>
          </w:tcPr>
          <w:p w14:paraId="0959FDB5" w14:textId="642612C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naponta</w:t>
            </w:r>
            <w:r>
              <w:rPr>
                <w:spacing w:val="80"/>
              </w:rPr>
              <w:t xml:space="preserve"> </w:t>
            </w:r>
            <w:r>
              <w:t>egyszer</w:t>
            </w:r>
            <w:r>
              <w:rPr>
                <w:spacing w:val="-9"/>
              </w:rPr>
              <w:t xml:space="preserve"> </w:t>
            </w:r>
            <w:r>
              <w:t>220</w:t>
            </w:r>
            <w:r w:rsidR="00294835">
              <w:rPr>
                <w:spacing w:val="-9"/>
              </w:rPr>
              <w:t> mg</w:t>
            </w:r>
            <w:r>
              <w:t xml:space="preserve"> </w:t>
            </w:r>
            <w:r>
              <w:rPr>
                <w:spacing w:val="-2"/>
              </w:rPr>
              <w:t xml:space="preserve">dabigatrán- </w:t>
            </w:r>
            <w:r>
              <w:t>etexilát,</w:t>
            </w:r>
            <w:r>
              <w:rPr>
                <w:spacing w:val="-14"/>
              </w:rPr>
              <w:t xml:space="preserve"> </w:t>
            </w:r>
            <w:r>
              <w:t>2</w:t>
            </w:r>
            <w:r w:rsidR="00B95CAF">
              <w:rPr>
                <w:spacing w:val="-14"/>
              </w:rPr>
              <w:t> </w:t>
            </w:r>
            <w:r w:rsidR="00B95CAF" w:rsidRPr="004F4A3C">
              <w:t>darab</w:t>
            </w:r>
          </w:p>
          <w:p w14:paraId="5C66C359" w14:textId="7C42714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rPr>
                <w:spacing w:val="-14"/>
              </w:rPr>
              <w:t> mg</w:t>
            </w:r>
            <w:r>
              <w:t xml:space="preserve">-os </w:t>
            </w:r>
            <w:r>
              <w:rPr>
                <w:spacing w:val="-2"/>
              </w:rPr>
              <w:t>kapszula</w:t>
            </w:r>
          </w:p>
          <w:p w14:paraId="6D6108D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formájában</w:t>
            </w:r>
          </w:p>
        </w:tc>
        <w:tc>
          <w:tcPr>
            <w:tcW w:w="1870" w:type="dxa"/>
          </w:tcPr>
          <w:p w14:paraId="3E9C31D0" w14:textId="454CFE0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10</w:t>
            </w:r>
            <w:r w:rsidR="00294835">
              <w:t> nap</w:t>
            </w:r>
          </w:p>
        </w:tc>
      </w:tr>
      <w:tr w:rsidR="00945359" w14:paraId="006526A7" w14:textId="77777777" w:rsidTr="008F5A8D">
        <w:trPr>
          <w:trHeight w:val="1254"/>
        </w:trPr>
        <w:tc>
          <w:tcPr>
            <w:tcW w:w="3377" w:type="dxa"/>
          </w:tcPr>
          <w:p w14:paraId="087FA3ED" w14:textId="404E73E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Elektív</w:t>
            </w:r>
            <w:r>
              <w:rPr>
                <w:spacing w:val="-14"/>
              </w:rPr>
              <w:t xml:space="preserve"> </w:t>
            </w:r>
            <w:r>
              <w:t>csípőízületi</w:t>
            </w:r>
            <w:r>
              <w:rPr>
                <w:spacing w:val="-14"/>
              </w:rPr>
              <w:t xml:space="preserve"> </w:t>
            </w:r>
            <w:r w:rsidR="00067923">
              <w:t>endoprotézis-műtéten átesett</w:t>
            </w:r>
            <w:r w:rsidR="00E44D56">
              <w:t xml:space="preserve"> </w:t>
            </w:r>
            <w:r>
              <w:t>betegek</w:t>
            </w:r>
          </w:p>
        </w:tc>
        <w:tc>
          <w:tcPr>
            <w:tcW w:w="2182" w:type="dxa"/>
            <w:vMerge/>
            <w:tcBorders>
              <w:top w:val="nil"/>
            </w:tcBorders>
          </w:tcPr>
          <w:p w14:paraId="23C05FBD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</w:tcPr>
          <w:p w14:paraId="2625A8AF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70" w:type="dxa"/>
          </w:tcPr>
          <w:p w14:paraId="0DC4FEF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59753452" w14:textId="4117D60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28-35</w:t>
            </w:r>
            <w:r w:rsidR="00294835">
              <w:rPr>
                <w:spacing w:val="-4"/>
              </w:rPr>
              <w:t> nap</w:t>
            </w:r>
          </w:p>
        </w:tc>
      </w:tr>
      <w:tr w:rsidR="00945359" w14:paraId="471BDF67" w14:textId="77777777" w:rsidTr="008F5A8D">
        <w:trPr>
          <w:trHeight w:val="254"/>
        </w:trPr>
        <w:tc>
          <w:tcPr>
            <w:tcW w:w="3377" w:type="dxa"/>
          </w:tcPr>
          <w:p w14:paraId="4388879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  <w:i/>
              </w:rPr>
            </w:pPr>
            <w:r>
              <w:rPr>
                <w:b/>
                <w:i/>
                <w:spacing w:val="-2"/>
                <w:u w:val="single"/>
              </w:rPr>
              <w:t>Dóziscsökkentés</w:t>
            </w:r>
            <w:r>
              <w:rPr>
                <w:b/>
                <w:i/>
                <w:spacing w:val="15"/>
                <w:u w:val="single"/>
              </w:rPr>
              <w:t xml:space="preserve"> </w:t>
            </w:r>
            <w:r>
              <w:rPr>
                <w:b/>
                <w:i/>
                <w:spacing w:val="-2"/>
                <w:u w:val="single"/>
              </w:rPr>
              <w:t>javasolt</w:t>
            </w:r>
          </w:p>
        </w:tc>
        <w:tc>
          <w:tcPr>
            <w:tcW w:w="2182" w:type="dxa"/>
          </w:tcPr>
          <w:p w14:paraId="67C7A60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632" w:type="dxa"/>
          </w:tcPr>
          <w:p w14:paraId="7138EC1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870" w:type="dxa"/>
          </w:tcPr>
          <w:p w14:paraId="2FC5821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0183BDB" w14:textId="77777777" w:rsidTr="008F5A8D">
        <w:trPr>
          <w:trHeight w:val="1010"/>
        </w:trPr>
        <w:tc>
          <w:tcPr>
            <w:tcW w:w="3377" w:type="dxa"/>
          </w:tcPr>
          <w:p w14:paraId="13565DB8" w14:textId="5400491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Közepesen súlyos fokú</w:t>
            </w:r>
            <w:r w:rsidR="00E44D56">
              <w:t xml:space="preserve"> </w:t>
            </w:r>
            <w:r>
              <w:t>vesekárosodásban</w:t>
            </w:r>
            <w:r>
              <w:rPr>
                <w:spacing w:val="-14"/>
              </w:rPr>
              <w:t xml:space="preserve"> </w:t>
            </w:r>
            <w:r>
              <w:t>szenvedő betegek (kreatinin-clearance</w:t>
            </w:r>
          </w:p>
          <w:p w14:paraId="73561383" w14:textId="7224476F" w:rsidR="00945359" w:rsidRDefault="005568D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[</w:t>
            </w:r>
            <w:r w:rsidR="00220A43">
              <w:t>CrCl</w:t>
            </w:r>
            <w:r>
              <w:t>]</w:t>
            </w:r>
            <w:r w:rsidR="00220A43">
              <w:rPr>
                <w:spacing w:val="-4"/>
              </w:rPr>
              <w:t xml:space="preserve"> </w:t>
            </w:r>
            <w:r w:rsidR="00220A43">
              <w:t>30</w:t>
            </w:r>
            <w:r>
              <w:t>–</w:t>
            </w:r>
            <w:r w:rsidR="00220A43">
              <w:t>50</w:t>
            </w:r>
            <w:r w:rsidR="00294835">
              <w:rPr>
                <w:spacing w:val="-4"/>
              </w:rPr>
              <w:t> ml</w:t>
            </w:r>
            <w:r w:rsidR="00220A43">
              <w:rPr>
                <w:spacing w:val="-2"/>
              </w:rPr>
              <w:t>/perc)</w:t>
            </w:r>
          </w:p>
        </w:tc>
        <w:tc>
          <w:tcPr>
            <w:tcW w:w="2182" w:type="dxa"/>
            <w:vMerge w:val="restart"/>
          </w:tcPr>
          <w:p w14:paraId="48378738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154B4849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0420E34D" w14:textId="3A36AD0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</w:t>
            </w:r>
            <w:r w:rsidR="00B95CAF">
              <w:t> darab</w:t>
            </w:r>
            <w:r>
              <w:t xml:space="preserve"> 75</w:t>
            </w:r>
            <w:r w:rsidR="00294835">
              <w:t> mg</w:t>
            </w:r>
            <w:r>
              <w:t xml:space="preserve">-os </w:t>
            </w:r>
            <w:r>
              <w:rPr>
                <w:spacing w:val="-2"/>
              </w:rPr>
              <w:t>dabigatrán-etexilát kapszula</w:t>
            </w:r>
          </w:p>
        </w:tc>
        <w:tc>
          <w:tcPr>
            <w:tcW w:w="1632" w:type="dxa"/>
            <w:vMerge w:val="restart"/>
          </w:tcPr>
          <w:p w14:paraId="7CBCBF16" w14:textId="2FB203C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naponta</w:t>
            </w:r>
            <w:r>
              <w:rPr>
                <w:spacing w:val="80"/>
              </w:rPr>
              <w:t xml:space="preserve"> </w:t>
            </w:r>
            <w:r>
              <w:t>egyszer</w:t>
            </w:r>
            <w:r>
              <w:rPr>
                <w:spacing w:val="-9"/>
              </w:rPr>
              <w:t xml:space="preserve"> </w:t>
            </w:r>
            <w:r>
              <w:t>150</w:t>
            </w:r>
            <w:r w:rsidR="00294835">
              <w:rPr>
                <w:spacing w:val="-9"/>
              </w:rPr>
              <w:t> mg</w:t>
            </w:r>
            <w:r>
              <w:t xml:space="preserve"> </w:t>
            </w:r>
            <w:r>
              <w:rPr>
                <w:spacing w:val="-2"/>
              </w:rPr>
              <w:t xml:space="preserve">dabigatrán- </w:t>
            </w:r>
            <w:r>
              <w:t>etexilát,</w:t>
            </w:r>
            <w:r>
              <w:rPr>
                <w:spacing w:val="-14"/>
              </w:rPr>
              <w:t xml:space="preserve"> </w:t>
            </w:r>
            <w:r>
              <w:t>2</w:t>
            </w:r>
            <w:r w:rsidR="00B95CAF" w:rsidRPr="004F4A3C">
              <w:t> darab</w:t>
            </w:r>
          </w:p>
          <w:p w14:paraId="6FFB9F15" w14:textId="5B487C0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75</w:t>
            </w:r>
            <w:r w:rsidR="00294835">
              <w:t> mg</w:t>
            </w:r>
            <w:r>
              <w:t xml:space="preserve">-os </w:t>
            </w:r>
            <w:r>
              <w:rPr>
                <w:spacing w:val="-2"/>
              </w:rPr>
              <w:t>kapszula formájában</w:t>
            </w:r>
          </w:p>
        </w:tc>
        <w:tc>
          <w:tcPr>
            <w:tcW w:w="1870" w:type="dxa"/>
            <w:vMerge w:val="restart"/>
          </w:tcPr>
          <w:p w14:paraId="5173AD2D" w14:textId="06CC01DA" w:rsidR="00E44D56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pacing w:val="-14"/>
              </w:rPr>
            </w:pPr>
            <w:r>
              <w:t>10</w:t>
            </w:r>
            <w:r w:rsidR="00294835">
              <w:t> nap</w:t>
            </w:r>
            <w:r>
              <w:t xml:space="preserve"> </w:t>
            </w:r>
            <w:r>
              <w:rPr>
                <w:spacing w:val="-2"/>
              </w:rPr>
              <w:t xml:space="preserve">(térdprotézis </w:t>
            </w:r>
            <w:r>
              <w:t>beültetés</w:t>
            </w:r>
            <w:r w:rsidR="00E44D56">
              <w:t>e</w:t>
            </w:r>
            <w:r>
              <w:t>)</w:t>
            </w:r>
          </w:p>
          <w:p w14:paraId="6FAA83CD" w14:textId="5B6FB6B9" w:rsidR="00E44D56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vagy</w:t>
            </w:r>
          </w:p>
          <w:p w14:paraId="25F416B7" w14:textId="1149962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28-35</w:t>
            </w:r>
            <w:r w:rsidR="00294835">
              <w:t> nap</w:t>
            </w:r>
            <w:r>
              <w:t xml:space="preserve"> </w:t>
            </w:r>
            <w:r>
              <w:rPr>
                <w:spacing w:val="-2"/>
              </w:rPr>
              <w:t>(csípőprotézis beültetés</w:t>
            </w:r>
            <w:r w:rsidR="00E44D56">
              <w:rPr>
                <w:spacing w:val="-2"/>
              </w:rPr>
              <w:t>e</w:t>
            </w:r>
            <w:r>
              <w:rPr>
                <w:spacing w:val="-2"/>
              </w:rPr>
              <w:t>)</w:t>
            </w:r>
          </w:p>
        </w:tc>
      </w:tr>
      <w:tr w:rsidR="00945359" w14:paraId="082582CE" w14:textId="77777777" w:rsidTr="008F5A8D">
        <w:trPr>
          <w:trHeight w:val="760"/>
        </w:trPr>
        <w:tc>
          <w:tcPr>
            <w:tcW w:w="3377" w:type="dxa"/>
          </w:tcPr>
          <w:p w14:paraId="5CBCFE1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Egyidejűleg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verapamilt*,</w:t>
            </w:r>
          </w:p>
          <w:p w14:paraId="596BFD9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amiodaront</w:t>
            </w:r>
            <w:r>
              <w:rPr>
                <w:spacing w:val="-13"/>
              </w:rPr>
              <w:t xml:space="preserve"> </w:t>
            </w:r>
            <w:r>
              <w:t>vagy</w:t>
            </w:r>
            <w:r>
              <w:rPr>
                <w:spacing w:val="-13"/>
              </w:rPr>
              <w:t xml:space="preserve"> </w:t>
            </w:r>
            <w:r>
              <w:t>kinidint</w:t>
            </w:r>
            <w:r>
              <w:rPr>
                <w:spacing w:val="-13"/>
              </w:rPr>
              <w:t xml:space="preserve"> </w:t>
            </w:r>
            <w:r>
              <w:t xml:space="preserve">szedő </w:t>
            </w:r>
            <w:r>
              <w:rPr>
                <w:spacing w:val="-2"/>
              </w:rPr>
              <w:t>betegek</w:t>
            </w:r>
          </w:p>
        </w:tc>
        <w:tc>
          <w:tcPr>
            <w:tcW w:w="2182" w:type="dxa"/>
            <w:vMerge/>
            <w:tcBorders>
              <w:top w:val="nil"/>
            </w:tcBorders>
          </w:tcPr>
          <w:p w14:paraId="1EED3A4B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</w:tcPr>
          <w:p w14:paraId="0DE202F3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70" w:type="dxa"/>
            <w:vMerge/>
            <w:tcBorders>
              <w:top w:val="nil"/>
            </w:tcBorders>
          </w:tcPr>
          <w:p w14:paraId="3297E47E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14:paraId="1B00845A" w14:textId="77777777" w:rsidTr="008F5A8D">
        <w:trPr>
          <w:trHeight w:val="251"/>
        </w:trPr>
        <w:tc>
          <w:tcPr>
            <w:tcW w:w="3377" w:type="dxa"/>
          </w:tcPr>
          <w:p w14:paraId="2217C1D3" w14:textId="2229C36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75</w:t>
            </w:r>
            <w:r w:rsidR="00294835">
              <w:rPr>
                <w:spacing w:val="-4"/>
              </w:rPr>
              <w:t> éves</w:t>
            </w:r>
            <w:r>
              <w:rPr>
                <w:spacing w:val="-4"/>
              </w:rPr>
              <w:t xml:space="preserve"> </w:t>
            </w:r>
            <w:r>
              <w:t>vagy</w:t>
            </w:r>
            <w:r>
              <w:rPr>
                <w:spacing w:val="-4"/>
              </w:rPr>
              <w:t xml:space="preserve"> </w:t>
            </w:r>
            <w:r>
              <w:t>annál</w:t>
            </w:r>
            <w:r>
              <w:rPr>
                <w:spacing w:val="-4"/>
              </w:rPr>
              <w:t xml:space="preserve"> </w:t>
            </w:r>
            <w:r>
              <w:t>idősebb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182" w:type="dxa"/>
            <w:vMerge/>
            <w:tcBorders>
              <w:top w:val="nil"/>
            </w:tcBorders>
          </w:tcPr>
          <w:p w14:paraId="04737CD8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632" w:type="dxa"/>
            <w:vMerge/>
            <w:tcBorders>
              <w:top w:val="nil"/>
            </w:tcBorders>
          </w:tcPr>
          <w:p w14:paraId="5D891EFE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70" w:type="dxa"/>
            <w:vMerge/>
            <w:tcBorders>
              <w:top w:val="nil"/>
            </w:tcBorders>
          </w:tcPr>
          <w:p w14:paraId="7076DCC6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</w:tbl>
    <w:p w14:paraId="7DE2443D" w14:textId="0FE56A00" w:rsidR="00945359" w:rsidRDefault="00220A43" w:rsidP="008F5A8D">
      <w:pPr>
        <w:pStyle w:val="Szvegtrzs"/>
        <w:tabs>
          <w:tab w:val="left" w:pos="567"/>
        </w:tabs>
      </w:pPr>
      <w:r>
        <w:t>*Közepesen</w:t>
      </w:r>
      <w:r>
        <w:rPr>
          <w:spacing w:val="-4"/>
        </w:rPr>
        <w:t xml:space="preserve"> </w:t>
      </w:r>
      <w:r>
        <w:t>súlyos</w:t>
      </w:r>
      <w:r>
        <w:rPr>
          <w:spacing w:val="-4"/>
        </w:rPr>
        <w:t xml:space="preserve"> </w:t>
      </w:r>
      <w:r>
        <w:t>fokú</w:t>
      </w:r>
      <w:r>
        <w:rPr>
          <w:spacing w:val="-4"/>
        </w:rPr>
        <w:t xml:space="preserve"> </w:t>
      </w:r>
      <w:r>
        <w:t>vesekárosodásban</w:t>
      </w:r>
      <w:r>
        <w:rPr>
          <w:spacing w:val="-4"/>
        </w:rPr>
        <w:t xml:space="preserve"> </w:t>
      </w:r>
      <w:r>
        <w:t>szenvedő,</w:t>
      </w:r>
      <w:r>
        <w:rPr>
          <w:spacing w:val="-4"/>
        </w:rPr>
        <w:t xml:space="preserve"> </w:t>
      </w:r>
      <w:r>
        <w:t>egyidejűleg</w:t>
      </w:r>
      <w:r>
        <w:rPr>
          <w:spacing w:val="-4"/>
        </w:rPr>
        <w:t xml:space="preserve"> </w:t>
      </w:r>
      <w:r>
        <w:t>verapamil-kezelésben</w:t>
      </w:r>
      <w:r>
        <w:rPr>
          <w:spacing w:val="-4"/>
        </w:rPr>
        <w:t xml:space="preserve"> </w:t>
      </w:r>
      <w:r>
        <w:t>részesülő betegek esetében lásd Különleges betegcsoportok.</w:t>
      </w:r>
    </w:p>
    <w:p w14:paraId="6F204DC0" w14:textId="77777777" w:rsidR="000458CD" w:rsidRDefault="000458CD" w:rsidP="008F5A8D">
      <w:pPr>
        <w:pStyle w:val="Szvegtrzs"/>
        <w:tabs>
          <w:tab w:val="left" w:pos="567"/>
        </w:tabs>
      </w:pPr>
    </w:p>
    <w:p w14:paraId="6C60C64D" w14:textId="373A91D9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2"/>
        </w:rPr>
        <w:t xml:space="preserve"> </w:t>
      </w:r>
      <w:r>
        <w:t>kezelés</w:t>
      </w:r>
      <w:r>
        <w:rPr>
          <w:spacing w:val="-2"/>
        </w:rPr>
        <w:t xml:space="preserve"> </w:t>
      </w:r>
      <w:r>
        <w:t>elkezdését</w:t>
      </w:r>
      <w:r>
        <w:rPr>
          <w:spacing w:val="-2"/>
        </w:rPr>
        <w:t xml:space="preserve"> </w:t>
      </w:r>
      <w:r>
        <w:t>mindkét</w:t>
      </w:r>
      <w:r>
        <w:rPr>
          <w:spacing w:val="-2"/>
        </w:rPr>
        <w:t xml:space="preserve"> </w:t>
      </w:r>
      <w:r>
        <w:t>műtét</w:t>
      </w:r>
      <w:r>
        <w:rPr>
          <w:spacing w:val="-2"/>
        </w:rPr>
        <w:t xml:space="preserve"> </w:t>
      </w:r>
      <w:r>
        <w:t>esetében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halasztani,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haemostasis</w:t>
      </w:r>
      <w:r>
        <w:rPr>
          <w:spacing w:val="-2"/>
        </w:rPr>
        <w:t xml:space="preserve"> </w:t>
      </w:r>
      <w:r>
        <w:t>nincs</w:t>
      </w:r>
      <w:r>
        <w:rPr>
          <w:spacing w:val="-2"/>
        </w:rPr>
        <w:t xml:space="preserve"> </w:t>
      </w:r>
      <w:r>
        <w:t>egyensúlyban. Ha a kezelést nem kezdik el a műtét napján, a kezelést napi egyszer 2</w:t>
      </w:r>
      <w:r w:rsidR="000458CD">
        <w:t> </w:t>
      </w:r>
      <w:r>
        <w:t>kapszulával kell kezdeni.</w:t>
      </w:r>
    </w:p>
    <w:p w14:paraId="59B59A41" w14:textId="77777777" w:rsidR="00E44D56" w:rsidRDefault="00E44D56" w:rsidP="008F5A8D">
      <w:pPr>
        <w:pStyle w:val="Szvegtrzs"/>
        <w:tabs>
          <w:tab w:val="left" w:pos="567"/>
        </w:tabs>
      </w:pPr>
    </w:p>
    <w:p w14:paraId="57A478C6" w14:textId="09D46049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vesefunkció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ellenőrzése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7"/>
          <w:u w:val="single"/>
        </w:rPr>
        <w:t xml:space="preserve"> </w:t>
      </w:r>
      <w:r w:rsidR="00067923">
        <w:rPr>
          <w:i/>
          <w:u w:val="single"/>
        </w:rPr>
        <w:t>dabigatrán-etexilát-kezelés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megkezdése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előtt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során</w:t>
      </w:r>
    </w:p>
    <w:p w14:paraId="5BBA270F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0F795035" w14:textId="1A4C8BC6" w:rsidR="00945359" w:rsidRDefault="00220A43" w:rsidP="008F5A8D">
      <w:pPr>
        <w:pStyle w:val="Szvegtrzs"/>
        <w:tabs>
          <w:tab w:val="left" w:pos="567"/>
        </w:tabs>
      </w:pPr>
      <w:r>
        <w:t>Minden</w:t>
      </w:r>
      <w:r>
        <w:rPr>
          <w:spacing w:val="-3"/>
        </w:rPr>
        <w:t xml:space="preserve"> </w:t>
      </w:r>
      <w:r>
        <w:t>betegnél,</w:t>
      </w:r>
      <w:r>
        <w:rPr>
          <w:spacing w:val="-3"/>
        </w:rPr>
        <w:t xml:space="preserve"> </w:t>
      </w:r>
      <w:r>
        <w:t>különösen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idős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(75</w:t>
      </w:r>
      <w:r w:rsidR="00294835">
        <w:rPr>
          <w:spacing w:val="-3"/>
        </w:rPr>
        <w:t> év</w:t>
      </w:r>
      <w:r>
        <w:rPr>
          <w:spacing w:val="-3"/>
        </w:rPr>
        <w:t xml:space="preserve"> </w:t>
      </w:r>
      <w:r>
        <w:t>felett),</w:t>
      </w:r>
      <w:r>
        <w:rPr>
          <w:spacing w:val="-3"/>
        </w:rPr>
        <w:t xml:space="preserve"> </w:t>
      </w:r>
      <w:r>
        <w:t>mivel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vesekárosodás</w:t>
      </w:r>
      <w:r>
        <w:rPr>
          <w:spacing w:val="-3"/>
        </w:rPr>
        <w:t xml:space="preserve"> </w:t>
      </w:r>
      <w:r>
        <w:t>gyakorisága ebben a korosztályban nagyobb lehet:</w:t>
      </w:r>
    </w:p>
    <w:p w14:paraId="3C06A7FE" w14:textId="12AD5F52" w:rsidR="00945359" w:rsidRDefault="00220A43" w:rsidP="008F5A8D">
      <w:pPr>
        <w:pStyle w:val="Listaszerbekezds"/>
        <w:numPr>
          <w:ilvl w:val="0"/>
          <w:numId w:val="29"/>
        </w:numPr>
        <w:tabs>
          <w:tab w:val="left" w:pos="567"/>
          <w:tab w:val="left" w:pos="824"/>
        </w:tabs>
        <w:ind w:left="567"/>
      </w:pPr>
      <w:r>
        <w:t xml:space="preserve">A </w:t>
      </w:r>
      <w:r w:rsidR="00067923">
        <w:t>dabigatrán-etexilát-kezelés</w:t>
      </w:r>
      <w:r>
        <w:t xml:space="preserve"> elkezdése előtt a kreatinin-clearance (CrCl) meghatározásával a vesefunkciót</w:t>
      </w:r>
      <w:r>
        <w:rPr>
          <w:spacing w:val="-3"/>
        </w:rPr>
        <w:t xml:space="preserve"> </w:t>
      </w:r>
      <w:r>
        <w:t>ellenőrizni</w:t>
      </w:r>
      <w:r>
        <w:rPr>
          <w:spacing w:val="-3"/>
        </w:rPr>
        <w:t xml:space="preserve"> </w:t>
      </w:r>
      <w:r>
        <w:t>kell,</w:t>
      </w:r>
      <w:r>
        <w:rPr>
          <w:spacing w:val="-3"/>
        </w:rPr>
        <w:t xml:space="preserve"> </w:t>
      </w:r>
      <w:r>
        <w:t>annak</w:t>
      </w:r>
      <w:r>
        <w:rPr>
          <w:spacing w:val="-3"/>
        </w:rPr>
        <w:t xml:space="preserve"> </w:t>
      </w:r>
      <w:r>
        <w:t>érdekében,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kizárhatóak</w:t>
      </w:r>
      <w:r>
        <w:rPr>
          <w:spacing w:val="-3"/>
        </w:rPr>
        <w:t xml:space="preserve"> </w:t>
      </w:r>
      <w:r>
        <w:t>legyenek</w:t>
      </w:r>
      <w:r>
        <w:rPr>
          <w:spacing w:val="-3"/>
        </w:rPr>
        <w:t xml:space="preserve"> </w:t>
      </w:r>
      <w:r>
        <w:t>azok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betegek,</w:t>
      </w:r>
      <w:r>
        <w:rPr>
          <w:spacing w:val="-3"/>
        </w:rPr>
        <w:t xml:space="preserve"> </w:t>
      </w:r>
      <w:r>
        <w:t>akik súlyos</w:t>
      </w:r>
      <w:r>
        <w:rPr>
          <w:spacing w:val="-1"/>
        </w:rPr>
        <w:t xml:space="preserve"> </w:t>
      </w:r>
      <w:r>
        <w:t>fokú</w:t>
      </w:r>
      <w:r>
        <w:rPr>
          <w:spacing w:val="-1"/>
        </w:rPr>
        <w:t xml:space="preserve"> </w:t>
      </w:r>
      <w:r>
        <w:t>vesekárosodásban</w:t>
      </w:r>
      <w:r>
        <w:rPr>
          <w:spacing w:val="-1"/>
        </w:rPr>
        <w:t xml:space="preserve"> </w:t>
      </w:r>
      <w:r>
        <w:t>szenvednek</w:t>
      </w:r>
      <w:r>
        <w:rPr>
          <w:spacing w:val="-1"/>
        </w:rPr>
        <w:t xml:space="preserve"> </w:t>
      </w:r>
      <w:r>
        <w:t>(azaz:</w:t>
      </w:r>
      <w:r>
        <w:rPr>
          <w:spacing w:val="-1"/>
        </w:rPr>
        <w:t xml:space="preserve"> </w:t>
      </w:r>
      <w:r>
        <w:t xml:space="preserve">CrCl </w:t>
      </w:r>
      <w:r w:rsidR="00B95CAF">
        <w:t>&lt;</w:t>
      </w:r>
      <w:r>
        <w:t>30</w:t>
      </w:r>
      <w:r w:rsidR="00294835">
        <w:t> ml</w:t>
      </w:r>
      <w:r>
        <w:t>/perc)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4.3,</w:t>
      </w:r>
      <w:r>
        <w:rPr>
          <w:spacing w:val="-1"/>
        </w:rPr>
        <w:t xml:space="preserve"> </w:t>
      </w:r>
      <w:r>
        <w:t>4.4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5.2</w:t>
      </w:r>
      <w:r w:rsidR="00294835">
        <w:rPr>
          <w:spacing w:val="-3"/>
        </w:rPr>
        <w:t> pont</w:t>
      </w:r>
      <w:r>
        <w:t>).</w:t>
      </w:r>
    </w:p>
    <w:p w14:paraId="66679197" w14:textId="77777777" w:rsidR="00945359" w:rsidRDefault="00220A43" w:rsidP="008F5A8D">
      <w:pPr>
        <w:pStyle w:val="Listaszerbekezds"/>
        <w:numPr>
          <w:ilvl w:val="0"/>
          <w:numId w:val="29"/>
        </w:numPr>
        <w:tabs>
          <w:tab w:val="left" w:pos="567"/>
          <w:tab w:val="left" w:pos="824"/>
        </w:tabs>
        <w:ind w:left="567"/>
      </w:pPr>
      <w:r>
        <w:t>A veseműködést ellenőrizni kell, ha a kezelés alatt a veseműködés rosszabbodására lehet számítani</w:t>
      </w:r>
      <w:r>
        <w:rPr>
          <w:spacing w:val="-4"/>
        </w:rPr>
        <w:t xml:space="preserve"> </w:t>
      </w:r>
      <w:r>
        <w:t>(pl.</w:t>
      </w:r>
      <w:r>
        <w:rPr>
          <w:spacing w:val="-4"/>
        </w:rPr>
        <w:t xml:space="preserve"> </w:t>
      </w:r>
      <w:r>
        <w:t>hypovolaemia,</w:t>
      </w:r>
      <w:r>
        <w:rPr>
          <w:spacing w:val="-4"/>
        </w:rPr>
        <w:t xml:space="preserve"> </w:t>
      </w:r>
      <w:r>
        <w:t>dehidráció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bizonyos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egyidejű</w:t>
      </w:r>
      <w:r>
        <w:rPr>
          <w:spacing w:val="-4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t>esetén).</w:t>
      </w:r>
    </w:p>
    <w:p w14:paraId="2E493149" w14:textId="77777777" w:rsidR="00945359" w:rsidRDefault="00945359" w:rsidP="008F5A8D">
      <w:pPr>
        <w:pStyle w:val="Szvegtrzs"/>
        <w:tabs>
          <w:tab w:val="left" w:pos="567"/>
        </w:tabs>
      </w:pPr>
    </w:p>
    <w:p w14:paraId="48F498C8" w14:textId="367C5A0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10"/>
        </w:rPr>
        <w:t xml:space="preserve"> </w:t>
      </w:r>
      <w:r>
        <w:t>vesefunkció</w:t>
      </w:r>
      <w:r>
        <w:rPr>
          <w:spacing w:val="-7"/>
        </w:rPr>
        <w:t xml:space="preserve"> </w:t>
      </w:r>
      <w:r>
        <w:t>(ml/percben</w:t>
      </w:r>
      <w:r>
        <w:rPr>
          <w:spacing w:val="-7"/>
        </w:rPr>
        <w:t xml:space="preserve"> </w:t>
      </w:r>
      <w:r>
        <w:t>mért</w:t>
      </w:r>
      <w:r>
        <w:rPr>
          <w:spacing w:val="-7"/>
        </w:rPr>
        <w:t xml:space="preserve"> </w:t>
      </w:r>
      <w:r>
        <w:t>CrCl)</w:t>
      </w:r>
      <w:r>
        <w:rPr>
          <w:spacing w:val="-8"/>
        </w:rPr>
        <w:t xml:space="preserve"> </w:t>
      </w:r>
      <w:r>
        <w:t>becslésére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Cockcroft</w:t>
      </w:r>
      <w:r w:rsidR="00E44D56">
        <w:t>–</w:t>
      </w:r>
      <w:r>
        <w:t>Gault</w:t>
      </w:r>
      <w:r w:rsidR="00E44D56">
        <w:rPr>
          <w:spacing w:val="-6"/>
        </w:rPr>
        <w:t>-</w:t>
      </w:r>
      <w:r>
        <w:t>módszert</w:t>
      </w:r>
      <w:r>
        <w:rPr>
          <w:spacing w:val="-7"/>
        </w:rPr>
        <w:t xml:space="preserve"> </w:t>
      </w:r>
      <w:r>
        <w:rPr>
          <w:spacing w:val="-2"/>
        </w:rPr>
        <w:t>használják.</w:t>
      </w:r>
    </w:p>
    <w:p w14:paraId="6A9613A2" w14:textId="77777777" w:rsidR="00945359" w:rsidRDefault="00945359" w:rsidP="008F5A8D">
      <w:pPr>
        <w:pStyle w:val="Szvegtrzs"/>
        <w:tabs>
          <w:tab w:val="left" w:pos="567"/>
        </w:tabs>
      </w:pPr>
    </w:p>
    <w:p w14:paraId="1A7C2C09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Kihagyott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dózis</w:t>
      </w:r>
    </w:p>
    <w:p w14:paraId="5059E0D1" w14:textId="43D774A2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2"/>
        </w:rPr>
        <w:t xml:space="preserve"> </w:t>
      </w:r>
      <w:r>
        <w:t>adagolást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</w:t>
      </w:r>
      <w:r>
        <w:rPr>
          <w:spacing w:val="-1"/>
        </w:rPr>
        <w:t xml:space="preserve"> </w:t>
      </w:r>
      <w:r>
        <w:t>változatlan</w:t>
      </w:r>
      <w:r>
        <w:rPr>
          <w:spacing w:val="-3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adagjával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folytatni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napon ugyanabban az időben.</w:t>
      </w:r>
    </w:p>
    <w:p w14:paraId="23129C67" w14:textId="77777777" w:rsidR="00945359" w:rsidRDefault="00220A43" w:rsidP="008F5A8D">
      <w:pPr>
        <w:pStyle w:val="Szvegtrzs"/>
        <w:tabs>
          <w:tab w:val="left" w:pos="567"/>
        </w:tabs>
      </w:pPr>
      <w:r>
        <w:t>Nem</w:t>
      </w:r>
      <w:r>
        <w:rPr>
          <w:spacing w:val="-6"/>
        </w:rPr>
        <w:t xml:space="preserve"> </w:t>
      </w:r>
      <w:r>
        <w:t>szabad</w:t>
      </w:r>
      <w:r>
        <w:rPr>
          <w:spacing w:val="-6"/>
        </w:rPr>
        <w:t xml:space="preserve"> </w:t>
      </w:r>
      <w:r>
        <w:t>kétszeres</w:t>
      </w:r>
      <w:r>
        <w:rPr>
          <w:spacing w:val="-6"/>
        </w:rPr>
        <w:t xml:space="preserve"> </w:t>
      </w:r>
      <w:r>
        <w:t>adagot</w:t>
      </w:r>
      <w:r>
        <w:rPr>
          <w:spacing w:val="-6"/>
        </w:rPr>
        <w:t xml:space="preserve"> </w:t>
      </w:r>
      <w:r>
        <w:t>bevenni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egyes</w:t>
      </w:r>
      <w:r>
        <w:rPr>
          <w:spacing w:val="-6"/>
        </w:rPr>
        <w:t xml:space="preserve"> </w:t>
      </w:r>
      <w:r>
        <w:t>kihagyott</w:t>
      </w:r>
      <w:r>
        <w:rPr>
          <w:spacing w:val="-6"/>
        </w:rPr>
        <w:t xml:space="preserve"> </w:t>
      </w:r>
      <w:r>
        <w:t>adagok</w:t>
      </w:r>
      <w:r>
        <w:rPr>
          <w:spacing w:val="-5"/>
        </w:rPr>
        <w:t xml:space="preserve"> </w:t>
      </w:r>
      <w:r>
        <w:rPr>
          <w:spacing w:val="-2"/>
        </w:rPr>
        <w:t>pótlására.</w:t>
      </w:r>
    </w:p>
    <w:p w14:paraId="1C06D32B" w14:textId="77777777" w:rsidR="00945359" w:rsidRDefault="00945359" w:rsidP="008F5A8D">
      <w:pPr>
        <w:pStyle w:val="Szvegtrzs"/>
        <w:tabs>
          <w:tab w:val="left" w:pos="567"/>
        </w:tabs>
      </w:pPr>
    </w:p>
    <w:p w14:paraId="4CDFD17E" w14:textId="3A6CDD5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9"/>
          <w:u w:val="single"/>
        </w:rPr>
        <w:t xml:space="preserve"> </w:t>
      </w:r>
      <w:r w:rsidR="00067923">
        <w:rPr>
          <w:i/>
          <w:u w:val="single"/>
        </w:rPr>
        <w:t>dabigatrán-etexilát-kezelés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leállítása</w:t>
      </w:r>
    </w:p>
    <w:p w14:paraId="32AF09A2" w14:textId="6C61C00E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orvosi</w:t>
      </w:r>
      <w:r>
        <w:rPr>
          <w:spacing w:val="-3"/>
        </w:rPr>
        <w:t xml:space="preserve"> </w:t>
      </w:r>
      <w:r>
        <w:t>javaslatra</w:t>
      </w:r>
      <w:r>
        <w:rPr>
          <w:spacing w:val="-3"/>
        </w:rPr>
        <w:t xml:space="preserve"> </w:t>
      </w:r>
      <w:r>
        <w:t>állítható</w:t>
      </w:r>
      <w:r>
        <w:rPr>
          <w:spacing w:val="-3"/>
        </w:rPr>
        <w:t xml:space="preserve"> </w:t>
      </w:r>
      <w:r>
        <w:t>le.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betegeknek</w:t>
      </w:r>
      <w:r>
        <w:rPr>
          <w:spacing w:val="-3"/>
        </w:rPr>
        <w:t xml:space="preserve"> </w:t>
      </w:r>
      <w:r>
        <w:t>gastrointestinalis tünetek, pl. dyspepsia megjelenése esetén tájékoztatniuk kell kezelőorvosukat (lásd 4.8.</w:t>
      </w:r>
      <w:r w:rsidR="00294835">
        <w:t> pont</w:t>
      </w:r>
      <w:r>
        <w:t>).</w:t>
      </w:r>
    </w:p>
    <w:p w14:paraId="4C22583F" w14:textId="77777777" w:rsidR="006D73BD" w:rsidRDefault="006D73BD" w:rsidP="008F5A8D">
      <w:pPr>
        <w:pStyle w:val="Szvegtrzs"/>
        <w:tabs>
          <w:tab w:val="left" w:pos="567"/>
        </w:tabs>
      </w:pPr>
    </w:p>
    <w:p w14:paraId="330490AD" w14:textId="77777777" w:rsidR="00945359" w:rsidRDefault="00220A43">
      <w:pPr>
        <w:tabs>
          <w:tab w:val="left" w:pos="567"/>
        </w:tabs>
        <w:rPr>
          <w:i/>
          <w:spacing w:val="-2"/>
          <w:u w:val="single"/>
        </w:rPr>
      </w:pPr>
      <w:r>
        <w:rPr>
          <w:i/>
          <w:spacing w:val="-2"/>
          <w:u w:val="single"/>
        </w:rPr>
        <w:t>Átállítás</w:t>
      </w:r>
    </w:p>
    <w:p w14:paraId="16555F73" w14:textId="403E28CE" w:rsidR="00945359" w:rsidRDefault="00067923" w:rsidP="008F5A8D">
      <w:pPr>
        <w:pStyle w:val="Szvegtrzs"/>
        <w:tabs>
          <w:tab w:val="left" w:pos="567"/>
        </w:tabs>
      </w:pPr>
      <w:r>
        <w:rPr>
          <w:spacing w:val="-2"/>
        </w:rPr>
        <w:t>Dabigatrán-etexilát-kezelés</w:t>
      </w:r>
      <w:r w:rsidR="00220A43">
        <w:rPr>
          <w:spacing w:val="-2"/>
        </w:rPr>
        <w:t>ről</w:t>
      </w:r>
      <w:r w:rsidR="00220A43">
        <w:rPr>
          <w:spacing w:val="20"/>
        </w:rPr>
        <w:t xml:space="preserve"> </w:t>
      </w:r>
      <w:r w:rsidR="00220A43">
        <w:rPr>
          <w:spacing w:val="-2"/>
        </w:rPr>
        <w:t>parenter</w:t>
      </w:r>
      <w:r w:rsidR="003811EA">
        <w:rPr>
          <w:spacing w:val="-2"/>
        </w:rPr>
        <w:t>a</w:t>
      </w:r>
      <w:r w:rsidR="00220A43">
        <w:rPr>
          <w:spacing w:val="-2"/>
        </w:rPr>
        <w:t>lis</w:t>
      </w:r>
      <w:r w:rsidR="00220A43">
        <w:rPr>
          <w:spacing w:val="21"/>
        </w:rPr>
        <w:t xml:space="preserve"> </w:t>
      </w:r>
      <w:r w:rsidR="00AB32E4">
        <w:rPr>
          <w:spacing w:val="-2"/>
        </w:rPr>
        <w:t>antikoaguláns kezelés</w:t>
      </w:r>
      <w:r w:rsidR="00220A43">
        <w:rPr>
          <w:spacing w:val="-2"/>
        </w:rPr>
        <w:t>re:</w:t>
      </w:r>
    </w:p>
    <w:p w14:paraId="643B6D62" w14:textId="79A154F9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dabigatrán-etexilátról</w:t>
      </w:r>
      <w:r>
        <w:rPr>
          <w:spacing w:val="-4"/>
        </w:rPr>
        <w:t xml:space="preserve"> </w:t>
      </w:r>
      <w:r>
        <w:t>parenter</w:t>
      </w:r>
      <w:r w:rsidR="003811EA">
        <w:t>a</w:t>
      </w:r>
      <w:r>
        <w:t>lis</w:t>
      </w:r>
      <w:r>
        <w:rPr>
          <w:spacing w:val="-4"/>
        </w:rPr>
        <w:t xml:space="preserve"> </w:t>
      </w:r>
      <w:r w:rsidR="00AB32E4">
        <w:t>antikoaguláns kezelés</w:t>
      </w:r>
      <w:r>
        <w:t>re</w:t>
      </w:r>
      <w:r>
        <w:rPr>
          <w:spacing w:val="-4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átállításkor</w:t>
      </w:r>
      <w:r>
        <w:rPr>
          <w:spacing w:val="-4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24</w:t>
      </w:r>
      <w:r w:rsidR="002E2A7B">
        <w:rPr>
          <w:spacing w:val="-6"/>
        </w:rPr>
        <w:t> órá</w:t>
      </w:r>
      <w:r>
        <w:t>t</w:t>
      </w:r>
      <w:r>
        <w:rPr>
          <w:spacing w:val="-4"/>
        </w:rPr>
        <w:t xml:space="preserve"> </w:t>
      </w:r>
      <w:r>
        <w:t xml:space="preserve">várni </w:t>
      </w:r>
      <w:r>
        <w:lastRenderedPageBreak/>
        <w:t>az utolsó adag dabigatrán-etexilát után (lásd 4.5</w:t>
      </w:r>
      <w:r w:rsidR="00294835">
        <w:t> pont</w:t>
      </w:r>
      <w:r>
        <w:t>).</w:t>
      </w:r>
    </w:p>
    <w:p w14:paraId="23BED86C" w14:textId="77777777" w:rsidR="000458CD" w:rsidRDefault="000458CD" w:rsidP="008F5A8D">
      <w:pPr>
        <w:pStyle w:val="Szvegtrzs"/>
        <w:tabs>
          <w:tab w:val="left" w:pos="567"/>
        </w:tabs>
      </w:pPr>
    </w:p>
    <w:p w14:paraId="56E021B1" w14:textId="3C779812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Parenter</w:t>
      </w:r>
      <w:r w:rsidR="003811EA">
        <w:rPr>
          <w:spacing w:val="-2"/>
        </w:rPr>
        <w:t>a</w:t>
      </w:r>
      <w:r>
        <w:rPr>
          <w:spacing w:val="-2"/>
        </w:rPr>
        <w:t>lis</w:t>
      </w:r>
      <w:r>
        <w:rPr>
          <w:spacing w:val="19"/>
        </w:rPr>
        <w:t xml:space="preserve"> </w:t>
      </w:r>
      <w:r>
        <w:rPr>
          <w:spacing w:val="-2"/>
        </w:rPr>
        <w:t>antikoagulánsról</w:t>
      </w:r>
      <w:r>
        <w:rPr>
          <w:spacing w:val="19"/>
        </w:rPr>
        <w:t xml:space="preserve"> </w:t>
      </w:r>
      <w:r>
        <w:rPr>
          <w:spacing w:val="-2"/>
        </w:rPr>
        <w:t>dabigatrán-etexilátra:</w:t>
      </w:r>
    </w:p>
    <w:p w14:paraId="6F795C03" w14:textId="1161AED7" w:rsidR="00945359" w:rsidRDefault="00220A43">
      <w:pPr>
        <w:pStyle w:val="Szvegtrzs"/>
        <w:tabs>
          <w:tab w:val="left" w:pos="567"/>
        </w:tabs>
      </w:pPr>
      <w:r>
        <w:t>Az antikoaguláns kezelés következő adagjának esedékessége előtt 0-2</w:t>
      </w:r>
      <w:r w:rsidR="002E2A7B">
        <w:t> órá</w:t>
      </w:r>
      <w:r>
        <w:t>val a parenter</w:t>
      </w:r>
      <w:r w:rsidR="003811EA">
        <w:t>a</w:t>
      </w:r>
      <w:r>
        <w:t xml:space="preserve">lis </w:t>
      </w:r>
      <w:r w:rsidR="00AB32E4">
        <w:t>antikoaguláns kezelés</w:t>
      </w:r>
      <w:r>
        <w:t xml:space="preserve">t le kell állítani, és a </w:t>
      </w:r>
      <w:r w:rsidR="00067923">
        <w:t>dabigatrán-etexilát-kezelés</w:t>
      </w:r>
      <w:r>
        <w:t>t meg kell kezdeni, illetve a folyamatos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(pl.</w:t>
      </w:r>
      <w:r>
        <w:rPr>
          <w:spacing w:val="-3"/>
        </w:rPr>
        <w:t xml:space="preserve"> </w:t>
      </w:r>
      <w:r>
        <w:t>intravénás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frakcionált</w:t>
      </w:r>
      <w:r>
        <w:rPr>
          <w:spacing w:val="-3"/>
        </w:rPr>
        <w:t xml:space="preserve"> </w:t>
      </w:r>
      <w:r>
        <w:t>heparin</w:t>
      </w:r>
      <w:r>
        <w:rPr>
          <w:spacing w:val="-3"/>
        </w:rPr>
        <w:t xml:space="preserve"> </w:t>
      </w:r>
      <w:r w:rsidR="00C05FFC">
        <w:t>[</w:t>
      </w:r>
      <w:r>
        <w:t>UFH</w:t>
      </w:r>
      <w:r w:rsidR="00C05FFC">
        <w:t>]</w:t>
      </w:r>
      <w:r>
        <w:t>)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antikoaguláns</w:t>
      </w:r>
      <w:r>
        <w:rPr>
          <w:spacing w:val="-3"/>
        </w:rPr>
        <w:t xml:space="preserve"> </w:t>
      </w:r>
      <w:r>
        <w:t>terápia leállításakor kell megkezdeni a dabigatrán-etexilát alkalmazását (lásd 4.5</w:t>
      </w:r>
      <w:r w:rsidR="00294835">
        <w:t> pont</w:t>
      </w:r>
      <w:r>
        <w:t>).</w:t>
      </w:r>
    </w:p>
    <w:p w14:paraId="0F00E2E0" w14:textId="77777777" w:rsidR="006D73BD" w:rsidRDefault="006D73BD" w:rsidP="008F5A8D">
      <w:pPr>
        <w:pStyle w:val="Szvegtrzs"/>
        <w:tabs>
          <w:tab w:val="left" w:pos="567"/>
        </w:tabs>
      </w:pPr>
    </w:p>
    <w:p w14:paraId="1DCBE1B1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Különleges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betegcsoportok</w:t>
      </w:r>
    </w:p>
    <w:p w14:paraId="319E0DDB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17865A23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Vesekárosodás</w:t>
      </w:r>
    </w:p>
    <w:p w14:paraId="68E403F0" w14:textId="64B0A784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</w:t>
      </w:r>
      <w:r>
        <w:rPr>
          <w:spacing w:val="-3"/>
        </w:rPr>
        <w:t xml:space="preserve"> </w:t>
      </w:r>
      <w:r>
        <w:t>vesekárosodásban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(30</w:t>
      </w:r>
      <w:r w:rsidR="00294835">
        <w:rPr>
          <w:spacing w:val="-3"/>
        </w:rPr>
        <w:t> ml</w:t>
      </w:r>
      <w:r>
        <w:t>/perc</w:t>
      </w:r>
      <w:r>
        <w:rPr>
          <w:spacing w:val="-3"/>
        </w:rPr>
        <w:t xml:space="preserve"> </w:t>
      </w:r>
      <w:r>
        <w:t xml:space="preserve">alatti kreatinin-clearance </w:t>
      </w:r>
      <w:r w:rsidR="00B60AA8">
        <w:t>[</w:t>
      </w:r>
      <w:r>
        <w:t>CrCl</w:t>
      </w:r>
      <w:r w:rsidR="00B60AA8">
        <w:t>]</w:t>
      </w:r>
      <w:r>
        <w:t>) ellenjavallt (lásd 4.3</w:t>
      </w:r>
      <w:r w:rsidR="00294835">
        <w:t> pont</w:t>
      </w:r>
      <w:r>
        <w:t>).</w:t>
      </w:r>
    </w:p>
    <w:p w14:paraId="0E77F5D1" w14:textId="2E164ED0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közepesen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</w:t>
      </w:r>
      <w:r>
        <w:rPr>
          <w:spacing w:val="-3"/>
        </w:rPr>
        <w:t xml:space="preserve"> </w:t>
      </w:r>
      <w:r>
        <w:t>vesekárosodásban</w:t>
      </w:r>
      <w:r>
        <w:rPr>
          <w:spacing w:val="-3"/>
        </w:rPr>
        <w:t xml:space="preserve"> </w:t>
      </w:r>
      <w:r>
        <w:t>(CrCl:</w:t>
      </w:r>
      <w:r>
        <w:rPr>
          <w:spacing w:val="-3"/>
        </w:rPr>
        <w:t xml:space="preserve"> </w:t>
      </w:r>
      <w:r>
        <w:t>30-50</w:t>
      </w:r>
      <w:r w:rsidR="00294835">
        <w:rPr>
          <w:spacing w:val="-3"/>
        </w:rPr>
        <w:t> ml</w:t>
      </w:r>
      <w:r>
        <w:t>/perc)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esetében dóziscsökkentés javasolt (lásd 1.</w:t>
      </w:r>
      <w:r w:rsidR="00B95CAF">
        <w:t> táblázat</w:t>
      </w:r>
      <w:r>
        <w:t xml:space="preserve"> fent, valamint 4.4 és 5.1</w:t>
      </w:r>
      <w:r w:rsidR="00294835">
        <w:t> pont</w:t>
      </w:r>
      <w:r>
        <w:t>).</w:t>
      </w:r>
    </w:p>
    <w:p w14:paraId="2B1E0E6C" w14:textId="77777777" w:rsidR="00945359" w:rsidRDefault="00945359" w:rsidP="008F5A8D">
      <w:pPr>
        <w:pStyle w:val="Szvegtrzs"/>
        <w:tabs>
          <w:tab w:val="left" w:pos="567"/>
        </w:tabs>
      </w:pPr>
    </w:p>
    <w:p w14:paraId="3B1C0141" w14:textId="51F3B9C9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dabigatrán-etexilát</w:t>
      </w:r>
      <w:r>
        <w:rPr>
          <w:i/>
          <w:spacing w:val="-5"/>
        </w:rPr>
        <w:t xml:space="preserve"> </w:t>
      </w:r>
      <w:r>
        <w:rPr>
          <w:i/>
        </w:rPr>
        <w:t>egyidejű</w:t>
      </w:r>
      <w:r>
        <w:rPr>
          <w:i/>
          <w:spacing w:val="-4"/>
        </w:rPr>
        <w:t xml:space="preserve"> </w:t>
      </w:r>
      <w:r>
        <w:rPr>
          <w:i/>
        </w:rPr>
        <w:t>alkalmazása</w:t>
      </w:r>
      <w:r>
        <w:rPr>
          <w:i/>
          <w:spacing w:val="-4"/>
        </w:rPr>
        <w:t xml:space="preserve"> </w:t>
      </w:r>
      <w:r>
        <w:rPr>
          <w:i/>
        </w:rPr>
        <w:t>gyenge</w:t>
      </w:r>
      <w:r>
        <w:rPr>
          <w:i/>
          <w:spacing w:val="-4"/>
        </w:rPr>
        <w:t xml:space="preserve"> </w:t>
      </w:r>
      <w:r>
        <w:rPr>
          <w:i/>
        </w:rPr>
        <w:t>és</w:t>
      </w:r>
      <w:r>
        <w:rPr>
          <w:i/>
          <w:spacing w:val="-4"/>
        </w:rPr>
        <w:t xml:space="preserve"> </w:t>
      </w:r>
      <w:r>
        <w:rPr>
          <w:i/>
        </w:rPr>
        <w:t>közepesen</w:t>
      </w:r>
      <w:r>
        <w:rPr>
          <w:i/>
          <w:spacing w:val="-4"/>
        </w:rPr>
        <w:t xml:space="preserve"> </w:t>
      </w:r>
      <w:r>
        <w:rPr>
          <w:i/>
        </w:rPr>
        <w:t>erős</w:t>
      </w:r>
      <w:r>
        <w:rPr>
          <w:i/>
          <w:spacing w:val="-4"/>
        </w:rPr>
        <w:t xml:space="preserve"> </w:t>
      </w:r>
      <w:r>
        <w:rPr>
          <w:i/>
        </w:rPr>
        <w:t>P-glikoprotein</w:t>
      </w:r>
      <w:r w:rsidR="00AB32E4">
        <w:rPr>
          <w:i/>
        </w:rPr>
        <w:t>-</w:t>
      </w:r>
      <w:r>
        <w:rPr>
          <w:i/>
          <w:spacing w:val="-4"/>
        </w:rPr>
        <w:t xml:space="preserve"> </w:t>
      </w:r>
      <w:r>
        <w:rPr>
          <w:i/>
        </w:rPr>
        <w:t>(P-gp</w:t>
      </w:r>
      <w:r w:rsidR="00AB32E4">
        <w:rPr>
          <w:i/>
        </w:rPr>
        <w:t>-</w:t>
      </w:r>
      <w:r>
        <w:rPr>
          <w:i/>
        </w:rPr>
        <w:t>) inhibitorokkal, pl. amiodaronnal, kinidinnel vagy verapamillal</w:t>
      </w:r>
    </w:p>
    <w:p w14:paraId="3C68E10C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1E8E594F" w14:textId="6E9A1674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2"/>
        </w:rPr>
        <w:t xml:space="preserve"> </w:t>
      </w:r>
      <w:r>
        <w:t>dózist</w:t>
      </w:r>
      <w:r>
        <w:rPr>
          <w:spacing w:val="-2"/>
        </w:rPr>
        <w:t xml:space="preserve"> </w:t>
      </w:r>
      <w:r>
        <w:t>csökkenteni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1.</w:t>
      </w:r>
      <w:r w:rsidR="00B95CAF">
        <w:rPr>
          <w:spacing w:val="-1"/>
        </w:rPr>
        <w:t> táblázat</w:t>
      </w:r>
      <w:r>
        <w:t>ban</w:t>
      </w:r>
      <w:r>
        <w:rPr>
          <w:spacing w:val="-2"/>
        </w:rPr>
        <w:t xml:space="preserve"> </w:t>
      </w:r>
      <w:r>
        <w:t>foglaltak</w:t>
      </w:r>
      <w:r>
        <w:rPr>
          <w:spacing w:val="-2"/>
        </w:rPr>
        <w:t xml:space="preserve"> </w:t>
      </w:r>
      <w:r>
        <w:t>szerint</w:t>
      </w:r>
      <w:r>
        <w:rPr>
          <w:spacing w:val="-2"/>
        </w:rPr>
        <w:t xml:space="preserve"> </w:t>
      </w:r>
      <w:r>
        <w:t>(illetve</w:t>
      </w:r>
      <w:r>
        <w:rPr>
          <w:spacing w:val="-2"/>
        </w:rPr>
        <w:t xml:space="preserve"> </w:t>
      </w:r>
      <w:r>
        <w:t>lásd</w:t>
      </w:r>
      <w:r>
        <w:rPr>
          <w:spacing w:val="-2"/>
        </w:rPr>
        <w:t xml:space="preserve"> </w:t>
      </w:r>
      <w:r>
        <w:t>4.4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4.5</w:t>
      </w:r>
      <w:r w:rsidR="00294835">
        <w:rPr>
          <w:spacing w:val="-5"/>
        </w:rPr>
        <w:t> pont</w:t>
      </w:r>
      <w:r>
        <w:t>).</w:t>
      </w:r>
      <w:r>
        <w:rPr>
          <w:spacing w:val="-2"/>
        </w:rPr>
        <w:t xml:space="preserve"> </w:t>
      </w:r>
      <w:r>
        <w:t>Ilyen</w:t>
      </w:r>
      <w:r>
        <w:rPr>
          <w:spacing w:val="-2"/>
        </w:rPr>
        <w:t xml:space="preserve"> </w:t>
      </w:r>
      <w:r>
        <w:t>esetben a dabigatrán-etexilátot és ezeket a gyógyszereket egyidejűleg kell bevenni.</w:t>
      </w:r>
    </w:p>
    <w:p w14:paraId="5604FE45" w14:textId="49E3CFBB" w:rsidR="00945359" w:rsidRDefault="00220A43" w:rsidP="008F5A8D">
      <w:pPr>
        <w:pStyle w:val="Szvegtrzs"/>
        <w:tabs>
          <w:tab w:val="left" w:pos="567"/>
        </w:tabs>
      </w:pPr>
      <w:r>
        <w:t>Közepesen súlyos fokú vesekárosodásban szenvedő betegeknél a verapamillal végzett egyidejű kezeléskor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fontolni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dózisának</w:t>
      </w:r>
      <w:r>
        <w:rPr>
          <w:spacing w:val="-3"/>
        </w:rPr>
        <w:t xml:space="preserve"> </w:t>
      </w:r>
      <w:r>
        <w:t>75</w:t>
      </w:r>
      <w:r w:rsidR="00294835">
        <w:rPr>
          <w:spacing w:val="-2"/>
        </w:rPr>
        <w:t> mg</w:t>
      </w:r>
      <w:r>
        <w:t>-ra</w:t>
      </w:r>
      <w:r>
        <w:rPr>
          <w:spacing w:val="-2"/>
        </w:rPr>
        <w:t xml:space="preserve"> </w:t>
      </w:r>
      <w:r>
        <w:t>történő</w:t>
      </w:r>
      <w:r>
        <w:rPr>
          <w:spacing w:val="-2"/>
        </w:rPr>
        <w:t xml:space="preserve"> </w:t>
      </w:r>
      <w:r>
        <w:t>csökkentését</w:t>
      </w:r>
      <w:r>
        <w:rPr>
          <w:spacing w:val="-2"/>
        </w:rPr>
        <w:t xml:space="preserve"> </w:t>
      </w:r>
      <w:r>
        <w:t>(lásd 4.4 és 4.5</w:t>
      </w:r>
      <w:r w:rsidR="00294835">
        <w:t> pont</w:t>
      </w:r>
      <w:r>
        <w:t>).</w:t>
      </w:r>
    </w:p>
    <w:p w14:paraId="189B7D5A" w14:textId="77777777" w:rsidR="00945359" w:rsidRDefault="00945359" w:rsidP="008F5A8D">
      <w:pPr>
        <w:pStyle w:val="Szvegtrzs"/>
        <w:tabs>
          <w:tab w:val="left" w:pos="567"/>
        </w:tabs>
      </w:pPr>
    </w:p>
    <w:p w14:paraId="2024A8D5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Idősek</w:t>
      </w:r>
    </w:p>
    <w:p w14:paraId="396DC3A1" w14:textId="3297035E" w:rsidR="00945359" w:rsidRDefault="00220A43" w:rsidP="008F5A8D">
      <w:pPr>
        <w:pStyle w:val="Szvegtrzs"/>
        <w:tabs>
          <w:tab w:val="left" w:pos="567"/>
        </w:tabs>
      </w:pPr>
      <w:r>
        <w:t>Idős</w:t>
      </w:r>
      <w:r>
        <w:rPr>
          <w:spacing w:val="-8"/>
        </w:rPr>
        <w:t xml:space="preserve"> </w:t>
      </w:r>
      <w:r>
        <w:t>betegeknél</w:t>
      </w:r>
      <w:r>
        <w:rPr>
          <w:spacing w:val="-6"/>
        </w:rPr>
        <w:t xml:space="preserve"> </w:t>
      </w:r>
      <w:r>
        <w:t>(75</w:t>
      </w:r>
      <w:r w:rsidR="00294835">
        <w:rPr>
          <w:spacing w:val="-6"/>
        </w:rPr>
        <w:t> év</w:t>
      </w:r>
      <w:r>
        <w:rPr>
          <w:spacing w:val="-5"/>
        </w:rPr>
        <w:t xml:space="preserve"> </w:t>
      </w:r>
      <w:r>
        <w:t>felett)</w:t>
      </w:r>
      <w:r>
        <w:rPr>
          <w:spacing w:val="-6"/>
        </w:rPr>
        <w:t xml:space="preserve"> </w:t>
      </w:r>
      <w:r>
        <w:t>dóziscsökkentés</w:t>
      </w:r>
      <w:r>
        <w:rPr>
          <w:spacing w:val="-6"/>
        </w:rPr>
        <w:t xml:space="preserve"> </w:t>
      </w:r>
      <w:r>
        <w:t>javasolt</w:t>
      </w:r>
      <w:r>
        <w:rPr>
          <w:spacing w:val="-5"/>
        </w:rPr>
        <w:t xml:space="preserve"> </w:t>
      </w:r>
      <w:r>
        <w:t>(lásd</w:t>
      </w:r>
      <w:r>
        <w:rPr>
          <w:spacing w:val="-6"/>
        </w:rPr>
        <w:t xml:space="preserve"> </w:t>
      </w:r>
      <w:r>
        <w:t>1.</w:t>
      </w:r>
      <w:r w:rsidR="00B95CAF">
        <w:rPr>
          <w:spacing w:val="-7"/>
        </w:rPr>
        <w:t> táblázat</w:t>
      </w:r>
      <w:r>
        <w:rPr>
          <w:spacing w:val="-6"/>
        </w:rPr>
        <w:t xml:space="preserve"> </w:t>
      </w:r>
      <w:r>
        <w:t>fent,</w:t>
      </w:r>
      <w:r>
        <w:rPr>
          <w:spacing w:val="-6"/>
        </w:rPr>
        <w:t xml:space="preserve"> </w:t>
      </w:r>
      <w:r>
        <w:t>valamint</w:t>
      </w:r>
      <w:r>
        <w:rPr>
          <w:spacing w:val="-5"/>
        </w:rPr>
        <w:t xml:space="preserve"> </w:t>
      </w:r>
      <w:r>
        <w:t>4.4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5.1</w:t>
      </w:r>
      <w:r w:rsidR="00294835">
        <w:rPr>
          <w:spacing w:val="-5"/>
        </w:rPr>
        <w:t> pont</w:t>
      </w:r>
      <w:r>
        <w:rPr>
          <w:spacing w:val="-2"/>
        </w:rPr>
        <w:t>).</w:t>
      </w:r>
    </w:p>
    <w:p w14:paraId="42F6BF92" w14:textId="77777777" w:rsidR="00945359" w:rsidRDefault="00945359" w:rsidP="008F5A8D">
      <w:pPr>
        <w:pStyle w:val="Szvegtrzs"/>
        <w:tabs>
          <w:tab w:val="left" w:pos="567"/>
        </w:tabs>
      </w:pPr>
    </w:p>
    <w:p w14:paraId="0F2013D7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Testtömeg</w:t>
      </w:r>
    </w:p>
    <w:p w14:paraId="631EB22F" w14:textId="157E11D2" w:rsidR="00945359" w:rsidRDefault="00220A43" w:rsidP="008F5A8D">
      <w:pPr>
        <w:pStyle w:val="Szvegtrzs"/>
        <w:tabs>
          <w:tab w:val="left" w:pos="567"/>
        </w:tabs>
      </w:pPr>
      <w:r>
        <w:t>Nagyon kevés klinikai tapasztalat áll rendelkezésre a javasolt adagolást alkalmazó 50</w:t>
      </w:r>
      <w:r w:rsidR="00AB32E4">
        <w:t> kg</w:t>
      </w:r>
      <w:r>
        <w:t xml:space="preserve"> alatti és 110</w:t>
      </w:r>
      <w:r w:rsidR="00AB32E4">
        <w:rPr>
          <w:spacing w:val="-2"/>
        </w:rPr>
        <w:t> kg</w:t>
      </w:r>
      <w:r>
        <w:rPr>
          <w:spacing w:val="-3"/>
        </w:rPr>
        <w:t xml:space="preserve"> </w:t>
      </w:r>
      <w:r>
        <w:t>feletti</w:t>
      </w:r>
      <w:r>
        <w:rPr>
          <w:spacing w:val="-3"/>
        </w:rPr>
        <w:t xml:space="preserve"> </w:t>
      </w:r>
      <w:r>
        <w:t>testtömegű</w:t>
      </w:r>
      <w:r>
        <w:rPr>
          <w:spacing w:val="-3"/>
        </w:rPr>
        <w:t xml:space="preserve"> </w:t>
      </w:r>
      <w:r>
        <w:t>betegekre</w:t>
      </w:r>
      <w:r>
        <w:rPr>
          <w:spacing w:val="-3"/>
        </w:rPr>
        <w:t xml:space="preserve"> </w:t>
      </w:r>
      <w:r>
        <w:t>vonatkozóan.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kinetikai</w:t>
      </w:r>
      <w:r>
        <w:rPr>
          <w:spacing w:val="-3"/>
        </w:rPr>
        <w:t xml:space="preserve"> </w:t>
      </w:r>
      <w:r>
        <w:t>adatok alapján a dózis módosítása nem szükséges (lásd 5.2</w:t>
      </w:r>
      <w:r w:rsidR="00294835">
        <w:t> pont</w:t>
      </w:r>
      <w:r>
        <w:t>), de szoros klinikai megfigyelés javasolt (lásd 4.4</w:t>
      </w:r>
      <w:r w:rsidR="00294835">
        <w:t> pont</w:t>
      </w:r>
      <w:r>
        <w:t>).</w:t>
      </w:r>
    </w:p>
    <w:p w14:paraId="2BA69DD3" w14:textId="77777777" w:rsidR="00945359" w:rsidRDefault="00945359" w:rsidP="008F5A8D">
      <w:pPr>
        <w:pStyle w:val="Szvegtrzs"/>
        <w:tabs>
          <w:tab w:val="left" w:pos="567"/>
        </w:tabs>
      </w:pPr>
    </w:p>
    <w:p w14:paraId="32017EF2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5"/>
        </w:rPr>
        <w:t>Nem</w:t>
      </w:r>
    </w:p>
    <w:p w14:paraId="23452E86" w14:textId="29E98B55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6"/>
        </w:rPr>
        <w:t xml:space="preserve"> </w:t>
      </w:r>
      <w:r>
        <w:t>dózis</w:t>
      </w:r>
      <w:r>
        <w:rPr>
          <w:spacing w:val="-5"/>
        </w:rPr>
        <w:t xml:space="preserve"> </w:t>
      </w:r>
      <w:r>
        <w:t>módosítása</w:t>
      </w:r>
      <w:r>
        <w:rPr>
          <w:spacing w:val="-5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szükséges</w:t>
      </w:r>
      <w:r>
        <w:rPr>
          <w:spacing w:val="-5"/>
        </w:rPr>
        <w:t xml:space="preserve"> </w:t>
      </w:r>
      <w:r>
        <w:t>(lásd</w:t>
      </w:r>
      <w:r>
        <w:rPr>
          <w:spacing w:val="-5"/>
        </w:rPr>
        <w:t xml:space="preserve"> </w:t>
      </w:r>
      <w:r>
        <w:t>5.2</w:t>
      </w:r>
      <w:r w:rsidR="00294835">
        <w:rPr>
          <w:spacing w:val="-5"/>
        </w:rPr>
        <w:t> pont</w:t>
      </w:r>
      <w:r>
        <w:rPr>
          <w:spacing w:val="-2"/>
        </w:rPr>
        <w:t>).</w:t>
      </w:r>
    </w:p>
    <w:p w14:paraId="30168C3E" w14:textId="77777777" w:rsidR="00945359" w:rsidRDefault="00945359" w:rsidP="008F5A8D">
      <w:pPr>
        <w:pStyle w:val="Szvegtrzs"/>
        <w:tabs>
          <w:tab w:val="left" w:pos="567"/>
        </w:tabs>
      </w:pPr>
    </w:p>
    <w:p w14:paraId="6C0EFDE3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Gyermekek</w:t>
      </w:r>
      <w:r>
        <w:rPr>
          <w:i/>
          <w:spacing w:val="-6"/>
        </w:rPr>
        <w:t xml:space="preserve"> </w:t>
      </w:r>
      <w:r>
        <w:rPr>
          <w:i/>
        </w:rPr>
        <w:t>és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serdülők</w:t>
      </w:r>
    </w:p>
    <w:p w14:paraId="162EE5BA" w14:textId="59C1A6C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1"/>
        </w:rPr>
        <w:t xml:space="preserve"> </w:t>
      </w:r>
      <w:r>
        <w:t>dabigatrán-etexilátnak</w:t>
      </w:r>
      <w:r>
        <w:rPr>
          <w:spacing w:val="-1"/>
        </w:rPr>
        <w:t xml:space="preserve"> </w:t>
      </w:r>
      <w:r>
        <w:t>gyermekeknél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serdülőknél</w:t>
      </w:r>
      <w:r>
        <w:rPr>
          <w:spacing w:val="-4"/>
        </w:rPr>
        <w:t xml:space="preserve"> </w:t>
      </w:r>
      <w:r>
        <w:t>„a</w:t>
      </w:r>
      <w:r>
        <w:rPr>
          <w:spacing w:val="-1"/>
        </w:rPr>
        <w:t xml:space="preserve"> </w:t>
      </w:r>
      <w:r>
        <w:t>VTE</w:t>
      </w:r>
      <w:r>
        <w:rPr>
          <w:spacing w:val="-1"/>
        </w:rPr>
        <w:t xml:space="preserve"> </w:t>
      </w:r>
      <w:r>
        <w:t>primer</w:t>
      </w:r>
      <w:r>
        <w:rPr>
          <w:spacing w:val="-1"/>
        </w:rPr>
        <w:t xml:space="preserve"> </w:t>
      </w:r>
      <w:r>
        <w:t>prevenciója</w:t>
      </w:r>
      <w:r>
        <w:rPr>
          <w:spacing w:val="-1"/>
        </w:rPr>
        <w:t xml:space="preserve"> </w:t>
      </w:r>
      <w:r>
        <w:t>elektív,</w:t>
      </w:r>
      <w:r>
        <w:rPr>
          <w:spacing w:val="-1"/>
        </w:rPr>
        <w:t xml:space="preserve"> </w:t>
      </w:r>
      <w:r>
        <w:t>teljes csípőízületi</w:t>
      </w:r>
      <w:r>
        <w:rPr>
          <w:spacing w:val="-3"/>
        </w:rPr>
        <w:t xml:space="preserve"> </w:t>
      </w:r>
      <w:r>
        <w:t>endoprotézis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teljes</w:t>
      </w:r>
      <w:r>
        <w:rPr>
          <w:spacing w:val="-5"/>
        </w:rPr>
        <w:t xml:space="preserve"> </w:t>
      </w:r>
      <w:r>
        <w:t>térdízületi</w:t>
      </w:r>
      <w:r>
        <w:rPr>
          <w:spacing w:val="-3"/>
        </w:rPr>
        <w:t xml:space="preserve"> </w:t>
      </w:r>
      <w:r w:rsidR="00067923">
        <w:t>endoprotézis-műtét</w:t>
      </w:r>
      <w:r>
        <w:t>en</w:t>
      </w:r>
      <w:r>
        <w:rPr>
          <w:spacing w:val="-3"/>
        </w:rPr>
        <w:t xml:space="preserve"> </w:t>
      </w:r>
      <w:r>
        <w:t>átesett</w:t>
      </w:r>
      <w:r>
        <w:rPr>
          <w:spacing w:val="-3"/>
        </w:rPr>
        <w:t xml:space="preserve"> </w:t>
      </w:r>
      <w:r>
        <w:t>betegeknél”</w:t>
      </w:r>
      <w:r>
        <w:rPr>
          <w:spacing w:val="-4"/>
        </w:rPr>
        <w:t xml:space="preserve"> </w:t>
      </w:r>
      <w:r>
        <w:t>javallat esetén nincs releváns alkalmazása.</w:t>
      </w:r>
    </w:p>
    <w:p w14:paraId="647506B3" w14:textId="77777777" w:rsidR="00AB32E4" w:rsidRDefault="00AB32E4" w:rsidP="008F5A8D">
      <w:pPr>
        <w:pStyle w:val="Szvegtrzs"/>
        <w:tabs>
          <w:tab w:val="left" w:pos="567"/>
        </w:tabs>
      </w:pPr>
    </w:p>
    <w:p w14:paraId="66946E98" w14:textId="7527FB1A" w:rsidR="00945359" w:rsidRDefault="00220A43" w:rsidP="008F5A8D">
      <w:pPr>
        <w:rPr>
          <w:b/>
          <w:i/>
          <w:u w:val="single"/>
        </w:rPr>
      </w:pPr>
      <w:r w:rsidRPr="008F5A8D">
        <w:rPr>
          <w:b/>
          <w:i/>
          <w:u w:val="single"/>
        </w:rPr>
        <w:t>A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stroke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és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a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szisztémás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embolizáció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prevenciója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nem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billentyűeredetű</w:t>
      </w:r>
      <w:r w:rsidRPr="008F5A8D">
        <w:rPr>
          <w:b/>
          <w:i/>
          <w:spacing w:val="-3"/>
          <w:u w:val="single"/>
        </w:rPr>
        <w:t xml:space="preserve"> </w:t>
      </w:r>
      <w:r w:rsidRPr="008F5A8D">
        <w:rPr>
          <w:b/>
          <w:i/>
          <w:u w:val="single"/>
        </w:rPr>
        <w:t>pitvarfibrillációban szenvedő, egy vagy több rizikótényezővel rendelkező felnőtt betegeknél (SPAF)</w:t>
      </w:r>
    </w:p>
    <w:p w14:paraId="5B1B3A05" w14:textId="77777777" w:rsidR="00AB32E4" w:rsidRPr="008F5A8D" w:rsidRDefault="00AB32E4" w:rsidP="008F5A8D">
      <w:pPr>
        <w:rPr>
          <w:u w:val="single"/>
        </w:rPr>
      </w:pPr>
    </w:p>
    <w:p w14:paraId="6763AC56" w14:textId="30AA82AD" w:rsidR="00945359" w:rsidRDefault="00220A43" w:rsidP="008F5A8D">
      <w:pPr>
        <w:tabs>
          <w:tab w:val="left" w:pos="567"/>
        </w:tabs>
        <w:rPr>
          <w:b/>
          <w:i/>
          <w:spacing w:val="-2"/>
          <w:u w:val="single"/>
        </w:rPr>
      </w:pPr>
      <w:r>
        <w:rPr>
          <w:b/>
          <w:i/>
          <w:u w:val="single"/>
        </w:rPr>
        <w:t>Az</w:t>
      </w:r>
      <w:r>
        <w:rPr>
          <w:b/>
          <w:i/>
          <w:spacing w:val="-7"/>
          <w:u w:val="single"/>
        </w:rPr>
        <w:t xml:space="preserve"> </w:t>
      </w:r>
      <w:r>
        <w:rPr>
          <w:b/>
          <w:i/>
          <w:u w:val="single"/>
        </w:rPr>
        <w:t>MVT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és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PE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kezelése</w:t>
      </w:r>
      <w:r>
        <w:rPr>
          <w:b/>
          <w:i/>
          <w:spacing w:val="-4"/>
          <w:u w:val="single"/>
        </w:rPr>
        <w:t xml:space="preserve"> </w:t>
      </w:r>
      <w:r>
        <w:rPr>
          <w:b/>
          <w:i/>
          <w:u w:val="single"/>
        </w:rPr>
        <w:t>és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az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MVT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és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PE</w:t>
      </w:r>
      <w:r>
        <w:rPr>
          <w:b/>
          <w:i/>
          <w:spacing w:val="-4"/>
          <w:u w:val="single"/>
        </w:rPr>
        <w:t xml:space="preserve"> </w:t>
      </w:r>
      <w:r>
        <w:rPr>
          <w:b/>
          <w:i/>
          <w:u w:val="single"/>
        </w:rPr>
        <w:t>kiújulásának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megelőzése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felnőtt</w:t>
      </w:r>
      <w:r>
        <w:rPr>
          <w:b/>
          <w:i/>
          <w:spacing w:val="-5"/>
          <w:u w:val="single"/>
        </w:rPr>
        <w:t xml:space="preserve"> </w:t>
      </w:r>
      <w:r>
        <w:rPr>
          <w:b/>
          <w:i/>
          <w:u w:val="single"/>
        </w:rPr>
        <w:t>betegeknél</w:t>
      </w:r>
      <w:r>
        <w:rPr>
          <w:b/>
          <w:i/>
          <w:spacing w:val="-4"/>
          <w:u w:val="single"/>
        </w:rPr>
        <w:t xml:space="preserve"> </w:t>
      </w:r>
      <w:r>
        <w:rPr>
          <w:b/>
          <w:i/>
          <w:spacing w:val="-2"/>
          <w:u w:val="single"/>
        </w:rPr>
        <w:t>(MVT/PE)</w:t>
      </w:r>
    </w:p>
    <w:p w14:paraId="1863F261" w14:textId="77777777" w:rsidR="00AB32E4" w:rsidRDefault="00AB32E4" w:rsidP="008F5A8D">
      <w:pPr>
        <w:tabs>
          <w:tab w:val="left" w:pos="567"/>
        </w:tabs>
        <w:rPr>
          <w:b/>
          <w:i/>
        </w:rPr>
      </w:pPr>
    </w:p>
    <w:p w14:paraId="75D74764" w14:textId="38D46C39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9"/>
        </w:rPr>
        <w:t xml:space="preserve"> </w:t>
      </w:r>
      <w:r>
        <w:t>dabigatrán-etexilát</w:t>
      </w:r>
      <w:r>
        <w:rPr>
          <w:spacing w:val="-5"/>
        </w:rPr>
        <w:t xml:space="preserve"> </w:t>
      </w:r>
      <w:r>
        <w:t>adagolási</w:t>
      </w:r>
      <w:r>
        <w:rPr>
          <w:spacing w:val="-6"/>
        </w:rPr>
        <w:t xml:space="preserve"> </w:t>
      </w:r>
      <w:r>
        <w:t>javaslata</w:t>
      </w:r>
      <w:r>
        <w:rPr>
          <w:spacing w:val="-6"/>
        </w:rPr>
        <w:t xml:space="preserve"> </w:t>
      </w:r>
      <w:r>
        <w:t>SPAF,</w:t>
      </w:r>
      <w:r>
        <w:rPr>
          <w:spacing w:val="-6"/>
        </w:rPr>
        <w:t xml:space="preserve"> </w:t>
      </w:r>
      <w:r>
        <w:t>MVT</w:t>
      </w:r>
      <w:r>
        <w:rPr>
          <w:spacing w:val="-6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PE</w:t>
      </w:r>
      <w:r>
        <w:rPr>
          <w:spacing w:val="-6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2.</w:t>
      </w:r>
      <w:r w:rsidR="00B95CAF">
        <w:rPr>
          <w:spacing w:val="-8"/>
        </w:rPr>
        <w:t> táblázat</w:t>
      </w:r>
      <w:r>
        <w:t>ban</w:t>
      </w:r>
      <w:r>
        <w:rPr>
          <w:spacing w:val="-6"/>
        </w:rPr>
        <w:t xml:space="preserve"> </w:t>
      </w:r>
      <w:r>
        <w:rPr>
          <w:spacing w:val="-2"/>
        </w:rPr>
        <w:t>található.</w:t>
      </w:r>
    </w:p>
    <w:p w14:paraId="5EDAB399" w14:textId="77777777" w:rsidR="00945359" w:rsidRDefault="00945359" w:rsidP="008F5A8D">
      <w:pPr>
        <w:pStyle w:val="Szvegtrzs"/>
        <w:tabs>
          <w:tab w:val="left" w:pos="567"/>
        </w:tabs>
      </w:pPr>
    </w:p>
    <w:p w14:paraId="0728E08F" w14:textId="0688B5D5" w:rsidR="00945359" w:rsidRPr="00511F35" w:rsidRDefault="00F464B5" w:rsidP="008F5A8D">
      <w:r w:rsidRPr="00511F35">
        <w:rPr>
          <w:b/>
          <w:spacing w:val="-2"/>
        </w:rPr>
        <w:t>2</w:t>
      </w:r>
      <w:r w:rsidR="00BC10BA" w:rsidRPr="00511F35">
        <w:rPr>
          <w:b/>
          <w:spacing w:val="-2"/>
        </w:rPr>
        <w:t>. táblázat</w:t>
      </w:r>
      <w:r w:rsidR="00220A43"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Adagolási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javaslat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SPAF,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MVT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PE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  <w:spacing w:val="-2"/>
        </w:rPr>
        <w:t>esetén</w:t>
      </w:r>
    </w:p>
    <w:p w14:paraId="463B779C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102"/>
        <w:gridCol w:w="4959"/>
      </w:tblGrid>
      <w:tr w:rsidR="00945359" w14:paraId="4B3DE051" w14:textId="77777777" w:rsidTr="008F5A8D">
        <w:trPr>
          <w:trHeight w:val="251"/>
        </w:trPr>
        <w:tc>
          <w:tcPr>
            <w:tcW w:w="4102" w:type="dxa"/>
          </w:tcPr>
          <w:p w14:paraId="7268753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4959" w:type="dxa"/>
          </w:tcPr>
          <w:p w14:paraId="2C6574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Javasolt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dózis</w:t>
            </w:r>
          </w:p>
        </w:tc>
      </w:tr>
      <w:tr w:rsidR="00945359" w14:paraId="19D31046" w14:textId="77777777" w:rsidTr="008F5A8D">
        <w:trPr>
          <w:trHeight w:val="1266"/>
        </w:trPr>
        <w:tc>
          <w:tcPr>
            <w:tcW w:w="4102" w:type="dxa"/>
          </w:tcPr>
          <w:p w14:paraId="1FD35E17" w14:textId="4848A0C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A stroke és a szisztémás embolizáció prevenciója nem </w:t>
            </w:r>
            <w:r w:rsidR="00AB32E4">
              <w:t>billentyűeredetű</w:t>
            </w:r>
            <w:r>
              <w:t xml:space="preserve"> pitvarfibrillációban szenvedő, egy vagy több</w:t>
            </w:r>
            <w:r>
              <w:rPr>
                <w:spacing w:val="-11"/>
              </w:rPr>
              <w:t xml:space="preserve"> </w:t>
            </w:r>
            <w:r>
              <w:t>rizikótényezővel</w:t>
            </w:r>
            <w:r>
              <w:rPr>
                <w:spacing w:val="-11"/>
              </w:rPr>
              <w:t xml:space="preserve"> </w:t>
            </w:r>
            <w:r>
              <w:t>rendelkező</w:t>
            </w:r>
            <w:r>
              <w:rPr>
                <w:spacing w:val="-11"/>
              </w:rPr>
              <w:t xml:space="preserve"> </w:t>
            </w:r>
            <w:r>
              <w:t>felnőtt</w:t>
            </w:r>
          </w:p>
          <w:p w14:paraId="0ACD69F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betegeknél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(SPAF)</w:t>
            </w:r>
          </w:p>
        </w:tc>
        <w:tc>
          <w:tcPr>
            <w:tcW w:w="4959" w:type="dxa"/>
          </w:tcPr>
          <w:p w14:paraId="0566881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497EA029" w14:textId="22DA2F5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300</w:t>
            </w:r>
            <w:r w:rsidR="00294835">
              <w:rPr>
                <w:spacing w:val="-5"/>
              </w:rPr>
              <w:t> mg</w:t>
            </w:r>
            <w:r>
              <w:rPr>
                <w:spacing w:val="-7"/>
              </w:rPr>
              <w:t xml:space="preserve"> </w:t>
            </w:r>
            <w:r>
              <w:t>dabigatrán-etexilát</w:t>
            </w:r>
            <w:r>
              <w:rPr>
                <w:spacing w:val="-7"/>
              </w:rPr>
              <w:t xml:space="preserve"> </w:t>
            </w:r>
            <w:r>
              <w:t>naponta</w:t>
            </w:r>
            <w:r>
              <w:rPr>
                <w:spacing w:val="-6"/>
              </w:rPr>
              <w:t xml:space="preserve"> </w:t>
            </w:r>
            <w:r>
              <w:t>kétszer</w:t>
            </w:r>
            <w:r>
              <w:rPr>
                <w:spacing w:val="-6"/>
              </w:rPr>
              <w:t xml:space="preserve"> </w:t>
            </w:r>
            <w:r>
              <w:t>1</w:t>
            </w:r>
            <w:r w:rsidR="00B95CAF">
              <w:rPr>
                <w:spacing w:val="-6"/>
              </w:rPr>
              <w:t> darab</w:t>
            </w:r>
            <w:r>
              <w:t xml:space="preserve"> 150</w:t>
            </w:r>
            <w:r w:rsidR="00294835">
              <w:t> mg</w:t>
            </w:r>
            <w:r>
              <w:t>-os kapszula formájában</w:t>
            </w:r>
          </w:p>
        </w:tc>
      </w:tr>
      <w:tr w:rsidR="00945359" w14:paraId="5B13E80D" w14:textId="77777777" w:rsidTr="008F5A8D">
        <w:trPr>
          <w:trHeight w:val="758"/>
        </w:trPr>
        <w:tc>
          <w:tcPr>
            <w:tcW w:w="4102" w:type="dxa"/>
          </w:tcPr>
          <w:p w14:paraId="51241CE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>Az MVT és PE kezelése és az MVT és PE kiújulásának</w:t>
            </w:r>
            <w:r>
              <w:rPr>
                <w:spacing w:val="-12"/>
              </w:rPr>
              <w:t xml:space="preserve"> </w:t>
            </w:r>
            <w:r>
              <w:t>megelőzése</w:t>
            </w:r>
            <w:r>
              <w:rPr>
                <w:spacing w:val="-12"/>
              </w:rPr>
              <w:t xml:space="preserve"> </w:t>
            </w:r>
            <w:r>
              <w:t>felnőtt</w:t>
            </w:r>
            <w:r>
              <w:rPr>
                <w:spacing w:val="-12"/>
              </w:rPr>
              <w:t xml:space="preserve"> </w:t>
            </w:r>
            <w:r>
              <w:t>betegeknél</w:t>
            </w:r>
          </w:p>
          <w:p w14:paraId="7176A59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(MVT/PE)</w:t>
            </w:r>
          </w:p>
        </w:tc>
        <w:tc>
          <w:tcPr>
            <w:tcW w:w="4959" w:type="dxa"/>
          </w:tcPr>
          <w:p w14:paraId="6FBB3E23" w14:textId="4BCC5F8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300</w:t>
            </w:r>
            <w:r w:rsidR="00294835">
              <w:rPr>
                <w:spacing w:val="-5"/>
              </w:rPr>
              <w:t> mg</w:t>
            </w:r>
            <w:r>
              <w:rPr>
                <w:spacing w:val="-7"/>
              </w:rPr>
              <w:t xml:space="preserve"> </w:t>
            </w:r>
            <w:r>
              <w:t>dabigatrán-etexilát</w:t>
            </w:r>
            <w:r>
              <w:rPr>
                <w:spacing w:val="-7"/>
              </w:rPr>
              <w:t xml:space="preserve"> </w:t>
            </w:r>
            <w:r>
              <w:t>naponta</w:t>
            </w:r>
            <w:r>
              <w:rPr>
                <w:spacing w:val="-6"/>
              </w:rPr>
              <w:t xml:space="preserve"> </w:t>
            </w:r>
            <w:r>
              <w:t>kétszer</w:t>
            </w:r>
            <w:r>
              <w:rPr>
                <w:spacing w:val="-6"/>
              </w:rPr>
              <w:t xml:space="preserve"> </w:t>
            </w:r>
            <w:r>
              <w:t>1</w:t>
            </w:r>
            <w:r w:rsidR="00B95CAF">
              <w:rPr>
                <w:spacing w:val="-6"/>
              </w:rPr>
              <w:t> darab</w:t>
            </w:r>
            <w:r>
              <w:t xml:space="preserve"> 150</w:t>
            </w:r>
            <w:r w:rsidR="00294835">
              <w:t> mg</w:t>
            </w:r>
            <w:r>
              <w:t>-os kapszula formájában legalább 5</w:t>
            </w:r>
            <w:r w:rsidR="00294835">
              <w:t> nap</w:t>
            </w:r>
            <w:r>
              <w:t>os</w:t>
            </w:r>
          </w:p>
          <w:p w14:paraId="7D4BAC0A" w14:textId="7A79F55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parenter</w:t>
            </w:r>
            <w:r w:rsidR="003811EA">
              <w:t>a</w:t>
            </w:r>
            <w:r>
              <w:t>lis</w:t>
            </w:r>
            <w:r>
              <w:rPr>
                <w:spacing w:val="-12"/>
              </w:rPr>
              <w:t xml:space="preserve"> </w:t>
            </w:r>
            <w:r>
              <w:t>antikoaguláns</w:t>
            </w:r>
            <w:r>
              <w:rPr>
                <w:spacing w:val="-11"/>
              </w:rPr>
              <w:t xml:space="preserve"> </w:t>
            </w:r>
            <w:r>
              <w:t>kezelést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követően</w:t>
            </w:r>
          </w:p>
        </w:tc>
      </w:tr>
      <w:tr w:rsidR="00945359" w14:paraId="5B460B24" w14:textId="77777777" w:rsidTr="008F5A8D">
        <w:trPr>
          <w:trHeight w:val="253"/>
        </w:trPr>
        <w:tc>
          <w:tcPr>
            <w:tcW w:w="4102" w:type="dxa"/>
          </w:tcPr>
          <w:p w14:paraId="25BA34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  <w:i/>
              </w:rPr>
            </w:pPr>
            <w:r>
              <w:rPr>
                <w:b/>
                <w:i/>
                <w:spacing w:val="-2"/>
                <w:u w:val="single"/>
              </w:rPr>
              <w:t>Dóziscsökkentés</w:t>
            </w:r>
            <w:r>
              <w:rPr>
                <w:b/>
                <w:i/>
                <w:spacing w:val="15"/>
                <w:u w:val="single"/>
              </w:rPr>
              <w:t xml:space="preserve"> </w:t>
            </w:r>
            <w:r>
              <w:rPr>
                <w:b/>
                <w:i/>
                <w:spacing w:val="-2"/>
                <w:u w:val="single"/>
              </w:rPr>
              <w:t>javasolt</w:t>
            </w:r>
          </w:p>
        </w:tc>
        <w:tc>
          <w:tcPr>
            <w:tcW w:w="4959" w:type="dxa"/>
          </w:tcPr>
          <w:p w14:paraId="7381F2A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4D90429" w14:textId="77777777" w:rsidTr="008F5A8D">
        <w:trPr>
          <w:trHeight w:val="251"/>
        </w:trPr>
        <w:tc>
          <w:tcPr>
            <w:tcW w:w="4102" w:type="dxa"/>
          </w:tcPr>
          <w:p w14:paraId="29263946" w14:textId="11394FB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80</w:t>
            </w:r>
            <w:r w:rsidR="00294835">
              <w:rPr>
                <w:spacing w:val="-3"/>
              </w:rPr>
              <w:t> éves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t>annál</w:t>
            </w:r>
            <w:r>
              <w:rPr>
                <w:spacing w:val="-4"/>
              </w:rPr>
              <w:t xml:space="preserve"> </w:t>
            </w:r>
            <w:r>
              <w:t>idősebb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4959" w:type="dxa"/>
            <w:vMerge w:val="restart"/>
          </w:tcPr>
          <w:p w14:paraId="3A6FFA10" w14:textId="5FD4179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220</w:t>
            </w:r>
            <w:r w:rsidR="00294835">
              <w:rPr>
                <w:spacing w:val="-5"/>
              </w:rPr>
              <w:t> mg</w:t>
            </w:r>
            <w:r>
              <w:rPr>
                <w:spacing w:val="-7"/>
              </w:rPr>
              <w:t xml:space="preserve"> </w:t>
            </w:r>
            <w:r>
              <w:t>dabigatrán-etexilát</w:t>
            </w:r>
            <w:r>
              <w:rPr>
                <w:spacing w:val="-7"/>
              </w:rPr>
              <w:t xml:space="preserve"> </w:t>
            </w:r>
            <w:r>
              <w:t>naponta</w:t>
            </w:r>
            <w:r>
              <w:rPr>
                <w:spacing w:val="-6"/>
              </w:rPr>
              <w:t xml:space="preserve"> </w:t>
            </w:r>
            <w:r>
              <w:t>kétszer</w:t>
            </w:r>
            <w:r>
              <w:rPr>
                <w:spacing w:val="-6"/>
              </w:rPr>
              <w:t xml:space="preserve"> </w:t>
            </w:r>
            <w:r>
              <w:t>1</w:t>
            </w:r>
            <w:r w:rsidR="00B95CAF">
              <w:rPr>
                <w:spacing w:val="-6"/>
              </w:rPr>
              <w:t> darab</w:t>
            </w:r>
            <w:r>
              <w:t xml:space="preserve"> 110</w:t>
            </w:r>
            <w:r w:rsidR="00294835">
              <w:t> mg</w:t>
            </w:r>
            <w:r>
              <w:t>-os kapszula formájában</w:t>
            </w:r>
          </w:p>
        </w:tc>
      </w:tr>
      <w:tr w:rsidR="00945359" w14:paraId="4337671B" w14:textId="77777777" w:rsidTr="008F5A8D">
        <w:trPr>
          <w:trHeight w:val="253"/>
        </w:trPr>
        <w:tc>
          <w:tcPr>
            <w:tcW w:w="4102" w:type="dxa"/>
          </w:tcPr>
          <w:p w14:paraId="44819C9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Egyidejűleg</w:t>
            </w:r>
            <w:r>
              <w:rPr>
                <w:spacing w:val="-9"/>
              </w:rPr>
              <w:t xml:space="preserve"> </w:t>
            </w:r>
            <w:r>
              <w:t>verapamilt</w:t>
            </w:r>
            <w:r>
              <w:rPr>
                <w:spacing w:val="-8"/>
              </w:rPr>
              <w:t xml:space="preserve"> </w:t>
            </w:r>
            <w:r>
              <w:t>kapó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4959" w:type="dxa"/>
            <w:vMerge/>
            <w:tcBorders>
              <w:top w:val="nil"/>
            </w:tcBorders>
          </w:tcPr>
          <w:p w14:paraId="3B623FD3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14:paraId="35CB047E" w14:textId="77777777" w:rsidTr="008F5A8D">
        <w:trPr>
          <w:trHeight w:val="214"/>
        </w:trPr>
        <w:tc>
          <w:tcPr>
            <w:tcW w:w="4102" w:type="dxa"/>
            <w:tcBorders>
              <w:bottom w:val="thinThickMediumGap" w:sz="6" w:space="0" w:color="000000"/>
            </w:tcBorders>
          </w:tcPr>
          <w:p w14:paraId="3F7B4E6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  <w:i/>
              </w:rPr>
            </w:pPr>
            <w:r>
              <w:rPr>
                <w:b/>
                <w:i/>
                <w:spacing w:val="-2"/>
              </w:rPr>
              <w:t>Dóziscsökkentés</w:t>
            </w:r>
            <w:r>
              <w:rPr>
                <w:b/>
                <w:i/>
                <w:spacing w:val="15"/>
              </w:rPr>
              <w:t xml:space="preserve"> </w:t>
            </w:r>
            <w:r>
              <w:rPr>
                <w:b/>
                <w:i/>
                <w:spacing w:val="-2"/>
              </w:rPr>
              <w:t>megfontolandó</w:t>
            </w:r>
          </w:p>
        </w:tc>
        <w:tc>
          <w:tcPr>
            <w:tcW w:w="4959" w:type="dxa"/>
          </w:tcPr>
          <w:p w14:paraId="787B85D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4"/>
              </w:rPr>
            </w:pPr>
          </w:p>
        </w:tc>
      </w:tr>
      <w:tr w:rsidR="00945359" w14:paraId="77DDE1CB" w14:textId="77777777" w:rsidTr="008F5A8D">
        <w:trPr>
          <w:trHeight w:val="241"/>
        </w:trPr>
        <w:tc>
          <w:tcPr>
            <w:tcW w:w="4102" w:type="dxa"/>
            <w:tcBorders>
              <w:top w:val="thickThinMediumGap" w:sz="6" w:space="0" w:color="000000"/>
            </w:tcBorders>
          </w:tcPr>
          <w:p w14:paraId="487818D6" w14:textId="34627E0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75</w:t>
            </w:r>
            <w:r w:rsidR="000458CD">
              <w:t xml:space="preserve"> és </w:t>
            </w:r>
            <w:r>
              <w:t>80</w:t>
            </w:r>
            <w:r w:rsidR="00294835">
              <w:rPr>
                <w:spacing w:val="-4"/>
              </w:rPr>
              <w:t> év</w:t>
            </w:r>
            <w:r>
              <w:rPr>
                <w:spacing w:val="-3"/>
              </w:rPr>
              <w:t xml:space="preserve"> </w:t>
            </w:r>
            <w:r>
              <w:t>közötti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4959" w:type="dxa"/>
            <w:vMerge w:val="restart"/>
          </w:tcPr>
          <w:p w14:paraId="425D930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1ADE196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55809406" w14:textId="46B5B77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dabigatrán-etexilát</w:t>
            </w:r>
            <w:r>
              <w:rPr>
                <w:spacing w:val="-4"/>
              </w:rPr>
              <w:t xml:space="preserve"> </w:t>
            </w:r>
            <w:r>
              <w:t>napi</w:t>
            </w:r>
            <w:r>
              <w:rPr>
                <w:spacing w:val="-6"/>
              </w:rPr>
              <w:t xml:space="preserve"> </w:t>
            </w:r>
            <w:r>
              <w:t>dózisa</w:t>
            </w:r>
            <w:r>
              <w:rPr>
                <w:spacing w:val="-5"/>
              </w:rPr>
              <w:t xml:space="preserve"> </w:t>
            </w:r>
            <w:r>
              <w:t>300</w:t>
            </w:r>
            <w:r w:rsidR="00294835">
              <w:rPr>
                <w:spacing w:val="-6"/>
              </w:rPr>
              <w:t> mg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vagy</w:t>
            </w:r>
          </w:p>
          <w:p w14:paraId="40BB98B3" w14:textId="1D6BA37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220</w:t>
            </w:r>
            <w:r w:rsidR="00294835">
              <w:rPr>
                <w:spacing w:val="-6"/>
              </w:rPr>
              <w:t> mg</w:t>
            </w:r>
            <w:r>
              <w:t>,</w:t>
            </w:r>
            <w:r>
              <w:rPr>
                <w:spacing w:val="-6"/>
              </w:rPr>
              <w:t xml:space="preserve"> </w:t>
            </w:r>
            <w:r>
              <w:t>amit</w:t>
            </w:r>
            <w:r>
              <w:rPr>
                <w:spacing w:val="-6"/>
              </w:rPr>
              <w:t xml:space="preserve"> </w:t>
            </w:r>
            <w:r>
              <w:t>egyénileg,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thromboemboliás</w:t>
            </w:r>
            <w:r>
              <w:rPr>
                <w:spacing w:val="-6"/>
              </w:rPr>
              <w:t xml:space="preserve"> </w:t>
            </w:r>
            <w:r>
              <w:t>kockázat és a vérzésveszély alapján kell meghatározni</w:t>
            </w:r>
          </w:p>
        </w:tc>
      </w:tr>
      <w:tr w:rsidR="00945359" w14:paraId="7CD565B3" w14:textId="77777777" w:rsidTr="008F5A8D">
        <w:trPr>
          <w:trHeight w:val="506"/>
        </w:trPr>
        <w:tc>
          <w:tcPr>
            <w:tcW w:w="4102" w:type="dxa"/>
          </w:tcPr>
          <w:p w14:paraId="162C0FA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Közepesen</w:t>
            </w:r>
            <w:r>
              <w:rPr>
                <w:spacing w:val="-7"/>
              </w:rPr>
              <w:t xml:space="preserve"> </w:t>
            </w:r>
            <w:r>
              <w:t>súlyos</w:t>
            </w:r>
            <w:r>
              <w:rPr>
                <w:spacing w:val="-6"/>
              </w:rPr>
              <w:t xml:space="preserve"> </w:t>
            </w:r>
            <w:r>
              <w:t>fokú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vesekárosodásban</w:t>
            </w:r>
          </w:p>
          <w:p w14:paraId="33602FBD" w14:textId="7F80393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szenvedő</w:t>
            </w:r>
            <w:r>
              <w:rPr>
                <w:spacing w:val="-8"/>
              </w:rPr>
              <w:t xml:space="preserve"> </w:t>
            </w:r>
            <w:r>
              <w:t>betegek</w:t>
            </w:r>
            <w:r>
              <w:rPr>
                <w:spacing w:val="-8"/>
              </w:rPr>
              <w:t xml:space="preserve"> </w:t>
            </w:r>
            <w:r>
              <w:t>(CrCl</w:t>
            </w:r>
            <w:r w:rsidR="00B60AA8">
              <w:t>:</w:t>
            </w:r>
            <w:r>
              <w:rPr>
                <w:spacing w:val="-6"/>
              </w:rPr>
              <w:t xml:space="preserve"> </w:t>
            </w:r>
            <w:r>
              <w:t>30</w:t>
            </w:r>
            <w:r w:rsidR="000458CD">
              <w:t>–</w:t>
            </w:r>
            <w:r>
              <w:t>50</w:t>
            </w:r>
            <w:r w:rsidR="00294835">
              <w:rPr>
                <w:spacing w:val="-5"/>
              </w:rPr>
              <w:t> ml</w:t>
            </w:r>
            <w:r>
              <w:rPr>
                <w:spacing w:val="-2"/>
              </w:rPr>
              <w:t>/perc)</w:t>
            </w:r>
          </w:p>
        </w:tc>
        <w:tc>
          <w:tcPr>
            <w:tcW w:w="4959" w:type="dxa"/>
            <w:vMerge/>
            <w:tcBorders>
              <w:top w:val="nil"/>
            </w:tcBorders>
          </w:tcPr>
          <w:p w14:paraId="0C142B7F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14:paraId="6DA1CA44" w14:textId="77777777" w:rsidTr="008F5A8D">
        <w:trPr>
          <w:trHeight w:val="757"/>
        </w:trPr>
        <w:tc>
          <w:tcPr>
            <w:tcW w:w="4102" w:type="dxa"/>
          </w:tcPr>
          <w:p w14:paraId="21AB779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Gastritisben, oesophagitisben vagy gastrooesophagealis</w:t>
            </w:r>
            <w:r>
              <w:rPr>
                <w:spacing w:val="-14"/>
              </w:rPr>
              <w:t xml:space="preserve"> </w:t>
            </w:r>
            <w:r>
              <w:t>refluxban</w:t>
            </w:r>
            <w:r>
              <w:rPr>
                <w:spacing w:val="-14"/>
              </w:rPr>
              <w:t xml:space="preserve"> </w:t>
            </w:r>
            <w:r>
              <w:t>szenvedő</w:t>
            </w:r>
          </w:p>
          <w:p w14:paraId="4A16D31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betegek</w:t>
            </w:r>
          </w:p>
        </w:tc>
        <w:tc>
          <w:tcPr>
            <w:tcW w:w="4959" w:type="dxa"/>
            <w:vMerge/>
            <w:tcBorders>
              <w:top w:val="nil"/>
            </w:tcBorders>
          </w:tcPr>
          <w:p w14:paraId="68ADC66A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14:paraId="0423736D" w14:textId="77777777" w:rsidTr="008F5A8D">
        <w:trPr>
          <w:trHeight w:val="506"/>
        </w:trPr>
        <w:tc>
          <w:tcPr>
            <w:tcW w:w="4102" w:type="dxa"/>
          </w:tcPr>
          <w:p w14:paraId="72D972E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További,</w:t>
            </w:r>
            <w:r>
              <w:rPr>
                <w:spacing w:val="-8"/>
              </w:rPr>
              <w:t xml:space="preserve"> </w:t>
            </w:r>
            <w:r>
              <w:t>fokozott</w:t>
            </w:r>
            <w:r>
              <w:rPr>
                <w:spacing w:val="-8"/>
              </w:rPr>
              <w:t xml:space="preserve"> </w:t>
            </w:r>
            <w:r>
              <w:t>vérzési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kockázatú</w:t>
            </w:r>
          </w:p>
          <w:p w14:paraId="1B1A372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betegek</w:t>
            </w:r>
          </w:p>
        </w:tc>
        <w:tc>
          <w:tcPr>
            <w:tcW w:w="4959" w:type="dxa"/>
            <w:vMerge/>
            <w:tcBorders>
              <w:top w:val="nil"/>
            </w:tcBorders>
          </w:tcPr>
          <w:p w14:paraId="57C38DCA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</w:tbl>
    <w:p w14:paraId="441EB77E" w14:textId="77777777" w:rsidR="00AB32E4" w:rsidRDefault="00AB32E4" w:rsidP="008F5A8D">
      <w:pPr>
        <w:pStyle w:val="Szvegtrzs"/>
        <w:tabs>
          <w:tab w:val="left" w:pos="567"/>
        </w:tabs>
      </w:pPr>
    </w:p>
    <w:p w14:paraId="5F0FC56F" w14:textId="7703FF60" w:rsidR="00945359" w:rsidRDefault="00220A43" w:rsidP="008F5A8D">
      <w:pPr>
        <w:pStyle w:val="Szvegtrzs"/>
        <w:tabs>
          <w:tab w:val="left" w:pos="567"/>
        </w:tabs>
      </w:pPr>
      <w:r>
        <w:t>Az MVT/PE-s betegek esetén a dabigatrán-etexilát 220</w:t>
      </w:r>
      <w:r w:rsidR="00294835">
        <w:t> mg</w:t>
      </w:r>
      <w:r>
        <w:t>-os napi dózisának napi kétszer 1</w:t>
      </w:r>
      <w:r w:rsidR="00B95CAF">
        <w:t> darab</w:t>
      </w:r>
      <w:r>
        <w:t xml:space="preserve"> 110</w:t>
      </w:r>
      <w:r w:rsidR="00294835">
        <w:t> mg</w:t>
      </w:r>
      <w:r>
        <w:t>-os kapszula formájában történő szedésére vonatkozó javaslat farmakokinetikai és farmakodinámiás</w:t>
      </w:r>
      <w:r>
        <w:rPr>
          <w:spacing w:val="-3"/>
        </w:rPr>
        <w:t xml:space="preserve"> </w:t>
      </w:r>
      <w:r>
        <w:t>elemzéseken</w:t>
      </w:r>
      <w:r>
        <w:rPr>
          <w:spacing w:val="-3"/>
        </w:rPr>
        <w:t xml:space="preserve"> </w:t>
      </w:r>
      <w:r>
        <w:t>alapul,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körülmények</w:t>
      </w:r>
      <w:r>
        <w:rPr>
          <w:spacing w:val="-3"/>
        </w:rPr>
        <w:t xml:space="preserve"> </w:t>
      </w:r>
      <w:r>
        <w:t>között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vizsgálták</w:t>
      </w:r>
      <w:r>
        <w:rPr>
          <w:spacing w:val="-3"/>
        </w:rPr>
        <w:t xml:space="preserve"> </w:t>
      </w:r>
      <w:r>
        <w:t>ezt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adagolási módot. Továbbiakat lásd lent, valamint a 4.4, 4.5, 5.1 és 5.2</w:t>
      </w:r>
      <w:r w:rsidR="00294835">
        <w:t> pont</w:t>
      </w:r>
      <w:r>
        <w:t>ban.</w:t>
      </w:r>
    </w:p>
    <w:p w14:paraId="7B160CEF" w14:textId="6F68EDCC" w:rsidR="00945359" w:rsidRDefault="00220A43" w:rsidP="008F5A8D">
      <w:pPr>
        <w:pStyle w:val="Szvegtrzs"/>
        <w:tabs>
          <w:tab w:val="left" w:pos="567"/>
        </w:tabs>
      </w:pPr>
      <w:r>
        <w:t>A dabigatrán-etexiláttal szembeni intolerancia esetében a betegeket utasítani kell, hogy azonnal forduljanak</w:t>
      </w:r>
      <w:r>
        <w:rPr>
          <w:spacing w:val="-3"/>
        </w:rPr>
        <w:t xml:space="preserve"> </w:t>
      </w:r>
      <w:r>
        <w:t>kezelőorvosukhoz,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megfelelő</w:t>
      </w:r>
      <w:r>
        <w:rPr>
          <w:spacing w:val="-3"/>
        </w:rPr>
        <w:t xml:space="preserve"> </w:t>
      </w:r>
      <w:r>
        <w:t>alternatív</w:t>
      </w:r>
      <w:r>
        <w:rPr>
          <w:spacing w:val="-3"/>
        </w:rPr>
        <w:t xml:space="preserve"> </w:t>
      </w:r>
      <w:r>
        <w:t>kezelésre</w:t>
      </w:r>
      <w:r>
        <w:rPr>
          <w:spacing w:val="-3"/>
        </w:rPr>
        <w:t xml:space="preserve"> </w:t>
      </w:r>
      <w:r>
        <w:t>válthasson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pitvarfibrillációval kapcsolatos stroke és szisztémás embolizáció</w:t>
      </w:r>
      <w:r w:rsidR="00B60AA8">
        <w:t xml:space="preserve"> </w:t>
      </w:r>
      <w:r>
        <w:t>prevenció</w:t>
      </w:r>
      <w:r w:rsidR="00B60AA8">
        <w:t>j</w:t>
      </w:r>
      <w:r w:rsidR="00425D7B">
        <w:t>a</w:t>
      </w:r>
      <w:r>
        <w:t xml:space="preserve"> vagy </w:t>
      </w:r>
      <w:r w:rsidR="00B60AA8">
        <w:t xml:space="preserve">az </w:t>
      </w:r>
      <w:r>
        <w:t>MVT/PE megelőzése érdekében.</w:t>
      </w:r>
    </w:p>
    <w:p w14:paraId="17FB3652" w14:textId="77777777" w:rsidR="00945359" w:rsidRDefault="00945359" w:rsidP="008F5A8D">
      <w:pPr>
        <w:pStyle w:val="Szvegtrzs"/>
        <w:tabs>
          <w:tab w:val="left" w:pos="567"/>
        </w:tabs>
      </w:pPr>
    </w:p>
    <w:p w14:paraId="1B5FA742" w14:textId="4429C20E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vesefunkció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ellenőrzése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6"/>
          <w:u w:val="single"/>
        </w:rPr>
        <w:t xml:space="preserve"> </w:t>
      </w:r>
      <w:r w:rsidR="00067923">
        <w:rPr>
          <w:i/>
          <w:u w:val="single"/>
        </w:rPr>
        <w:t>dabigatrán-etexilát-kezelés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megkezdése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előtt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során</w:t>
      </w:r>
    </w:p>
    <w:p w14:paraId="3FA03CAF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0144D7C6" w14:textId="4025BF68" w:rsidR="00945359" w:rsidRDefault="00220A43" w:rsidP="008F5A8D">
      <w:pPr>
        <w:pStyle w:val="Szvegtrzs"/>
        <w:tabs>
          <w:tab w:val="left" w:pos="567"/>
        </w:tabs>
      </w:pPr>
      <w:r>
        <w:t>Minden</w:t>
      </w:r>
      <w:r>
        <w:rPr>
          <w:spacing w:val="-3"/>
        </w:rPr>
        <w:t xml:space="preserve"> </w:t>
      </w:r>
      <w:r>
        <w:t>betegnél,</w:t>
      </w:r>
      <w:r>
        <w:rPr>
          <w:spacing w:val="-3"/>
        </w:rPr>
        <w:t xml:space="preserve"> </w:t>
      </w:r>
      <w:r>
        <w:t>különösen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idős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(75</w:t>
      </w:r>
      <w:r w:rsidR="00294835">
        <w:rPr>
          <w:spacing w:val="-3"/>
        </w:rPr>
        <w:t> év</w:t>
      </w:r>
      <w:r>
        <w:rPr>
          <w:spacing w:val="-3"/>
        </w:rPr>
        <w:t xml:space="preserve"> </w:t>
      </w:r>
      <w:r>
        <w:t>felett),</w:t>
      </w:r>
      <w:r>
        <w:rPr>
          <w:spacing w:val="-3"/>
        </w:rPr>
        <w:t xml:space="preserve"> </w:t>
      </w:r>
      <w:r>
        <w:t>mivel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vesekárosodás</w:t>
      </w:r>
      <w:r>
        <w:rPr>
          <w:spacing w:val="-3"/>
        </w:rPr>
        <w:t xml:space="preserve"> </w:t>
      </w:r>
      <w:r>
        <w:t>gyakorisága ebben a korosztályban nagyobb lehet:</w:t>
      </w:r>
    </w:p>
    <w:p w14:paraId="4916845F" w14:textId="4A0A499F" w:rsidR="00945359" w:rsidRDefault="00220A43" w:rsidP="008F5A8D">
      <w:pPr>
        <w:pStyle w:val="Listaszerbekezds"/>
        <w:numPr>
          <w:ilvl w:val="0"/>
          <w:numId w:val="30"/>
        </w:numPr>
        <w:tabs>
          <w:tab w:val="left" w:pos="567"/>
          <w:tab w:val="left" w:pos="824"/>
        </w:tabs>
        <w:ind w:left="567"/>
      </w:pPr>
      <w:r>
        <w:t xml:space="preserve">A </w:t>
      </w:r>
      <w:r w:rsidR="00067923">
        <w:t>dabigatrán-etexilát-kezelés</w:t>
      </w:r>
      <w:r>
        <w:t xml:space="preserve"> elkezdése előtt a kreatinin-clearance (CrCl) meghatározásával a vesefunkciót</w:t>
      </w:r>
      <w:r>
        <w:rPr>
          <w:spacing w:val="-3"/>
        </w:rPr>
        <w:t xml:space="preserve"> </w:t>
      </w:r>
      <w:r>
        <w:t>ellenőrizni</w:t>
      </w:r>
      <w:r>
        <w:rPr>
          <w:spacing w:val="-3"/>
        </w:rPr>
        <w:t xml:space="preserve"> </w:t>
      </w:r>
      <w:r>
        <w:t>kell,</w:t>
      </w:r>
      <w:r>
        <w:rPr>
          <w:spacing w:val="-3"/>
        </w:rPr>
        <w:t xml:space="preserve"> </w:t>
      </w:r>
      <w:r>
        <w:t>annak</w:t>
      </w:r>
      <w:r>
        <w:rPr>
          <w:spacing w:val="-3"/>
        </w:rPr>
        <w:t xml:space="preserve"> </w:t>
      </w:r>
      <w:r>
        <w:t>érdekében,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kizárhatóak</w:t>
      </w:r>
      <w:r>
        <w:rPr>
          <w:spacing w:val="-3"/>
        </w:rPr>
        <w:t xml:space="preserve"> </w:t>
      </w:r>
      <w:r>
        <w:t>legyenek</w:t>
      </w:r>
      <w:r>
        <w:rPr>
          <w:spacing w:val="-3"/>
        </w:rPr>
        <w:t xml:space="preserve"> </w:t>
      </w:r>
      <w:r>
        <w:t>azok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betegek,</w:t>
      </w:r>
      <w:r>
        <w:rPr>
          <w:spacing w:val="-3"/>
        </w:rPr>
        <w:t xml:space="preserve"> </w:t>
      </w:r>
      <w:r>
        <w:t>akik súlyos</w:t>
      </w:r>
      <w:r>
        <w:rPr>
          <w:spacing w:val="-1"/>
        </w:rPr>
        <w:t xml:space="preserve"> </w:t>
      </w:r>
      <w:r>
        <w:t>fokú vesekárosodásban</w:t>
      </w:r>
      <w:r>
        <w:rPr>
          <w:spacing w:val="-1"/>
        </w:rPr>
        <w:t xml:space="preserve"> </w:t>
      </w:r>
      <w:r>
        <w:t>szenvednek</w:t>
      </w:r>
      <w:r>
        <w:rPr>
          <w:spacing w:val="-1"/>
        </w:rPr>
        <w:t xml:space="preserve"> </w:t>
      </w:r>
      <w:r>
        <w:t>(azaz:</w:t>
      </w:r>
      <w:r>
        <w:rPr>
          <w:spacing w:val="-1"/>
        </w:rPr>
        <w:t xml:space="preserve"> </w:t>
      </w:r>
      <w:r>
        <w:t xml:space="preserve">CrCl </w:t>
      </w:r>
      <w:r w:rsidR="00B95CAF">
        <w:t>&lt;</w:t>
      </w:r>
      <w:r>
        <w:t>30</w:t>
      </w:r>
      <w:r w:rsidR="00294835">
        <w:t> ml</w:t>
      </w:r>
      <w:r>
        <w:t>/perc)</w:t>
      </w:r>
      <w:r>
        <w:rPr>
          <w:spacing w:val="-1"/>
        </w:rPr>
        <w:t xml:space="preserve"> </w:t>
      </w:r>
      <w:r>
        <w:t>(lásd</w:t>
      </w:r>
      <w:r>
        <w:rPr>
          <w:spacing w:val="-1"/>
        </w:rPr>
        <w:t xml:space="preserve"> </w:t>
      </w:r>
      <w:r>
        <w:t>4.3,</w:t>
      </w:r>
      <w:r>
        <w:rPr>
          <w:spacing w:val="-1"/>
        </w:rPr>
        <w:t xml:space="preserve"> </w:t>
      </w:r>
      <w:r>
        <w:t>4.4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5.2</w:t>
      </w:r>
      <w:r w:rsidR="00294835">
        <w:rPr>
          <w:spacing w:val="-3"/>
        </w:rPr>
        <w:t> pont</w:t>
      </w:r>
      <w:r>
        <w:t>).</w:t>
      </w:r>
    </w:p>
    <w:p w14:paraId="7FE10840" w14:textId="77777777" w:rsidR="00945359" w:rsidRDefault="00220A43" w:rsidP="008F5A8D">
      <w:pPr>
        <w:pStyle w:val="Listaszerbekezds"/>
        <w:numPr>
          <w:ilvl w:val="0"/>
          <w:numId w:val="30"/>
        </w:numPr>
        <w:tabs>
          <w:tab w:val="left" w:pos="567"/>
          <w:tab w:val="left" w:pos="824"/>
        </w:tabs>
        <w:ind w:left="567"/>
      </w:pPr>
      <w:r>
        <w:t>A veseműködést ellenőrizni kell, ha a kezelés alatt a veseműködés rosszabbodására lehet számítani</w:t>
      </w:r>
      <w:r>
        <w:rPr>
          <w:spacing w:val="-4"/>
        </w:rPr>
        <w:t xml:space="preserve"> </w:t>
      </w:r>
      <w:r>
        <w:t>(pl.</w:t>
      </w:r>
      <w:r>
        <w:rPr>
          <w:spacing w:val="-4"/>
        </w:rPr>
        <w:t xml:space="preserve"> </w:t>
      </w:r>
      <w:r>
        <w:t>hypovolaemia,</w:t>
      </w:r>
      <w:r>
        <w:rPr>
          <w:spacing w:val="-4"/>
        </w:rPr>
        <w:t xml:space="preserve"> </w:t>
      </w:r>
      <w:r>
        <w:t>dehidráció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bizonyos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egyidejű</w:t>
      </w:r>
      <w:r>
        <w:rPr>
          <w:spacing w:val="-4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t>esetén).</w:t>
      </w:r>
    </w:p>
    <w:p w14:paraId="77067F73" w14:textId="77777777" w:rsidR="00945359" w:rsidRDefault="00945359" w:rsidP="008F5A8D">
      <w:pPr>
        <w:pStyle w:val="Szvegtrzs"/>
        <w:tabs>
          <w:tab w:val="left" w:pos="567"/>
        </w:tabs>
      </w:pPr>
    </w:p>
    <w:p w14:paraId="4F5456E3" w14:textId="07B7275E" w:rsidR="00945359" w:rsidRDefault="00220A43" w:rsidP="008F5A8D">
      <w:pPr>
        <w:pStyle w:val="Szvegtrzs"/>
        <w:tabs>
          <w:tab w:val="left" w:pos="567"/>
        </w:tabs>
      </w:pPr>
      <w:r>
        <w:t>További</w:t>
      </w:r>
      <w:r>
        <w:rPr>
          <w:spacing w:val="-3"/>
        </w:rPr>
        <w:t xml:space="preserve"> </w:t>
      </w:r>
      <w:r>
        <w:t>követelmények</w:t>
      </w:r>
      <w:r>
        <w:rPr>
          <w:spacing w:val="-3"/>
        </w:rPr>
        <w:t xml:space="preserve"> </w:t>
      </w:r>
      <w:r>
        <w:t>enyhe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közepesen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</w:t>
      </w:r>
      <w:r>
        <w:rPr>
          <w:spacing w:val="-3"/>
        </w:rPr>
        <w:t xml:space="preserve"> </w:t>
      </w:r>
      <w:r>
        <w:t>vesekárosodásban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és 75</w:t>
      </w:r>
      <w:r w:rsidR="00294835">
        <w:t> év</w:t>
      </w:r>
      <w:r>
        <w:t xml:space="preserve"> feletti betegeknél:</w:t>
      </w:r>
    </w:p>
    <w:p w14:paraId="719622E5" w14:textId="4449D4E5" w:rsidR="00945359" w:rsidRDefault="00220A43" w:rsidP="008F5A8D">
      <w:pPr>
        <w:pStyle w:val="Listaszerbekezds"/>
        <w:numPr>
          <w:ilvl w:val="0"/>
          <w:numId w:val="30"/>
        </w:numPr>
        <w:tabs>
          <w:tab w:val="left" w:pos="567"/>
          <w:tab w:val="left" w:pos="824"/>
        </w:tabs>
        <w:ind w:left="567"/>
      </w:pPr>
      <w:r>
        <w:t>A dabigatrán-etexiláttal kezelt betegek veseműködését évente legalább egyszer, bizonyos klinikai</w:t>
      </w:r>
      <w:r>
        <w:rPr>
          <w:spacing w:val="-4"/>
        </w:rPr>
        <w:t xml:space="preserve"> </w:t>
      </w:r>
      <w:r>
        <w:t>helyzetekben</w:t>
      </w:r>
      <w:r>
        <w:rPr>
          <w:spacing w:val="-4"/>
        </w:rPr>
        <w:t xml:space="preserve"> </w:t>
      </w:r>
      <w:r>
        <w:t>pedig,</w:t>
      </w:r>
      <w:r>
        <w:rPr>
          <w:spacing w:val="-4"/>
        </w:rPr>
        <w:t xml:space="preserve"> </w:t>
      </w:r>
      <w:r>
        <w:t>amikor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veseműködés</w:t>
      </w:r>
      <w:r>
        <w:rPr>
          <w:spacing w:val="-4"/>
        </w:rPr>
        <w:t xml:space="preserve"> </w:t>
      </w:r>
      <w:r>
        <w:t>romlására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(további)</w:t>
      </w:r>
      <w:r>
        <w:rPr>
          <w:spacing w:val="-4"/>
        </w:rPr>
        <w:t xml:space="preserve"> </w:t>
      </w:r>
      <w:r>
        <w:t>rosszabbodására lehet számítani (pl. hypovolaemia, dehidráció és bizonyos gyógyszerek egyidejű alkalmazása esetén), szükség szerint gyakrabban kell ellenőrizni.</w:t>
      </w:r>
    </w:p>
    <w:p w14:paraId="27C5A2A1" w14:textId="4AAAEE30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A</w:t>
      </w:r>
      <w:r>
        <w:rPr>
          <w:spacing w:val="-8"/>
        </w:rPr>
        <w:t xml:space="preserve"> </w:t>
      </w:r>
      <w:r>
        <w:t>vesefunkció</w:t>
      </w:r>
      <w:r>
        <w:rPr>
          <w:spacing w:val="-7"/>
        </w:rPr>
        <w:t xml:space="preserve"> </w:t>
      </w:r>
      <w:r>
        <w:t>(ml/percben</w:t>
      </w:r>
      <w:r>
        <w:rPr>
          <w:spacing w:val="-8"/>
        </w:rPr>
        <w:t xml:space="preserve"> </w:t>
      </w:r>
      <w:r>
        <w:t>mért</w:t>
      </w:r>
      <w:r>
        <w:rPr>
          <w:spacing w:val="-7"/>
        </w:rPr>
        <w:t xml:space="preserve"> </w:t>
      </w:r>
      <w:r>
        <w:t>CrCl)</w:t>
      </w:r>
      <w:r>
        <w:rPr>
          <w:spacing w:val="-8"/>
        </w:rPr>
        <w:t xml:space="preserve"> </w:t>
      </w:r>
      <w:r>
        <w:t>becslésére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Cockcroft</w:t>
      </w:r>
      <w:r w:rsidR="00B60AA8">
        <w:t>–</w:t>
      </w:r>
      <w:r>
        <w:t>Gault</w:t>
      </w:r>
      <w:r w:rsidR="00B60AA8">
        <w:rPr>
          <w:spacing w:val="-7"/>
        </w:rPr>
        <w:t>-</w:t>
      </w:r>
      <w:r>
        <w:t>módszert</w:t>
      </w:r>
      <w:r>
        <w:rPr>
          <w:spacing w:val="-7"/>
        </w:rPr>
        <w:t xml:space="preserve"> </w:t>
      </w:r>
      <w:r>
        <w:rPr>
          <w:spacing w:val="-2"/>
        </w:rPr>
        <w:t>használják.</w:t>
      </w:r>
    </w:p>
    <w:p w14:paraId="552E784A" w14:textId="77777777" w:rsidR="00B900F2" w:rsidRDefault="00B900F2" w:rsidP="008F5A8D">
      <w:pPr>
        <w:pStyle w:val="Szvegtrzs"/>
        <w:tabs>
          <w:tab w:val="left" w:pos="567"/>
        </w:tabs>
      </w:pPr>
    </w:p>
    <w:p w14:paraId="72C40AB5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időtartama</w:t>
      </w:r>
    </w:p>
    <w:p w14:paraId="36E11177" w14:textId="00658794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8"/>
        </w:rPr>
        <w:t xml:space="preserve"> </w:t>
      </w:r>
      <w:r w:rsidR="00067923">
        <w:t>dabigatrán-etexilát-kezelés</w:t>
      </w:r>
      <w:r>
        <w:rPr>
          <w:spacing w:val="-6"/>
        </w:rPr>
        <w:t xml:space="preserve"> </w:t>
      </w:r>
      <w:r>
        <w:t>időtartamát</w:t>
      </w:r>
      <w:r>
        <w:rPr>
          <w:spacing w:val="-6"/>
        </w:rPr>
        <w:t xml:space="preserve"> </w:t>
      </w:r>
      <w:r>
        <w:t>SPAF,</w:t>
      </w:r>
      <w:r>
        <w:rPr>
          <w:spacing w:val="-6"/>
        </w:rPr>
        <w:t xml:space="preserve"> </w:t>
      </w:r>
      <w:r>
        <w:t>MVT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PE</w:t>
      </w:r>
      <w:r>
        <w:rPr>
          <w:spacing w:val="-6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3.</w:t>
      </w:r>
      <w:r w:rsidR="00B95CAF">
        <w:rPr>
          <w:spacing w:val="-6"/>
        </w:rPr>
        <w:t> táblázat</w:t>
      </w:r>
      <w:r>
        <w:rPr>
          <w:spacing w:val="-5"/>
        </w:rPr>
        <w:t xml:space="preserve"> </w:t>
      </w:r>
      <w:r>
        <w:rPr>
          <w:spacing w:val="-2"/>
        </w:rPr>
        <w:t>ismerteti.</w:t>
      </w:r>
    </w:p>
    <w:p w14:paraId="7367C810" w14:textId="77777777" w:rsidR="00945359" w:rsidRDefault="00945359" w:rsidP="008F5A8D">
      <w:pPr>
        <w:pStyle w:val="Szvegtrzs"/>
        <w:tabs>
          <w:tab w:val="left" w:pos="567"/>
        </w:tabs>
      </w:pPr>
    </w:p>
    <w:p w14:paraId="6F72F2BD" w14:textId="75A095B2" w:rsidR="00945359" w:rsidRPr="00511F35" w:rsidRDefault="006C2A98" w:rsidP="008F5A8D">
      <w:r w:rsidRPr="00511F35">
        <w:rPr>
          <w:b/>
          <w:spacing w:val="-2"/>
        </w:rPr>
        <w:t>3</w:t>
      </w:r>
      <w:r w:rsidR="00BC10BA" w:rsidRPr="00511F35">
        <w:rPr>
          <w:b/>
          <w:spacing w:val="-2"/>
        </w:rPr>
        <w:t>. táblázat</w:t>
      </w:r>
      <w:r w:rsidR="00220A43"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kezelés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időtartama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SPAF,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MVT/PE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  <w:spacing w:val="-2"/>
        </w:rPr>
        <w:t>esetén</w:t>
      </w:r>
    </w:p>
    <w:p w14:paraId="27D73047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373"/>
        <w:gridCol w:w="7687"/>
      </w:tblGrid>
      <w:tr w:rsidR="00945359" w14:paraId="0F46DBBF" w14:textId="77777777" w:rsidTr="008F5A8D">
        <w:trPr>
          <w:trHeight w:val="254"/>
        </w:trPr>
        <w:tc>
          <w:tcPr>
            <w:tcW w:w="1373" w:type="dxa"/>
          </w:tcPr>
          <w:p w14:paraId="0563D1C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  <w:spacing w:val="-2"/>
              </w:rPr>
              <w:t>Javallat</w:t>
            </w:r>
          </w:p>
        </w:tc>
        <w:tc>
          <w:tcPr>
            <w:tcW w:w="7687" w:type="dxa"/>
          </w:tcPr>
          <w:p w14:paraId="6172E1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kezelés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időtartama</w:t>
            </w:r>
          </w:p>
        </w:tc>
      </w:tr>
      <w:tr w:rsidR="00945359" w14:paraId="2EE4B2C9" w14:textId="77777777" w:rsidTr="008F5A8D">
        <w:trPr>
          <w:trHeight w:val="253"/>
        </w:trPr>
        <w:tc>
          <w:tcPr>
            <w:tcW w:w="1373" w:type="dxa"/>
          </w:tcPr>
          <w:p w14:paraId="2C68E45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SPAF</w:t>
            </w:r>
          </w:p>
        </w:tc>
        <w:tc>
          <w:tcPr>
            <w:tcW w:w="7687" w:type="dxa"/>
          </w:tcPr>
          <w:p w14:paraId="4F0C88B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8"/>
              </w:rPr>
              <w:t xml:space="preserve"> </w:t>
            </w:r>
            <w:r>
              <w:t>kezelést</w:t>
            </w:r>
            <w:r>
              <w:rPr>
                <w:spacing w:val="-6"/>
              </w:rPr>
              <w:t xml:space="preserve"> </w:t>
            </w:r>
            <w:r>
              <w:t>hosszú</w:t>
            </w:r>
            <w:r>
              <w:rPr>
                <w:spacing w:val="-6"/>
              </w:rPr>
              <w:t xml:space="preserve"> </w:t>
            </w:r>
            <w:r>
              <w:t>távon</w:t>
            </w:r>
            <w:r>
              <w:rPr>
                <w:spacing w:val="-6"/>
              </w:rPr>
              <w:t xml:space="preserve"> </w:t>
            </w:r>
            <w:r>
              <w:t>folytatni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kell.</w:t>
            </w:r>
          </w:p>
        </w:tc>
      </w:tr>
      <w:tr w:rsidR="00945359" w14:paraId="5CC33225" w14:textId="77777777" w:rsidTr="008F5A8D">
        <w:trPr>
          <w:trHeight w:val="1516"/>
        </w:trPr>
        <w:tc>
          <w:tcPr>
            <w:tcW w:w="1373" w:type="dxa"/>
          </w:tcPr>
          <w:p w14:paraId="16ABA39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MVT/PE</w:t>
            </w:r>
          </w:p>
        </w:tc>
        <w:tc>
          <w:tcPr>
            <w:tcW w:w="7687" w:type="dxa"/>
          </w:tcPr>
          <w:p w14:paraId="51B0624D" w14:textId="520EE19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kezelés</w:t>
            </w:r>
            <w:r>
              <w:rPr>
                <w:spacing w:val="-4"/>
              </w:rPr>
              <w:t xml:space="preserve"> </w:t>
            </w:r>
            <w:r>
              <w:t>időtartamát</w:t>
            </w:r>
            <w:r>
              <w:rPr>
                <w:spacing w:val="-4"/>
              </w:rPr>
              <w:t xml:space="preserve"> </w:t>
            </w:r>
            <w:r>
              <w:t>egyénileg,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kezelés</w:t>
            </w:r>
            <w:r>
              <w:rPr>
                <w:spacing w:val="-4"/>
              </w:rPr>
              <w:t xml:space="preserve"> </w:t>
            </w:r>
            <w:r>
              <w:t>előnyeinek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vérzés</w:t>
            </w:r>
            <w:r>
              <w:rPr>
                <w:spacing w:val="-4"/>
              </w:rPr>
              <w:t xml:space="preserve"> </w:t>
            </w:r>
            <w:r>
              <w:t>kockázatának gondos értékelését követően kell meghatározni (lásd 4.4</w:t>
            </w:r>
            <w:r w:rsidR="00294835">
              <w:t> pont</w:t>
            </w:r>
            <w:r>
              <w:t>).</w:t>
            </w:r>
          </w:p>
          <w:p w14:paraId="76B7FA83" w14:textId="1529217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rövid</w:t>
            </w:r>
            <w:r>
              <w:rPr>
                <w:spacing w:val="-4"/>
              </w:rPr>
              <w:t xml:space="preserve"> </w:t>
            </w:r>
            <w:r>
              <w:t>időtartamú</w:t>
            </w:r>
            <w:r>
              <w:rPr>
                <w:spacing w:val="-4"/>
              </w:rPr>
              <w:t xml:space="preserve"> </w:t>
            </w:r>
            <w:r>
              <w:t>terápiának</w:t>
            </w:r>
            <w:r>
              <w:rPr>
                <w:spacing w:val="-4"/>
              </w:rPr>
              <w:t xml:space="preserve"> </w:t>
            </w:r>
            <w:r>
              <w:t>(legalább</w:t>
            </w:r>
            <w:r>
              <w:rPr>
                <w:spacing w:val="-4"/>
              </w:rPr>
              <w:t xml:space="preserve"> </w:t>
            </w:r>
            <w:r>
              <w:t>3</w:t>
            </w:r>
            <w:r w:rsidR="002E2A7B">
              <w:rPr>
                <w:spacing w:val="-4"/>
              </w:rPr>
              <w:t> hónap</w:t>
            </w:r>
            <w:r>
              <w:t>)</w:t>
            </w:r>
            <w:r>
              <w:rPr>
                <w:spacing w:val="-4"/>
              </w:rPr>
              <w:t xml:space="preserve"> </w:t>
            </w:r>
            <w:r>
              <w:t>az</w:t>
            </w:r>
            <w:r>
              <w:rPr>
                <w:spacing w:val="-4"/>
              </w:rPr>
              <w:t xml:space="preserve"> </w:t>
            </w:r>
            <w:r>
              <w:t>átmeneti</w:t>
            </w:r>
            <w:r>
              <w:rPr>
                <w:spacing w:val="-4"/>
              </w:rPr>
              <w:t xml:space="preserve"> </w:t>
            </w:r>
            <w:r>
              <w:t>rizikófaktorokon</w:t>
            </w:r>
            <w:r>
              <w:rPr>
                <w:spacing w:val="-4"/>
              </w:rPr>
              <w:t xml:space="preserve"> </w:t>
            </w:r>
            <w:r>
              <w:t>(pl. műtét a közelmúltban, trauma, immobilizáció), míg a hosszú</w:t>
            </w:r>
            <w:r w:rsidR="00C05FFC">
              <w:t xml:space="preserve"> </w:t>
            </w:r>
            <w:r>
              <w:t>távú kezelésnek a folyamatosan fennálló kockázati tényezőkön vagy idiopátiás MVT-n</w:t>
            </w:r>
            <w:r w:rsidR="00B60AA8">
              <w:t>,</w:t>
            </w:r>
            <w:r>
              <w:t xml:space="preserve"> illetve PE-n</w:t>
            </w:r>
          </w:p>
          <w:p w14:paraId="0B126BE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kell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alapulnia.</w:t>
            </w:r>
          </w:p>
        </w:tc>
      </w:tr>
    </w:tbl>
    <w:p w14:paraId="56713B29" w14:textId="77777777" w:rsidR="00B900F2" w:rsidRDefault="00B900F2">
      <w:pPr>
        <w:tabs>
          <w:tab w:val="left" w:pos="567"/>
        </w:tabs>
        <w:rPr>
          <w:i/>
          <w:u w:val="single"/>
        </w:rPr>
      </w:pPr>
    </w:p>
    <w:p w14:paraId="4767A77B" w14:textId="303AAFA6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lastRenderedPageBreak/>
        <w:t>Kihagyott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dózis</w:t>
      </w:r>
    </w:p>
    <w:p w14:paraId="4C7BCF17" w14:textId="268F6B3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kimaradt</w:t>
      </w:r>
      <w:r>
        <w:rPr>
          <w:spacing w:val="-3"/>
        </w:rPr>
        <w:t xml:space="preserve"> </w:t>
      </w:r>
      <w:r>
        <w:t>adagja</w:t>
      </w:r>
      <w:r>
        <w:rPr>
          <w:spacing w:val="-3"/>
        </w:rPr>
        <w:t xml:space="preserve"> </w:t>
      </w:r>
      <w:r w:rsidR="00C05FFC">
        <w:t>még bevehető</w:t>
      </w:r>
      <w:r>
        <w:rPr>
          <w:spacing w:val="-3"/>
        </w:rPr>
        <w:t xml:space="preserve"> </w:t>
      </w:r>
      <w:r>
        <w:t>legkésőbb</w:t>
      </w:r>
      <w:r>
        <w:rPr>
          <w:spacing w:val="-3"/>
        </w:rPr>
        <w:t xml:space="preserve"> </w:t>
      </w:r>
      <w:r>
        <w:t>6</w:t>
      </w:r>
      <w:r w:rsidR="002E2A7B">
        <w:rPr>
          <w:spacing w:val="-3"/>
        </w:rPr>
        <w:t> órá</w:t>
      </w:r>
      <w:r>
        <w:t>val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esedékes</w:t>
      </w:r>
      <w:r>
        <w:rPr>
          <w:spacing w:val="-3"/>
        </w:rPr>
        <w:t xml:space="preserve"> </w:t>
      </w:r>
      <w:r>
        <w:t>adag</w:t>
      </w:r>
      <w:r>
        <w:rPr>
          <w:spacing w:val="-3"/>
        </w:rPr>
        <w:t xml:space="preserve"> </w:t>
      </w:r>
      <w:r>
        <w:t>előtt.</w:t>
      </w:r>
      <w:r>
        <w:rPr>
          <w:spacing w:val="-3"/>
        </w:rPr>
        <w:t xml:space="preserve"> </w:t>
      </w:r>
      <w:r>
        <w:t>A következő esedékes adag előtti 6</w:t>
      </w:r>
      <w:r w:rsidR="002E2A7B">
        <w:t> órá</w:t>
      </w:r>
      <w:r>
        <w:t>n belül az elfelejtett dózist ki kell hagyni.</w:t>
      </w:r>
    </w:p>
    <w:p w14:paraId="44C47980" w14:textId="77777777" w:rsidR="00945359" w:rsidRDefault="00945359" w:rsidP="008F5A8D">
      <w:pPr>
        <w:pStyle w:val="Szvegtrzs"/>
        <w:tabs>
          <w:tab w:val="left" w:pos="567"/>
        </w:tabs>
      </w:pPr>
    </w:p>
    <w:p w14:paraId="4075FCAA" w14:textId="77777777" w:rsidR="00945359" w:rsidRDefault="00220A43" w:rsidP="008F5A8D">
      <w:pPr>
        <w:pStyle w:val="Szvegtrzs"/>
        <w:tabs>
          <w:tab w:val="left" w:pos="567"/>
        </w:tabs>
      </w:pPr>
      <w:r>
        <w:t>Nem</w:t>
      </w:r>
      <w:r>
        <w:rPr>
          <w:spacing w:val="-6"/>
        </w:rPr>
        <w:t xml:space="preserve"> </w:t>
      </w:r>
      <w:r>
        <w:t>szabad</w:t>
      </w:r>
      <w:r>
        <w:rPr>
          <w:spacing w:val="-6"/>
        </w:rPr>
        <w:t xml:space="preserve"> </w:t>
      </w:r>
      <w:r>
        <w:t>kétszeres</w:t>
      </w:r>
      <w:r>
        <w:rPr>
          <w:spacing w:val="-6"/>
        </w:rPr>
        <w:t xml:space="preserve"> </w:t>
      </w:r>
      <w:r>
        <w:t>adagot</w:t>
      </w:r>
      <w:r>
        <w:rPr>
          <w:spacing w:val="-6"/>
        </w:rPr>
        <w:t xml:space="preserve"> </w:t>
      </w:r>
      <w:r>
        <w:t>bevenni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egyes</w:t>
      </w:r>
      <w:r>
        <w:rPr>
          <w:spacing w:val="-6"/>
        </w:rPr>
        <w:t xml:space="preserve"> </w:t>
      </w:r>
      <w:r>
        <w:t>kihagyott</w:t>
      </w:r>
      <w:r>
        <w:rPr>
          <w:spacing w:val="-6"/>
        </w:rPr>
        <w:t xml:space="preserve"> </w:t>
      </w:r>
      <w:r>
        <w:t>adagok</w:t>
      </w:r>
      <w:r>
        <w:rPr>
          <w:spacing w:val="-5"/>
        </w:rPr>
        <w:t xml:space="preserve"> </w:t>
      </w:r>
      <w:r>
        <w:rPr>
          <w:spacing w:val="-2"/>
        </w:rPr>
        <w:t>pótlására.</w:t>
      </w:r>
    </w:p>
    <w:p w14:paraId="096AE572" w14:textId="77777777" w:rsidR="00945359" w:rsidRDefault="00945359" w:rsidP="008F5A8D">
      <w:pPr>
        <w:pStyle w:val="Szvegtrzs"/>
        <w:tabs>
          <w:tab w:val="left" w:pos="567"/>
        </w:tabs>
      </w:pPr>
    </w:p>
    <w:p w14:paraId="64F0F82A" w14:textId="14F32E92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9"/>
          <w:u w:val="single"/>
        </w:rPr>
        <w:t xml:space="preserve"> </w:t>
      </w:r>
      <w:r w:rsidR="00067923">
        <w:rPr>
          <w:i/>
          <w:u w:val="single"/>
        </w:rPr>
        <w:t>dabigatrán-etexilát-kezelés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leállítása</w:t>
      </w:r>
    </w:p>
    <w:p w14:paraId="0B6D547A" w14:textId="708EBBF4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orvosi</w:t>
      </w:r>
      <w:r>
        <w:rPr>
          <w:spacing w:val="-3"/>
        </w:rPr>
        <w:t xml:space="preserve"> </w:t>
      </w:r>
      <w:r>
        <w:t>javaslatra</w:t>
      </w:r>
      <w:r>
        <w:rPr>
          <w:spacing w:val="-3"/>
        </w:rPr>
        <w:t xml:space="preserve"> </w:t>
      </w:r>
      <w:r>
        <w:t>állítható</w:t>
      </w:r>
      <w:r>
        <w:rPr>
          <w:spacing w:val="-3"/>
        </w:rPr>
        <w:t xml:space="preserve"> </w:t>
      </w:r>
      <w:r>
        <w:t>le.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betegeknek</w:t>
      </w:r>
      <w:r>
        <w:rPr>
          <w:spacing w:val="-3"/>
        </w:rPr>
        <w:t xml:space="preserve"> </w:t>
      </w:r>
      <w:r>
        <w:t>gastrointestinalis tünetek, pl. dyspepsia megjelenése esetén tájékoztatniuk kell kezelőorvosukat (lásd 4.8</w:t>
      </w:r>
      <w:r w:rsidR="00294835">
        <w:t> pont</w:t>
      </w:r>
      <w:r>
        <w:t>).</w:t>
      </w:r>
    </w:p>
    <w:p w14:paraId="7C4E9167" w14:textId="77777777" w:rsidR="00945359" w:rsidRDefault="00945359" w:rsidP="008F5A8D">
      <w:pPr>
        <w:pStyle w:val="Szvegtrzs"/>
        <w:tabs>
          <w:tab w:val="left" w:pos="567"/>
        </w:tabs>
      </w:pPr>
    </w:p>
    <w:p w14:paraId="6D2D0863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Átállítás</w:t>
      </w:r>
    </w:p>
    <w:p w14:paraId="73A7B46C" w14:textId="6BC1FBBD" w:rsidR="00945359" w:rsidRDefault="00067923" w:rsidP="008F5A8D">
      <w:pPr>
        <w:pStyle w:val="Szvegtrzs"/>
        <w:tabs>
          <w:tab w:val="left" w:pos="567"/>
        </w:tabs>
      </w:pPr>
      <w:r>
        <w:rPr>
          <w:spacing w:val="-2"/>
        </w:rPr>
        <w:t>Dabigatrán-etexilát-kezelés</w:t>
      </w:r>
      <w:r w:rsidR="00220A43">
        <w:rPr>
          <w:spacing w:val="-2"/>
        </w:rPr>
        <w:t>ről</w:t>
      </w:r>
      <w:r w:rsidR="00220A43">
        <w:rPr>
          <w:spacing w:val="19"/>
        </w:rPr>
        <w:t xml:space="preserve"> </w:t>
      </w:r>
      <w:r w:rsidR="00220A43">
        <w:rPr>
          <w:spacing w:val="-2"/>
        </w:rPr>
        <w:t>parenter</w:t>
      </w:r>
      <w:r w:rsidR="003811EA">
        <w:rPr>
          <w:spacing w:val="-2"/>
        </w:rPr>
        <w:t>a</w:t>
      </w:r>
      <w:r w:rsidR="00220A43">
        <w:rPr>
          <w:spacing w:val="-2"/>
        </w:rPr>
        <w:t>lis</w:t>
      </w:r>
      <w:r w:rsidR="00220A43">
        <w:rPr>
          <w:spacing w:val="20"/>
        </w:rPr>
        <w:t xml:space="preserve"> </w:t>
      </w:r>
      <w:r w:rsidR="00AB32E4">
        <w:rPr>
          <w:spacing w:val="-2"/>
        </w:rPr>
        <w:t>antikoaguláns kezelés</w:t>
      </w:r>
      <w:r w:rsidR="00220A43">
        <w:rPr>
          <w:spacing w:val="-2"/>
        </w:rPr>
        <w:t>re:</w:t>
      </w:r>
    </w:p>
    <w:p w14:paraId="03C19A2F" w14:textId="17D87B2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dabigatrán-etexilátról</w:t>
      </w:r>
      <w:r>
        <w:rPr>
          <w:spacing w:val="-4"/>
        </w:rPr>
        <w:t xml:space="preserve"> </w:t>
      </w:r>
      <w:r>
        <w:t>parenter</w:t>
      </w:r>
      <w:r w:rsidR="003811EA">
        <w:t>a</w:t>
      </w:r>
      <w:r>
        <w:t>lis</w:t>
      </w:r>
      <w:r>
        <w:rPr>
          <w:spacing w:val="-4"/>
        </w:rPr>
        <w:t xml:space="preserve"> </w:t>
      </w:r>
      <w:r w:rsidR="00AB32E4">
        <w:t>antikoaguláns kezelés</w:t>
      </w:r>
      <w:r>
        <w:t>re</w:t>
      </w:r>
      <w:r>
        <w:rPr>
          <w:spacing w:val="-4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átállításkor</w:t>
      </w:r>
      <w:r>
        <w:rPr>
          <w:spacing w:val="-4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12</w:t>
      </w:r>
      <w:r w:rsidR="002E2A7B">
        <w:rPr>
          <w:spacing w:val="-6"/>
        </w:rPr>
        <w:t> órá</w:t>
      </w:r>
      <w:r>
        <w:t>t</w:t>
      </w:r>
      <w:r>
        <w:rPr>
          <w:spacing w:val="-4"/>
        </w:rPr>
        <w:t xml:space="preserve"> </w:t>
      </w:r>
      <w:r>
        <w:t xml:space="preserve">várni az utolsó adag </w:t>
      </w:r>
      <w:r w:rsidR="00701BD2">
        <w:t>Dabigatran Etexilate Laboratorios Liconsa</w:t>
      </w:r>
      <w:r>
        <w:t xml:space="preserve"> </w:t>
      </w:r>
      <w:r w:rsidR="00B60AA8">
        <w:t xml:space="preserve">bevétele </w:t>
      </w:r>
      <w:r>
        <w:t>után (lásd 4.5</w:t>
      </w:r>
      <w:r w:rsidR="00294835">
        <w:t> pont</w:t>
      </w:r>
      <w:r>
        <w:t>).</w:t>
      </w:r>
    </w:p>
    <w:p w14:paraId="36FD0D2A" w14:textId="77777777" w:rsidR="003811EA" w:rsidRDefault="003811EA" w:rsidP="008F5A8D">
      <w:pPr>
        <w:pStyle w:val="Szvegtrzs"/>
        <w:tabs>
          <w:tab w:val="left" w:pos="567"/>
        </w:tabs>
      </w:pPr>
    </w:p>
    <w:p w14:paraId="3544B5CC" w14:textId="6D5D8EAD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Parenter</w:t>
      </w:r>
      <w:r w:rsidR="003811EA">
        <w:rPr>
          <w:spacing w:val="-2"/>
        </w:rPr>
        <w:t>a</w:t>
      </w:r>
      <w:r>
        <w:rPr>
          <w:spacing w:val="-2"/>
        </w:rPr>
        <w:t>lis</w:t>
      </w:r>
      <w:r>
        <w:rPr>
          <w:spacing w:val="19"/>
        </w:rPr>
        <w:t xml:space="preserve"> </w:t>
      </w:r>
      <w:r>
        <w:rPr>
          <w:spacing w:val="-2"/>
        </w:rPr>
        <w:t>antikoagulánsról</w:t>
      </w:r>
      <w:r>
        <w:rPr>
          <w:spacing w:val="19"/>
        </w:rPr>
        <w:t xml:space="preserve"> </w:t>
      </w:r>
      <w:r>
        <w:rPr>
          <w:spacing w:val="-2"/>
        </w:rPr>
        <w:t>dabigatrán-etexilátra:</w:t>
      </w:r>
    </w:p>
    <w:p w14:paraId="27FF19D8" w14:textId="7178A6A5" w:rsidR="00945359" w:rsidRDefault="00220A43">
      <w:pPr>
        <w:pStyle w:val="Szvegtrzs"/>
        <w:tabs>
          <w:tab w:val="left" w:pos="567"/>
        </w:tabs>
      </w:pPr>
      <w:r>
        <w:t>Az antikoaguláns kezelés következő adagjának esedékessége előtt 0-2</w:t>
      </w:r>
      <w:r w:rsidR="002E2A7B">
        <w:t> órá</w:t>
      </w:r>
      <w:r>
        <w:t>val a parenter</w:t>
      </w:r>
      <w:r w:rsidR="003811EA">
        <w:t>a</w:t>
      </w:r>
      <w:r>
        <w:t xml:space="preserve">lis </w:t>
      </w:r>
      <w:r w:rsidR="00AB32E4">
        <w:t>antikoaguláns kezelés</w:t>
      </w:r>
      <w:r>
        <w:t xml:space="preserve">t le kell állítani, és a </w:t>
      </w:r>
      <w:r w:rsidR="00067923">
        <w:t>dabigatrán-etexilát-kezelés</w:t>
      </w:r>
      <w:r>
        <w:t>t meg kell kezdeni, illetve a folyamatos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(pl.</w:t>
      </w:r>
      <w:r>
        <w:rPr>
          <w:spacing w:val="-3"/>
        </w:rPr>
        <w:t xml:space="preserve"> </w:t>
      </w:r>
      <w:r>
        <w:t>intravénás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frakcionált</w:t>
      </w:r>
      <w:r>
        <w:rPr>
          <w:spacing w:val="-3"/>
        </w:rPr>
        <w:t xml:space="preserve"> </w:t>
      </w:r>
      <w:r>
        <w:t>heparin</w:t>
      </w:r>
      <w:r>
        <w:rPr>
          <w:spacing w:val="-3"/>
        </w:rPr>
        <w:t xml:space="preserve"> </w:t>
      </w:r>
      <w:r>
        <w:t>(UFH</w:t>
      </w:r>
      <w:r w:rsidR="00C05FFC">
        <w:t>]</w:t>
      </w:r>
      <w:r>
        <w:t>)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antikoaguláns</w:t>
      </w:r>
      <w:r>
        <w:rPr>
          <w:spacing w:val="-3"/>
        </w:rPr>
        <w:t xml:space="preserve"> </w:t>
      </w:r>
      <w:r>
        <w:t>terápia leállításakor kell megkezdeni a dabigatrán-etexilát alkalmazását (lásd 4.5</w:t>
      </w:r>
      <w:r w:rsidR="00294835">
        <w:t> pont</w:t>
      </w:r>
      <w:r>
        <w:t>).</w:t>
      </w:r>
    </w:p>
    <w:p w14:paraId="6BA1F219" w14:textId="77777777" w:rsidR="00A76255" w:rsidRDefault="00A76255" w:rsidP="008F5A8D">
      <w:pPr>
        <w:pStyle w:val="Szvegtrzs"/>
        <w:tabs>
          <w:tab w:val="left" w:pos="567"/>
        </w:tabs>
      </w:pPr>
    </w:p>
    <w:p w14:paraId="008F38EE" w14:textId="69B470EE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Dabigatrán-etexilátról</w:t>
      </w:r>
      <w:r>
        <w:rPr>
          <w:spacing w:val="16"/>
        </w:rPr>
        <w:t xml:space="preserve"> </w:t>
      </w:r>
      <w:r>
        <w:rPr>
          <w:spacing w:val="-2"/>
        </w:rPr>
        <w:t>K-</w:t>
      </w:r>
      <w:r w:rsidR="00B95CAF">
        <w:rPr>
          <w:spacing w:val="-2"/>
        </w:rPr>
        <w:t>vitamin-ant</w:t>
      </w:r>
      <w:r>
        <w:rPr>
          <w:spacing w:val="-2"/>
        </w:rPr>
        <w:t>agonistára</w:t>
      </w:r>
      <w:r>
        <w:rPr>
          <w:spacing w:val="16"/>
        </w:rPr>
        <w:t xml:space="preserve"> </w:t>
      </w:r>
      <w:r>
        <w:rPr>
          <w:spacing w:val="-2"/>
        </w:rPr>
        <w:t>(KVA):</w:t>
      </w:r>
    </w:p>
    <w:p w14:paraId="1187C48D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6"/>
        </w:rPr>
        <w:t xml:space="preserve"> </w:t>
      </w:r>
      <w:r>
        <w:t>KVA</w:t>
      </w:r>
      <w:r>
        <w:rPr>
          <w:spacing w:val="-5"/>
        </w:rPr>
        <w:t xml:space="preserve"> </w:t>
      </w:r>
      <w:r>
        <w:t>adagolásának</w:t>
      </w:r>
      <w:r>
        <w:rPr>
          <w:spacing w:val="-6"/>
        </w:rPr>
        <w:t xml:space="preserve"> </w:t>
      </w:r>
      <w:r>
        <w:t>elkezdését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következők</w:t>
      </w:r>
      <w:r>
        <w:rPr>
          <w:spacing w:val="-5"/>
        </w:rPr>
        <w:t xml:space="preserve"> </w:t>
      </w:r>
      <w:r>
        <w:t>szerint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CrCl</w:t>
      </w:r>
      <w:r>
        <w:rPr>
          <w:spacing w:val="-6"/>
        </w:rPr>
        <w:t xml:space="preserve"> </w:t>
      </w:r>
      <w:r>
        <w:t>alapján</w:t>
      </w:r>
      <w:r>
        <w:rPr>
          <w:spacing w:val="-5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rPr>
          <w:spacing w:val="-2"/>
        </w:rPr>
        <w:t>időzíteni:</w:t>
      </w:r>
    </w:p>
    <w:p w14:paraId="208C10A5" w14:textId="07C3B0AC" w:rsidR="00945359" w:rsidRDefault="00220A43" w:rsidP="008F5A8D">
      <w:pPr>
        <w:pStyle w:val="Listaszerbekezds"/>
        <w:numPr>
          <w:ilvl w:val="0"/>
          <w:numId w:val="34"/>
        </w:numPr>
        <w:tabs>
          <w:tab w:val="left" w:pos="567"/>
          <w:tab w:val="left" w:pos="824"/>
        </w:tabs>
        <w:ind w:left="567"/>
      </w:pPr>
      <w:r>
        <w:t>CrCl</w:t>
      </w:r>
      <w:r>
        <w:rPr>
          <w:spacing w:val="-1"/>
        </w:rPr>
        <w:t xml:space="preserve"> </w:t>
      </w:r>
      <w:r w:rsidR="00294835">
        <w:t>≥</w:t>
      </w:r>
      <w:r>
        <w:t>50</w:t>
      </w:r>
      <w:r w:rsidR="00294835">
        <w:rPr>
          <w:spacing w:val="-2"/>
        </w:rPr>
        <w:t> ml</w:t>
      </w:r>
      <w:r>
        <w:t>/perc,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KVA</w:t>
      </w:r>
      <w:r>
        <w:rPr>
          <w:spacing w:val="-3"/>
        </w:rPr>
        <w:t xml:space="preserve"> </w:t>
      </w:r>
      <w:r>
        <w:t>adagolását</w:t>
      </w:r>
      <w:r>
        <w:rPr>
          <w:spacing w:val="-1"/>
        </w:rPr>
        <w:t xml:space="preserve"> </w:t>
      </w:r>
      <w:r>
        <w:t>3</w:t>
      </w:r>
      <w:r w:rsidR="00294835">
        <w:rPr>
          <w:spacing w:val="-5"/>
        </w:rPr>
        <w:t> nap</w:t>
      </w:r>
      <w:r>
        <w:t>pal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4"/>
        </w:rPr>
        <w:t xml:space="preserve"> </w:t>
      </w:r>
      <w:r>
        <w:t>adagolásának</w:t>
      </w:r>
      <w:r>
        <w:rPr>
          <w:spacing w:val="-3"/>
        </w:rPr>
        <w:t xml:space="preserve"> </w:t>
      </w:r>
      <w:r>
        <w:t>abbahagyása előtt kell elkezdeni.</w:t>
      </w:r>
    </w:p>
    <w:p w14:paraId="38674A7E" w14:textId="2CEAAA69" w:rsidR="00945359" w:rsidRDefault="00220A43" w:rsidP="008F5A8D">
      <w:pPr>
        <w:pStyle w:val="Listaszerbekezds"/>
        <w:numPr>
          <w:ilvl w:val="0"/>
          <w:numId w:val="34"/>
        </w:numPr>
        <w:tabs>
          <w:tab w:val="left" w:pos="567"/>
          <w:tab w:val="left" w:pos="824"/>
        </w:tabs>
        <w:ind w:left="567"/>
      </w:pPr>
      <w:r>
        <w:t>CrCl</w:t>
      </w:r>
      <w:r>
        <w:rPr>
          <w:spacing w:val="-1"/>
        </w:rPr>
        <w:t xml:space="preserve"> </w:t>
      </w:r>
      <w:r w:rsidR="00294835">
        <w:t>≥</w:t>
      </w:r>
      <w:r>
        <w:t>30</w:t>
      </w:r>
      <w:r>
        <w:rPr>
          <w:spacing w:val="-2"/>
        </w:rPr>
        <w:t xml:space="preserve"> </w:t>
      </w:r>
      <w:r w:rsidR="00B60AA8">
        <w:t>–</w:t>
      </w:r>
      <w:r>
        <w:rPr>
          <w:spacing w:val="-6"/>
        </w:rPr>
        <w:t xml:space="preserve"> </w:t>
      </w:r>
      <w:r w:rsidR="00B95CAF">
        <w:t>&lt;</w:t>
      </w:r>
      <w:r>
        <w:t>50</w:t>
      </w:r>
      <w:r w:rsidR="00294835">
        <w:rPr>
          <w:spacing w:val="-2"/>
        </w:rPr>
        <w:t> ml</w:t>
      </w:r>
      <w:r>
        <w:t>/perc,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KVA</w:t>
      </w:r>
      <w:r>
        <w:rPr>
          <w:spacing w:val="-3"/>
        </w:rPr>
        <w:t xml:space="preserve"> </w:t>
      </w:r>
      <w:r>
        <w:t>adagolását</w:t>
      </w:r>
      <w:r>
        <w:rPr>
          <w:spacing w:val="-3"/>
        </w:rPr>
        <w:t xml:space="preserve"> </w:t>
      </w:r>
      <w:r>
        <w:t>2</w:t>
      </w:r>
      <w:r w:rsidR="00294835">
        <w:rPr>
          <w:spacing w:val="-3"/>
        </w:rPr>
        <w:t> nap</w:t>
      </w:r>
      <w:r>
        <w:t>pal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adagolásának abbahagyása előtt kell elkezdeni.</w:t>
      </w:r>
    </w:p>
    <w:p w14:paraId="6DA19CF9" w14:textId="5E00C278" w:rsidR="00945359" w:rsidRDefault="00220A43" w:rsidP="008F5A8D">
      <w:pPr>
        <w:pStyle w:val="Szvegtrzs"/>
        <w:tabs>
          <w:tab w:val="left" w:pos="567"/>
        </w:tabs>
      </w:pPr>
      <w:r>
        <w:t>Mivel a dabigatrán-etexilát befolyásolhatja a nemzetközi normalizált arányt (INR), az INR csak akkor</w:t>
      </w:r>
      <w:r>
        <w:rPr>
          <w:spacing w:val="-3"/>
        </w:rPr>
        <w:t xml:space="preserve"> </w:t>
      </w:r>
      <w:r>
        <w:t>mutatja</w:t>
      </w:r>
      <w:r>
        <w:rPr>
          <w:spacing w:val="-3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KVA</w:t>
      </w:r>
      <w:r>
        <w:rPr>
          <w:spacing w:val="-3"/>
        </w:rPr>
        <w:t xml:space="preserve"> </w:t>
      </w:r>
      <w:r>
        <w:t>hatását,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már</w:t>
      </w:r>
      <w:r>
        <w:rPr>
          <w:spacing w:val="-3"/>
        </w:rPr>
        <w:t xml:space="preserve"> </w:t>
      </w:r>
      <w:r>
        <w:t>legalább</w:t>
      </w:r>
      <w:r>
        <w:rPr>
          <w:spacing w:val="-3"/>
        </w:rPr>
        <w:t xml:space="preserve"> </w:t>
      </w:r>
      <w:r>
        <w:t>2</w:t>
      </w:r>
      <w:r w:rsidR="00294835">
        <w:rPr>
          <w:spacing w:val="-2"/>
        </w:rPr>
        <w:t> nap</w:t>
      </w:r>
      <w:r>
        <w:t>ja</w:t>
      </w:r>
      <w:r>
        <w:rPr>
          <w:spacing w:val="-3"/>
        </w:rPr>
        <w:t xml:space="preserve"> </w:t>
      </w:r>
      <w:r>
        <w:t>leállították. Addig az INR értéket körültekintően kell értelmezni.</w:t>
      </w:r>
    </w:p>
    <w:p w14:paraId="6C0FF2D7" w14:textId="77777777" w:rsidR="00945359" w:rsidRDefault="00945359" w:rsidP="008F5A8D">
      <w:pPr>
        <w:pStyle w:val="Szvegtrzs"/>
        <w:tabs>
          <w:tab w:val="left" w:pos="567"/>
        </w:tabs>
      </w:pPr>
    </w:p>
    <w:p w14:paraId="3AE42202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KVA-ról</w:t>
      </w:r>
      <w:r>
        <w:rPr>
          <w:spacing w:val="17"/>
        </w:rPr>
        <w:t xml:space="preserve"> </w:t>
      </w:r>
      <w:r>
        <w:rPr>
          <w:spacing w:val="-2"/>
        </w:rPr>
        <w:t>dabigatrán-etexilátra:</w:t>
      </w:r>
    </w:p>
    <w:p w14:paraId="5CF982F6" w14:textId="282DDF8E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6"/>
        </w:rPr>
        <w:t xml:space="preserve"> </w:t>
      </w:r>
      <w:r>
        <w:t>KVA-t</w:t>
      </w:r>
      <w:r>
        <w:rPr>
          <w:spacing w:val="-4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állítani.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dabigatrán-etexilát</w:t>
      </w:r>
      <w:r>
        <w:rPr>
          <w:spacing w:val="-4"/>
        </w:rPr>
        <w:t xml:space="preserve"> </w:t>
      </w:r>
      <w:r>
        <w:t>adása</w:t>
      </w:r>
      <w:r>
        <w:rPr>
          <w:spacing w:val="-5"/>
        </w:rPr>
        <w:t xml:space="preserve"> </w:t>
      </w:r>
      <w:r>
        <w:t>akkor</w:t>
      </w:r>
      <w:r>
        <w:rPr>
          <w:spacing w:val="-5"/>
        </w:rPr>
        <w:t xml:space="preserve"> </w:t>
      </w:r>
      <w:r>
        <w:t>kezdhető</w:t>
      </w:r>
      <w:r>
        <w:rPr>
          <w:spacing w:val="-5"/>
        </w:rPr>
        <w:t xml:space="preserve"> </w:t>
      </w:r>
      <w:r>
        <w:t>el,</w:t>
      </w:r>
      <w:r>
        <w:rPr>
          <w:spacing w:val="-5"/>
        </w:rPr>
        <w:t xml:space="preserve"> </w:t>
      </w:r>
      <w:r>
        <w:t>ha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INR</w:t>
      </w:r>
      <w:r>
        <w:rPr>
          <w:spacing w:val="-5"/>
        </w:rPr>
        <w:t xml:space="preserve"> </w:t>
      </w:r>
      <w:r w:rsidR="00B95CAF">
        <w:t>&lt;</w:t>
      </w:r>
      <w:r>
        <w:rPr>
          <w:spacing w:val="-4"/>
        </w:rPr>
        <w:t>2,0.</w:t>
      </w:r>
    </w:p>
    <w:p w14:paraId="7B2B79FD" w14:textId="77777777" w:rsidR="00B900F2" w:rsidRDefault="00B900F2">
      <w:pPr>
        <w:tabs>
          <w:tab w:val="left" w:pos="567"/>
        </w:tabs>
        <w:rPr>
          <w:i/>
          <w:u w:val="single"/>
        </w:rPr>
      </w:pPr>
    </w:p>
    <w:p w14:paraId="6B220835" w14:textId="0308943C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Cardioversio</w:t>
      </w:r>
      <w:r>
        <w:rPr>
          <w:i/>
          <w:spacing w:val="-12"/>
          <w:u w:val="single"/>
        </w:rPr>
        <w:t xml:space="preserve"> </w:t>
      </w:r>
      <w:r>
        <w:rPr>
          <w:i/>
          <w:spacing w:val="-2"/>
          <w:u w:val="single"/>
        </w:rPr>
        <w:t>(SPAF)</w:t>
      </w:r>
    </w:p>
    <w:p w14:paraId="408B0CFF" w14:textId="77777777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A</w:t>
      </w:r>
      <w:r>
        <w:rPr>
          <w:spacing w:val="-9"/>
        </w:rPr>
        <w:t xml:space="preserve"> </w:t>
      </w:r>
      <w:r>
        <w:t>betegek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cardioversio</w:t>
      </w:r>
      <w:r>
        <w:rPr>
          <w:spacing w:val="-7"/>
        </w:rPr>
        <w:t xml:space="preserve"> </w:t>
      </w:r>
      <w:r>
        <w:t>alatt</w:t>
      </w:r>
      <w:r>
        <w:rPr>
          <w:spacing w:val="-7"/>
        </w:rPr>
        <w:t xml:space="preserve"> </w:t>
      </w:r>
      <w:r>
        <w:t>folytathatják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dabigatrán-etexilát</w:t>
      </w:r>
      <w:r>
        <w:rPr>
          <w:spacing w:val="-5"/>
        </w:rPr>
        <w:t xml:space="preserve"> </w:t>
      </w:r>
      <w:r>
        <w:rPr>
          <w:spacing w:val="-2"/>
        </w:rPr>
        <w:t>szedését.</w:t>
      </w:r>
    </w:p>
    <w:p w14:paraId="2308372F" w14:textId="77777777" w:rsidR="00B900F2" w:rsidRDefault="00B900F2" w:rsidP="008F5A8D">
      <w:pPr>
        <w:pStyle w:val="Szvegtrzs"/>
        <w:tabs>
          <w:tab w:val="left" w:pos="567"/>
        </w:tabs>
      </w:pPr>
    </w:p>
    <w:p w14:paraId="595F3E23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Katéteres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ablatio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pitvarfibrilláció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esetén</w:t>
      </w:r>
      <w:r>
        <w:rPr>
          <w:i/>
          <w:spacing w:val="-9"/>
          <w:u w:val="single"/>
        </w:rPr>
        <w:t xml:space="preserve"> </w:t>
      </w:r>
      <w:r>
        <w:rPr>
          <w:i/>
          <w:spacing w:val="-2"/>
          <w:u w:val="single"/>
        </w:rPr>
        <w:t>(SPAF)</w:t>
      </w:r>
    </w:p>
    <w:p w14:paraId="632AED35" w14:textId="4F04617E" w:rsidR="00945359" w:rsidRDefault="00220A43" w:rsidP="008F5A8D">
      <w:pPr>
        <w:pStyle w:val="Szvegtrzs"/>
        <w:tabs>
          <w:tab w:val="left" w:pos="567"/>
        </w:tabs>
      </w:pPr>
      <w:r>
        <w:t>Nincsenek</w:t>
      </w:r>
      <w:r>
        <w:rPr>
          <w:spacing w:val="-9"/>
        </w:rPr>
        <w:t xml:space="preserve"> </w:t>
      </w:r>
      <w:r>
        <w:t>rendelkezésre</w:t>
      </w:r>
      <w:r>
        <w:rPr>
          <w:spacing w:val="-7"/>
        </w:rPr>
        <w:t xml:space="preserve"> </w:t>
      </w:r>
      <w:r>
        <w:t>álló</w:t>
      </w:r>
      <w:r>
        <w:rPr>
          <w:spacing w:val="-7"/>
        </w:rPr>
        <w:t xml:space="preserve"> </w:t>
      </w:r>
      <w:r>
        <w:t>adatok</w:t>
      </w:r>
      <w:r>
        <w:rPr>
          <w:spacing w:val="-7"/>
        </w:rPr>
        <w:t xml:space="preserve"> </w:t>
      </w:r>
      <w:r>
        <w:t>napi</w:t>
      </w:r>
      <w:r>
        <w:rPr>
          <w:spacing w:val="-6"/>
        </w:rPr>
        <w:t xml:space="preserve"> </w:t>
      </w:r>
      <w:r>
        <w:t>kétszer</w:t>
      </w:r>
      <w:r>
        <w:rPr>
          <w:spacing w:val="-7"/>
        </w:rPr>
        <w:t xml:space="preserve"> </w:t>
      </w:r>
      <w:r>
        <w:t>110</w:t>
      </w:r>
      <w:r w:rsidR="00294835">
        <w:rPr>
          <w:spacing w:val="-9"/>
        </w:rPr>
        <w:t> mg</w:t>
      </w:r>
      <w:r>
        <w:rPr>
          <w:spacing w:val="-8"/>
        </w:rPr>
        <w:t xml:space="preserve"> </w:t>
      </w:r>
      <w:r w:rsidR="00067923">
        <w:t>dabigatrán-etexilát-kezelés</w:t>
      </w:r>
      <w:r>
        <w:rPr>
          <w:spacing w:val="-2"/>
        </w:rPr>
        <w:t>ről.</w:t>
      </w:r>
    </w:p>
    <w:p w14:paraId="00DAF40F" w14:textId="77777777" w:rsidR="00945359" w:rsidRDefault="00945359" w:rsidP="008F5A8D">
      <w:pPr>
        <w:pStyle w:val="Szvegtrzs"/>
        <w:tabs>
          <w:tab w:val="left" w:pos="567"/>
        </w:tabs>
      </w:pPr>
    </w:p>
    <w:p w14:paraId="6AD182D8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Perkután</w:t>
      </w:r>
      <w:r>
        <w:rPr>
          <w:i/>
          <w:spacing w:val="-11"/>
          <w:u w:val="single"/>
        </w:rPr>
        <w:t xml:space="preserve"> </w:t>
      </w:r>
      <w:r>
        <w:rPr>
          <w:i/>
          <w:u w:val="single"/>
        </w:rPr>
        <w:t>koronáriaintervenció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(PCI)</w:t>
      </w:r>
      <w:r>
        <w:rPr>
          <w:i/>
          <w:spacing w:val="-11"/>
          <w:u w:val="single"/>
        </w:rPr>
        <w:t xml:space="preserve"> </w:t>
      </w:r>
      <w:r>
        <w:rPr>
          <w:i/>
          <w:u w:val="single"/>
        </w:rPr>
        <w:t>stent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alkalmazásával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(SPAF)</w:t>
      </w:r>
    </w:p>
    <w:p w14:paraId="0295766F" w14:textId="49CB5AB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valvularis</w:t>
      </w:r>
      <w:r>
        <w:rPr>
          <w:spacing w:val="-4"/>
        </w:rPr>
        <w:t xml:space="preserve"> </w:t>
      </w:r>
      <w:r>
        <w:t>pitvarfibrilláló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esetén,</w:t>
      </w:r>
      <w:r>
        <w:rPr>
          <w:spacing w:val="-4"/>
        </w:rPr>
        <w:t xml:space="preserve"> </w:t>
      </w:r>
      <w:r>
        <w:t>akik</w:t>
      </w:r>
      <w:r w:rsidR="00B60AA8">
        <w:t>nél</w:t>
      </w:r>
      <w:r>
        <w:rPr>
          <w:spacing w:val="-4"/>
        </w:rPr>
        <w:t xml:space="preserve"> </w:t>
      </w:r>
      <w:r>
        <w:t>stent</w:t>
      </w:r>
      <w:r>
        <w:rPr>
          <w:spacing w:val="-4"/>
        </w:rPr>
        <w:t xml:space="preserve"> </w:t>
      </w:r>
      <w:r>
        <w:t>alkalmazásával</w:t>
      </w:r>
      <w:r>
        <w:rPr>
          <w:spacing w:val="-4"/>
        </w:rPr>
        <w:t xml:space="preserve"> </w:t>
      </w:r>
      <w:r>
        <w:t>végeztek</w:t>
      </w:r>
      <w:r>
        <w:rPr>
          <w:spacing w:val="-4"/>
        </w:rPr>
        <w:t xml:space="preserve"> </w:t>
      </w:r>
      <w:r>
        <w:t>PCI-t,</w:t>
      </w:r>
      <w:r>
        <w:rPr>
          <w:spacing w:val="-3"/>
        </w:rPr>
        <w:t xml:space="preserve"> </w:t>
      </w:r>
      <w:r>
        <w:t>a haemostasis elérése után, a dabigatrán-etexilát más t</w:t>
      </w:r>
      <w:r w:rsidR="00B60AA8">
        <w:t>h</w:t>
      </w:r>
      <w:r>
        <w:t>romboc</w:t>
      </w:r>
      <w:r w:rsidR="00B60AA8">
        <w:t>y</w:t>
      </w:r>
      <w:r>
        <w:t>taaggregáció</w:t>
      </w:r>
      <w:r w:rsidR="00B60AA8">
        <w:t>-</w:t>
      </w:r>
      <w:r>
        <w:t>gátló</w:t>
      </w:r>
      <w:r w:rsidR="00C05FFC">
        <w:t>v</w:t>
      </w:r>
      <w:r>
        <w:t>al együtt is alkalmazható (lásd 5.1</w:t>
      </w:r>
      <w:r w:rsidR="00294835">
        <w:t> pont</w:t>
      </w:r>
      <w:r>
        <w:t>).</w:t>
      </w:r>
    </w:p>
    <w:p w14:paraId="3AED36CC" w14:textId="77777777" w:rsidR="00945359" w:rsidRDefault="00945359" w:rsidP="008F5A8D">
      <w:pPr>
        <w:pStyle w:val="Szvegtrzs"/>
        <w:tabs>
          <w:tab w:val="left" w:pos="567"/>
        </w:tabs>
      </w:pPr>
    </w:p>
    <w:p w14:paraId="395C0BF9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Különleges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betegcsoportok</w:t>
      </w:r>
    </w:p>
    <w:p w14:paraId="1B443477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229D6704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Idősek</w:t>
      </w:r>
    </w:p>
    <w:p w14:paraId="23D4184C" w14:textId="58BBF86F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E</w:t>
      </w:r>
      <w:r>
        <w:rPr>
          <w:spacing w:val="-7"/>
        </w:rPr>
        <w:t xml:space="preserve"> </w:t>
      </w:r>
      <w:r>
        <w:t>betegpopulációt</w:t>
      </w:r>
      <w:r>
        <w:rPr>
          <w:spacing w:val="-6"/>
        </w:rPr>
        <w:t xml:space="preserve"> </w:t>
      </w:r>
      <w:r>
        <w:t>érintő</w:t>
      </w:r>
      <w:r>
        <w:rPr>
          <w:spacing w:val="-7"/>
        </w:rPr>
        <w:t xml:space="preserve"> </w:t>
      </w:r>
      <w:r>
        <w:t>dózismódosítást</w:t>
      </w:r>
      <w:r>
        <w:rPr>
          <w:spacing w:val="-6"/>
        </w:rPr>
        <w:t xml:space="preserve"> </w:t>
      </w:r>
      <w:r>
        <w:t>lásd</w:t>
      </w:r>
      <w:r>
        <w:rPr>
          <w:spacing w:val="-6"/>
        </w:rPr>
        <w:t xml:space="preserve"> </w:t>
      </w:r>
      <w:r>
        <w:t>fent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2.</w:t>
      </w:r>
      <w:r w:rsidR="00B95CAF">
        <w:rPr>
          <w:spacing w:val="-7"/>
        </w:rPr>
        <w:t> táblázat</w:t>
      </w:r>
      <w:r>
        <w:rPr>
          <w:spacing w:val="-2"/>
        </w:rPr>
        <w:t>ban.</w:t>
      </w:r>
    </w:p>
    <w:p w14:paraId="1C7A9E20" w14:textId="77777777" w:rsidR="00B900F2" w:rsidRDefault="00B900F2" w:rsidP="008F5A8D">
      <w:pPr>
        <w:pStyle w:val="Szvegtrzs"/>
        <w:tabs>
          <w:tab w:val="left" w:pos="567"/>
        </w:tabs>
      </w:pPr>
    </w:p>
    <w:p w14:paraId="1AB4F3BA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Fokozott</w:t>
      </w:r>
      <w:r>
        <w:rPr>
          <w:i/>
          <w:spacing w:val="-8"/>
        </w:rPr>
        <w:t xml:space="preserve"> </w:t>
      </w:r>
      <w:r>
        <w:rPr>
          <w:i/>
        </w:rPr>
        <w:t>vérzési</w:t>
      </w:r>
      <w:r>
        <w:rPr>
          <w:i/>
          <w:spacing w:val="-8"/>
        </w:rPr>
        <w:t xml:space="preserve"> </w:t>
      </w:r>
      <w:r>
        <w:rPr>
          <w:i/>
        </w:rPr>
        <w:t>kockázatú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betegek</w:t>
      </w:r>
    </w:p>
    <w:p w14:paraId="5E98A7AE" w14:textId="1319F7A0" w:rsidR="00945359" w:rsidRDefault="00220A43" w:rsidP="008F5A8D">
      <w:pPr>
        <w:pStyle w:val="Szvegtrzs"/>
        <w:tabs>
          <w:tab w:val="left" w:pos="567"/>
        </w:tabs>
      </w:pPr>
      <w:r>
        <w:t>A fokozott vérzési kockázatú betegeket (lásd 4.4, 4.5, 5.1 és 5.2</w:t>
      </w:r>
      <w:r w:rsidR="00294835">
        <w:t> pont</w:t>
      </w:r>
      <w:r>
        <w:t>) klinikailag szorosan kell monitorozni (keresni kell a vérzés vagy anaemia jeleit). A dózis módosítását az orvos dönti el a potenciális előnyök és a kockázatok betegenként egyénileg történő mérlegelése után (lásd 2.</w:t>
      </w:r>
      <w:r w:rsidR="00B95CAF">
        <w:t> táblázat</w:t>
      </w:r>
      <w:r>
        <w:t xml:space="preserve"> fent).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alvadási</w:t>
      </w:r>
      <w:r>
        <w:rPr>
          <w:spacing w:val="-3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4.4</w:t>
      </w:r>
      <w:r w:rsidR="00B60AA8">
        <w:t> pont</w:t>
      </w:r>
      <w:r>
        <w:t>)</w:t>
      </w:r>
      <w:r>
        <w:rPr>
          <w:spacing w:val="-3"/>
        </w:rPr>
        <w:t xml:space="preserve"> </w:t>
      </w:r>
      <w:r>
        <w:t>segíthet</w:t>
      </w:r>
      <w:r>
        <w:rPr>
          <w:spacing w:val="-3"/>
        </w:rPr>
        <w:t xml:space="preserve"> </w:t>
      </w:r>
      <w:r>
        <w:t>azonosítani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túlzott</w:t>
      </w:r>
      <w:r>
        <w:rPr>
          <w:spacing w:val="-3"/>
        </w:rPr>
        <w:t xml:space="preserve"> </w:t>
      </w:r>
      <w:r>
        <w:t>dabigatrán-expozíció</w:t>
      </w:r>
      <w:r>
        <w:rPr>
          <w:spacing w:val="-3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fokozott vérzési kockázatú betegeket. Ha túlzott dabigatrán-expozíciót mutatnak ki nagy vérzési kockázatú betegnél, 220</w:t>
      </w:r>
      <w:r w:rsidR="00294835">
        <w:t> mg</w:t>
      </w:r>
      <w:r>
        <w:t>-os csökkentett napi dózis adása javasolt napi kétszer egy</w:t>
      </w:r>
      <w:r w:rsidR="00B95CAF">
        <w:t> darab</w:t>
      </w:r>
      <w:r>
        <w:t xml:space="preserve"> 110</w:t>
      </w:r>
      <w:r w:rsidR="00294835">
        <w:t> mg</w:t>
      </w:r>
      <w:r>
        <w:t xml:space="preserve">-os </w:t>
      </w:r>
      <w:r>
        <w:lastRenderedPageBreak/>
        <w:t>kapszula formájában. Klinikailag jelentős vérzés jelentkezése esetén a kezelést meg kell szakítani.</w:t>
      </w:r>
    </w:p>
    <w:p w14:paraId="2165AA2F" w14:textId="77777777" w:rsidR="00945359" w:rsidRDefault="00945359" w:rsidP="008F5A8D">
      <w:pPr>
        <w:pStyle w:val="Szvegtrzs"/>
        <w:tabs>
          <w:tab w:val="left" w:pos="567"/>
        </w:tabs>
      </w:pPr>
    </w:p>
    <w:p w14:paraId="543E9D19" w14:textId="5E9799F5" w:rsidR="00945359" w:rsidRDefault="00220A43" w:rsidP="008F5A8D">
      <w:pPr>
        <w:pStyle w:val="Szvegtrzs"/>
        <w:tabs>
          <w:tab w:val="left" w:pos="567"/>
        </w:tabs>
      </w:pPr>
      <w:r>
        <w:t>Gastritis,</w:t>
      </w:r>
      <w:r>
        <w:rPr>
          <w:spacing w:val="-4"/>
        </w:rPr>
        <w:t xml:space="preserve"> </w:t>
      </w:r>
      <w:r>
        <w:t>oesophagitis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gastrooesophagealis</w:t>
      </w:r>
      <w:r>
        <w:rPr>
          <w:spacing w:val="-4"/>
        </w:rPr>
        <w:t xml:space="preserve"> </w:t>
      </w:r>
      <w:r>
        <w:t>reflux</w:t>
      </w:r>
      <w:r>
        <w:rPr>
          <w:spacing w:val="-4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gastrointestinalis</w:t>
      </w:r>
      <w:r>
        <w:rPr>
          <w:spacing w:val="-4"/>
        </w:rPr>
        <w:t xml:space="preserve"> </w:t>
      </w:r>
      <w:r>
        <w:t>vérzés</w:t>
      </w:r>
      <w:r>
        <w:rPr>
          <w:spacing w:val="-4"/>
        </w:rPr>
        <w:t xml:space="preserve"> </w:t>
      </w:r>
      <w:r>
        <w:t>fokozott kockázata miatt csökkentett dózis alkalmazása javasolt (lásd 2.</w:t>
      </w:r>
      <w:r w:rsidR="00B95CAF">
        <w:t> táblázat</w:t>
      </w:r>
      <w:r>
        <w:t xml:space="preserve"> fent és 4.4</w:t>
      </w:r>
      <w:r w:rsidR="00294835">
        <w:t> pont</w:t>
      </w:r>
      <w:r>
        <w:t>).</w:t>
      </w:r>
    </w:p>
    <w:p w14:paraId="0A047E2D" w14:textId="77777777" w:rsidR="00B900F2" w:rsidRDefault="00B900F2">
      <w:pPr>
        <w:tabs>
          <w:tab w:val="left" w:pos="567"/>
        </w:tabs>
        <w:rPr>
          <w:i/>
          <w:spacing w:val="-2"/>
        </w:rPr>
      </w:pPr>
    </w:p>
    <w:p w14:paraId="011DA1A0" w14:textId="5BD4B3D9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Vesekárosodás</w:t>
      </w:r>
    </w:p>
    <w:p w14:paraId="489E439C" w14:textId="16D5402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</w:t>
      </w:r>
      <w:r>
        <w:rPr>
          <w:spacing w:val="-3"/>
        </w:rPr>
        <w:t xml:space="preserve"> </w:t>
      </w:r>
      <w:r>
        <w:t>vesekárosodásban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(30</w:t>
      </w:r>
      <w:r w:rsidR="00294835">
        <w:rPr>
          <w:spacing w:val="-3"/>
        </w:rPr>
        <w:t> ml</w:t>
      </w:r>
      <w:r>
        <w:t>/perc</w:t>
      </w:r>
      <w:r>
        <w:rPr>
          <w:spacing w:val="-3"/>
        </w:rPr>
        <w:t xml:space="preserve"> </w:t>
      </w:r>
      <w:r>
        <w:t xml:space="preserve">alatti kreatinin-clearance </w:t>
      </w:r>
      <w:r w:rsidR="00B60AA8">
        <w:t>[</w:t>
      </w:r>
      <w:r>
        <w:t>CrCl</w:t>
      </w:r>
      <w:r w:rsidR="00B60AA8">
        <w:t>]</w:t>
      </w:r>
      <w:r>
        <w:t>) ellenjavallt (lásd 4.3</w:t>
      </w:r>
      <w:r w:rsidR="00294835">
        <w:t> pont</w:t>
      </w:r>
      <w:r>
        <w:t>).</w:t>
      </w:r>
    </w:p>
    <w:p w14:paraId="4922500B" w14:textId="77777777" w:rsidR="00872F42" w:rsidRDefault="00872F42" w:rsidP="008F5A8D">
      <w:pPr>
        <w:pStyle w:val="Szvegtrzs"/>
        <w:tabs>
          <w:tab w:val="left" w:pos="567"/>
        </w:tabs>
      </w:pPr>
    </w:p>
    <w:p w14:paraId="7A948FDC" w14:textId="17F1D5CB" w:rsidR="00945359" w:rsidRDefault="00220A43" w:rsidP="008F5A8D">
      <w:pPr>
        <w:pStyle w:val="Szvegtrzs"/>
        <w:tabs>
          <w:tab w:val="left" w:pos="567"/>
        </w:tabs>
      </w:pPr>
      <w:r>
        <w:t>A dózis módosítása enyhe (CrCl 50</w:t>
      </w:r>
      <w:r w:rsidR="00B60AA8">
        <w:t xml:space="preserve"> –</w:t>
      </w:r>
      <w:r w:rsidR="00C05FFC">
        <w:t xml:space="preserve"> </w:t>
      </w:r>
      <w:r w:rsidR="00C92404">
        <w:t>≤</w:t>
      </w:r>
      <w:r>
        <w:t>80</w:t>
      </w:r>
      <w:r w:rsidR="00294835">
        <w:t> ml</w:t>
      </w:r>
      <w:r>
        <w:t>/perc) vesekárosodásban nem szükséges. Közepesen súlyos fokú vesekárosodásban (CrCl 30</w:t>
      </w:r>
      <w:r w:rsidR="00C05FFC">
        <w:t>–</w:t>
      </w:r>
      <w:r>
        <w:t>50</w:t>
      </w:r>
      <w:r w:rsidR="00294835">
        <w:t> ml</w:t>
      </w:r>
      <w:r>
        <w:t>/perc) szenvedő betegek ajánlott dabigatrán-etexilát</w:t>
      </w:r>
      <w:r w:rsidR="00B60AA8">
        <w:t>-</w:t>
      </w:r>
      <w:r>
        <w:t>dózisa szintén 300</w:t>
      </w:r>
      <w:r w:rsidR="00294835">
        <w:t> mg</w:t>
      </w:r>
      <w:r>
        <w:t xml:space="preserve"> (naponta kétszer egy</w:t>
      </w:r>
      <w:r w:rsidR="00B95CAF">
        <w:t> darab</w:t>
      </w:r>
      <w:r>
        <w:t xml:space="preserve"> 150</w:t>
      </w:r>
      <w:r w:rsidR="00294835">
        <w:t> mg</w:t>
      </w:r>
      <w:r>
        <w:t>-os kapszula formájában). Mindazonáltal a magas</w:t>
      </w:r>
      <w:r>
        <w:rPr>
          <w:spacing w:val="-3"/>
        </w:rPr>
        <w:t xml:space="preserve"> </w:t>
      </w:r>
      <w:r>
        <w:t>vérzési</w:t>
      </w:r>
      <w:r>
        <w:rPr>
          <w:spacing w:val="-3"/>
        </w:rPr>
        <w:t xml:space="preserve"> </w:t>
      </w:r>
      <w:r>
        <w:t>kockázatú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dózisának</w:t>
      </w:r>
      <w:r>
        <w:rPr>
          <w:spacing w:val="-3"/>
        </w:rPr>
        <w:t xml:space="preserve"> </w:t>
      </w:r>
      <w:r>
        <w:t>220</w:t>
      </w:r>
      <w:r w:rsidR="00294835">
        <w:rPr>
          <w:spacing w:val="-2"/>
        </w:rPr>
        <w:t> mg</w:t>
      </w:r>
      <w:r>
        <w:t>-ra</w:t>
      </w:r>
      <w:r>
        <w:rPr>
          <w:spacing w:val="-2"/>
        </w:rPr>
        <w:t xml:space="preserve"> </w:t>
      </w:r>
      <w:r>
        <w:t>(kétszer</w:t>
      </w:r>
      <w:r>
        <w:rPr>
          <w:spacing w:val="-2"/>
        </w:rPr>
        <w:t xml:space="preserve"> </w:t>
      </w:r>
      <w:r>
        <w:t>egy</w:t>
      </w:r>
      <w:r w:rsidR="00B95CAF">
        <w:rPr>
          <w:spacing w:val="-2"/>
        </w:rPr>
        <w:t> darab</w:t>
      </w:r>
      <w:r>
        <w:t xml:space="preserve"> 110</w:t>
      </w:r>
      <w:r w:rsidR="00294835">
        <w:t> mg</w:t>
      </w:r>
      <w:r>
        <w:t>-os kapszula formájában) való csökkentése is megfontolandó (lásd 4.4 és 5.2</w:t>
      </w:r>
      <w:r w:rsidR="00294835">
        <w:t> pont</w:t>
      </w:r>
      <w:r>
        <w:t>). A vesekárosodásban szenvedő betegek szoros klinikai megfigyelése javasolt.</w:t>
      </w:r>
    </w:p>
    <w:p w14:paraId="305FE31C" w14:textId="77777777" w:rsidR="00945359" w:rsidRDefault="00945359" w:rsidP="008F5A8D">
      <w:pPr>
        <w:pStyle w:val="Szvegtrzs"/>
        <w:tabs>
          <w:tab w:val="left" w:pos="567"/>
        </w:tabs>
      </w:pPr>
    </w:p>
    <w:p w14:paraId="69986A22" w14:textId="33A389BD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dabigatrán-etexilát</w:t>
      </w:r>
      <w:r>
        <w:rPr>
          <w:i/>
          <w:spacing w:val="-5"/>
        </w:rPr>
        <w:t xml:space="preserve"> </w:t>
      </w:r>
      <w:r>
        <w:rPr>
          <w:i/>
        </w:rPr>
        <w:t>egyidejű</w:t>
      </w:r>
      <w:r>
        <w:rPr>
          <w:i/>
          <w:spacing w:val="-4"/>
        </w:rPr>
        <w:t xml:space="preserve"> </w:t>
      </w:r>
      <w:r>
        <w:rPr>
          <w:i/>
        </w:rPr>
        <w:t>alkalmazása</w:t>
      </w:r>
      <w:r>
        <w:rPr>
          <w:i/>
          <w:spacing w:val="-4"/>
        </w:rPr>
        <w:t xml:space="preserve"> </w:t>
      </w:r>
      <w:r>
        <w:rPr>
          <w:i/>
        </w:rPr>
        <w:t>gyenge</w:t>
      </w:r>
      <w:r>
        <w:rPr>
          <w:i/>
          <w:spacing w:val="-4"/>
        </w:rPr>
        <w:t xml:space="preserve"> </w:t>
      </w:r>
      <w:r>
        <w:rPr>
          <w:i/>
        </w:rPr>
        <w:t>és</w:t>
      </w:r>
      <w:r>
        <w:rPr>
          <w:i/>
          <w:spacing w:val="-4"/>
        </w:rPr>
        <w:t xml:space="preserve"> </w:t>
      </w:r>
      <w:r>
        <w:rPr>
          <w:i/>
        </w:rPr>
        <w:t>közepesen</w:t>
      </w:r>
      <w:r>
        <w:rPr>
          <w:i/>
          <w:spacing w:val="-4"/>
        </w:rPr>
        <w:t xml:space="preserve"> </w:t>
      </w:r>
      <w:r>
        <w:rPr>
          <w:i/>
        </w:rPr>
        <w:t>erős</w:t>
      </w:r>
      <w:r>
        <w:rPr>
          <w:i/>
          <w:spacing w:val="-4"/>
        </w:rPr>
        <w:t xml:space="preserve"> </w:t>
      </w:r>
      <w:r>
        <w:rPr>
          <w:i/>
        </w:rPr>
        <w:t>P-glikoprotein</w:t>
      </w:r>
      <w:r w:rsidR="00B60AA8">
        <w:rPr>
          <w:i/>
        </w:rPr>
        <w:t>-</w:t>
      </w:r>
      <w:r>
        <w:rPr>
          <w:i/>
          <w:spacing w:val="-4"/>
        </w:rPr>
        <w:t xml:space="preserve"> </w:t>
      </w:r>
      <w:r>
        <w:rPr>
          <w:i/>
        </w:rPr>
        <w:t>(P-gp</w:t>
      </w:r>
      <w:r w:rsidR="00B60AA8">
        <w:rPr>
          <w:i/>
        </w:rPr>
        <w:t>-</w:t>
      </w:r>
      <w:r>
        <w:rPr>
          <w:i/>
        </w:rPr>
        <w:t>) inhibitor</w:t>
      </w:r>
      <w:r w:rsidR="00B13915">
        <w:rPr>
          <w:i/>
        </w:rPr>
        <w:t>r</w:t>
      </w:r>
      <w:r>
        <w:rPr>
          <w:i/>
        </w:rPr>
        <w:t>al, pl. amiodaronnal, kinidinnel vagy verapamillal</w:t>
      </w:r>
    </w:p>
    <w:p w14:paraId="22384D88" w14:textId="23E7EBF5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módosítása</w:t>
      </w:r>
      <w:r>
        <w:rPr>
          <w:spacing w:val="-2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amiodaronnal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kinidinnel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együttes</w:t>
      </w:r>
      <w:r>
        <w:rPr>
          <w:spacing w:val="-3"/>
        </w:rPr>
        <w:t xml:space="preserve"> </w:t>
      </w:r>
      <w:r>
        <w:t>alkalmazáskor</w:t>
      </w:r>
      <w:r>
        <w:rPr>
          <w:spacing w:val="-3"/>
        </w:rPr>
        <w:t xml:space="preserve"> </w:t>
      </w:r>
      <w:r>
        <w:t>(lásd 4.4, 4.5 és 5.2</w:t>
      </w:r>
      <w:r w:rsidR="00294835">
        <w:t> pont</w:t>
      </w:r>
      <w:r>
        <w:t>).</w:t>
      </w:r>
    </w:p>
    <w:p w14:paraId="65031F57" w14:textId="56D1C418" w:rsidR="00945359" w:rsidRDefault="00220A43" w:rsidP="008F5A8D">
      <w:pPr>
        <w:pStyle w:val="Szvegtrzs"/>
        <w:tabs>
          <w:tab w:val="left" w:pos="567"/>
        </w:tabs>
      </w:pPr>
      <w:r>
        <w:t>Dóziscsökkentés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azoknál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betegeknél,</w:t>
      </w:r>
      <w:r>
        <w:rPr>
          <w:spacing w:val="-3"/>
        </w:rPr>
        <w:t xml:space="preserve"> </w:t>
      </w:r>
      <w:r>
        <w:t>akik</w:t>
      </w:r>
      <w:r>
        <w:rPr>
          <w:spacing w:val="-3"/>
        </w:rPr>
        <w:t xml:space="preserve"> </w:t>
      </w:r>
      <w:r>
        <w:t>egyidejűleg</w:t>
      </w:r>
      <w:r>
        <w:rPr>
          <w:spacing w:val="-3"/>
        </w:rPr>
        <w:t xml:space="preserve"> </w:t>
      </w:r>
      <w:r>
        <w:t>verapamilt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kapnak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2.</w:t>
      </w:r>
      <w:r w:rsidR="00B95CAF">
        <w:rPr>
          <w:spacing w:val="-5"/>
        </w:rPr>
        <w:t> táblázat</w:t>
      </w:r>
      <w:r>
        <w:t xml:space="preserve"> fent, valamint 4.4 és 4.5</w:t>
      </w:r>
      <w:r w:rsidR="00294835">
        <w:t> pont</w:t>
      </w:r>
      <w:r>
        <w:t>). Ebben az esetben</w:t>
      </w:r>
      <w:r>
        <w:rPr>
          <w:spacing w:val="-1"/>
        </w:rPr>
        <w:t xml:space="preserve"> </w:t>
      </w:r>
      <w:r>
        <w:t xml:space="preserve">a dabigatrán-etexilátot és a verapamilt egyszerre kell </w:t>
      </w:r>
      <w:r>
        <w:rPr>
          <w:spacing w:val="-2"/>
        </w:rPr>
        <w:t>bevenni.</w:t>
      </w:r>
    </w:p>
    <w:p w14:paraId="43D62AA4" w14:textId="77777777" w:rsidR="00945359" w:rsidRDefault="00945359" w:rsidP="008F5A8D">
      <w:pPr>
        <w:pStyle w:val="Szvegtrzs"/>
        <w:tabs>
          <w:tab w:val="left" w:pos="567"/>
        </w:tabs>
      </w:pPr>
    </w:p>
    <w:p w14:paraId="0A2EADD9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Testtömeg</w:t>
      </w:r>
    </w:p>
    <w:p w14:paraId="380C972F" w14:textId="215338E3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2"/>
        </w:rPr>
        <w:t xml:space="preserve"> </w:t>
      </w:r>
      <w:r>
        <w:t>dózis</w:t>
      </w:r>
      <w:r>
        <w:rPr>
          <w:spacing w:val="-2"/>
        </w:rPr>
        <w:t xml:space="preserve"> </w:t>
      </w:r>
      <w:r>
        <w:t>módosítása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szükséges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5.2</w:t>
      </w:r>
      <w:r w:rsidR="00294835">
        <w:rPr>
          <w:spacing w:val="-2"/>
        </w:rPr>
        <w:t> pont</w:t>
      </w:r>
      <w:r>
        <w:t>),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50</w:t>
      </w:r>
      <w:r w:rsidR="00AB32E4">
        <w:rPr>
          <w:spacing w:val="-1"/>
        </w:rPr>
        <w:t> kg</w:t>
      </w:r>
      <w:r>
        <w:rPr>
          <w:spacing w:val="-2"/>
        </w:rPr>
        <w:t xml:space="preserve"> </w:t>
      </w:r>
      <w:r>
        <w:t>alatti</w:t>
      </w:r>
      <w:r>
        <w:rPr>
          <w:spacing w:val="-2"/>
        </w:rPr>
        <w:t xml:space="preserve"> </w:t>
      </w:r>
      <w:r>
        <w:t>testtömegű</w:t>
      </w:r>
      <w:r>
        <w:rPr>
          <w:spacing w:val="-2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szoros klinikai követés javasolt (lásd 4.4</w:t>
      </w:r>
      <w:r w:rsidR="00294835">
        <w:t> pont</w:t>
      </w:r>
      <w:r>
        <w:t>).</w:t>
      </w:r>
    </w:p>
    <w:p w14:paraId="42B76829" w14:textId="77777777" w:rsidR="00B900F2" w:rsidRDefault="00B900F2" w:rsidP="008F5A8D">
      <w:pPr>
        <w:pStyle w:val="Szvegtrzs"/>
        <w:tabs>
          <w:tab w:val="left" w:pos="567"/>
        </w:tabs>
      </w:pPr>
    </w:p>
    <w:p w14:paraId="58B3E74E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5"/>
        </w:rPr>
        <w:t>Nem</w:t>
      </w:r>
    </w:p>
    <w:p w14:paraId="66CC5673" w14:textId="502CFDC1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5"/>
        </w:rPr>
        <w:t xml:space="preserve"> </w:t>
      </w:r>
      <w:r>
        <w:t>dózis</w:t>
      </w:r>
      <w:r>
        <w:rPr>
          <w:spacing w:val="-4"/>
        </w:rPr>
        <w:t xml:space="preserve"> </w:t>
      </w:r>
      <w:r>
        <w:t>módosítása</w:t>
      </w:r>
      <w:r>
        <w:rPr>
          <w:spacing w:val="-4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5.2</w:t>
      </w:r>
      <w:r w:rsidR="00294835">
        <w:rPr>
          <w:spacing w:val="-3"/>
        </w:rPr>
        <w:t> pont</w:t>
      </w:r>
      <w:r>
        <w:rPr>
          <w:spacing w:val="-2"/>
        </w:rPr>
        <w:t>).</w:t>
      </w:r>
    </w:p>
    <w:p w14:paraId="481D66CC" w14:textId="77777777" w:rsidR="00945359" w:rsidRDefault="00945359" w:rsidP="008F5A8D">
      <w:pPr>
        <w:pStyle w:val="Szvegtrzs"/>
        <w:tabs>
          <w:tab w:val="left" w:pos="567"/>
        </w:tabs>
      </w:pPr>
    </w:p>
    <w:p w14:paraId="2AFD84F7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Gyermekek</w:t>
      </w:r>
      <w:r>
        <w:rPr>
          <w:i/>
          <w:spacing w:val="-6"/>
        </w:rPr>
        <w:t xml:space="preserve"> </w:t>
      </w:r>
      <w:r>
        <w:rPr>
          <w:i/>
        </w:rPr>
        <w:t>és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serdülők</w:t>
      </w:r>
    </w:p>
    <w:p w14:paraId="479D8198" w14:textId="44C566BC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dabigatrán-etexilátnak</w:t>
      </w:r>
      <w:r>
        <w:rPr>
          <w:spacing w:val="-4"/>
        </w:rPr>
        <w:t xml:space="preserve"> </w:t>
      </w:r>
      <w:r>
        <w:t>nincs</w:t>
      </w:r>
      <w:r>
        <w:rPr>
          <w:spacing w:val="-4"/>
        </w:rPr>
        <w:t xml:space="preserve"> </w:t>
      </w:r>
      <w:r>
        <w:t>releváns</w:t>
      </w:r>
      <w:r>
        <w:rPr>
          <w:spacing w:val="-4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t>gyermekeknél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serdülőknél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következő indikációban: a stroke és a szisztémás embolizáció prevenciója nem </w:t>
      </w:r>
      <w:r w:rsidR="00AB32E4">
        <w:t>billentyűeredetű</w:t>
      </w:r>
      <w:r>
        <w:t xml:space="preserve"> pitvarfibrillációban szenvedő betegek</w:t>
      </w:r>
      <w:r w:rsidR="00B60AA8">
        <w:t>nél</w:t>
      </w:r>
      <w:r>
        <w:t>.</w:t>
      </w:r>
    </w:p>
    <w:p w14:paraId="00818328" w14:textId="77777777" w:rsidR="00945359" w:rsidRDefault="00945359" w:rsidP="008F5A8D">
      <w:pPr>
        <w:pStyle w:val="Szvegtrzs"/>
        <w:tabs>
          <w:tab w:val="left" w:pos="567"/>
        </w:tabs>
      </w:pPr>
    </w:p>
    <w:p w14:paraId="03914E55" w14:textId="74B5F3BE" w:rsidR="00945359" w:rsidRPr="006D73BD" w:rsidRDefault="00220A43" w:rsidP="008F5A8D">
      <w:r w:rsidRPr="006D73BD">
        <w:rPr>
          <w:b/>
          <w:i/>
          <w:u w:val="words"/>
        </w:rPr>
        <w:t>VTE</w:t>
      </w:r>
      <w:r w:rsidRPr="006D73BD">
        <w:rPr>
          <w:b/>
          <w:i/>
          <w:spacing w:val="-7"/>
          <w:u w:val="words"/>
        </w:rPr>
        <w:t xml:space="preserve"> </w:t>
      </w:r>
      <w:r w:rsidRPr="006D73BD">
        <w:rPr>
          <w:b/>
          <w:i/>
          <w:u w:val="words"/>
        </w:rPr>
        <w:t>kezelése</w:t>
      </w:r>
      <w:r w:rsidRPr="006D73BD">
        <w:rPr>
          <w:b/>
          <w:i/>
          <w:spacing w:val="-6"/>
          <w:u w:val="words"/>
        </w:rPr>
        <w:t xml:space="preserve"> </w:t>
      </w:r>
      <w:r w:rsidRPr="006D73BD">
        <w:rPr>
          <w:b/>
          <w:i/>
          <w:u w:val="words"/>
        </w:rPr>
        <w:t>és</w:t>
      </w:r>
      <w:r w:rsidRPr="006D73BD">
        <w:rPr>
          <w:b/>
          <w:i/>
          <w:spacing w:val="-6"/>
          <w:u w:val="words"/>
        </w:rPr>
        <w:t xml:space="preserve"> </w:t>
      </w:r>
      <w:r w:rsidRPr="006D73BD">
        <w:rPr>
          <w:b/>
          <w:i/>
          <w:u w:val="words"/>
        </w:rPr>
        <w:t>VTE</w:t>
      </w:r>
      <w:r w:rsidRPr="006D73BD">
        <w:rPr>
          <w:b/>
          <w:i/>
          <w:spacing w:val="-7"/>
          <w:u w:val="words"/>
        </w:rPr>
        <w:t xml:space="preserve"> </w:t>
      </w:r>
      <w:r w:rsidRPr="006D73BD">
        <w:rPr>
          <w:b/>
          <w:i/>
          <w:u w:val="words"/>
        </w:rPr>
        <w:t>kiújulá</w:t>
      </w:r>
      <w:r w:rsidR="00C05FFC">
        <w:rPr>
          <w:b/>
          <w:i/>
          <w:u w:val="words"/>
        </w:rPr>
        <w:t>sá</w:t>
      </w:r>
      <w:r w:rsidRPr="006D73BD">
        <w:rPr>
          <w:b/>
          <w:i/>
          <w:u w:val="words"/>
        </w:rPr>
        <w:t>nak</w:t>
      </w:r>
      <w:r w:rsidRPr="006D73BD">
        <w:rPr>
          <w:b/>
          <w:i/>
          <w:spacing w:val="-6"/>
          <w:u w:val="words"/>
        </w:rPr>
        <w:t xml:space="preserve"> </w:t>
      </w:r>
      <w:r w:rsidRPr="006D73BD">
        <w:rPr>
          <w:b/>
          <w:i/>
          <w:u w:val="words"/>
        </w:rPr>
        <w:t>megelőzése</w:t>
      </w:r>
      <w:r w:rsidRPr="006D73BD">
        <w:rPr>
          <w:b/>
          <w:i/>
          <w:spacing w:val="-6"/>
          <w:u w:val="words"/>
        </w:rPr>
        <w:t xml:space="preserve"> </w:t>
      </w:r>
      <w:r w:rsidRPr="006D73BD">
        <w:rPr>
          <w:b/>
          <w:i/>
          <w:u w:val="words"/>
        </w:rPr>
        <w:t>gyermekeknél</w:t>
      </w:r>
      <w:r w:rsidRPr="006D73BD">
        <w:rPr>
          <w:b/>
          <w:i/>
          <w:spacing w:val="-8"/>
          <w:u w:val="words"/>
        </w:rPr>
        <w:t xml:space="preserve"> </w:t>
      </w:r>
      <w:r w:rsidRPr="006D73BD">
        <w:rPr>
          <w:b/>
          <w:i/>
          <w:u w:val="words"/>
        </w:rPr>
        <w:t>és</w:t>
      </w:r>
      <w:r w:rsidRPr="006D73BD">
        <w:rPr>
          <w:b/>
          <w:i/>
          <w:spacing w:val="-6"/>
          <w:u w:val="words"/>
        </w:rPr>
        <w:t xml:space="preserve"> </w:t>
      </w:r>
      <w:r w:rsidRPr="006D73BD">
        <w:rPr>
          <w:b/>
          <w:i/>
          <w:spacing w:val="-2"/>
          <w:u w:val="words"/>
        </w:rPr>
        <w:t>serdülőknél</w:t>
      </w:r>
    </w:p>
    <w:p w14:paraId="7876BA37" w14:textId="02581232" w:rsidR="00945359" w:rsidRDefault="00220A43" w:rsidP="008F5A8D">
      <w:pPr>
        <w:pStyle w:val="Szvegtrzs"/>
        <w:tabs>
          <w:tab w:val="left" w:pos="567"/>
        </w:tabs>
      </w:pPr>
      <w:r>
        <w:t>VTE</w:t>
      </w:r>
      <w:r>
        <w:rPr>
          <w:spacing w:val="-3"/>
        </w:rPr>
        <w:t xml:space="preserve"> </w:t>
      </w:r>
      <w:r>
        <w:t>kezelésekor</w:t>
      </w:r>
      <w:r>
        <w:rPr>
          <w:spacing w:val="-3"/>
        </w:rPr>
        <w:t xml:space="preserve"> </w:t>
      </w:r>
      <w:r>
        <w:t>gyermekeknél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serdülőknél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kezelést</w:t>
      </w:r>
      <w:r>
        <w:rPr>
          <w:spacing w:val="-3"/>
        </w:rPr>
        <w:t xml:space="preserve"> </w:t>
      </w:r>
      <w:r>
        <w:t>legalább</w:t>
      </w:r>
      <w:r>
        <w:rPr>
          <w:spacing w:val="-3"/>
        </w:rPr>
        <w:t xml:space="preserve"> </w:t>
      </w:r>
      <w:r>
        <w:t>5</w:t>
      </w:r>
      <w:r w:rsidR="00294835">
        <w:rPr>
          <w:spacing w:val="-4"/>
        </w:rPr>
        <w:t> nap</w:t>
      </w:r>
      <w:r>
        <w:t>os</w:t>
      </w:r>
      <w:r>
        <w:rPr>
          <w:spacing w:val="-3"/>
        </w:rPr>
        <w:t xml:space="preserve"> </w:t>
      </w:r>
      <w:r>
        <w:t>parenter</w:t>
      </w:r>
      <w:r w:rsidR="003811EA">
        <w:t>a</w:t>
      </w:r>
      <w:r>
        <w:t>lis</w:t>
      </w:r>
      <w:r>
        <w:rPr>
          <w:spacing w:val="-3"/>
        </w:rPr>
        <w:t xml:space="preserve"> </w:t>
      </w:r>
      <w:r>
        <w:t>antikoaguláns kezelést követően kell megkezdeni. A VTE kiújulásának megelőzése érdekében végzett kezelést a korábbi kezelés folytatásaként kell alkalmazni.</w:t>
      </w:r>
    </w:p>
    <w:p w14:paraId="7DD2C32D" w14:textId="77777777" w:rsidR="00945359" w:rsidRDefault="00945359" w:rsidP="008F5A8D">
      <w:pPr>
        <w:pStyle w:val="Szvegtrzs"/>
        <w:tabs>
          <w:tab w:val="left" w:pos="567"/>
        </w:tabs>
      </w:pPr>
    </w:p>
    <w:p w14:paraId="19968538" w14:textId="3B599271" w:rsidR="00945359" w:rsidRDefault="00220A43" w:rsidP="008F5A8D">
      <w:pPr>
        <w:tabs>
          <w:tab w:val="left" w:pos="567"/>
        </w:tabs>
      </w:pPr>
      <w:r>
        <w:rPr>
          <w:b/>
        </w:rPr>
        <w:t>A dabigatrán-etexilát kapszulát naponta kétszer kell bevenni</w:t>
      </w:r>
      <w:r>
        <w:t>, egy adagot reggel és egy adagot este,</w:t>
      </w:r>
      <w:r>
        <w:rPr>
          <w:spacing w:val="-3"/>
        </w:rPr>
        <w:t xml:space="preserve"> </w:t>
      </w:r>
      <w:r>
        <w:t>mindennap</w:t>
      </w:r>
      <w:r>
        <w:rPr>
          <w:spacing w:val="-3"/>
        </w:rPr>
        <w:t xml:space="preserve"> </w:t>
      </w:r>
      <w:r>
        <w:t>körülbelül</w:t>
      </w:r>
      <w:r>
        <w:rPr>
          <w:spacing w:val="-3"/>
        </w:rPr>
        <w:t xml:space="preserve"> </w:t>
      </w:r>
      <w:r>
        <w:t>azonos</w:t>
      </w:r>
      <w:r>
        <w:rPr>
          <w:spacing w:val="-3"/>
        </w:rPr>
        <w:t xml:space="preserve"> </w:t>
      </w:r>
      <w:r>
        <w:t>időben.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bevételek</w:t>
      </w:r>
      <w:r>
        <w:rPr>
          <w:spacing w:val="-3"/>
        </w:rPr>
        <w:t xml:space="preserve"> </w:t>
      </w:r>
      <w:r>
        <w:t>között</w:t>
      </w:r>
      <w:r>
        <w:rPr>
          <w:spacing w:val="-3"/>
        </w:rPr>
        <w:t xml:space="preserve"> </w:t>
      </w:r>
      <w:r>
        <w:t>eltelt</w:t>
      </w:r>
      <w:r>
        <w:rPr>
          <w:spacing w:val="-3"/>
        </w:rPr>
        <w:t xml:space="preserve"> </w:t>
      </w:r>
      <w:r>
        <w:t>időnek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lehető</w:t>
      </w:r>
      <w:r>
        <w:rPr>
          <w:spacing w:val="-3"/>
        </w:rPr>
        <w:t xml:space="preserve"> </w:t>
      </w:r>
      <w:r>
        <w:t>legközelebb</w:t>
      </w:r>
      <w:r>
        <w:rPr>
          <w:spacing w:val="-3"/>
        </w:rPr>
        <w:t xml:space="preserve"> </w:t>
      </w:r>
      <w:r>
        <w:t xml:space="preserve">kell lennie </w:t>
      </w:r>
      <w:r w:rsidR="00B60AA8">
        <w:t xml:space="preserve">a </w:t>
      </w:r>
      <w:r>
        <w:t>12</w:t>
      </w:r>
      <w:r w:rsidR="002E2A7B">
        <w:t> órá</w:t>
      </w:r>
      <w:r>
        <w:t>hoz.</w:t>
      </w:r>
    </w:p>
    <w:p w14:paraId="3E81702A" w14:textId="77777777" w:rsidR="00945359" w:rsidRDefault="00945359" w:rsidP="008F5A8D">
      <w:pPr>
        <w:pStyle w:val="Szvegtrzs"/>
        <w:tabs>
          <w:tab w:val="left" w:pos="567"/>
        </w:tabs>
      </w:pPr>
    </w:p>
    <w:p w14:paraId="06B8C54A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7"/>
        </w:rPr>
        <w:t xml:space="preserve"> </w:t>
      </w:r>
      <w:r>
        <w:t>dabigatrán-etexilát</w:t>
      </w:r>
      <w:r>
        <w:rPr>
          <w:spacing w:val="-6"/>
        </w:rPr>
        <w:t xml:space="preserve"> </w:t>
      </w:r>
      <w:r>
        <w:t>kapszula</w:t>
      </w:r>
      <w:r>
        <w:rPr>
          <w:spacing w:val="-7"/>
        </w:rPr>
        <w:t xml:space="preserve"> </w:t>
      </w:r>
      <w:r>
        <w:t>javasolt</w:t>
      </w:r>
      <w:r>
        <w:rPr>
          <w:spacing w:val="-7"/>
        </w:rPr>
        <w:t xml:space="preserve"> </w:t>
      </w:r>
      <w:r>
        <w:t>dózisa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beteg</w:t>
      </w:r>
      <w:r>
        <w:rPr>
          <w:spacing w:val="-7"/>
        </w:rPr>
        <w:t xml:space="preserve"> </w:t>
      </w:r>
      <w:r>
        <w:t>testtömegétől</w:t>
      </w:r>
      <w:r>
        <w:rPr>
          <w:spacing w:val="-7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életkorától</w:t>
      </w:r>
      <w:r>
        <w:rPr>
          <w:spacing w:val="-7"/>
        </w:rPr>
        <w:t xml:space="preserve"> </w:t>
      </w:r>
      <w:r>
        <w:t>függ,</w:t>
      </w:r>
      <w:r>
        <w:rPr>
          <w:spacing w:val="-7"/>
        </w:rPr>
        <w:t xml:space="preserve"> </w:t>
      </w:r>
      <w:r>
        <w:t>amint</w:t>
      </w:r>
      <w:r>
        <w:rPr>
          <w:spacing w:val="-7"/>
        </w:rPr>
        <w:t xml:space="preserve"> </w:t>
      </w:r>
      <w:r>
        <w:t>azt</w:t>
      </w:r>
      <w:r>
        <w:rPr>
          <w:spacing w:val="-6"/>
        </w:rPr>
        <w:t xml:space="preserve"> </w:t>
      </w:r>
      <w:r>
        <w:rPr>
          <w:spacing w:val="-10"/>
        </w:rPr>
        <w:t>a</w:t>
      </w:r>
    </w:p>
    <w:p w14:paraId="79756D0A" w14:textId="094984EE" w:rsidR="00945359" w:rsidRDefault="00220A43" w:rsidP="008F5A8D">
      <w:pPr>
        <w:pStyle w:val="Szvegtrzs"/>
        <w:tabs>
          <w:tab w:val="left" w:pos="567"/>
        </w:tabs>
      </w:pPr>
      <w:r>
        <w:t>4.</w:t>
      </w:r>
      <w:r w:rsidR="00B95CAF">
        <w:rPr>
          <w:spacing w:val="-6"/>
        </w:rPr>
        <w:t> táblázat</w:t>
      </w:r>
      <w:r>
        <w:rPr>
          <w:spacing w:val="-6"/>
        </w:rPr>
        <w:t xml:space="preserve"> </w:t>
      </w:r>
      <w:r>
        <w:t>mutatja.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dózist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kezelés</w:t>
      </w:r>
      <w:r>
        <w:rPr>
          <w:spacing w:val="-7"/>
        </w:rPr>
        <w:t xml:space="preserve"> </w:t>
      </w:r>
      <w:r>
        <w:t>előrehaladtával</w:t>
      </w:r>
      <w:r>
        <w:rPr>
          <w:spacing w:val="-6"/>
        </w:rPr>
        <w:t xml:space="preserve"> </w:t>
      </w:r>
      <w:r>
        <w:t>testtömeg</w:t>
      </w:r>
      <w:r>
        <w:rPr>
          <w:spacing w:val="-6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életkor</w:t>
      </w:r>
      <w:r>
        <w:rPr>
          <w:spacing w:val="-6"/>
        </w:rPr>
        <w:t xml:space="preserve"> </w:t>
      </w:r>
      <w:r>
        <w:t>szerint</w:t>
      </w:r>
      <w:r>
        <w:rPr>
          <w:spacing w:val="-6"/>
        </w:rPr>
        <w:t xml:space="preserve"> </w:t>
      </w:r>
      <w:r>
        <w:t>módosítani</w:t>
      </w:r>
      <w:r>
        <w:rPr>
          <w:spacing w:val="-6"/>
        </w:rPr>
        <w:t xml:space="preserve"> </w:t>
      </w:r>
      <w:r>
        <w:rPr>
          <w:spacing w:val="-2"/>
        </w:rPr>
        <w:t>kell.</w:t>
      </w:r>
    </w:p>
    <w:p w14:paraId="28E50B93" w14:textId="77777777" w:rsidR="00945359" w:rsidRDefault="00945359" w:rsidP="008F5A8D">
      <w:pPr>
        <w:pStyle w:val="Szvegtrzs"/>
        <w:tabs>
          <w:tab w:val="left" w:pos="567"/>
        </w:tabs>
      </w:pPr>
    </w:p>
    <w:p w14:paraId="75F9D274" w14:textId="7E640D69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adagolási</w:t>
      </w:r>
      <w:r>
        <w:rPr>
          <w:spacing w:val="-3"/>
        </w:rPr>
        <w:t xml:space="preserve"> </w:t>
      </w:r>
      <w:r>
        <w:t>táblázatban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szereplő</w:t>
      </w:r>
      <w:r>
        <w:rPr>
          <w:spacing w:val="-3"/>
        </w:rPr>
        <w:t xml:space="preserve"> </w:t>
      </w:r>
      <w:r>
        <w:t>testtömeg</w:t>
      </w:r>
      <w:r w:rsidR="00B60AA8">
        <w:t>/</w:t>
      </w:r>
      <w:r>
        <w:t>életkor</w:t>
      </w:r>
      <w:r w:rsidR="00B60AA8">
        <w:t xml:space="preserve"> </w:t>
      </w:r>
      <w:r>
        <w:t>kombinációk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adható adagolási javaslat.</w:t>
      </w:r>
    </w:p>
    <w:p w14:paraId="0C0B93FF" w14:textId="77777777" w:rsidR="00945359" w:rsidRDefault="00945359" w:rsidP="008F5A8D">
      <w:pPr>
        <w:pStyle w:val="Szvegtrzs"/>
        <w:tabs>
          <w:tab w:val="left" w:pos="567"/>
        </w:tabs>
      </w:pPr>
    </w:p>
    <w:p w14:paraId="333947D3" w14:textId="33FC5EF2" w:rsidR="00945359" w:rsidRPr="00511F35" w:rsidRDefault="006C2A98" w:rsidP="008F5A8D">
      <w:r w:rsidRPr="00511F35">
        <w:rPr>
          <w:b/>
          <w:spacing w:val="-2"/>
        </w:rPr>
        <w:t>4</w:t>
      </w:r>
      <w:r w:rsidR="00BC10BA" w:rsidRPr="00511F35">
        <w:rPr>
          <w:b/>
          <w:spacing w:val="-2"/>
        </w:rPr>
        <w:t>. táblázat</w:t>
      </w:r>
      <w:r w:rsidRPr="00511F35">
        <w:rPr>
          <w:b/>
        </w:rPr>
        <w:t xml:space="preserve">: </w:t>
      </w:r>
      <w:r w:rsidR="00220A43" w:rsidRPr="00511F35">
        <w:rPr>
          <w:b/>
        </w:rPr>
        <w:t xml:space="preserve">A táblázatban a </w:t>
      </w:r>
      <w:r w:rsidR="00701BD2" w:rsidRPr="00511F35">
        <w:rPr>
          <w:b/>
        </w:rPr>
        <w:t>Dabigatran Etexilate Laboratorios Liconsa</w:t>
      </w:r>
      <w:r w:rsidR="00220A43" w:rsidRPr="00511F35">
        <w:rPr>
          <w:b/>
        </w:rPr>
        <w:t xml:space="preserve"> egyszeri és teljes napi adagja van feltüntetve, milligramm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(mg)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értékben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meghatározva,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beteg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kilogrammban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megadott testtömege (kg) és évben megadott életkora alapján.</w:t>
      </w:r>
    </w:p>
    <w:p w14:paraId="3785273F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266"/>
        <w:gridCol w:w="2264"/>
        <w:gridCol w:w="2266"/>
        <w:gridCol w:w="2266"/>
      </w:tblGrid>
      <w:tr w:rsidR="00945359" w14:paraId="4E2AF074" w14:textId="77777777" w:rsidTr="008F5A8D">
        <w:trPr>
          <w:trHeight w:val="251"/>
        </w:trPr>
        <w:tc>
          <w:tcPr>
            <w:tcW w:w="4530" w:type="dxa"/>
            <w:gridSpan w:val="2"/>
          </w:tcPr>
          <w:p w14:paraId="0A3F5B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  <w:spacing w:val="-2"/>
              </w:rPr>
              <w:t>Testtömeg/életkor</w:t>
            </w:r>
            <w:r>
              <w:rPr>
                <w:b/>
                <w:spacing w:val="17"/>
              </w:rPr>
              <w:t xml:space="preserve"> </w:t>
            </w:r>
            <w:r>
              <w:rPr>
                <w:b/>
                <w:spacing w:val="-2"/>
              </w:rPr>
              <w:t>kombinációk</w:t>
            </w:r>
          </w:p>
        </w:tc>
        <w:tc>
          <w:tcPr>
            <w:tcW w:w="2266" w:type="dxa"/>
            <w:vMerge w:val="restart"/>
          </w:tcPr>
          <w:p w14:paraId="3B9AA00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Egyszeri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adag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(mg)</w:t>
            </w:r>
          </w:p>
        </w:tc>
        <w:tc>
          <w:tcPr>
            <w:tcW w:w="2266" w:type="dxa"/>
            <w:vMerge w:val="restart"/>
          </w:tcPr>
          <w:p w14:paraId="35F9E09E" w14:textId="29951BA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Teljes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napi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adag</w:t>
            </w:r>
            <w:r>
              <w:rPr>
                <w:b/>
                <w:spacing w:val="-4"/>
              </w:rPr>
              <w:t xml:space="preserve"> (mg)</w:t>
            </w:r>
          </w:p>
        </w:tc>
      </w:tr>
      <w:tr w:rsidR="00945359" w14:paraId="2E7CF9F9" w14:textId="77777777" w:rsidTr="008F5A8D">
        <w:trPr>
          <w:trHeight w:val="253"/>
        </w:trPr>
        <w:tc>
          <w:tcPr>
            <w:tcW w:w="2266" w:type="dxa"/>
          </w:tcPr>
          <w:p w14:paraId="605770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Testtömeg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4"/>
              </w:rPr>
              <w:t>(kg)</w:t>
            </w:r>
          </w:p>
        </w:tc>
        <w:tc>
          <w:tcPr>
            <w:tcW w:w="2264" w:type="dxa"/>
          </w:tcPr>
          <w:p w14:paraId="1594055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  <w:r>
              <w:rPr>
                <w:b/>
              </w:rPr>
              <w:t>Életkor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4"/>
              </w:rPr>
              <w:t>(év)</w:t>
            </w:r>
          </w:p>
        </w:tc>
        <w:tc>
          <w:tcPr>
            <w:tcW w:w="2266" w:type="dxa"/>
            <w:vMerge/>
            <w:tcBorders>
              <w:top w:val="nil"/>
            </w:tcBorders>
          </w:tcPr>
          <w:p w14:paraId="6A9CF0BB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2266" w:type="dxa"/>
            <w:vMerge/>
            <w:tcBorders>
              <w:top w:val="nil"/>
            </w:tcBorders>
          </w:tcPr>
          <w:p w14:paraId="21CC1CE3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</w:tr>
      <w:tr w:rsidR="00945359" w14:paraId="62A48D5A" w14:textId="77777777" w:rsidTr="008F5A8D">
        <w:trPr>
          <w:trHeight w:val="251"/>
        </w:trPr>
        <w:tc>
          <w:tcPr>
            <w:tcW w:w="2266" w:type="dxa"/>
          </w:tcPr>
          <w:p w14:paraId="0B8E8034" w14:textId="5F63670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 xml:space="preserve">11 – </w:t>
            </w:r>
            <w:r w:rsidR="00B95CAF">
              <w:t>&lt;</w:t>
            </w:r>
            <w:r>
              <w:rPr>
                <w:spacing w:val="-5"/>
              </w:rPr>
              <w:t>13</w:t>
            </w:r>
          </w:p>
        </w:tc>
        <w:tc>
          <w:tcPr>
            <w:tcW w:w="2264" w:type="dxa"/>
          </w:tcPr>
          <w:p w14:paraId="74D90DF3" w14:textId="0374A1B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10"/>
              </w:rPr>
              <w:t>9</w:t>
            </w:r>
          </w:p>
        </w:tc>
        <w:tc>
          <w:tcPr>
            <w:tcW w:w="2266" w:type="dxa"/>
          </w:tcPr>
          <w:p w14:paraId="45F912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75</w:t>
            </w:r>
          </w:p>
        </w:tc>
        <w:tc>
          <w:tcPr>
            <w:tcW w:w="2266" w:type="dxa"/>
          </w:tcPr>
          <w:p w14:paraId="7F57B41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150</w:t>
            </w:r>
          </w:p>
        </w:tc>
      </w:tr>
      <w:tr w:rsidR="00945359" w14:paraId="20B5FE01" w14:textId="77777777" w:rsidTr="008F5A8D">
        <w:trPr>
          <w:trHeight w:val="253"/>
        </w:trPr>
        <w:tc>
          <w:tcPr>
            <w:tcW w:w="2266" w:type="dxa"/>
          </w:tcPr>
          <w:p w14:paraId="5DCF9C1F" w14:textId="2C6C63A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13 – </w:t>
            </w:r>
            <w:r w:rsidR="00B95CAF">
              <w:t>&lt;</w:t>
            </w:r>
            <w:r>
              <w:rPr>
                <w:spacing w:val="-5"/>
              </w:rPr>
              <w:t>16</w:t>
            </w:r>
          </w:p>
        </w:tc>
        <w:tc>
          <w:tcPr>
            <w:tcW w:w="2264" w:type="dxa"/>
          </w:tcPr>
          <w:p w14:paraId="00A536B8" w14:textId="5537379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11</w:t>
            </w:r>
          </w:p>
        </w:tc>
        <w:tc>
          <w:tcPr>
            <w:tcW w:w="2266" w:type="dxa"/>
          </w:tcPr>
          <w:p w14:paraId="5D30E21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110</w:t>
            </w:r>
          </w:p>
        </w:tc>
        <w:tc>
          <w:tcPr>
            <w:tcW w:w="2266" w:type="dxa"/>
          </w:tcPr>
          <w:p w14:paraId="375DB35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220</w:t>
            </w:r>
          </w:p>
        </w:tc>
      </w:tr>
      <w:tr w:rsidR="00945359" w14:paraId="5B67BB56" w14:textId="77777777" w:rsidTr="008F5A8D">
        <w:trPr>
          <w:trHeight w:val="254"/>
        </w:trPr>
        <w:tc>
          <w:tcPr>
            <w:tcW w:w="2266" w:type="dxa"/>
          </w:tcPr>
          <w:p w14:paraId="00DE2756" w14:textId="425D3BE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16 – </w:t>
            </w:r>
            <w:r w:rsidR="00B95CAF">
              <w:t>&lt;</w:t>
            </w:r>
            <w:r>
              <w:rPr>
                <w:spacing w:val="-5"/>
              </w:rPr>
              <w:t>21</w:t>
            </w:r>
          </w:p>
        </w:tc>
        <w:tc>
          <w:tcPr>
            <w:tcW w:w="2264" w:type="dxa"/>
          </w:tcPr>
          <w:p w14:paraId="6597BFD8" w14:textId="0DCF094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14</w:t>
            </w:r>
          </w:p>
        </w:tc>
        <w:tc>
          <w:tcPr>
            <w:tcW w:w="2266" w:type="dxa"/>
          </w:tcPr>
          <w:p w14:paraId="09A7A4C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110</w:t>
            </w:r>
          </w:p>
        </w:tc>
        <w:tc>
          <w:tcPr>
            <w:tcW w:w="2266" w:type="dxa"/>
          </w:tcPr>
          <w:p w14:paraId="7F68328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220</w:t>
            </w:r>
          </w:p>
        </w:tc>
      </w:tr>
      <w:tr w:rsidR="00945359" w14:paraId="2D3B3FD5" w14:textId="77777777" w:rsidTr="008F5A8D">
        <w:trPr>
          <w:trHeight w:val="251"/>
        </w:trPr>
        <w:tc>
          <w:tcPr>
            <w:tcW w:w="2266" w:type="dxa"/>
          </w:tcPr>
          <w:p w14:paraId="358ABEF7" w14:textId="5AA3706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21 – </w:t>
            </w:r>
            <w:r w:rsidR="00B95CAF">
              <w:t>&lt;</w:t>
            </w:r>
            <w:r>
              <w:rPr>
                <w:spacing w:val="-5"/>
              </w:rPr>
              <w:t>26</w:t>
            </w:r>
          </w:p>
        </w:tc>
        <w:tc>
          <w:tcPr>
            <w:tcW w:w="2264" w:type="dxa"/>
          </w:tcPr>
          <w:p w14:paraId="26CCD2B6" w14:textId="4B1D406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16</w:t>
            </w:r>
          </w:p>
        </w:tc>
        <w:tc>
          <w:tcPr>
            <w:tcW w:w="2266" w:type="dxa"/>
          </w:tcPr>
          <w:p w14:paraId="1ABC66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150</w:t>
            </w:r>
          </w:p>
        </w:tc>
        <w:tc>
          <w:tcPr>
            <w:tcW w:w="2266" w:type="dxa"/>
          </w:tcPr>
          <w:p w14:paraId="48C0F31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</w:tr>
      <w:tr w:rsidR="00945359" w14:paraId="17051ABC" w14:textId="77777777" w:rsidTr="008F5A8D">
        <w:trPr>
          <w:trHeight w:val="253"/>
        </w:trPr>
        <w:tc>
          <w:tcPr>
            <w:tcW w:w="2266" w:type="dxa"/>
          </w:tcPr>
          <w:p w14:paraId="550C8CDE" w14:textId="3C3C360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26 – </w:t>
            </w:r>
            <w:r w:rsidR="00B95CAF">
              <w:t>&lt;</w:t>
            </w:r>
            <w:r>
              <w:rPr>
                <w:spacing w:val="-5"/>
              </w:rPr>
              <w:t>31</w:t>
            </w:r>
          </w:p>
        </w:tc>
        <w:tc>
          <w:tcPr>
            <w:tcW w:w="2264" w:type="dxa"/>
          </w:tcPr>
          <w:p w14:paraId="5D850D38" w14:textId="6CF0EA5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5458FEC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150</w:t>
            </w:r>
          </w:p>
        </w:tc>
        <w:tc>
          <w:tcPr>
            <w:tcW w:w="2266" w:type="dxa"/>
          </w:tcPr>
          <w:p w14:paraId="7531EAA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</w:tr>
      <w:tr w:rsidR="00945359" w14:paraId="0274DD3D" w14:textId="77777777" w:rsidTr="008F5A8D">
        <w:trPr>
          <w:trHeight w:val="251"/>
        </w:trPr>
        <w:tc>
          <w:tcPr>
            <w:tcW w:w="2266" w:type="dxa"/>
          </w:tcPr>
          <w:p w14:paraId="39DF6C26" w14:textId="715A7F2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31 – </w:t>
            </w:r>
            <w:r w:rsidR="00B95CAF">
              <w:t>&lt;</w:t>
            </w:r>
            <w:r>
              <w:rPr>
                <w:spacing w:val="-5"/>
              </w:rPr>
              <w:t>41</w:t>
            </w:r>
          </w:p>
        </w:tc>
        <w:tc>
          <w:tcPr>
            <w:tcW w:w="2264" w:type="dxa"/>
          </w:tcPr>
          <w:p w14:paraId="4B44BD14" w14:textId="37CD68C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271688D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185</w:t>
            </w:r>
          </w:p>
        </w:tc>
        <w:tc>
          <w:tcPr>
            <w:tcW w:w="2266" w:type="dxa"/>
          </w:tcPr>
          <w:p w14:paraId="268CCBD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370</w:t>
            </w:r>
          </w:p>
        </w:tc>
      </w:tr>
      <w:tr w:rsidR="00945359" w14:paraId="0362F623" w14:textId="77777777" w:rsidTr="008F5A8D">
        <w:trPr>
          <w:trHeight w:val="254"/>
        </w:trPr>
        <w:tc>
          <w:tcPr>
            <w:tcW w:w="2266" w:type="dxa"/>
          </w:tcPr>
          <w:p w14:paraId="58581060" w14:textId="5E39007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41 – </w:t>
            </w:r>
            <w:r w:rsidR="00B95CAF">
              <w:t>&lt;</w:t>
            </w:r>
            <w:r>
              <w:rPr>
                <w:spacing w:val="-5"/>
              </w:rPr>
              <w:t>51</w:t>
            </w:r>
          </w:p>
        </w:tc>
        <w:tc>
          <w:tcPr>
            <w:tcW w:w="2264" w:type="dxa"/>
          </w:tcPr>
          <w:p w14:paraId="45791AF4" w14:textId="4BD2D5B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520BD89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220</w:t>
            </w:r>
          </w:p>
        </w:tc>
        <w:tc>
          <w:tcPr>
            <w:tcW w:w="2266" w:type="dxa"/>
          </w:tcPr>
          <w:p w14:paraId="2B80B31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440</w:t>
            </w:r>
          </w:p>
        </w:tc>
      </w:tr>
      <w:tr w:rsidR="00945359" w14:paraId="6F44187E" w14:textId="77777777" w:rsidTr="008F5A8D">
        <w:trPr>
          <w:trHeight w:val="251"/>
        </w:trPr>
        <w:tc>
          <w:tcPr>
            <w:tcW w:w="2266" w:type="dxa"/>
          </w:tcPr>
          <w:p w14:paraId="06895776" w14:textId="725D2E6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51 – </w:t>
            </w:r>
            <w:r w:rsidR="00B95CAF">
              <w:t>&lt;</w:t>
            </w:r>
            <w:r>
              <w:rPr>
                <w:spacing w:val="-5"/>
              </w:rPr>
              <w:t>61</w:t>
            </w:r>
          </w:p>
        </w:tc>
        <w:tc>
          <w:tcPr>
            <w:tcW w:w="2264" w:type="dxa"/>
          </w:tcPr>
          <w:p w14:paraId="5DED0CED" w14:textId="7BC9573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6A15CFB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260</w:t>
            </w:r>
          </w:p>
        </w:tc>
        <w:tc>
          <w:tcPr>
            <w:tcW w:w="2266" w:type="dxa"/>
          </w:tcPr>
          <w:p w14:paraId="61CF783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520</w:t>
            </w:r>
          </w:p>
        </w:tc>
      </w:tr>
      <w:tr w:rsidR="00945359" w14:paraId="00375EEC" w14:textId="77777777" w:rsidTr="008F5A8D">
        <w:trPr>
          <w:trHeight w:val="253"/>
        </w:trPr>
        <w:tc>
          <w:tcPr>
            <w:tcW w:w="2266" w:type="dxa"/>
          </w:tcPr>
          <w:p w14:paraId="226C884B" w14:textId="7622DAB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61 – </w:t>
            </w:r>
            <w:r w:rsidR="00B95CAF">
              <w:t>&lt;</w:t>
            </w:r>
            <w:r>
              <w:rPr>
                <w:spacing w:val="-5"/>
              </w:rPr>
              <w:t>71</w:t>
            </w:r>
          </w:p>
        </w:tc>
        <w:tc>
          <w:tcPr>
            <w:tcW w:w="2264" w:type="dxa"/>
          </w:tcPr>
          <w:p w14:paraId="38B57C17" w14:textId="322DE90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256645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5F9207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600</w:t>
            </w:r>
          </w:p>
        </w:tc>
      </w:tr>
      <w:tr w:rsidR="00945359" w14:paraId="7A5BC45A" w14:textId="77777777" w:rsidTr="008F5A8D">
        <w:trPr>
          <w:trHeight w:val="253"/>
        </w:trPr>
        <w:tc>
          <w:tcPr>
            <w:tcW w:w="2266" w:type="dxa"/>
          </w:tcPr>
          <w:p w14:paraId="674142E6" w14:textId="2650F10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71 – </w:t>
            </w:r>
            <w:r w:rsidR="00B95CAF">
              <w:t>&lt;</w:t>
            </w:r>
            <w:r>
              <w:rPr>
                <w:spacing w:val="-5"/>
              </w:rPr>
              <w:t>81</w:t>
            </w:r>
          </w:p>
        </w:tc>
        <w:tc>
          <w:tcPr>
            <w:tcW w:w="2264" w:type="dxa"/>
          </w:tcPr>
          <w:p w14:paraId="4DB0501D" w14:textId="0A3B8AB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7FFE599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5BC046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600</w:t>
            </w:r>
          </w:p>
        </w:tc>
      </w:tr>
      <w:tr w:rsidR="00945359" w14:paraId="4BE10597" w14:textId="77777777" w:rsidTr="008F5A8D">
        <w:trPr>
          <w:trHeight w:val="251"/>
        </w:trPr>
        <w:tc>
          <w:tcPr>
            <w:tcW w:w="2266" w:type="dxa"/>
          </w:tcPr>
          <w:p w14:paraId="2D88A656" w14:textId="2944400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>
              <w:rPr>
                <w:spacing w:val="-5"/>
              </w:rPr>
              <w:t>81</w:t>
            </w:r>
          </w:p>
        </w:tc>
        <w:tc>
          <w:tcPr>
            <w:tcW w:w="2264" w:type="dxa"/>
          </w:tcPr>
          <w:p w14:paraId="6E61EB9C" w14:textId="3A5A22D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10 – </w:t>
            </w:r>
            <w:r w:rsidR="00B95CAF">
              <w:t>&lt;</w:t>
            </w:r>
            <w:r>
              <w:rPr>
                <w:spacing w:val="-5"/>
              </w:rPr>
              <w:t>18</w:t>
            </w:r>
          </w:p>
        </w:tc>
        <w:tc>
          <w:tcPr>
            <w:tcW w:w="2266" w:type="dxa"/>
          </w:tcPr>
          <w:p w14:paraId="3D98AC9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300</w:t>
            </w:r>
          </w:p>
        </w:tc>
        <w:tc>
          <w:tcPr>
            <w:tcW w:w="2266" w:type="dxa"/>
          </w:tcPr>
          <w:p w14:paraId="252307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600</w:t>
            </w:r>
          </w:p>
        </w:tc>
      </w:tr>
    </w:tbl>
    <w:p w14:paraId="5192A8FA" w14:textId="77777777" w:rsidR="00B60AA8" w:rsidRDefault="00B60AA8" w:rsidP="0075692F">
      <w:pPr>
        <w:pStyle w:val="Szvegtrzs"/>
        <w:tabs>
          <w:tab w:val="left" w:pos="567"/>
          <w:tab w:val="left" w:pos="1391"/>
        </w:tabs>
      </w:pPr>
    </w:p>
    <w:p w14:paraId="2F789C8F" w14:textId="2EF67B93" w:rsidR="00930933" w:rsidRDefault="00220A43" w:rsidP="0075692F">
      <w:pPr>
        <w:pStyle w:val="Szvegtrzs"/>
        <w:tabs>
          <w:tab w:val="left" w:pos="567"/>
          <w:tab w:val="left" w:pos="1391"/>
        </w:tabs>
      </w:pPr>
      <w:r>
        <w:t>Több</w:t>
      </w:r>
      <w:r>
        <w:rPr>
          <w:spacing w:val="-7"/>
        </w:rPr>
        <w:t xml:space="preserve"> </w:t>
      </w:r>
      <w:r>
        <w:t>kapszula</w:t>
      </w:r>
      <w:r>
        <w:rPr>
          <w:spacing w:val="-7"/>
        </w:rPr>
        <w:t xml:space="preserve"> </w:t>
      </w:r>
      <w:r>
        <w:t>kombinálásával</w:t>
      </w:r>
      <w:r>
        <w:rPr>
          <w:spacing w:val="-7"/>
        </w:rPr>
        <w:t xml:space="preserve"> </w:t>
      </w:r>
      <w:r>
        <w:t>alkalmazható</w:t>
      </w:r>
      <w:r>
        <w:rPr>
          <w:spacing w:val="-7"/>
        </w:rPr>
        <w:t xml:space="preserve"> </w:t>
      </w:r>
      <w:r>
        <w:t>egyszeri</w:t>
      </w:r>
      <w:r>
        <w:rPr>
          <w:spacing w:val="-7"/>
        </w:rPr>
        <w:t xml:space="preserve"> </w:t>
      </w:r>
      <w:r>
        <w:t>adagok:</w:t>
      </w:r>
    </w:p>
    <w:p w14:paraId="17CB2847" w14:textId="41F906A2" w:rsidR="00B900F2" w:rsidRDefault="00220A43" w:rsidP="008F5A8D">
      <w:pPr>
        <w:pStyle w:val="Szvegtrzs"/>
        <w:tabs>
          <w:tab w:val="left" w:pos="567"/>
          <w:tab w:val="left" w:pos="1391"/>
        </w:tabs>
      </w:pPr>
      <w:r>
        <w:t>300</w:t>
      </w:r>
      <w:r w:rsidR="00294835">
        <w:t> mg</w:t>
      </w:r>
      <w:r>
        <w:t>:</w:t>
      </w:r>
      <w:r w:rsidR="00930933">
        <w:tab/>
      </w:r>
      <w:r>
        <w:t>két 150</w:t>
      </w:r>
      <w:r w:rsidR="00294835">
        <w:t> mg</w:t>
      </w:r>
      <w:r>
        <w:t>-os kapszula vagy</w:t>
      </w:r>
    </w:p>
    <w:p w14:paraId="2A5C7F26" w14:textId="1C76F588" w:rsidR="00945359" w:rsidRDefault="00B900F2" w:rsidP="008F5A8D">
      <w:pPr>
        <w:pStyle w:val="Szvegtrzs"/>
        <w:tabs>
          <w:tab w:val="left" w:pos="567"/>
          <w:tab w:val="left" w:pos="1391"/>
        </w:tabs>
      </w:pPr>
      <w:r>
        <w:tab/>
      </w:r>
      <w:r>
        <w:tab/>
      </w:r>
      <w:r w:rsidR="00220A43">
        <w:t>négy</w:t>
      </w:r>
      <w:r w:rsidR="00220A43">
        <w:rPr>
          <w:spacing w:val="-6"/>
        </w:rPr>
        <w:t xml:space="preserve"> </w:t>
      </w:r>
      <w:r w:rsidR="00220A43">
        <w:t>75</w:t>
      </w:r>
      <w:r w:rsidR="00294835">
        <w:rPr>
          <w:spacing w:val="-2"/>
        </w:rPr>
        <w:t> mg</w:t>
      </w:r>
      <w:r w:rsidR="00220A43">
        <w:t>-os</w:t>
      </w:r>
      <w:r w:rsidR="00220A43">
        <w:rPr>
          <w:spacing w:val="-3"/>
        </w:rPr>
        <w:t xml:space="preserve"> </w:t>
      </w:r>
      <w:r w:rsidR="00220A43">
        <w:rPr>
          <w:spacing w:val="-2"/>
        </w:rPr>
        <w:t>kapszula</w:t>
      </w:r>
    </w:p>
    <w:p w14:paraId="7F5BD1B8" w14:textId="55D1EB64" w:rsidR="00930933" w:rsidRDefault="00220A43" w:rsidP="00930933">
      <w:pPr>
        <w:pStyle w:val="Szvegtrzs"/>
        <w:tabs>
          <w:tab w:val="left" w:pos="567"/>
          <w:tab w:val="left" w:pos="1391"/>
        </w:tabs>
      </w:pPr>
      <w:r>
        <w:t>260</w:t>
      </w:r>
      <w:r w:rsidR="00294835">
        <w:t> mg</w:t>
      </w:r>
      <w:r>
        <w:t>:</w:t>
      </w:r>
      <w:r>
        <w:tab/>
        <w:t>egy</w:t>
      </w:r>
      <w:r>
        <w:rPr>
          <w:spacing w:val="-6"/>
        </w:rPr>
        <w:t xml:space="preserve"> </w:t>
      </w:r>
      <w:r>
        <w:t>110</w:t>
      </w:r>
      <w:r w:rsidR="00294835">
        <w:rPr>
          <w:spacing w:val="-2"/>
        </w:rPr>
        <w:t> mg</w:t>
      </w:r>
      <w:r>
        <w:t>-os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150</w:t>
      </w:r>
      <w:r w:rsidR="00294835">
        <w:rPr>
          <w:spacing w:val="-2"/>
        </w:rPr>
        <w:t> mg</w:t>
      </w:r>
      <w:r>
        <w:t>-os</w:t>
      </w:r>
      <w:r>
        <w:rPr>
          <w:spacing w:val="-5"/>
        </w:rPr>
        <w:t xml:space="preserve"> </w:t>
      </w:r>
      <w:r>
        <w:t>kapszula</w:t>
      </w:r>
      <w:r>
        <w:rPr>
          <w:spacing w:val="-5"/>
        </w:rPr>
        <w:t xml:space="preserve"> </w:t>
      </w:r>
      <w:r>
        <w:t>vagy</w:t>
      </w:r>
    </w:p>
    <w:p w14:paraId="39869B2A" w14:textId="491ECEF4" w:rsidR="00945359" w:rsidRDefault="00B900F2" w:rsidP="008F5A8D">
      <w:pPr>
        <w:pStyle w:val="Szvegtrzs"/>
        <w:tabs>
          <w:tab w:val="left" w:pos="567"/>
          <w:tab w:val="left" w:pos="1391"/>
        </w:tabs>
      </w:pPr>
      <w:r>
        <w:tab/>
      </w:r>
      <w:r>
        <w:tab/>
      </w:r>
      <w:r w:rsidR="00220A43">
        <w:t>egy 110</w:t>
      </w:r>
      <w:r w:rsidR="00294835">
        <w:t> mg</w:t>
      </w:r>
      <w:r w:rsidR="00220A43">
        <w:t>-os és két 75</w:t>
      </w:r>
      <w:r w:rsidR="00294835">
        <w:t> mg</w:t>
      </w:r>
      <w:r w:rsidR="00220A43">
        <w:t>-os kapszula</w:t>
      </w:r>
    </w:p>
    <w:p w14:paraId="7BFB633C" w14:textId="18483195" w:rsidR="00945359" w:rsidRDefault="00220A43" w:rsidP="008F5A8D">
      <w:pPr>
        <w:pStyle w:val="Szvegtrzs"/>
        <w:tabs>
          <w:tab w:val="left" w:pos="567"/>
          <w:tab w:val="left" w:pos="1391"/>
        </w:tabs>
      </w:pPr>
      <w:r>
        <w:t>220</w:t>
      </w:r>
      <w:r w:rsidR="00294835">
        <w:t> mg</w:t>
      </w:r>
      <w:r>
        <w:rPr>
          <w:spacing w:val="-5"/>
        </w:rPr>
        <w:t>:</w:t>
      </w:r>
      <w:r>
        <w:tab/>
        <w:t>két</w:t>
      </w:r>
      <w:r>
        <w:rPr>
          <w:spacing w:val="-5"/>
        </w:rPr>
        <w:t xml:space="preserve"> </w:t>
      </w:r>
      <w:r>
        <w:t>110</w:t>
      </w:r>
      <w:r w:rsidR="00294835">
        <w:rPr>
          <w:spacing w:val="-5"/>
        </w:rPr>
        <w:t> mg</w:t>
      </w:r>
      <w:r>
        <w:t>-os</w:t>
      </w:r>
      <w:r>
        <w:rPr>
          <w:spacing w:val="-4"/>
        </w:rPr>
        <w:t xml:space="preserve"> </w:t>
      </w:r>
      <w:r>
        <w:rPr>
          <w:spacing w:val="-2"/>
        </w:rPr>
        <w:t>kapszula</w:t>
      </w:r>
    </w:p>
    <w:p w14:paraId="54A0E272" w14:textId="36F27964" w:rsidR="00930933" w:rsidRDefault="00220A43" w:rsidP="00930933">
      <w:pPr>
        <w:pStyle w:val="Szvegtrzs"/>
        <w:tabs>
          <w:tab w:val="left" w:pos="567"/>
          <w:tab w:val="left" w:pos="1391"/>
        </w:tabs>
      </w:pPr>
      <w:r>
        <w:t>185</w:t>
      </w:r>
      <w:r w:rsidR="00294835">
        <w:t> mg</w:t>
      </w:r>
      <w:r>
        <w:t>:</w:t>
      </w:r>
      <w:r>
        <w:tab/>
        <w:t>egy</w:t>
      </w:r>
      <w:r>
        <w:rPr>
          <w:spacing w:val="-7"/>
        </w:rPr>
        <w:t xml:space="preserve"> </w:t>
      </w:r>
      <w:r>
        <w:t>75</w:t>
      </w:r>
      <w:r w:rsidR="00294835">
        <w:rPr>
          <w:spacing w:val="-3"/>
        </w:rPr>
        <w:t> mg</w:t>
      </w:r>
      <w:r>
        <w:t>-os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</w:t>
      </w:r>
      <w:r>
        <w:rPr>
          <w:spacing w:val="-5"/>
        </w:rPr>
        <w:t xml:space="preserve"> </w:t>
      </w:r>
      <w:r>
        <w:t>110</w:t>
      </w:r>
      <w:r w:rsidR="00294835">
        <w:rPr>
          <w:spacing w:val="-5"/>
        </w:rPr>
        <w:t> mg</w:t>
      </w:r>
      <w:r>
        <w:t>-os</w:t>
      </w:r>
      <w:r>
        <w:rPr>
          <w:spacing w:val="-5"/>
        </w:rPr>
        <w:t xml:space="preserve"> </w:t>
      </w:r>
      <w:r>
        <w:t>kapszula</w:t>
      </w:r>
    </w:p>
    <w:p w14:paraId="082E4AE2" w14:textId="04148906" w:rsidR="00930933" w:rsidRDefault="00220A43" w:rsidP="008F5A8D">
      <w:pPr>
        <w:pStyle w:val="Szvegtrzs"/>
        <w:tabs>
          <w:tab w:val="left" w:pos="567"/>
          <w:tab w:val="left" w:pos="1391"/>
        </w:tabs>
      </w:pPr>
      <w:r>
        <w:t>150</w:t>
      </w:r>
      <w:r w:rsidR="00294835">
        <w:t> mg</w:t>
      </w:r>
      <w:r>
        <w:t>:</w:t>
      </w:r>
      <w:r w:rsidR="00930933">
        <w:tab/>
      </w:r>
      <w:r>
        <w:t>egy 150</w:t>
      </w:r>
      <w:r w:rsidR="00294835">
        <w:t> mg</w:t>
      </w:r>
      <w:r>
        <w:t>-os kapszula vagy</w:t>
      </w:r>
    </w:p>
    <w:p w14:paraId="02BD182F" w14:textId="059E80E6" w:rsidR="00945359" w:rsidRDefault="00930933">
      <w:pPr>
        <w:pStyle w:val="Szvegtrzs"/>
        <w:tabs>
          <w:tab w:val="left" w:pos="567"/>
          <w:tab w:val="left" w:pos="1391"/>
        </w:tabs>
        <w:rPr>
          <w:spacing w:val="-2"/>
        </w:rPr>
      </w:pPr>
      <w:r>
        <w:tab/>
      </w:r>
      <w:r>
        <w:tab/>
      </w:r>
      <w:r w:rsidR="00220A43">
        <w:t>két</w:t>
      </w:r>
      <w:r w:rsidR="00220A43">
        <w:rPr>
          <w:spacing w:val="-5"/>
        </w:rPr>
        <w:t xml:space="preserve"> </w:t>
      </w:r>
      <w:r w:rsidR="00220A43">
        <w:t>75</w:t>
      </w:r>
      <w:r w:rsidR="00294835">
        <w:rPr>
          <w:spacing w:val="-3"/>
        </w:rPr>
        <w:t> mg</w:t>
      </w:r>
      <w:r w:rsidR="00220A43">
        <w:t>-os</w:t>
      </w:r>
      <w:r w:rsidR="00220A43">
        <w:rPr>
          <w:spacing w:val="-4"/>
        </w:rPr>
        <w:t xml:space="preserve"> </w:t>
      </w:r>
      <w:r w:rsidR="00220A43">
        <w:rPr>
          <w:spacing w:val="-2"/>
        </w:rPr>
        <w:t>kapszula</w:t>
      </w:r>
    </w:p>
    <w:p w14:paraId="799E869F" w14:textId="77777777" w:rsidR="00B900F2" w:rsidRDefault="00B900F2" w:rsidP="008F5A8D">
      <w:pPr>
        <w:pStyle w:val="Szvegtrzs"/>
        <w:tabs>
          <w:tab w:val="left" w:pos="567"/>
          <w:tab w:val="left" w:pos="1391"/>
        </w:tabs>
      </w:pPr>
    </w:p>
    <w:p w14:paraId="2B556A6A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vesefunkció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ellenőrzése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megkezdése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előtt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során</w:t>
      </w:r>
    </w:p>
    <w:p w14:paraId="6018CF4B" w14:textId="2CC3BA9E" w:rsidR="00945359" w:rsidRDefault="00220A43" w:rsidP="008F5A8D">
      <w:pPr>
        <w:pStyle w:val="Szvegtrzs"/>
        <w:tabs>
          <w:tab w:val="left" w:pos="567"/>
        </w:tabs>
      </w:pPr>
      <w:r>
        <w:t>A kezelés megkezdése előtt a becsült glomerul</w:t>
      </w:r>
      <w:r w:rsidR="00B60AA8">
        <w:t>us</w:t>
      </w:r>
      <w:r>
        <w:t>filtrációs rátát (eGFR) a Schwartz-formula segítségével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meghatározni.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kreatinin</w:t>
      </w:r>
      <w:r>
        <w:rPr>
          <w:spacing w:val="-3"/>
        </w:rPr>
        <w:t xml:space="preserve"> </w:t>
      </w:r>
      <w:r>
        <w:t>vizsgálatára</w:t>
      </w:r>
      <w:r>
        <w:rPr>
          <w:spacing w:val="-3"/>
        </w:rPr>
        <w:t xml:space="preserve"> </w:t>
      </w:r>
      <w:r>
        <w:t>szolgáló</w:t>
      </w:r>
      <w:r>
        <w:rPr>
          <w:spacing w:val="-3"/>
        </w:rPr>
        <w:t xml:space="preserve"> </w:t>
      </w:r>
      <w:r>
        <w:t>módszert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helyi</w:t>
      </w:r>
      <w:r>
        <w:rPr>
          <w:spacing w:val="-3"/>
        </w:rPr>
        <w:t xml:space="preserve"> </w:t>
      </w:r>
      <w:r>
        <w:t>laboratóriumban</w:t>
      </w:r>
    </w:p>
    <w:p w14:paraId="40958578" w14:textId="77777777" w:rsidR="00945359" w:rsidRDefault="00220A43" w:rsidP="008F5A8D">
      <w:pPr>
        <w:pStyle w:val="Szvegtrzs"/>
        <w:tabs>
          <w:tab w:val="left" w:pos="567"/>
        </w:tabs>
      </w:pPr>
      <w:r>
        <w:t>kell</w:t>
      </w:r>
      <w:r>
        <w:rPr>
          <w:spacing w:val="-4"/>
        </w:rPr>
        <w:t xml:space="preserve"> </w:t>
      </w:r>
      <w:r>
        <w:rPr>
          <w:spacing w:val="-2"/>
        </w:rPr>
        <w:t>ellenőrizni).</w:t>
      </w:r>
    </w:p>
    <w:p w14:paraId="432E18F2" w14:textId="77777777" w:rsidR="00945359" w:rsidRDefault="00945359" w:rsidP="008F5A8D">
      <w:pPr>
        <w:pStyle w:val="Szvegtrzs"/>
        <w:tabs>
          <w:tab w:val="left" w:pos="567"/>
        </w:tabs>
      </w:pPr>
    </w:p>
    <w:p w14:paraId="5A7FD946" w14:textId="3F84CAD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eGFR</w:t>
      </w:r>
      <w:r>
        <w:rPr>
          <w:spacing w:val="-3"/>
        </w:rPr>
        <w:t xml:space="preserve"> </w:t>
      </w:r>
      <w:r w:rsidR="00B95CAF">
        <w:t>&lt;</w:t>
      </w:r>
      <w:r>
        <w:t>50</w:t>
      </w:r>
      <w:r w:rsidR="00294835">
        <w:rPr>
          <w:spacing w:val="-2"/>
        </w:rPr>
        <w:t> ml</w:t>
      </w:r>
      <w:r>
        <w:t>/perc/1,73</w:t>
      </w:r>
      <w:r w:rsidR="00872F42">
        <w:rPr>
          <w:spacing w:val="-2"/>
        </w:rPr>
        <w:t> </w:t>
      </w:r>
      <w:r>
        <w:t>m</w:t>
      </w:r>
      <w:r>
        <w:rPr>
          <w:vertAlign w:val="superscript"/>
        </w:rPr>
        <w:t>2</w:t>
      </w:r>
      <w:r>
        <w:rPr>
          <w:spacing w:val="-2"/>
        </w:rPr>
        <w:t xml:space="preserve"> </w:t>
      </w:r>
      <w:r>
        <w:t>értékkel</w:t>
      </w:r>
      <w:r>
        <w:rPr>
          <w:spacing w:val="-3"/>
        </w:rPr>
        <w:t xml:space="preserve"> </w:t>
      </w:r>
      <w:r>
        <w:t>rendelkező</w:t>
      </w:r>
      <w:r>
        <w:rPr>
          <w:spacing w:val="-3"/>
        </w:rPr>
        <w:t xml:space="preserve"> </w:t>
      </w:r>
      <w:r>
        <w:t>gyermekeknél</w:t>
      </w:r>
      <w:r>
        <w:rPr>
          <w:spacing w:val="-3"/>
        </w:rPr>
        <w:t xml:space="preserve"> </w:t>
      </w:r>
      <w:r>
        <w:t>és serdülőknél ellenjavallt (lásd 4.3</w:t>
      </w:r>
      <w:r w:rsidR="00294835">
        <w:t> pont</w:t>
      </w:r>
      <w:r>
        <w:t>).</w:t>
      </w:r>
    </w:p>
    <w:p w14:paraId="75BF38B4" w14:textId="77777777" w:rsidR="00945359" w:rsidRDefault="00945359" w:rsidP="008F5A8D">
      <w:pPr>
        <w:pStyle w:val="Szvegtrzs"/>
        <w:tabs>
          <w:tab w:val="left" w:pos="567"/>
        </w:tabs>
      </w:pPr>
    </w:p>
    <w:p w14:paraId="43EF4F45" w14:textId="64537E3A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eGFR</w:t>
      </w:r>
      <w:r>
        <w:rPr>
          <w:spacing w:val="-2"/>
        </w:rPr>
        <w:t xml:space="preserve"> </w:t>
      </w:r>
      <w:r w:rsidR="00294835">
        <w:t>≥</w:t>
      </w:r>
      <w:r>
        <w:t>50</w:t>
      </w:r>
      <w:r w:rsidR="00294835">
        <w:rPr>
          <w:spacing w:val="-1"/>
        </w:rPr>
        <w:t> ml</w:t>
      </w:r>
      <w:r>
        <w:t>/perc/1,73</w:t>
      </w:r>
      <w:r>
        <w:rPr>
          <w:spacing w:val="-1"/>
        </w:rPr>
        <w:t xml:space="preserve"> </w:t>
      </w:r>
      <w:r>
        <w:t>m</w:t>
      </w:r>
      <w:r>
        <w:rPr>
          <w:vertAlign w:val="superscript"/>
        </w:rPr>
        <w:t>2</w:t>
      </w:r>
      <w:r>
        <w:rPr>
          <w:spacing w:val="-1"/>
        </w:rPr>
        <w:t xml:space="preserve"> </w:t>
      </w:r>
      <w:r>
        <w:t>értékkel</w:t>
      </w:r>
      <w:r>
        <w:rPr>
          <w:spacing w:val="-2"/>
        </w:rPr>
        <w:t xml:space="preserve"> </w:t>
      </w:r>
      <w:r>
        <w:t>rendelkező</w:t>
      </w:r>
      <w:r>
        <w:rPr>
          <w:spacing w:val="-2"/>
        </w:rPr>
        <w:t xml:space="preserve"> </w:t>
      </w:r>
      <w:r>
        <w:t>betegeket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4.</w:t>
      </w:r>
      <w:r w:rsidR="00B95CAF">
        <w:rPr>
          <w:spacing w:val="-5"/>
        </w:rPr>
        <w:t> táblázat</w:t>
      </w:r>
      <w:r>
        <w:rPr>
          <w:spacing w:val="-2"/>
        </w:rPr>
        <w:t xml:space="preserve"> </w:t>
      </w:r>
      <w:r>
        <w:t>szerinti</w:t>
      </w:r>
      <w:r>
        <w:rPr>
          <w:spacing w:val="-2"/>
        </w:rPr>
        <w:t xml:space="preserve"> </w:t>
      </w:r>
      <w:r>
        <w:t>adaggal</w:t>
      </w:r>
      <w:r>
        <w:rPr>
          <w:spacing w:val="-2"/>
        </w:rPr>
        <w:t xml:space="preserve"> </w:t>
      </w:r>
      <w:r>
        <w:t xml:space="preserve">kell </w:t>
      </w:r>
      <w:r>
        <w:rPr>
          <w:spacing w:val="-2"/>
        </w:rPr>
        <w:t>kezelni.</w:t>
      </w:r>
    </w:p>
    <w:p w14:paraId="4EC0E9E6" w14:textId="77777777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bizonyos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helyzetekben</w:t>
      </w:r>
      <w:r>
        <w:rPr>
          <w:spacing w:val="-3"/>
        </w:rPr>
        <w:t xml:space="preserve"> </w:t>
      </w:r>
      <w:r>
        <w:t>ellenőrizni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vesefunkciót,</w:t>
      </w:r>
      <w:r>
        <w:rPr>
          <w:spacing w:val="-3"/>
        </w:rPr>
        <w:t xml:space="preserve"> </w:t>
      </w:r>
      <w:r>
        <w:t>amikor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vesefunkció romlását lehet sejteni (pl. hypovolemia, dehidráció, valamint bizonyos együttesen alkalmazott gyógyszerek stb.).</w:t>
      </w:r>
    </w:p>
    <w:p w14:paraId="14540BBB" w14:textId="77777777" w:rsidR="00B900F2" w:rsidRDefault="00B900F2" w:rsidP="008F5A8D">
      <w:pPr>
        <w:pStyle w:val="Szvegtrzs"/>
        <w:tabs>
          <w:tab w:val="left" w:pos="567"/>
        </w:tabs>
      </w:pPr>
    </w:p>
    <w:p w14:paraId="59DA029B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kezelés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időtartama</w:t>
      </w:r>
    </w:p>
    <w:p w14:paraId="520FFF5A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7"/>
        </w:rPr>
        <w:t xml:space="preserve"> </w:t>
      </w:r>
      <w:r>
        <w:t>kezelés</w:t>
      </w:r>
      <w:r>
        <w:rPr>
          <w:spacing w:val="-7"/>
        </w:rPr>
        <w:t xml:space="preserve"> </w:t>
      </w:r>
      <w:r>
        <w:t>időtartamát</w:t>
      </w:r>
      <w:r>
        <w:rPr>
          <w:spacing w:val="-7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előny/kockázat</w:t>
      </w:r>
      <w:r>
        <w:rPr>
          <w:spacing w:val="-6"/>
        </w:rPr>
        <w:t xml:space="preserve"> </w:t>
      </w:r>
      <w:r>
        <w:t>arány</w:t>
      </w:r>
      <w:r>
        <w:rPr>
          <w:spacing w:val="-7"/>
        </w:rPr>
        <w:t xml:space="preserve"> </w:t>
      </w:r>
      <w:r>
        <w:t>mérlegelése</w:t>
      </w:r>
      <w:r>
        <w:rPr>
          <w:spacing w:val="-7"/>
        </w:rPr>
        <w:t xml:space="preserve"> </w:t>
      </w:r>
      <w:r>
        <w:t>után</w:t>
      </w:r>
      <w:r>
        <w:rPr>
          <w:spacing w:val="-7"/>
        </w:rPr>
        <w:t xml:space="preserve"> </w:t>
      </w:r>
      <w:r>
        <w:t>egyedileg</w:t>
      </w:r>
      <w:r>
        <w:rPr>
          <w:spacing w:val="-7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rPr>
          <w:spacing w:val="-2"/>
        </w:rPr>
        <w:t>meghatározni.</w:t>
      </w:r>
    </w:p>
    <w:p w14:paraId="4AC404A0" w14:textId="77777777" w:rsidR="00945359" w:rsidRDefault="00945359" w:rsidP="008F5A8D">
      <w:pPr>
        <w:pStyle w:val="Szvegtrzs"/>
        <w:tabs>
          <w:tab w:val="left" w:pos="567"/>
        </w:tabs>
      </w:pPr>
    </w:p>
    <w:p w14:paraId="5CF23B4D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Kihagyott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dózis</w:t>
      </w:r>
    </w:p>
    <w:p w14:paraId="66FD8149" w14:textId="5D25CF82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kimaradt</w:t>
      </w:r>
      <w:r>
        <w:rPr>
          <w:spacing w:val="-3"/>
        </w:rPr>
        <w:t xml:space="preserve"> </w:t>
      </w:r>
      <w:r>
        <w:t>adagja</w:t>
      </w:r>
      <w:r>
        <w:rPr>
          <w:spacing w:val="-3"/>
        </w:rPr>
        <w:t xml:space="preserve"> </w:t>
      </w:r>
      <w:r>
        <w:t>még</w:t>
      </w:r>
      <w:r>
        <w:rPr>
          <w:spacing w:val="-3"/>
        </w:rPr>
        <w:t xml:space="preserve"> </w:t>
      </w:r>
      <w:r>
        <w:t>bevehető</w:t>
      </w:r>
      <w:r>
        <w:rPr>
          <w:spacing w:val="-3"/>
        </w:rPr>
        <w:t xml:space="preserve"> </w:t>
      </w:r>
      <w:r>
        <w:t>legkésőbb</w:t>
      </w:r>
      <w:r>
        <w:rPr>
          <w:spacing w:val="-3"/>
        </w:rPr>
        <w:t xml:space="preserve"> </w:t>
      </w:r>
      <w:r>
        <w:t>6</w:t>
      </w:r>
      <w:r w:rsidR="002E2A7B">
        <w:rPr>
          <w:spacing w:val="-3"/>
        </w:rPr>
        <w:t> órá</w:t>
      </w:r>
      <w:r>
        <w:t>val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esedékes</w:t>
      </w:r>
      <w:r>
        <w:rPr>
          <w:spacing w:val="-3"/>
        </w:rPr>
        <w:t xml:space="preserve"> </w:t>
      </w:r>
      <w:r>
        <w:t>adag előtt. A következő esedékes adag előtti 6</w:t>
      </w:r>
      <w:r w:rsidR="002E2A7B">
        <w:t> órá</w:t>
      </w:r>
      <w:r>
        <w:t>n belül az elfelejtett dózist ki kell hagyni.</w:t>
      </w:r>
    </w:p>
    <w:p w14:paraId="2655A929" w14:textId="77777777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Soha</w:t>
      </w:r>
      <w:r>
        <w:rPr>
          <w:spacing w:val="-6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szabad</w:t>
      </w:r>
      <w:r>
        <w:rPr>
          <w:spacing w:val="-6"/>
        </w:rPr>
        <w:t xml:space="preserve"> </w:t>
      </w:r>
      <w:r>
        <w:t>kétszeres</w:t>
      </w:r>
      <w:r>
        <w:rPr>
          <w:spacing w:val="-6"/>
        </w:rPr>
        <w:t xml:space="preserve"> </w:t>
      </w:r>
      <w:r>
        <w:t>adagot</w:t>
      </w:r>
      <w:r>
        <w:rPr>
          <w:spacing w:val="-6"/>
        </w:rPr>
        <w:t xml:space="preserve"> </w:t>
      </w:r>
      <w:r>
        <w:t>bevenni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elfelejtett</w:t>
      </w:r>
      <w:r>
        <w:rPr>
          <w:spacing w:val="-6"/>
        </w:rPr>
        <w:t xml:space="preserve"> </w:t>
      </w:r>
      <w:r>
        <w:t>egyszeri</w:t>
      </w:r>
      <w:r>
        <w:rPr>
          <w:spacing w:val="-6"/>
        </w:rPr>
        <w:t xml:space="preserve"> </w:t>
      </w:r>
      <w:r>
        <w:t>adag</w:t>
      </w:r>
      <w:r>
        <w:rPr>
          <w:spacing w:val="-6"/>
        </w:rPr>
        <w:t xml:space="preserve"> </w:t>
      </w:r>
      <w:r>
        <w:rPr>
          <w:spacing w:val="-2"/>
        </w:rPr>
        <w:t>pótlására.</w:t>
      </w:r>
    </w:p>
    <w:p w14:paraId="6963B85E" w14:textId="77777777" w:rsidR="00B900F2" w:rsidRDefault="00B900F2" w:rsidP="008F5A8D">
      <w:pPr>
        <w:pStyle w:val="Szvegtrzs"/>
        <w:tabs>
          <w:tab w:val="left" w:pos="567"/>
        </w:tabs>
      </w:pPr>
    </w:p>
    <w:p w14:paraId="3F4742FE" w14:textId="1C274B11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9"/>
          <w:u w:val="single"/>
        </w:rPr>
        <w:t xml:space="preserve"> </w:t>
      </w:r>
      <w:r w:rsidR="00067923">
        <w:rPr>
          <w:i/>
          <w:u w:val="single"/>
        </w:rPr>
        <w:t>dabigatrán-etexilát-kezelés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leállítása</w:t>
      </w:r>
    </w:p>
    <w:p w14:paraId="1094E544" w14:textId="45DDD75B" w:rsidR="00945359" w:rsidRDefault="00220A43" w:rsidP="008F5A8D">
      <w:pPr>
        <w:pStyle w:val="Szvegtrzs"/>
        <w:tabs>
          <w:tab w:val="left" w:pos="567"/>
        </w:tabs>
      </w:pPr>
      <w:r>
        <w:t xml:space="preserve">A </w:t>
      </w:r>
      <w:r w:rsidR="00067923">
        <w:t>dabigatrán-etexilát-kezelés</w:t>
      </w:r>
      <w:r>
        <w:t xml:space="preserve"> csak orvosi javaslatra állítható le. A betegeknek vagy gondozóiknak gastrointestinalis</w:t>
      </w:r>
      <w:r>
        <w:rPr>
          <w:spacing w:val="-3"/>
        </w:rPr>
        <w:t xml:space="preserve"> </w:t>
      </w:r>
      <w:r>
        <w:t>tünetek,</w:t>
      </w:r>
      <w:r>
        <w:rPr>
          <w:spacing w:val="-3"/>
        </w:rPr>
        <w:t xml:space="preserve"> </w:t>
      </w:r>
      <w:r>
        <w:t>pl.</w:t>
      </w:r>
      <w:r>
        <w:rPr>
          <w:spacing w:val="-3"/>
        </w:rPr>
        <w:t xml:space="preserve"> </w:t>
      </w:r>
      <w:r>
        <w:t>dyspepsia</w:t>
      </w:r>
      <w:r>
        <w:rPr>
          <w:spacing w:val="-3"/>
        </w:rPr>
        <w:t xml:space="preserve"> </w:t>
      </w:r>
      <w:r>
        <w:t>megjelenése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tájékoztatniuk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kezelőorvost</w:t>
      </w:r>
      <w:r>
        <w:rPr>
          <w:spacing w:val="-3"/>
        </w:rPr>
        <w:t xml:space="preserve"> </w:t>
      </w:r>
      <w:r>
        <w:t>(lásd 4.8</w:t>
      </w:r>
      <w:r w:rsidR="00294835">
        <w:t> pont</w:t>
      </w:r>
      <w:r>
        <w:t>).</w:t>
      </w:r>
    </w:p>
    <w:p w14:paraId="3B2C25AA" w14:textId="77777777" w:rsidR="00945359" w:rsidRDefault="00945359" w:rsidP="008F5A8D">
      <w:pPr>
        <w:pStyle w:val="Szvegtrzs"/>
        <w:tabs>
          <w:tab w:val="left" w:pos="567"/>
        </w:tabs>
      </w:pPr>
    </w:p>
    <w:p w14:paraId="27ADBAEF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Átállítás</w:t>
      </w:r>
    </w:p>
    <w:p w14:paraId="6114821B" w14:textId="3F8C7EC4" w:rsidR="00945359" w:rsidRDefault="00067923" w:rsidP="008F5A8D">
      <w:pPr>
        <w:pStyle w:val="Szvegtrzs"/>
        <w:tabs>
          <w:tab w:val="left" w:pos="567"/>
        </w:tabs>
      </w:pPr>
      <w:r>
        <w:rPr>
          <w:spacing w:val="-2"/>
        </w:rPr>
        <w:t>Dabigatrán-etexilát-kezelés</w:t>
      </w:r>
      <w:r w:rsidR="00220A43">
        <w:rPr>
          <w:spacing w:val="-2"/>
        </w:rPr>
        <w:t>ről</w:t>
      </w:r>
      <w:r w:rsidR="00220A43">
        <w:rPr>
          <w:spacing w:val="20"/>
        </w:rPr>
        <w:t xml:space="preserve"> </w:t>
      </w:r>
      <w:r w:rsidR="00220A43">
        <w:rPr>
          <w:spacing w:val="-2"/>
        </w:rPr>
        <w:t>parenter</w:t>
      </w:r>
      <w:r w:rsidR="003811EA">
        <w:rPr>
          <w:spacing w:val="-2"/>
        </w:rPr>
        <w:t>a</w:t>
      </w:r>
      <w:r w:rsidR="00220A43">
        <w:rPr>
          <w:spacing w:val="-2"/>
        </w:rPr>
        <w:t>lis</w:t>
      </w:r>
      <w:r w:rsidR="00220A43">
        <w:rPr>
          <w:spacing w:val="20"/>
        </w:rPr>
        <w:t xml:space="preserve"> </w:t>
      </w:r>
      <w:r w:rsidR="00AB32E4">
        <w:rPr>
          <w:spacing w:val="-2"/>
        </w:rPr>
        <w:t>antikoaguláns kezelés</w:t>
      </w:r>
      <w:r w:rsidR="00220A43">
        <w:rPr>
          <w:spacing w:val="-2"/>
        </w:rPr>
        <w:t>re:</w:t>
      </w:r>
    </w:p>
    <w:p w14:paraId="6AD0306E" w14:textId="352B7DC6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dabigatrán-etexilátról</w:t>
      </w:r>
      <w:r>
        <w:rPr>
          <w:spacing w:val="-4"/>
        </w:rPr>
        <w:t xml:space="preserve"> </w:t>
      </w:r>
      <w:r>
        <w:t>parenter</w:t>
      </w:r>
      <w:r w:rsidR="003811EA">
        <w:t>a</w:t>
      </w:r>
      <w:r>
        <w:t>lis</w:t>
      </w:r>
      <w:r>
        <w:rPr>
          <w:spacing w:val="-4"/>
        </w:rPr>
        <w:t xml:space="preserve"> </w:t>
      </w:r>
      <w:r w:rsidR="00AB32E4">
        <w:t>antikoaguláns kezelés</w:t>
      </w:r>
      <w:r>
        <w:t>re</w:t>
      </w:r>
      <w:r>
        <w:rPr>
          <w:spacing w:val="-4"/>
        </w:rPr>
        <w:t xml:space="preserve"> </w:t>
      </w:r>
      <w:r>
        <w:t>történő</w:t>
      </w:r>
      <w:r>
        <w:rPr>
          <w:spacing w:val="-4"/>
        </w:rPr>
        <w:t xml:space="preserve"> </w:t>
      </w:r>
      <w:r>
        <w:t>átállításkor</w:t>
      </w:r>
      <w:r>
        <w:rPr>
          <w:spacing w:val="-4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12</w:t>
      </w:r>
      <w:r w:rsidR="002E2A7B">
        <w:rPr>
          <w:spacing w:val="-6"/>
        </w:rPr>
        <w:t> órá</w:t>
      </w:r>
      <w:r>
        <w:t>t</w:t>
      </w:r>
      <w:r>
        <w:rPr>
          <w:spacing w:val="-4"/>
        </w:rPr>
        <w:t xml:space="preserve"> </w:t>
      </w:r>
      <w:r>
        <w:t xml:space="preserve">várni az utolsó adag dabigatrán-etexilát </w:t>
      </w:r>
      <w:r w:rsidR="00B60AA8">
        <w:t xml:space="preserve">bevétele </w:t>
      </w:r>
      <w:r>
        <w:t>után (lásd 4.5</w:t>
      </w:r>
      <w:r w:rsidR="00294835">
        <w:t> pont</w:t>
      </w:r>
      <w:r>
        <w:t>).</w:t>
      </w:r>
    </w:p>
    <w:p w14:paraId="381DC7CC" w14:textId="77777777" w:rsidR="00872F42" w:rsidRDefault="00872F42" w:rsidP="008F5A8D">
      <w:pPr>
        <w:pStyle w:val="Szvegtrzs"/>
        <w:tabs>
          <w:tab w:val="left" w:pos="567"/>
        </w:tabs>
      </w:pPr>
    </w:p>
    <w:p w14:paraId="4FDED802" w14:textId="681EDDD9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Parenter</w:t>
      </w:r>
      <w:r w:rsidR="003811EA">
        <w:rPr>
          <w:spacing w:val="-2"/>
        </w:rPr>
        <w:t>a</w:t>
      </w:r>
      <w:r>
        <w:rPr>
          <w:spacing w:val="-2"/>
        </w:rPr>
        <w:t>lis</w:t>
      </w:r>
      <w:r>
        <w:rPr>
          <w:spacing w:val="19"/>
        </w:rPr>
        <w:t xml:space="preserve"> </w:t>
      </w:r>
      <w:r>
        <w:rPr>
          <w:spacing w:val="-2"/>
        </w:rPr>
        <w:t>antikoagulánsról</w:t>
      </w:r>
      <w:r>
        <w:rPr>
          <w:spacing w:val="19"/>
        </w:rPr>
        <w:t xml:space="preserve"> </w:t>
      </w:r>
      <w:r>
        <w:rPr>
          <w:spacing w:val="-2"/>
        </w:rPr>
        <w:t>dabigatrán-etexilátra:</w:t>
      </w:r>
    </w:p>
    <w:p w14:paraId="33119BDF" w14:textId="704B2682" w:rsidR="00945359" w:rsidRDefault="00220A43" w:rsidP="008F5A8D">
      <w:pPr>
        <w:pStyle w:val="Szvegtrzs"/>
        <w:tabs>
          <w:tab w:val="left" w:pos="567"/>
        </w:tabs>
      </w:pPr>
      <w:r>
        <w:t>Az antikoaguláns kezelés következő adagjának esedékessége előtt 0-2</w:t>
      </w:r>
      <w:r w:rsidR="002E2A7B">
        <w:t> órá</w:t>
      </w:r>
      <w:r>
        <w:t>val a parenter</w:t>
      </w:r>
      <w:r w:rsidR="003811EA">
        <w:t>a</w:t>
      </w:r>
      <w:r>
        <w:t xml:space="preserve">lis </w:t>
      </w:r>
      <w:r w:rsidR="00AB32E4">
        <w:t>antikoaguláns kezelés</w:t>
      </w:r>
      <w:r>
        <w:t xml:space="preserve">t le kell állítani, és a </w:t>
      </w:r>
      <w:r w:rsidR="00067923">
        <w:t>dabigatrán-etexilát-kezelés</w:t>
      </w:r>
      <w:r>
        <w:t xml:space="preserve">t meg kell kezdeni, illetve a </w:t>
      </w:r>
      <w:r>
        <w:lastRenderedPageBreak/>
        <w:t>folyamatos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(pl.</w:t>
      </w:r>
      <w:r>
        <w:rPr>
          <w:spacing w:val="-3"/>
        </w:rPr>
        <w:t xml:space="preserve"> </w:t>
      </w:r>
      <w:r>
        <w:t>intravénás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frakcionált</w:t>
      </w:r>
      <w:r>
        <w:rPr>
          <w:spacing w:val="-3"/>
        </w:rPr>
        <w:t xml:space="preserve"> </w:t>
      </w:r>
      <w:r>
        <w:t>heparin</w:t>
      </w:r>
      <w:r>
        <w:rPr>
          <w:spacing w:val="-3"/>
        </w:rPr>
        <w:t xml:space="preserve"> </w:t>
      </w:r>
      <w:r w:rsidR="00C05FFC">
        <w:t>[</w:t>
      </w:r>
      <w:r>
        <w:t>UFH</w:t>
      </w:r>
      <w:r w:rsidR="00C05FFC">
        <w:t>]</w:t>
      </w:r>
      <w:r>
        <w:t>)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antikoaguláns</w:t>
      </w:r>
      <w:r>
        <w:rPr>
          <w:spacing w:val="-3"/>
        </w:rPr>
        <w:t xml:space="preserve"> </w:t>
      </w:r>
      <w:r>
        <w:t>terápia leállításakor kell megkezdeni a dabigatrán-etexilát alkalmazását (lásd 4.5</w:t>
      </w:r>
      <w:r w:rsidR="00294835">
        <w:t> pont</w:t>
      </w:r>
      <w:r>
        <w:t>).</w:t>
      </w:r>
    </w:p>
    <w:p w14:paraId="45957701" w14:textId="77777777" w:rsidR="00945359" w:rsidRDefault="00945359" w:rsidP="008F5A8D">
      <w:pPr>
        <w:pStyle w:val="Szvegtrzs"/>
        <w:tabs>
          <w:tab w:val="left" w:pos="567"/>
        </w:tabs>
      </w:pPr>
    </w:p>
    <w:p w14:paraId="120335A9" w14:textId="6825356B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Dabigatrán-etexilátról</w:t>
      </w:r>
      <w:r>
        <w:rPr>
          <w:spacing w:val="16"/>
        </w:rPr>
        <w:t xml:space="preserve"> </w:t>
      </w:r>
      <w:r>
        <w:rPr>
          <w:spacing w:val="-2"/>
        </w:rPr>
        <w:t>K-</w:t>
      </w:r>
      <w:r w:rsidR="00B95CAF">
        <w:rPr>
          <w:spacing w:val="-2"/>
        </w:rPr>
        <w:t>vitamin-ant</w:t>
      </w:r>
      <w:r>
        <w:rPr>
          <w:spacing w:val="-2"/>
        </w:rPr>
        <w:t>agonistára</w:t>
      </w:r>
      <w:r>
        <w:rPr>
          <w:spacing w:val="16"/>
        </w:rPr>
        <w:t xml:space="preserve"> </w:t>
      </w:r>
      <w:r>
        <w:rPr>
          <w:spacing w:val="-2"/>
        </w:rPr>
        <w:t>(KVA):</w:t>
      </w:r>
    </w:p>
    <w:p w14:paraId="202E5523" w14:textId="0AFEFB7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KVA</w:t>
      </w:r>
      <w:r>
        <w:rPr>
          <w:spacing w:val="-3"/>
        </w:rPr>
        <w:t xml:space="preserve"> </w:t>
      </w:r>
      <w:r>
        <w:t>adagolását</w:t>
      </w:r>
      <w:r>
        <w:rPr>
          <w:spacing w:val="-3"/>
        </w:rPr>
        <w:t xml:space="preserve"> </w:t>
      </w:r>
      <w:r>
        <w:t>3</w:t>
      </w:r>
      <w:r w:rsidR="00294835">
        <w:rPr>
          <w:spacing w:val="-3"/>
        </w:rPr>
        <w:t> nap</w:t>
      </w:r>
      <w:r>
        <w:t>pal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</w:t>
      </w:r>
      <w:r>
        <w:rPr>
          <w:spacing w:val="-4"/>
        </w:rPr>
        <w:t xml:space="preserve"> </w:t>
      </w:r>
      <w:r>
        <w:t>adagolásának</w:t>
      </w:r>
      <w:r>
        <w:rPr>
          <w:spacing w:val="-3"/>
        </w:rPr>
        <w:t xml:space="preserve"> </w:t>
      </w:r>
      <w:r>
        <w:t>abbahagyása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 xml:space="preserve">kell </w:t>
      </w:r>
      <w:r>
        <w:rPr>
          <w:spacing w:val="-2"/>
        </w:rPr>
        <w:t>elkezdeni.</w:t>
      </w:r>
    </w:p>
    <w:p w14:paraId="2C84D0CB" w14:textId="34E57E4D" w:rsidR="00945359" w:rsidRDefault="00220A43" w:rsidP="008F5A8D">
      <w:pPr>
        <w:pStyle w:val="Szvegtrzs"/>
        <w:tabs>
          <w:tab w:val="left" w:pos="567"/>
        </w:tabs>
      </w:pPr>
      <w:r>
        <w:t>Mivel a dabigatrán-etexilát befolyásolhatja a nemzetközi normalizált arányt (INR), az INR csak akkor</w:t>
      </w:r>
      <w:r>
        <w:rPr>
          <w:spacing w:val="-3"/>
        </w:rPr>
        <w:t xml:space="preserve"> </w:t>
      </w:r>
      <w:r>
        <w:t>mutatja</w:t>
      </w:r>
      <w:r>
        <w:rPr>
          <w:spacing w:val="-3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KVA</w:t>
      </w:r>
      <w:r>
        <w:rPr>
          <w:spacing w:val="-3"/>
        </w:rPr>
        <w:t xml:space="preserve"> </w:t>
      </w:r>
      <w:r>
        <w:t>hatását,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már</w:t>
      </w:r>
      <w:r>
        <w:rPr>
          <w:spacing w:val="-3"/>
        </w:rPr>
        <w:t xml:space="preserve"> </w:t>
      </w:r>
      <w:r>
        <w:t>legalább</w:t>
      </w:r>
      <w:r>
        <w:rPr>
          <w:spacing w:val="-3"/>
        </w:rPr>
        <w:t xml:space="preserve"> </w:t>
      </w:r>
      <w:r>
        <w:t>2</w:t>
      </w:r>
      <w:r w:rsidR="00294835">
        <w:rPr>
          <w:spacing w:val="-2"/>
        </w:rPr>
        <w:t> nap</w:t>
      </w:r>
      <w:r>
        <w:t>ja</w:t>
      </w:r>
      <w:r>
        <w:rPr>
          <w:spacing w:val="-3"/>
        </w:rPr>
        <w:t xml:space="preserve"> </w:t>
      </w:r>
      <w:r>
        <w:t>leállították. Addig az INR értéket körültekintően kell értelmezni.</w:t>
      </w:r>
    </w:p>
    <w:p w14:paraId="7E4AD49C" w14:textId="77777777" w:rsidR="00945359" w:rsidRDefault="00945359" w:rsidP="008F5A8D">
      <w:pPr>
        <w:pStyle w:val="Szvegtrzs"/>
        <w:tabs>
          <w:tab w:val="left" w:pos="567"/>
        </w:tabs>
      </w:pPr>
    </w:p>
    <w:p w14:paraId="17CB4ED9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</w:rPr>
        <w:t>KVA-ról</w:t>
      </w:r>
      <w:r>
        <w:rPr>
          <w:spacing w:val="19"/>
        </w:rPr>
        <w:t xml:space="preserve"> </w:t>
      </w:r>
      <w:r>
        <w:rPr>
          <w:spacing w:val="-2"/>
        </w:rPr>
        <w:t>dabigatrán-etexilátra:</w:t>
      </w:r>
    </w:p>
    <w:p w14:paraId="56ED4E2E" w14:textId="05B15320" w:rsidR="00B900F2" w:rsidRDefault="00220A43">
      <w:pPr>
        <w:pStyle w:val="Szvegtrzs"/>
        <w:tabs>
          <w:tab w:val="left" w:pos="567"/>
        </w:tabs>
      </w:pPr>
      <w:r>
        <w:t>A</w:t>
      </w:r>
      <w:r>
        <w:rPr>
          <w:spacing w:val="-2"/>
        </w:rPr>
        <w:t xml:space="preserve"> </w:t>
      </w:r>
      <w:r>
        <w:t>KVA-t</w:t>
      </w:r>
      <w:r>
        <w:rPr>
          <w:spacing w:val="-2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állítani.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adása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kezdhető</w:t>
      </w:r>
      <w:r>
        <w:rPr>
          <w:spacing w:val="-3"/>
        </w:rPr>
        <w:t xml:space="preserve"> </w:t>
      </w:r>
      <w:r>
        <w:t>el,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INR</w:t>
      </w:r>
      <w:r>
        <w:rPr>
          <w:spacing w:val="-3"/>
        </w:rPr>
        <w:t xml:space="preserve"> </w:t>
      </w:r>
      <w:r w:rsidR="00B95CAF">
        <w:t>&lt;</w:t>
      </w:r>
      <w:r>
        <w:t>2,0.</w:t>
      </w:r>
    </w:p>
    <w:p w14:paraId="37A92496" w14:textId="77777777" w:rsidR="00B900F2" w:rsidRDefault="00B900F2">
      <w:pPr>
        <w:pStyle w:val="Szvegtrzs"/>
        <w:tabs>
          <w:tab w:val="left" w:pos="567"/>
        </w:tabs>
      </w:pPr>
    </w:p>
    <w:p w14:paraId="6D9C9D24" w14:textId="07EA240F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Az alkalmazás módja</w:t>
      </w:r>
    </w:p>
    <w:p w14:paraId="2C4564C4" w14:textId="04DDEF66" w:rsidR="00945359" w:rsidRDefault="00872F42" w:rsidP="008F5A8D">
      <w:pPr>
        <w:pStyle w:val="Szvegtrzs"/>
        <w:tabs>
          <w:tab w:val="left" w:pos="567"/>
        </w:tabs>
      </w:pPr>
      <w:r>
        <w:t>S</w:t>
      </w:r>
      <w:r w:rsidR="00220A43">
        <w:t>zájon</w:t>
      </w:r>
      <w:r w:rsidR="00220A43">
        <w:rPr>
          <w:spacing w:val="-6"/>
        </w:rPr>
        <w:t xml:space="preserve"> </w:t>
      </w:r>
      <w:r w:rsidR="00220A43">
        <w:t>át</w:t>
      </w:r>
      <w:r w:rsidR="00220A43">
        <w:rPr>
          <w:spacing w:val="-6"/>
        </w:rPr>
        <w:t xml:space="preserve"> </w:t>
      </w:r>
      <w:r w:rsidR="00220A43">
        <w:t>történő</w:t>
      </w:r>
      <w:r w:rsidR="00220A43">
        <w:rPr>
          <w:spacing w:val="-6"/>
        </w:rPr>
        <w:t xml:space="preserve"> </w:t>
      </w:r>
      <w:r w:rsidR="00220A43">
        <w:t>alkalmazásra</w:t>
      </w:r>
      <w:r w:rsidR="00220A43">
        <w:rPr>
          <w:spacing w:val="-2"/>
        </w:rPr>
        <w:t>.</w:t>
      </w:r>
    </w:p>
    <w:p w14:paraId="7D378240" w14:textId="138193D2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kapszul</w:t>
      </w:r>
      <w:r w:rsidR="00872F42">
        <w:t>a</w:t>
      </w:r>
      <w:r>
        <w:rPr>
          <w:spacing w:val="-3"/>
        </w:rPr>
        <w:t xml:space="preserve"> </w:t>
      </w:r>
      <w:r>
        <w:t>étkezés</w:t>
      </w:r>
      <w:r>
        <w:rPr>
          <w:spacing w:val="-3"/>
        </w:rPr>
        <w:t xml:space="preserve"> </w:t>
      </w:r>
      <w:r>
        <w:t>közben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étkezések</w:t>
      </w:r>
      <w:r>
        <w:rPr>
          <w:spacing w:val="-3"/>
        </w:rPr>
        <w:t xml:space="preserve"> </w:t>
      </w:r>
      <w:r>
        <w:t>közötti</w:t>
      </w:r>
      <w:r>
        <w:rPr>
          <w:spacing w:val="-3"/>
        </w:rPr>
        <w:t xml:space="preserve"> </w:t>
      </w:r>
      <w:r>
        <w:t>időben</w:t>
      </w:r>
      <w:r>
        <w:rPr>
          <w:spacing w:val="-3"/>
        </w:rPr>
        <w:t xml:space="preserve"> </w:t>
      </w:r>
      <w:r>
        <w:t>egyaránt</w:t>
      </w:r>
      <w:r>
        <w:rPr>
          <w:spacing w:val="-3"/>
        </w:rPr>
        <w:t xml:space="preserve"> </w:t>
      </w:r>
      <w:r>
        <w:t>bevehető.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kapszulát egészben, a gyomorba jutás elősegítése érdekében egy pohár vízzel kell bevenni.</w:t>
      </w:r>
    </w:p>
    <w:p w14:paraId="558CC34A" w14:textId="6C150A5C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2"/>
        </w:rPr>
        <w:t xml:space="preserve"> </w:t>
      </w:r>
      <w:r>
        <w:t>betegek</w:t>
      </w:r>
      <w:r>
        <w:rPr>
          <w:spacing w:val="-2"/>
        </w:rPr>
        <w:t xml:space="preserve"> </w:t>
      </w:r>
      <w:r>
        <w:t>figyelmét</w:t>
      </w:r>
      <w:r>
        <w:rPr>
          <w:spacing w:val="-2"/>
        </w:rPr>
        <w:t xml:space="preserve"> </w:t>
      </w:r>
      <w:r>
        <w:t>fel</w:t>
      </w:r>
      <w:r>
        <w:rPr>
          <w:spacing w:val="-2"/>
        </w:rPr>
        <w:t xml:space="preserve"> </w:t>
      </w:r>
      <w:r>
        <w:t>kell</w:t>
      </w:r>
      <w:r>
        <w:rPr>
          <w:spacing w:val="-2"/>
        </w:rPr>
        <w:t xml:space="preserve"> </w:t>
      </w:r>
      <w:r>
        <w:t>hívni</w:t>
      </w:r>
      <w:r>
        <w:rPr>
          <w:spacing w:val="-2"/>
        </w:rPr>
        <w:t xml:space="preserve"> </w:t>
      </w:r>
      <w:r>
        <w:t>arra,</w:t>
      </w:r>
      <w:r>
        <w:rPr>
          <w:spacing w:val="-2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ne</w:t>
      </w:r>
      <w:r>
        <w:rPr>
          <w:spacing w:val="-2"/>
        </w:rPr>
        <w:t xml:space="preserve"> </w:t>
      </w:r>
      <w:r>
        <w:t>nyissák</w:t>
      </w:r>
      <w:r>
        <w:rPr>
          <w:spacing w:val="-2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kapszulát,</w:t>
      </w:r>
      <w:r>
        <w:rPr>
          <w:spacing w:val="-2"/>
        </w:rPr>
        <w:t xml:space="preserve"> </w:t>
      </w:r>
      <w:r>
        <w:t>mivel</w:t>
      </w:r>
      <w:r>
        <w:rPr>
          <w:spacing w:val="-2"/>
        </w:rPr>
        <w:t xml:space="preserve"> </w:t>
      </w:r>
      <w:r w:rsidR="00E004BD">
        <w:rPr>
          <w:spacing w:val="-2"/>
        </w:rPr>
        <w:t xml:space="preserve">így </w:t>
      </w:r>
      <w:r>
        <w:t>fokoz</w:t>
      </w:r>
      <w:r w:rsidR="00E004BD">
        <w:t>ód</w:t>
      </w:r>
      <w:r>
        <w:t>hat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vérzés veszély</w:t>
      </w:r>
      <w:r w:rsidR="00E004BD">
        <w:t>e</w:t>
      </w:r>
      <w:r>
        <w:t xml:space="preserve"> (lásd 5.2 és 6.6</w:t>
      </w:r>
      <w:r w:rsidR="00294835">
        <w:t> pont</w:t>
      </w:r>
      <w:r>
        <w:t>).</w:t>
      </w:r>
    </w:p>
    <w:p w14:paraId="642CC58F" w14:textId="77777777" w:rsidR="00511F35" w:rsidRDefault="00511F35" w:rsidP="008F5A8D">
      <w:pPr>
        <w:pStyle w:val="Szvegtrzs"/>
        <w:tabs>
          <w:tab w:val="left" w:pos="567"/>
        </w:tabs>
      </w:pPr>
    </w:p>
    <w:p w14:paraId="179D375C" w14:textId="3C75FE75" w:rsidR="00945359" w:rsidRPr="008F5A8D" w:rsidRDefault="00002AA2" w:rsidP="00511F35">
      <w:pPr>
        <w:rPr>
          <w:b/>
          <w:bCs/>
          <w:spacing w:val="-2"/>
        </w:rPr>
      </w:pPr>
      <w:r w:rsidRPr="00511F35">
        <w:rPr>
          <w:b/>
        </w:rPr>
        <w:t>4.3</w:t>
      </w:r>
      <w:r w:rsidRPr="00511F35">
        <w:rPr>
          <w:b/>
        </w:rPr>
        <w:tab/>
      </w:r>
      <w:r w:rsidR="00220A43" w:rsidRPr="008F5A8D">
        <w:rPr>
          <w:b/>
          <w:bCs/>
          <w:spacing w:val="-2"/>
        </w:rPr>
        <w:t>Ellenjavallatok</w:t>
      </w:r>
    </w:p>
    <w:p w14:paraId="6BB766F9" w14:textId="77777777" w:rsidR="00002AA2" w:rsidRPr="00511F35" w:rsidRDefault="00002AA2" w:rsidP="008F5A8D"/>
    <w:p w14:paraId="05619054" w14:textId="465AE4F1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A</w:t>
      </w:r>
      <w:r>
        <w:rPr>
          <w:spacing w:val="-4"/>
        </w:rPr>
        <w:t xml:space="preserve"> </w:t>
      </w:r>
      <w:r>
        <w:t>készítmény</w:t>
      </w:r>
      <w:r>
        <w:rPr>
          <w:spacing w:val="-4"/>
        </w:rPr>
        <w:t xml:space="preserve"> </w:t>
      </w:r>
      <w:r>
        <w:t>hatóanyagával</w:t>
      </w:r>
      <w:r>
        <w:rPr>
          <w:spacing w:val="-3"/>
        </w:rPr>
        <w:t xml:space="preserve"> </w:t>
      </w:r>
      <w:r>
        <w:t>vagy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6.1</w:t>
      </w:r>
      <w:r w:rsidR="00294835">
        <w:rPr>
          <w:spacing w:val="-3"/>
        </w:rPr>
        <w:t> pont</w:t>
      </w:r>
      <w:r>
        <w:t>ban</w:t>
      </w:r>
      <w:r>
        <w:rPr>
          <w:spacing w:val="-4"/>
        </w:rPr>
        <w:t xml:space="preserve"> </w:t>
      </w:r>
      <w:r>
        <w:t>felsorolt</w:t>
      </w:r>
      <w:r>
        <w:rPr>
          <w:spacing w:val="-4"/>
        </w:rPr>
        <w:t xml:space="preserve"> </w:t>
      </w:r>
      <w:r>
        <w:t>bármely</w:t>
      </w:r>
      <w:r>
        <w:rPr>
          <w:spacing w:val="-4"/>
        </w:rPr>
        <w:t xml:space="preserve"> </w:t>
      </w:r>
      <w:r>
        <w:t>segédanyagával</w:t>
      </w:r>
      <w:r>
        <w:rPr>
          <w:spacing w:val="-4"/>
        </w:rPr>
        <w:t xml:space="preserve"> </w:t>
      </w:r>
      <w:r>
        <w:t xml:space="preserve">szembeni </w:t>
      </w:r>
      <w:r>
        <w:rPr>
          <w:spacing w:val="-2"/>
        </w:rPr>
        <w:t>túlérzékenység</w:t>
      </w:r>
    </w:p>
    <w:p w14:paraId="0AEA9A12" w14:textId="5C6B8EE0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Súlyos</w:t>
      </w:r>
      <w:r w:rsidRPr="008F5A8D">
        <w:t xml:space="preserve"> </w:t>
      </w:r>
      <w:r>
        <w:t>fokú</w:t>
      </w:r>
      <w:r w:rsidRPr="008F5A8D">
        <w:t xml:space="preserve"> </w:t>
      </w:r>
      <w:r>
        <w:t>vesekárosodás</w:t>
      </w:r>
      <w:r w:rsidRPr="008F5A8D">
        <w:t xml:space="preserve"> </w:t>
      </w:r>
      <w:r>
        <w:t>(CrCl</w:t>
      </w:r>
      <w:r w:rsidRPr="008F5A8D">
        <w:t xml:space="preserve"> </w:t>
      </w:r>
      <w:r w:rsidR="00B95CAF">
        <w:t>&lt;</w:t>
      </w:r>
      <w:r>
        <w:t>30</w:t>
      </w:r>
      <w:r w:rsidR="00294835">
        <w:t> ml</w:t>
      </w:r>
      <w:r>
        <w:t>/perc)</w:t>
      </w:r>
      <w:r w:rsidRPr="008F5A8D">
        <w:t xml:space="preserve"> </w:t>
      </w:r>
      <w:r>
        <w:t>felnőtt</w:t>
      </w:r>
      <w:r w:rsidRPr="008F5A8D">
        <w:t xml:space="preserve"> betegeknél</w:t>
      </w:r>
    </w:p>
    <w:p w14:paraId="652556D0" w14:textId="651ECEC3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eGFR</w:t>
      </w:r>
      <w:r w:rsidRPr="008F5A8D">
        <w:t xml:space="preserve"> </w:t>
      </w:r>
      <w:r w:rsidR="00B95CAF">
        <w:t>&lt;</w:t>
      </w:r>
      <w:r>
        <w:t>50</w:t>
      </w:r>
      <w:r w:rsidR="00294835">
        <w:t> ml</w:t>
      </w:r>
      <w:r>
        <w:t>/perc/1,73</w:t>
      </w:r>
      <w:r w:rsidRPr="008F5A8D">
        <w:t xml:space="preserve"> </w:t>
      </w:r>
      <w:r>
        <w:t>m</w:t>
      </w:r>
      <w:r w:rsidRPr="004F4A3C">
        <w:rPr>
          <w:vertAlign w:val="superscript"/>
        </w:rPr>
        <w:t>2</w:t>
      </w:r>
      <w:r w:rsidRPr="008F5A8D">
        <w:t xml:space="preserve"> </w:t>
      </w:r>
      <w:r>
        <w:t>gyermekeknél</w:t>
      </w:r>
      <w:r w:rsidRPr="008F5A8D">
        <w:t xml:space="preserve"> </w:t>
      </w:r>
      <w:r>
        <w:t>és</w:t>
      </w:r>
      <w:r w:rsidRPr="008F5A8D">
        <w:t xml:space="preserve"> serdülőknél</w:t>
      </w:r>
    </w:p>
    <w:p w14:paraId="64806531" w14:textId="77777777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Aktív,</w:t>
      </w:r>
      <w:r w:rsidRPr="008F5A8D">
        <w:t xml:space="preserve"> </w:t>
      </w:r>
      <w:r>
        <w:t>klinikailag</w:t>
      </w:r>
      <w:r w:rsidRPr="008F5A8D">
        <w:t xml:space="preserve"> </w:t>
      </w:r>
      <w:r>
        <w:t>jelentős</w:t>
      </w:r>
      <w:r w:rsidRPr="008F5A8D">
        <w:t xml:space="preserve"> vérzés</w:t>
      </w:r>
    </w:p>
    <w:p w14:paraId="2CB6FDC4" w14:textId="1C634AFE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A vérzés megnövekedett kockázatával járónak ítélt sérülés vagy egyéb állapot. Ezek közé tartozhat</w:t>
      </w:r>
      <w:r w:rsidRPr="008F5A8D">
        <w:t xml:space="preserve"> </w:t>
      </w:r>
      <w:r>
        <w:t>a</w:t>
      </w:r>
      <w:r w:rsidRPr="008F5A8D">
        <w:t xml:space="preserve"> </w:t>
      </w:r>
      <w:r>
        <w:t>fennálló</w:t>
      </w:r>
      <w:r w:rsidRPr="008F5A8D">
        <w:t xml:space="preserve"> </w:t>
      </w:r>
      <w:r>
        <w:t>vagy</w:t>
      </w:r>
      <w:r w:rsidRPr="008F5A8D">
        <w:t xml:space="preserve"> </w:t>
      </w:r>
      <w:r>
        <w:t>közelmúltbeli</w:t>
      </w:r>
      <w:r w:rsidRPr="008F5A8D">
        <w:t xml:space="preserve"> </w:t>
      </w:r>
      <w:r>
        <w:t>gastrointestinalis</w:t>
      </w:r>
      <w:r w:rsidRPr="008F5A8D">
        <w:t xml:space="preserve"> </w:t>
      </w:r>
      <w:r>
        <w:t>fekélybetegség,</w:t>
      </w:r>
      <w:r w:rsidRPr="008F5A8D">
        <w:t xml:space="preserve"> </w:t>
      </w:r>
      <w:r>
        <w:t>nagy</w:t>
      </w:r>
      <w:r w:rsidRPr="008F5A8D">
        <w:t xml:space="preserve"> </w:t>
      </w:r>
      <w:r>
        <w:t>vérzésveszéllyel járó rosszindulatú daganat, közelmúltbeli agy- vagy gerincvelő-sérülés, közelmúltbeli agy-, gerinc- vagy szemműtét, közelmúltbeli intracranialis vérzés, ismert vagy feltételezett nyelőcsővarixok, arteriovenosus malformatiók, éraneurysmák vagy jelentős intraspinalis vagy intracerebralis érrendellenességek</w:t>
      </w:r>
    </w:p>
    <w:p w14:paraId="32AD5010" w14:textId="6008AE4B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Más antikoagulánssal, pl. nem frakcionált heparinnal (UFH), alacsony molekulatömegű heparinokkal</w:t>
      </w:r>
      <w:r w:rsidRPr="008F5A8D">
        <w:t xml:space="preserve"> </w:t>
      </w:r>
      <w:r>
        <w:t>(enoxaparin,</w:t>
      </w:r>
      <w:r w:rsidRPr="008F5A8D">
        <w:t xml:space="preserve"> </w:t>
      </w:r>
      <w:r>
        <w:t>dalteparin,</w:t>
      </w:r>
      <w:r w:rsidRPr="008F5A8D">
        <w:t xml:space="preserve"> </w:t>
      </w:r>
      <w:r>
        <w:t>stb.),</w:t>
      </w:r>
      <w:r w:rsidRPr="008F5A8D">
        <w:t xml:space="preserve"> </w:t>
      </w:r>
      <w:r>
        <w:t>heparin-származékokkal</w:t>
      </w:r>
      <w:r w:rsidRPr="008F5A8D">
        <w:t xml:space="preserve"> </w:t>
      </w:r>
      <w:r>
        <w:t>(fondaparinux,</w:t>
      </w:r>
      <w:r w:rsidRPr="008F5A8D">
        <w:t xml:space="preserve"> </w:t>
      </w:r>
      <w:r>
        <w:t>stb.),</w:t>
      </w:r>
      <w:r w:rsidRPr="008F5A8D">
        <w:t xml:space="preserve"> </w:t>
      </w:r>
      <w:r>
        <w:t>orális antikoagulánsokkal (warfarin, rivaroxabán, apixabán, stb.) történő egyidejű kezelés, kivéve bizonyos speciális eseteket. Ezek lehetnek az antikoaguláns terápia átállítás</w:t>
      </w:r>
      <w:r w:rsidR="00E004BD">
        <w:t>ának</w:t>
      </w:r>
      <w:r>
        <w:t xml:space="preserve"> időszakai (lásd</w:t>
      </w:r>
      <w:r w:rsidR="00A76255">
        <w:t xml:space="preserve"> </w:t>
      </w:r>
      <w:r>
        <w:t>4.2</w:t>
      </w:r>
      <w:r w:rsidR="00294835">
        <w:t> pont</w:t>
      </w:r>
      <w:r>
        <w:t>),</w:t>
      </w:r>
      <w:r w:rsidRPr="008F5A8D">
        <w:t xml:space="preserve"> </w:t>
      </w:r>
      <w:r>
        <w:t>amikor</w:t>
      </w:r>
      <w:r w:rsidRPr="008F5A8D">
        <w:t xml:space="preserve"> </w:t>
      </w:r>
      <w:r>
        <w:t>az</w:t>
      </w:r>
      <w:r w:rsidRPr="008F5A8D">
        <w:t xml:space="preserve"> </w:t>
      </w:r>
      <w:r>
        <w:t>UFH-t</w:t>
      </w:r>
      <w:r w:rsidRPr="008F5A8D">
        <w:t xml:space="preserve"> </w:t>
      </w:r>
      <w:r>
        <w:t>a</w:t>
      </w:r>
      <w:r w:rsidRPr="008F5A8D">
        <w:t xml:space="preserve"> </w:t>
      </w:r>
      <w:r>
        <w:t>centrális</w:t>
      </w:r>
      <w:r w:rsidRPr="008F5A8D">
        <w:t xml:space="preserve"> </w:t>
      </w:r>
      <w:r>
        <w:t>vénás</w:t>
      </w:r>
      <w:r w:rsidRPr="008F5A8D">
        <w:t xml:space="preserve"> </w:t>
      </w:r>
      <w:r>
        <w:t>vagy</w:t>
      </w:r>
      <w:r w:rsidRPr="008F5A8D">
        <w:t xml:space="preserve"> </w:t>
      </w:r>
      <w:r>
        <w:t>artériás</w:t>
      </w:r>
      <w:r w:rsidRPr="008F5A8D">
        <w:t xml:space="preserve"> </w:t>
      </w:r>
      <w:r>
        <w:t>kanül</w:t>
      </w:r>
      <w:r w:rsidRPr="008F5A8D">
        <w:t xml:space="preserve"> </w:t>
      </w:r>
      <w:r>
        <w:t>nyitva</w:t>
      </w:r>
      <w:r w:rsidR="00E004BD">
        <w:t xml:space="preserve"> </w:t>
      </w:r>
      <w:r>
        <w:t>tartásához</w:t>
      </w:r>
      <w:r w:rsidRPr="008F5A8D">
        <w:t xml:space="preserve"> </w:t>
      </w:r>
      <w:r>
        <w:t>szükséges dózisban</w:t>
      </w:r>
      <w:r w:rsidRPr="008F5A8D">
        <w:t xml:space="preserve"> </w:t>
      </w:r>
      <w:r>
        <w:t>adják</w:t>
      </w:r>
      <w:r w:rsidRPr="008F5A8D">
        <w:t xml:space="preserve"> </w:t>
      </w:r>
      <w:r>
        <w:t>vagy</w:t>
      </w:r>
      <w:r w:rsidRPr="008F5A8D">
        <w:t xml:space="preserve"> </w:t>
      </w:r>
      <w:r>
        <w:t>amikor</w:t>
      </w:r>
      <w:r w:rsidRPr="008F5A8D">
        <w:t xml:space="preserve"> </w:t>
      </w:r>
      <w:r>
        <w:t>az</w:t>
      </w:r>
      <w:r w:rsidRPr="008F5A8D">
        <w:t xml:space="preserve"> </w:t>
      </w:r>
      <w:r>
        <w:t>UFH</w:t>
      </w:r>
      <w:r w:rsidRPr="008F5A8D">
        <w:t xml:space="preserve"> </w:t>
      </w:r>
      <w:r>
        <w:t>adása</w:t>
      </w:r>
      <w:r w:rsidRPr="008F5A8D">
        <w:t xml:space="preserve"> </w:t>
      </w:r>
      <w:r>
        <w:t>szükséges</w:t>
      </w:r>
      <w:r w:rsidRPr="008F5A8D">
        <w:t xml:space="preserve"> </w:t>
      </w:r>
      <w:r>
        <w:t>katéteres</w:t>
      </w:r>
      <w:r w:rsidRPr="008F5A8D">
        <w:t xml:space="preserve"> </w:t>
      </w:r>
      <w:r>
        <w:t>ablatio</w:t>
      </w:r>
      <w:r w:rsidRPr="008F5A8D">
        <w:t xml:space="preserve"> </w:t>
      </w:r>
      <w:r>
        <w:t>alatt</w:t>
      </w:r>
      <w:r w:rsidRPr="008F5A8D">
        <w:t xml:space="preserve"> </w:t>
      </w:r>
      <w:r>
        <w:t>pitvarfibrilláció esetén (lásd 4.5</w:t>
      </w:r>
      <w:r w:rsidR="00294835">
        <w:t> pont</w:t>
      </w:r>
      <w:r>
        <w:t>)</w:t>
      </w:r>
    </w:p>
    <w:p w14:paraId="3DE53235" w14:textId="77777777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Májkárosodás</w:t>
      </w:r>
      <w:r w:rsidRPr="008F5A8D">
        <w:t xml:space="preserve"> </w:t>
      </w:r>
      <w:r>
        <w:t>vagy</w:t>
      </w:r>
      <w:r w:rsidRPr="008F5A8D">
        <w:t xml:space="preserve"> </w:t>
      </w:r>
      <w:r>
        <w:t>májbetegség,</w:t>
      </w:r>
      <w:r w:rsidRPr="008F5A8D">
        <w:t xml:space="preserve"> </w:t>
      </w:r>
      <w:r>
        <w:t>aminek</w:t>
      </w:r>
      <w:r w:rsidRPr="008F5A8D">
        <w:t xml:space="preserve"> </w:t>
      </w:r>
      <w:r>
        <w:t>hatása</w:t>
      </w:r>
      <w:r w:rsidRPr="008F5A8D">
        <w:t xml:space="preserve"> </w:t>
      </w:r>
      <w:r>
        <w:t>lehet</w:t>
      </w:r>
      <w:r w:rsidRPr="008F5A8D">
        <w:t xml:space="preserve"> </w:t>
      </w:r>
      <w:r>
        <w:t>a</w:t>
      </w:r>
      <w:r w:rsidRPr="008F5A8D">
        <w:t xml:space="preserve"> túlélésre</w:t>
      </w:r>
    </w:p>
    <w:p w14:paraId="1CC3F52C" w14:textId="2BAE668E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Egyidejű kezelés a következő erős P</w:t>
      </w:r>
      <w:r w:rsidR="00B95CAF">
        <w:t>-gp-in</w:t>
      </w:r>
      <w:r>
        <w:t>hibitorokkal: szisztémás ketokonazollal, ciklosporinnal,</w:t>
      </w:r>
      <w:r w:rsidRPr="008F5A8D">
        <w:t xml:space="preserve"> </w:t>
      </w:r>
      <w:r>
        <w:t>itrakonazollal,</w:t>
      </w:r>
      <w:r w:rsidRPr="008F5A8D">
        <w:t xml:space="preserve"> </w:t>
      </w:r>
      <w:r>
        <w:t>dronedaronnal</w:t>
      </w:r>
      <w:r w:rsidRPr="008F5A8D">
        <w:t xml:space="preserve"> </w:t>
      </w:r>
      <w:r>
        <w:t>vagy</w:t>
      </w:r>
      <w:r w:rsidRPr="008F5A8D">
        <w:t xml:space="preserve"> </w:t>
      </w:r>
      <w:r>
        <w:t>fix</w:t>
      </w:r>
      <w:r w:rsidRPr="008F5A8D">
        <w:t xml:space="preserve"> </w:t>
      </w:r>
      <w:r>
        <w:t>dózisú</w:t>
      </w:r>
      <w:r w:rsidRPr="008F5A8D">
        <w:t xml:space="preserve"> </w:t>
      </w:r>
      <w:r>
        <w:t>kombinációban</w:t>
      </w:r>
      <w:r w:rsidRPr="008F5A8D">
        <w:t xml:space="preserve"> </w:t>
      </w:r>
      <w:r>
        <w:t>alkalmazott glekaprevirral/pibrentaszvirral (lásd 4.5</w:t>
      </w:r>
      <w:r w:rsidR="00294835">
        <w:t> pont</w:t>
      </w:r>
      <w:r>
        <w:t>)</w:t>
      </w:r>
    </w:p>
    <w:p w14:paraId="24A14B43" w14:textId="2ECD7876" w:rsidR="00945359" w:rsidRDefault="00220A43" w:rsidP="008F5A8D">
      <w:pPr>
        <w:pStyle w:val="Listaszerbekezds"/>
        <w:numPr>
          <w:ilvl w:val="2"/>
          <w:numId w:val="36"/>
        </w:numPr>
        <w:tabs>
          <w:tab w:val="left" w:pos="567"/>
          <w:tab w:val="left" w:pos="824"/>
        </w:tabs>
        <w:ind w:left="567"/>
      </w:pPr>
      <w:r>
        <w:t>Antikoaguláns</w:t>
      </w:r>
      <w:r w:rsidRPr="008F5A8D">
        <w:t xml:space="preserve"> </w:t>
      </w:r>
      <w:r>
        <w:t>kezelést</w:t>
      </w:r>
      <w:r w:rsidRPr="008F5A8D">
        <w:t xml:space="preserve"> </w:t>
      </w:r>
      <w:r>
        <w:t>igénylő</w:t>
      </w:r>
      <w:r w:rsidRPr="008F5A8D">
        <w:t xml:space="preserve"> </w:t>
      </w:r>
      <w:r>
        <w:t>műbillentyű</w:t>
      </w:r>
      <w:r w:rsidR="00E004BD">
        <w:t>-</w:t>
      </w:r>
      <w:r>
        <w:t>beültetés</w:t>
      </w:r>
      <w:r w:rsidRPr="008F5A8D">
        <w:t xml:space="preserve"> </w:t>
      </w:r>
      <w:r>
        <w:t>(lásd</w:t>
      </w:r>
      <w:r w:rsidRPr="008F5A8D">
        <w:t xml:space="preserve"> </w:t>
      </w:r>
      <w:r>
        <w:t>5.1</w:t>
      </w:r>
      <w:r w:rsidR="00294835">
        <w:t> pont</w:t>
      </w:r>
      <w:r w:rsidRPr="008F5A8D">
        <w:t>)</w:t>
      </w:r>
    </w:p>
    <w:p w14:paraId="5AD11E9B" w14:textId="77777777" w:rsidR="00945359" w:rsidRDefault="00945359" w:rsidP="008F5A8D">
      <w:pPr>
        <w:pStyle w:val="Szvegtrzs"/>
        <w:tabs>
          <w:tab w:val="left" w:pos="567"/>
        </w:tabs>
      </w:pPr>
    </w:p>
    <w:p w14:paraId="23901546" w14:textId="5411DC6E" w:rsidR="00945359" w:rsidRPr="00511F35" w:rsidRDefault="00002AA2" w:rsidP="00511F35">
      <w:r w:rsidRPr="00511F35">
        <w:rPr>
          <w:b/>
        </w:rPr>
        <w:t>4.4</w:t>
      </w:r>
      <w:r w:rsidRPr="00511F35">
        <w:rPr>
          <w:b/>
        </w:rPr>
        <w:tab/>
      </w:r>
      <w:r w:rsidR="00220A43" w:rsidRPr="00511F35">
        <w:rPr>
          <w:b/>
        </w:rPr>
        <w:t>Különleges</w:t>
      </w:r>
      <w:r w:rsidR="00220A43" w:rsidRPr="00511F35">
        <w:rPr>
          <w:b/>
          <w:spacing w:val="-11"/>
        </w:rPr>
        <w:t xml:space="preserve"> </w:t>
      </w:r>
      <w:r w:rsidR="00220A43" w:rsidRPr="00511F35">
        <w:rPr>
          <w:b/>
        </w:rPr>
        <w:t>figyelmeztetések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az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alkalmazással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kapcsolatos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  <w:spacing w:val="-2"/>
        </w:rPr>
        <w:t>óvintézkedések</w:t>
      </w:r>
    </w:p>
    <w:p w14:paraId="3175237C" w14:textId="77777777" w:rsidR="00002AA2" w:rsidRPr="00511F35" w:rsidRDefault="00002AA2" w:rsidP="008F5A8D"/>
    <w:p w14:paraId="698CE6A9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Vérzésveszély</w:t>
      </w:r>
    </w:p>
    <w:p w14:paraId="5D79BF21" w14:textId="37B37159" w:rsidR="00945359" w:rsidRDefault="00220A43" w:rsidP="008F5A8D">
      <w:pPr>
        <w:pStyle w:val="Szvegtrzs"/>
        <w:tabs>
          <w:tab w:val="left" w:pos="567"/>
        </w:tabs>
      </w:pPr>
      <w:r>
        <w:t xml:space="preserve">A dabigatrán-etexilátot </w:t>
      </w:r>
      <w:r w:rsidR="003811EA">
        <w:t>elővigyázatossággal</w:t>
      </w:r>
      <w:r>
        <w:t xml:space="preserve"> kell alkalmazni olyan állapotban, amely fokozott vérzésveszéllyel jár, vagy azokban az esetekben, amikor az egyidejű gyógyszerelés a thrombocytaaggregáció</w:t>
      </w:r>
      <w:r>
        <w:rPr>
          <w:spacing w:val="-3"/>
        </w:rPr>
        <w:t xml:space="preserve"> </w:t>
      </w:r>
      <w:r>
        <w:t>gátlásával</w:t>
      </w:r>
      <w:r>
        <w:rPr>
          <w:spacing w:val="-3"/>
        </w:rPr>
        <w:t xml:space="preserve"> </w:t>
      </w:r>
      <w:r>
        <w:t>befolyásolja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haemostasist.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során</w:t>
      </w:r>
      <w:r>
        <w:rPr>
          <w:spacing w:val="-3"/>
        </w:rPr>
        <w:t xml:space="preserve"> </w:t>
      </w:r>
      <w:r>
        <w:t xml:space="preserve">bárhol jelentkezhet. A </w:t>
      </w:r>
      <w:r w:rsidR="002E2A7B">
        <w:t>hemogl</w:t>
      </w:r>
      <w:r>
        <w:t xml:space="preserve">obinszint és/vagy a </w:t>
      </w:r>
      <w:r w:rsidR="002E2A7B">
        <w:t>hematokrit</w:t>
      </w:r>
      <w:r>
        <w:t>érték tisztázatlan csökkenése vagy vérnyomásesés esetén vérzésforrást kell keresni.</w:t>
      </w:r>
    </w:p>
    <w:p w14:paraId="22A637BF" w14:textId="77777777" w:rsidR="00945359" w:rsidRDefault="00945359" w:rsidP="008F5A8D">
      <w:pPr>
        <w:pStyle w:val="Szvegtrzs"/>
        <w:tabs>
          <w:tab w:val="left" w:pos="567"/>
        </w:tabs>
      </w:pPr>
    </w:p>
    <w:p w14:paraId="5DB55D4C" w14:textId="0B5CB870" w:rsidR="00945359" w:rsidRDefault="00220A43" w:rsidP="008F5A8D">
      <w:pPr>
        <w:pStyle w:val="Szvegtrzs"/>
        <w:tabs>
          <w:tab w:val="left" w:pos="567"/>
        </w:tabs>
      </w:pPr>
      <w:r>
        <w:t xml:space="preserve">Felnőtt betegeknél életveszélyes vagy nem kontrollálható vérzés esetén, amikor a dabigatrán </w:t>
      </w:r>
      <w:r>
        <w:lastRenderedPageBreak/>
        <w:t>antikoaguláns hatásának gyors felfüggesztésére van szükség, specifikus antagonista szer (idarucizumab)</w:t>
      </w:r>
      <w:r>
        <w:rPr>
          <w:spacing w:val="-4"/>
        </w:rPr>
        <w:t xml:space="preserve"> </w:t>
      </w:r>
      <w:r>
        <w:t>áll</w:t>
      </w:r>
      <w:r>
        <w:rPr>
          <w:spacing w:val="-4"/>
        </w:rPr>
        <w:t xml:space="preserve"> </w:t>
      </w:r>
      <w:r>
        <w:t>rendelkezésre.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idarucizumab</w:t>
      </w:r>
      <w:r>
        <w:rPr>
          <w:spacing w:val="-4"/>
        </w:rPr>
        <w:t xml:space="preserve"> </w:t>
      </w:r>
      <w:r>
        <w:t>hatásosságát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biztonságosságát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határozták meg gyermekeknél és serdülőknél. A hemodialízis képes a dabigatrán eltávolítására. Felnőtt betegeknél további választható lehetőség a friss teljes vér vagy a friss fagyasztott plazma, az alvadásifaktor</w:t>
      </w:r>
      <w:r w:rsidR="00E004BD">
        <w:t>-</w:t>
      </w:r>
      <w:r>
        <w:t>koncentrátum (aktivált vagy nem aktivált), a rekombináns VIIa faktor vagy a thrombocytakoncentrátum (lásd még 4.9</w:t>
      </w:r>
      <w:r w:rsidR="00294835">
        <w:t> pont</w:t>
      </w:r>
      <w:r>
        <w:t>).</w:t>
      </w:r>
    </w:p>
    <w:p w14:paraId="11C90E52" w14:textId="6C2D1FA2" w:rsidR="00945359" w:rsidRDefault="00220A43" w:rsidP="008F5A8D">
      <w:pPr>
        <w:pStyle w:val="Szvegtrzs"/>
        <w:tabs>
          <w:tab w:val="left" w:pos="567"/>
          <w:tab w:val="left" w:pos="4511"/>
        </w:tabs>
      </w:pPr>
      <w:r>
        <w:t>Klinikai vizsgálatokban a dabigatrán-etexilát esetén nagyobb arányban észleltek jelentős gastrointestinalis</w:t>
      </w:r>
      <w:r>
        <w:rPr>
          <w:spacing w:val="-3"/>
        </w:rPr>
        <w:t xml:space="preserve"> </w:t>
      </w:r>
      <w:r>
        <w:t>(GI)</w:t>
      </w:r>
      <w:r>
        <w:rPr>
          <w:spacing w:val="-3"/>
        </w:rPr>
        <w:t xml:space="preserve"> </w:t>
      </w:r>
      <w:r>
        <w:t>vérzést</w:t>
      </w:r>
      <w:r>
        <w:rPr>
          <w:spacing w:val="-3"/>
        </w:rPr>
        <w:t xml:space="preserve"> </w:t>
      </w:r>
      <w:r>
        <w:t>időseknél</w:t>
      </w:r>
      <w:r>
        <w:rPr>
          <w:spacing w:val="-3"/>
        </w:rPr>
        <w:t xml:space="preserve"> </w:t>
      </w:r>
      <w:r>
        <w:t>(</w:t>
      </w:r>
      <w:r w:rsidR="00294835">
        <w:t>≥</w:t>
      </w:r>
      <w:r>
        <w:t>75</w:t>
      </w:r>
      <w:r w:rsidR="00294835">
        <w:rPr>
          <w:spacing w:val="-5"/>
        </w:rPr>
        <w:t> év</w:t>
      </w:r>
      <w:r>
        <w:t>),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150</w:t>
      </w:r>
      <w:r w:rsidR="00294835">
        <w:rPr>
          <w:spacing w:val="-2"/>
        </w:rPr>
        <w:t> mg</w:t>
      </w:r>
      <w:r>
        <w:rPr>
          <w:spacing w:val="-5"/>
        </w:rPr>
        <w:t xml:space="preserve"> </w:t>
      </w:r>
      <w:r>
        <w:t>dabigatrán-etexilát</w:t>
      </w:r>
      <w:r>
        <w:rPr>
          <w:spacing w:val="-1"/>
        </w:rPr>
        <w:t xml:space="preserve"> </w:t>
      </w:r>
      <w:r>
        <w:t>esetében. További kockázati tényezők (lásd 5.</w:t>
      </w:r>
      <w:r w:rsidR="00B95CAF">
        <w:t> táblázat</w:t>
      </w:r>
      <w:r>
        <w:t>)</w:t>
      </w:r>
      <w:r w:rsidR="00872F42">
        <w:t>,</w:t>
      </w:r>
      <w:r w:rsidR="00A76255">
        <w:t xml:space="preserve"> </w:t>
      </w:r>
      <w:r>
        <w:t>többek között a thrombocytaaggregáció-gátló gyógyszerek, pl. a klopidogrel és az acetilszalicilsav (ASA) vagy a nem-szteroid gyulladáscsökkentő szerek (NSAID) egyidejű alkalmazása, valamint az oesophagitis, gastritis vagy gastrooesophagealis reflux fennállása.</w:t>
      </w:r>
    </w:p>
    <w:p w14:paraId="69370DDE" w14:textId="77777777" w:rsidR="00945359" w:rsidRDefault="00945359" w:rsidP="008F5A8D">
      <w:pPr>
        <w:pStyle w:val="Szvegtrzs"/>
        <w:tabs>
          <w:tab w:val="left" w:pos="567"/>
        </w:tabs>
      </w:pPr>
    </w:p>
    <w:p w14:paraId="001BF2B1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Kockázati</w:t>
      </w:r>
      <w:r>
        <w:rPr>
          <w:i/>
          <w:spacing w:val="-9"/>
          <w:u w:val="single"/>
        </w:rPr>
        <w:t xml:space="preserve"> </w:t>
      </w:r>
      <w:r>
        <w:rPr>
          <w:i/>
          <w:spacing w:val="-2"/>
          <w:u w:val="single"/>
        </w:rPr>
        <w:t>tényezők</w:t>
      </w:r>
    </w:p>
    <w:p w14:paraId="0EE32D55" w14:textId="5D3B11DF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Az</w:t>
      </w:r>
      <w:r>
        <w:rPr>
          <w:spacing w:val="-8"/>
        </w:rPr>
        <w:t xml:space="preserve"> </w:t>
      </w:r>
      <w:r>
        <w:t>5.</w:t>
      </w:r>
      <w:r w:rsidR="00B95CAF">
        <w:rPr>
          <w:spacing w:val="-6"/>
        </w:rPr>
        <w:t> táblázat</w:t>
      </w:r>
      <w:r>
        <w:rPr>
          <w:spacing w:val="-6"/>
        </w:rPr>
        <w:t xml:space="preserve"> </w:t>
      </w:r>
      <w:r>
        <w:t>összefoglalja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vérzésveszélyt</w:t>
      </w:r>
      <w:r>
        <w:rPr>
          <w:spacing w:val="-7"/>
        </w:rPr>
        <w:t xml:space="preserve"> </w:t>
      </w:r>
      <w:r>
        <w:t>fokozó</w:t>
      </w:r>
      <w:r>
        <w:rPr>
          <w:spacing w:val="-6"/>
        </w:rPr>
        <w:t xml:space="preserve"> </w:t>
      </w:r>
      <w:r>
        <w:rPr>
          <w:spacing w:val="-2"/>
        </w:rPr>
        <w:t>tényezőket.</w:t>
      </w:r>
    </w:p>
    <w:p w14:paraId="6727FD5F" w14:textId="77777777" w:rsidR="00BC10BA" w:rsidRDefault="00BC10BA" w:rsidP="008F5A8D">
      <w:pPr>
        <w:pStyle w:val="Szvegtrzs"/>
        <w:tabs>
          <w:tab w:val="left" w:pos="567"/>
        </w:tabs>
      </w:pPr>
    </w:p>
    <w:p w14:paraId="391BD0DD" w14:textId="3E29913F" w:rsidR="00945359" w:rsidRPr="00333EE9" w:rsidRDefault="006C2A98" w:rsidP="008F5A8D">
      <w:r w:rsidRPr="00511F35">
        <w:rPr>
          <w:b/>
        </w:rPr>
        <w:t>5.</w:t>
      </w:r>
      <w:r w:rsidR="00E004BD">
        <w:rPr>
          <w:b/>
        </w:rPr>
        <w:t> </w:t>
      </w:r>
      <w:r w:rsidR="00220A43" w:rsidRPr="008F5A8D">
        <w:rPr>
          <w:b/>
          <w:spacing w:val="-2"/>
        </w:rPr>
        <w:t>táblázat</w:t>
      </w:r>
      <w:r w:rsidRPr="008F5A8D">
        <w:rPr>
          <w:b/>
          <w:spacing w:val="-2"/>
        </w:rPr>
        <w:t>:</w:t>
      </w:r>
      <w:r w:rsidRPr="008F5A8D">
        <w:rPr>
          <w:b/>
        </w:rPr>
        <w:t xml:space="preserve"> </w:t>
      </w:r>
      <w:r w:rsidR="00220A43" w:rsidRPr="008F5A8D">
        <w:rPr>
          <w:b/>
        </w:rPr>
        <w:t>A</w:t>
      </w:r>
      <w:r w:rsidR="00220A43" w:rsidRPr="008F5A8D">
        <w:rPr>
          <w:b/>
          <w:spacing w:val="-9"/>
        </w:rPr>
        <w:t xml:space="preserve"> </w:t>
      </w:r>
      <w:r w:rsidR="00220A43" w:rsidRPr="008F5A8D">
        <w:rPr>
          <w:b/>
        </w:rPr>
        <w:t>vérzésveszélyt</w:t>
      </w:r>
      <w:r w:rsidR="00220A43" w:rsidRPr="008F5A8D">
        <w:rPr>
          <w:b/>
          <w:spacing w:val="-7"/>
        </w:rPr>
        <w:t xml:space="preserve"> </w:t>
      </w:r>
      <w:r w:rsidR="00220A43" w:rsidRPr="008F5A8D">
        <w:rPr>
          <w:b/>
        </w:rPr>
        <w:t>fokozó</w:t>
      </w:r>
      <w:r w:rsidR="00220A43" w:rsidRPr="008F5A8D">
        <w:rPr>
          <w:b/>
          <w:spacing w:val="-7"/>
        </w:rPr>
        <w:t xml:space="preserve"> </w:t>
      </w:r>
      <w:r w:rsidR="00220A43" w:rsidRPr="008F5A8D">
        <w:rPr>
          <w:b/>
          <w:spacing w:val="-2"/>
        </w:rPr>
        <w:t>tényezők</w:t>
      </w:r>
    </w:p>
    <w:p w14:paraId="7B2889C5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391"/>
        <w:gridCol w:w="5669"/>
      </w:tblGrid>
      <w:tr w:rsidR="00945359" w14:paraId="633FC8AF" w14:textId="77777777" w:rsidTr="008F5A8D">
        <w:trPr>
          <w:trHeight w:val="254"/>
        </w:trPr>
        <w:tc>
          <w:tcPr>
            <w:tcW w:w="3391" w:type="dxa"/>
          </w:tcPr>
          <w:p w14:paraId="5D3A427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5669" w:type="dxa"/>
          </w:tcPr>
          <w:p w14:paraId="1F14279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Kockázati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tényező</w:t>
            </w:r>
          </w:p>
        </w:tc>
      </w:tr>
      <w:tr w:rsidR="00945359" w14:paraId="199E1457" w14:textId="77777777" w:rsidTr="008F5A8D">
        <w:trPr>
          <w:trHeight w:val="505"/>
        </w:trPr>
        <w:tc>
          <w:tcPr>
            <w:tcW w:w="3391" w:type="dxa"/>
          </w:tcPr>
          <w:p w14:paraId="2102D2F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Farmakodinámiás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kinetikai</w:t>
            </w:r>
          </w:p>
          <w:p w14:paraId="04633A9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tényezők</w:t>
            </w:r>
          </w:p>
        </w:tc>
        <w:tc>
          <w:tcPr>
            <w:tcW w:w="5669" w:type="dxa"/>
          </w:tcPr>
          <w:p w14:paraId="6DCAD6C4" w14:textId="6E52333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75</w:t>
            </w:r>
            <w:r w:rsidR="00294835">
              <w:rPr>
                <w:spacing w:val="-1"/>
              </w:rPr>
              <w:t> év</w:t>
            </w:r>
            <w:r>
              <w:rPr>
                <w:spacing w:val="-8"/>
              </w:rPr>
              <w:t xml:space="preserve"> </w:t>
            </w:r>
            <w:r>
              <w:t>vagy</w:t>
            </w:r>
            <w:r>
              <w:rPr>
                <w:spacing w:val="-9"/>
              </w:rPr>
              <w:t xml:space="preserve"> </w:t>
            </w:r>
            <w:r>
              <w:t>afeletti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életkor</w:t>
            </w:r>
          </w:p>
        </w:tc>
      </w:tr>
      <w:tr w:rsidR="00945359" w14:paraId="25A36A50" w14:textId="77777777" w:rsidTr="008F5A8D">
        <w:trPr>
          <w:trHeight w:val="2591"/>
        </w:trPr>
        <w:tc>
          <w:tcPr>
            <w:tcW w:w="3391" w:type="dxa"/>
          </w:tcPr>
          <w:p w14:paraId="607F204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12"/>
              </w:rPr>
              <w:t xml:space="preserve"> </w:t>
            </w:r>
            <w:r>
              <w:t>dabigatrán</w:t>
            </w:r>
            <w:r>
              <w:rPr>
                <w:spacing w:val="-12"/>
              </w:rPr>
              <w:t xml:space="preserve"> </w:t>
            </w:r>
            <w:r>
              <w:t>plazmaszintjét</w:t>
            </w:r>
            <w:r>
              <w:rPr>
                <w:spacing w:val="-12"/>
              </w:rPr>
              <w:t xml:space="preserve"> </w:t>
            </w:r>
            <w:r>
              <w:t xml:space="preserve">emelő </w:t>
            </w:r>
            <w:r>
              <w:rPr>
                <w:spacing w:val="-2"/>
              </w:rPr>
              <w:t>tényezők</w:t>
            </w:r>
          </w:p>
        </w:tc>
        <w:tc>
          <w:tcPr>
            <w:tcW w:w="5669" w:type="dxa"/>
          </w:tcPr>
          <w:p w14:paraId="08051E8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  <w:u w:val="single"/>
              </w:rPr>
              <w:t>Jelentős:</w:t>
            </w:r>
          </w:p>
          <w:p w14:paraId="476FF9E1" w14:textId="7E79775B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  <w:rPr>
                <w:rFonts w:ascii="Symbol" w:hAnsi="Symbol"/>
              </w:rPr>
            </w:pPr>
            <w:r>
              <w:t>Felnőtt</w:t>
            </w:r>
            <w:r>
              <w:rPr>
                <w:spacing w:val="-9"/>
              </w:rPr>
              <w:t xml:space="preserve"> </w:t>
            </w:r>
            <w:r>
              <w:t>betegeknél</w:t>
            </w:r>
            <w:r>
              <w:rPr>
                <w:spacing w:val="-9"/>
              </w:rPr>
              <w:t xml:space="preserve"> </w:t>
            </w:r>
            <w:r>
              <w:t>közepesen</w:t>
            </w:r>
            <w:r>
              <w:rPr>
                <w:spacing w:val="-9"/>
              </w:rPr>
              <w:t xml:space="preserve"> </w:t>
            </w:r>
            <w:r>
              <w:t>súlyos</w:t>
            </w:r>
            <w:r>
              <w:rPr>
                <w:spacing w:val="-9"/>
              </w:rPr>
              <w:t xml:space="preserve"> </w:t>
            </w:r>
            <w:r>
              <w:t>fokú vesekárosodás (30</w:t>
            </w:r>
            <w:r w:rsidR="00C05FFC">
              <w:t>–</w:t>
            </w:r>
            <w:r>
              <w:t>50</w:t>
            </w:r>
            <w:r w:rsidR="00294835">
              <w:t> ml</w:t>
            </w:r>
            <w:r>
              <w:t>/perc CrCl)</w:t>
            </w:r>
          </w:p>
          <w:p w14:paraId="2DD1FD5D" w14:textId="3C2F16F8" w:rsidR="00945359" w:rsidRPr="008F5A8D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Erős</w:t>
            </w:r>
            <w:r w:rsidRPr="008F5A8D">
              <w:t xml:space="preserve"> </w:t>
            </w:r>
            <w:r>
              <w:t>P</w:t>
            </w:r>
            <w:r w:rsidR="00B95CAF">
              <w:t>-gp-in</w:t>
            </w:r>
            <w:r>
              <w:t>hibitorok</w:t>
            </w:r>
            <w:r w:rsidRPr="008F5A8D">
              <w:t xml:space="preserve"> </w:t>
            </w:r>
            <w:r>
              <w:t>(lásd</w:t>
            </w:r>
            <w:r w:rsidRPr="008F5A8D">
              <w:t xml:space="preserve"> </w:t>
            </w:r>
            <w:r>
              <w:t>4.3</w:t>
            </w:r>
            <w:r w:rsidRPr="008F5A8D">
              <w:t xml:space="preserve"> </w:t>
            </w:r>
            <w:r>
              <w:t>és</w:t>
            </w:r>
            <w:r w:rsidRPr="008F5A8D">
              <w:t xml:space="preserve"> </w:t>
            </w:r>
            <w:r>
              <w:t>4.5</w:t>
            </w:r>
            <w:r w:rsidR="00294835">
              <w:t> pont</w:t>
            </w:r>
            <w:r w:rsidRPr="008F5A8D">
              <w:t>)</w:t>
            </w:r>
          </w:p>
          <w:p w14:paraId="6BF19D58" w14:textId="77777777" w:rsidR="00945359" w:rsidRPr="008F5A8D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Egyidejű</w:t>
            </w:r>
            <w:r w:rsidRPr="008F5A8D">
              <w:t xml:space="preserve"> </w:t>
            </w:r>
            <w:r>
              <w:t>gyógyszerelés</w:t>
            </w:r>
            <w:r w:rsidRPr="008F5A8D">
              <w:t xml:space="preserve"> </w:t>
            </w:r>
            <w:r>
              <w:t>gyenge</w:t>
            </w:r>
            <w:r w:rsidRPr="008F5A8D">
              <w:t xml:space="preserve"> </w:t>
            </w:r>
            <w:r>
              <w:t>és</w:t>
            </w:r>
            <w:r w:rsidRPr="008F5A8D">
              <w:t xml:space="preserve"> </w:t>
            </w:r>
            <w:r>
              <w:t>közepesen</w:t>
            </w:r>
            <w:r w:rsidRPr="008F5A8D">
              <w:t xml:space="preserve"> erős</w:t>
            </w:r>
          </w:p>
          <w:p w14:paraId="38D91AAE" w14:textId="05A33E46" w:rsidR="00A76255" w:rsidRDefault="00220A43" w:rsidP="004F4A3C">
            <w:pPr>
              <w:pStyle w:val="TableParagraph"/>
              <w:tabs>
                <w:tab w:val="left" w:pos="567"/>
                <w:tab w:val="left" w:pos="674"/>
              </w:tabs>
              <w:spacing w:line="240" w:lineRule="auto"/>
              <w:ind w:left="567"/>
            </w:pPr>
            <w:r>
              <w:t>P</w:t>
            </w:r>
            <w:r w:rsidR="00B95CAF">
              <w:t>-gp-in</w:t>
            </w:r>
            <w:r>
              <w:t>hibitor</w:t>
            </w:r>
            <w:r w:rsidR="00B13915">
              <w:t>r</w:t>
            </w:r>
            <w:r>
              <w:t>al</w:t>
            </w:r>
            <w:r w:rsidRPr="008F5A8D">
              <w:t xml:space="preserve"> </w:t>
            </w:r>
            <w:r>
              <w:t>(pl.</w:t>
            </w:r>
            <w:r w:rsidRPr="008F5A8D">
              <w:t xml:space="preserve"> </w:t>
            </w:r>
            <w:r>
              <w:t>amiodaron,</w:t>
            </w:r>
            <w:r w:rsidRPr="008F5A8D">
              <w:t xml:space="preserve"> </w:t>
            </w:r>
            <w:r>
              <w:t>verapamil,</w:t>
            </w:r>
            <w:r w:rsidRPr="008F5A8D">
              <w:t xml:space="preserve"> </w:t>
            </w:r>
            <w:r>
              <w:t>kinidin és tikagrelor, lásd 4.5</w:t>
            </w:r>
            <w:r w:rsidR="00294835">
              <w:t> pont</w:t>
            </w:r>
            <w:r>
              <w:t>)</w:t>
            </w:r>
          </w:p>
          <w:p w14:paraId="16BC73B4" w14:textId="77777777" w:rsidR="00945359" w:rsidRDefault="00220A43" w:rsidP="008F5A8D">
            <w:pPr>
              <w:pStyle w:val="TableParagraph"/>
              <w:tabs>
                <w:tab w:val="left" w:pos="567"/>
                <w:tab w:val="left" w:pos="674"/>
              </w:tabs>
              <w:spacing w:line="240" w:lineRule="auto"/>
              <w:ind w:left="0"/>
            </w:pPr>
            <w:r w:rsidRPr="00A76255">
              <w:rPr>
                <w:spacing w:val="-2"/>
                <w:u w:val="single"/>
              </w:rPr>
              <w:t>Kisebb:</w:t>
            </w:r>
          </w:p>
          <w:p w14:paraId="56AF7EE1" w14:textId="40AD2AF6" w:rsidR="00945359" w:rsidRDefault="00E004BD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  <w:rPr>
                <w:rFonts w:ascii="Symbol" w:hAnsi="Symbol"/>
              </w:rPr>
            </w:pPr>
            <w:r>
              <w:t>Kis</w:t>
            </w:r>
            <w:r w:rsidR="00220A43">
              <w:rPr>
                <w:spacing w:val="-7"/>
              </w:rPr>
              <w:t xml:space="preserve"> </w:t>
            </w:r>
            <w:r w:rsidR="00220A43">
              <w:t>testtömeg</w:t>
            </w:r>
            <w:r w:rsidR="00220A43">
              <w:rPr>
                <w:spacing w:val="-5"/>
              </w:rPr>
              <w:t xml:space="preserve"> </w:t>
            </w:r>
            <w:r w:rsidR="00220A43">
              <w:t>(</w:t>
            </w:r>
            <w:r w:rsidR="00B95CAF">
              <w:t>&lt;</w:t>
            </w:r>
            <w:r w:rsidR="00220A43">
              <w:t>50</w:t>
            </w:r>
            <w:r w:rsidR="00AB32E4">
              <w:rPr>
                <w:spacing w:val="-5"/>
              </w:rPr>
              <w:t> kg</w:t>
            </w:r>
            <w:r w:rsidR="00220A43">
              <w:t>)</w:t>
            </w:r>
            <w:r w:rsidR="00220A43">
              <w:rPr>
                <w:spacing w:val="-5"/>
              </w:rPr>
              <w:t xml:space="preserve"> </w:t>
            </w:r>
            <w:r w:rsidR="00220A43">
              <w:t>felnőtt</w:t>
            </w:r>
            <w:r w:rsidR="00220A43">
              <w:rPr>
                <w:spacing w:val="-4"/>
              </w:rPr>
              <w:t xml:space="preserve"> </w:t>
            </w:r>
            <w:r w:rsidR="00220A43">
              <w:rPr>
                <w:spacing w:val="-2"/>
              </w:rPr>
              <w:t>betegeknél</w:t>
            </w:r>
          </w:p>
        </w:tc>
      </w:tr>
      <w:tr w:rsidR="00945359" w14:paraId="32167C50" w14:textId="77777777" w:rsidTr="008F5A8D">
        <w:trPr>
          <w:trHeight w:val="1329"/>
        </w:trPr>
        <w:tc>
          <w:tcPr>
            <w:tcW w:w="3391" w:type="dxa"/>
          </w:tcPr>
          <w:p w14:paraId="09323A1C" w14:textId="4E55EF8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Farmakodinámiás</w:t>
            </w:r>
            <w:r>
              <w:rPr>
                <w:spacing w:val="-14"/>
              </w:rPr>
              <w:t xml:space="preserve"> </w:t>
            </w:r>
            <w:r>
              <w:t>interakciók</w:t>
            </w:r>
            <w:r>
              <w:rPr>
                <w:spacing w:val="-14"/>
              </w:rPr>
              <w:t xml:space="preserve"> </w:t>
            </w:r>
            <w:r>
              <w:t>(lásd 4.5</w:t>
            </w:r>
            <w:r w:rsidR="00294835">
              <w:t> pont</w:t>
            </w:r>
            <w:r>
              <w:t>)</w:t>
            </w:r>
          </w:p>
        </w:tc>
        <w:tc>
          <w:tcPr>
            <w:tcW w:w="5669" w:type="dxa"/>
          </w:tcPr>
          <w:p w14:paraId="66EBFCBE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ASA</w:t>
            </w:r>
            <w:r w:rsidRPr="008F5A8D">
              <w:t xml:space="preserve"> </w:t>
            </w:r>
            <w:r>
              <w:t>és</w:t>
            </w:r>
            <w:r w:rsidRPr="008F5A8D">
              <w:t xml:space="preserve"> </w:t>
            </w:r>
            <w:r>
              <w:t>egyéb</w:t>
            </w:r>
            <w:r w:rsidRPr="008F5A8D">
              <w:t xml:space="preserve"> </w:t>
            </w:r>
            <w:r>
              <w:t>thrombocytaaggregáció-gátló gyógyszerek, pl. a klopidogrel</w:t>
            </w:r>
          </w:p>
          <w:p w14:paraId="064BE430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 w:rsidRPr="008F5A8D">
              <w:t>NSAID-ok</w:t>
            </w:r>
          </w:p>
          <w:p w14:paraId="287DACC7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SSRI-k</w:t>
            </w:r>
            <w:r w:rsidRPr="008F5A8D">
              <w:t xml:space="preserve"> </w:t>
            </w:r>
            <w:r>
              <w:t>vagy</w:t>
            </w:r>
            <w:r w:rsidRPr="008F5A8D">
              <w:t xml:space="preserve"> </w:t>
            </w:r>
            <w:r>
              <w:t>SNRI-</w:t>
            </w:r>
            <w:r w:rsidRPr="008F5A8D">
              <w:t>k</w:t>
            </w:r>
          </w:p>
          <w:p w14:paraId="785A0FA1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Egyéb,</w:t>
            </w:r>
            <w:r w:rsidRPr="008F5A8D">
              <w:t xml:space="preserve"> </w:t>
            </w:r>
            <w:r>
              <w:t>a</w:t>
            </w:r>
            <w:r w:rsidRPr="008F5A8D">
              <w:t xml:space="preserve"> </w:t>
            </w:r>
            <w:r>
              <w:t>haemostasist</w:t>
            </w:r>
            <w:r w:rsidRPr="008F5A8D">
              <w:t xml:space="preserve"> </w:t>
            </w:r>
            <w:r>
              <w:t>rontó</w:t>
            </w:r>
            <w:r w:rsidRPr="008F5A8D">
              <w:t xml:space="preserve"> gyógyszerek</w:t>
            </w:r>
          </w:p>
        </w:tc>
      </w:tr>
      <w:tr w:rsidR="00945359" w14:paraId="1EDACA05" w14:textId="77777777" w:rsidTr="008F5A8D">
        <w:trPr>
          <w:trHeight w:val="1597"/>
        </w:trPr>
        <w:tc>
          <w:tcPr>
            <w:tcW w:w="3391" w:type="dxa"/>
          </w:tcPr>
          <w:p w14:paraId="23ABE76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Speciális</w:t>
            </w:r>
            <w:r>
              <w:rPr>
                <w:spacing w:val="-14"/>
              </w:rPr>
              <w:t xml:space="preserve"> </w:t>
            </w:r>
            <w:r>
              <w:t>vérzésveszéllyel</w:t>
            </w:r>
            <w:r>
              <w:rPr>
                <w:spacing w:val="-14"/>
              </w:rPr>
              <w:t xml:space="preserve"> </w:t>
            </w:r>
            <w:r>
              <w:t>járó betegségek / beavatkozások</w:t>
            </w:r>
          </w:p>
        </w:tc>
        <w:tc>
          <w:tcPr>
            <w:tcW w:w="5669" w:type="dxa"/>
          </w:tcPr>
          <w:p w14:paraId="14D901D5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Veleszületett</w:t>
            </w:r>
            <w:r w:rsidRPr="008F5A8D">
              <w:t xml:space="preserve"> </w:t>
            </w:r>
            <w:r>
              <w:t>vagy</w:t>
            </w:r>
            <w:r w:rsidRPr="008F5A8D">
              <w:t xml:space="preserve"> </w:t>
            </w:r>
            <w:r>
              <w:t>szerzett</w:t>
            </w:r>
            <w:r w:rsidRPr="008F5A8D">
              <w:t xml:space="preserve"> </w:t>
            </w:r>
            <w:r>
              <w:t>véralvadási</w:t>
            </w:r>
            <w:r w:rsidRPr="008F5A8D">
              <w:t xml:space="preserve"> zavarok</w:t>
            </w:r>
          </w:p>
          <w:p w14:paraId="642810AF" w14:textId="51D37F9C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Thrombocytopenia</w:t>
            </w:r>
            <w:r w:rsidRPr="008F5A8D">
              <w:t xml:space="preserve"> </w:t>
            </w:r>
            <w:r>
              <w:t>vagy</w:t>
            </w:r>
            <w:r w:rsidRPr="008F5A8D">
              <w:t xml:space="preserve"> </w:t>
            </w:r>
            <w:r>
              <w:t>funkcionális</w:t>
            </w:r>
            <w:r w:rsidRPr="008F5A8D">
              <w:t xml:space="preserve"> </w:t>
            </w:r>
            <w:r>
              <w:t>thrombocyta</w:t>
            </w:r>
            <w:r w:rsidRPr="008F5A8D">
              <w:t>károsodás</w:t>
            </w:r>
          </w:p>
          <w:p w14:paraId="7014EE46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Közelmúltban</w:t>
            </w:r>
            <w:r w:rsidRPr="008F5A8D">
              <w:t xml:space="preserve"> </w:t>
            </w:r>
            <w:r>
              <w:t>végzett</w:t>
            </w:r>
            <w:r w:rsidRPr="008F5A8D">
              <w:t xml:space="preserve"> </w:t>
            </w:r>
            <w:r>
              <w:t>biopszia</w:t>
            </w:r>
            <w:r w:rsidRPr="008F5A8D">
              <w:t xml:space="preserve"> </w:t>
            </w:r>
            <w:r>
              <w:t>vagy</w:t>
            </w:r>
            <w:r w:rsidRPr="008F5A8D">
              <w:t xml:space="preserve"> </w:t>
            </w:r>
            <w:r>
              <w:t>jelentős</w:t>
            </w:r>
            <w:r w:rsidRPr="008F5A8D">
              <w:t xml:space="preserve"> trauma</w:t>
            </w:r>
          </w:p>
          <w:p w14:paraId="6E05F86D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Bakteriális</w:t>
            </w:r>
            <w:r w:rsidRPr="008F5A8D">
              <w:t xml:space="preserve"> endocarditis</w:t>
            </w:r>
          </w:p>
          <w:p w14:paraId="76185752" w14:textId="77777777" w:rsidR="00945359" w:rsidRDefault="00220A43" w:rsidP="008F5A8D">
            <w:pPr>
              <w:pStyle w:val="TableParagraph"/>
              <w:numPr>
                <w:ilvl w:val="0"/>
                <w:numId w:val="46"/>
              </w:numPr>
              <w:tabs>
                <w:tab w:val="left" w:pos="567"/>
                <w:tab w:val="left" w:pos="674"/>
              </w:tabs>
              <w:spacing w:line="240" w:lineRule="auto"/>
              <w:ind w:left="567" w:hanging="567"/>
            </w:pPr>
            <w:r>
              <w:t>Oesophagitis,</w:t>
            </w:r>
            <w:r w:rsidRPr="008F5A8D">
              <w:t xml:space="preserve"> </w:t>
            </w:r>
            <w:r>
              <w:t>gastritis</w:t>
            </w:r>
            <w:r w:rsidRPr="008F5A8D">
              <w:t xml:space="preserve"> </w:t>
            </w:r>
            <w:r>
              <w:t>vagy</w:t>
            </w:r>
            <w:r w:rsidRPr="008F5A8D">
              <w:t xml:space="preserve"> </w:t>
            </w:r>
            <w:r>
              <w:t>gastrooesophagealis</w:t>
            </w:r>
            <w:r w:rsidRPr="008F5A8D">
              <w:t xml:space="preserve"> reflux</w:t>
            </w:r>
          </w:p>
        </w:tc>
      </w:tr>
    </w:tbl>
    <w:p w14:paraId="3814D411" w14:textId="77777777" w:rsidR="00E004BD" w:rsidRDefault="00E004BD" w:rsidP="008F5A8D">
      <w:pPr>
        <w:pStyle w:val="Szvegtrzs"/>
        <w:tabs>
          <w:tab w:val="left" w:pos="567"/>
        </w:tabs>
      </w:pPr>
    </w:p>
    <w:p w14:paraId="4A84E494" w14:textId="003813EB" w:rsidR="00945359" w:rsidRDefault="00220A43" w:rsidP="008F5A8D">
      <w:pPr>
        <w:pStyle w:val="Szvegtrzs"/>
        <w:tabs>
          <w:tab w:val="left" w:pos="567"/>
        </w:tabs>
      </w:pPr>
      <w:r>
        <w:t>50</w:t>
      </w:r>
      <w:r w:rsidR="00E004BD">
        <w:rPr>
          <w:spacing w:val="-2"/>
        </w:rPr>
        <w:t> </w:t>
      </w:r>
      <w:r>
        <w:t>kilogrammnál</w:t>
      </w:r>
      <w:r>
        <w:rPr>
          <w:spacing w:val="-3"/>
        </w:rPr>
        <w:t xml:space="preserve"> </w:t>
      </w:r>
      <w:r>
        <w:t>kisebb</w:t>
      </w:r>
      <w:r>
        <w:rPr>
          <w:spacing w:val="-3"/>
        </w:rPr>
        <w:t xml:space="preserve"> </w:t>
      </w:r>
      <w:r>
        <w:t>testtömegű</w:t>
      </w:r>
      <w:r>
        <w:rPr>
          <w:spacing w:val="-3"/>
        </w:rPr>
        <w:t xml:space="preserve"> </w:t>
      </w:r>
      <w:r>
        <w:t>felnőtt</w:t>
      </w:r>
      <w:r>
        <w:rPr>
          <w:spacing w:val="-3"/>
        </w:rPr>
        <w:t xml:space="preserve"> </w:t>
      </w:r>
      <w:r>
        <w:t>betegekre</w:t>
      </w:r>
      <w:r>
        <w:rPr>
          <w:spacing w:val="-3"/>
        </w:rPr>
        <w:t xml:space="preserve"> </w:t>
      </w:r>
      <w:r>
        <w:t>vonatkozóan</w:t>
      </w:r>
      <w:r>
        <w:rPr>
          <w:spacing w:val="-3"/>
        </w:rPr>
        <w:t xml:space="preserve"> </w:t>
      </w:r>
      <w:r>
        <w:t>kevés</w:t>
      </w:r>
      <w:r>
        <w:rPr>
          <w:spacing w:val="-3"/>
        </w:rPr>
        <w:t xml:space="preserve"> </w:t>
      </w:r>
      <w:r>
        <w:t>adat</w:t>
      </w:r>
      <w:r>
        <w:rPr>
          <w:spacing w:val="-3"/>
        </w:rPr>
        <w:t xml:space="preserve"> </w:t>
      </w:r>
      <w:r>
        <w:t>áll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(lásd 5.2</w:t>
      </w:r>
      <w:r w:rsidR="00294835">
        <w:t> pont</w:t>
      </w:r>
      <w:r>
        <w:t>).</w:t>
      </w:r>
    </w:p>
    <w:p w14:paraId="6741D589" w14:textId="5457266C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P‑gp</w:t>
      </w:r>
      <w:r w:rsidR="00E004BD">
        <w:rPr>
          <w:spacing w:val="-4"/>
        </w:rPr>
        <w:t>-</w:t>
      </w:r>
      <w:r>
        <w:t>inhibitorok</w:t>
      </w:r>
      <w:r>
        <w:rPr>
          <w:spacing w:val="-4"/>
        </w:rPr>
        <w:t xml:space="preserve"> </w:t>
      </w:r>
      <w:r>
        <w:t>együttes</w:t>
      </w:r>
      <w:r>
        <w:rPr>
          <w:spacing w:val="-4"/>
        </w:rPr>
        <w:t xml:space="preserve"> </w:t>
      </w:r>
      <w:r>
        <w:t>alkalmazását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vizsgálták</w:t>
      </w:r>
      <w:r>
        <w:rPr>
          <w:spacing w:val="-4"/>
        </w:rPr>
        <w:t xml:space="preserve"> </w:t>
      </w:r>
      <w:r>
        <w:t>gyermekeknél</w:t>
      </w:r>
      <w:r>
        <w:rPr>
          <w:spacing w:val="-4"/>
        </w:rPr>
        <w:t xml:space="preserve"> </w:t>
      </w:r>
      <w:r>
        <w:t>és serdülőknél, azonban fokozódhat a vérzés kockázata (lásd 4.5</w:t>
      </w:r>
      <w:r w:rsidR="00294835">
        <w:t> pont</w:t>
      </w:r>
      <w:r>
        <w:t>).</w:t>
      </w:r>
    </w:p>
    <w:p w14:paraId="63A9C574" w14:textId="77777777" w:rsidR="00945359" w:rsidRDefault="00945359" w:rsidP="008F5A8D">
      <w:pPr>
        <w:pStyle w:val="Szvegtrzs"/>
        <w:tabs>
          <w:tab w:val="left" w:pos="567"/>
        </w:tabs>
      </w:pPr>
    </w:p>
    <w:p w14:paraId="0308E76F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Óvintézkedések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vérzésveszély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kezelése</w:t>
      </w:r>
    </w:p>
    <w:p w14:paraId="1C6FD05B" w14:textId="2F88BA3F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8"/>
        </w:rPr>
        <w:t xml:space="preserve"> </w:t>
      </w:r>
      <w:r>
        <w:t>vérzéses</w:t>
      </w:r>
      <w:r>
        <w:rPr>
          <w:spacing w:val="-5"/>
        </w:rPr>
        <w:t xml:space="preserve"> </w:t>
      </w:r>
      <w:r>
        <w:t>szövődmények</w:t>
      </w:r>
      <w:r>
        <w:rPr>
          <w:spacing w:val="-5"/>
        </w:rPr>
        <w:t xml:space="preserve"> </w:t>
      </w:r>
      <w:r>
        <w:t>kezelését</w:t>
      </w:r>
      <w:r>
        <w:rPr>
          <w:spacing w:val="-5"/>
        </w:rPr>
        <w:t xml:space="preserve"> </w:t>
      </w:r>
      <w:r>
        <w:t>lásd</w:t>
      </w:r>
      <w:r>
        <w:rPr>
          <w:spacing w:val="-5"/>
        </w:rPr>
        <w:t xml:space="preserve"> </w:t>
      </w:r>
      <w:r>
        <w:t>még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4.9</w:t>
      </w:r>
      <w:r w:rsidR="00294835">
        <w:rPr>
          <w:spacing w:val="-4"/>
        </w:rPr>
        <w:t> pont</w:t>
      </w:r>
      <w:r>
        <w:rPr>
          <w:spacing w:val="-2"/>
        </w:rPr>
        <w:t>ban.</w:t>
      </w:r>
    </w:p>
    <w:p w14:paraId="08990314" w14:textId="77777777" w:rsidR="00945359" w:rsidRDefault="00945359" w:rsidP="008F5A8D">
      <w:pPr>
        <w:pStyle w:val="Szvegtrzs"/>
        <w:tabs>
          <w:tab w:val="left" w:pos="567"/>
        </w:tabs>
      </w:pPr>
    </w:p>
    <w:p w14:paraId="7117BA31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Előny/kockázat</w:t>
      </w:r>
      <w:r>
        <w:rPr>
          <w:i/>
          <w:spacing w:val="-10"/>
        </w:rPr>
        <w:t xml:space="preserve"> </w:t>
      </w:r>
      <w:r>
        <w:rPr>
          <w:i/>
        </w:rPr>
        <w:t>arány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mérlegelése</w:t>
      </w:r>
    </w:p>
    <w:p w14:paraId="0A2264DB" w14:textId="72DA7A6F" w:rsidR="00945359" w:rsidRDefault="00220A43" w:rsidP="008F5A8D">
      <w:pPr>
        <w:pStyle w:val="Szvegtrzs"/>
        <w:tabs>
          <w:tab w:val="left" w:pos="567"/>
        </w:tabs>
      </w:pPr>
      <w:r>
        <w:t>Olyan károsodás, állapot, eljárás és/vagy gyógyszeres kezelés (pl. NSAID-ok, thrombocytaaggregáció-gátlók,</w:t>
      </w:r>
      <w:r>
        <w:rPr>
          <w:spacing w:val="-4"/>
        </w:rPr>
        <w:t xml:space="preserve"> </w:t>
      </w:r>
      <w:r>
        <w:t>SSRI-k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SNRI-k,</w:t>
      </w:r>
      <w:r>
        <w:rPr>
          <w:spacing w:val="-3"/>
        </w:rPr>
        <w:t xml:space="preserve"> </w:t>
      </w:r>
      <w:r>
        <w:t>lásd</w:t>
      </w:r>
      <w:r>
        <w:rPr>
          <w:spacing w:val="-3"/>
        </w:rPr>
        <w:t xml:space="preserve"> </w:t>
      </w:r>
      <w:r>
        <w:t>4.5</w:t>
      </w:r>
      <w:r w:rsidR="00294835">
        <w:rPr>
          <w:spacing w:val="-3"/>
        </w:rPr>
        <w:t> pont</w:t>
      </w:r>
      <w:r>
        <w:t>)</w:t>
      </w:r>
      <w:r>
        <w:rPr>
          <w:spacing w:val="-4"/>
        </w:rPr>
        <w:t xml:space="preserve"> </w:t>
      </w:r>
      <w:r>
        <w:t>esetén,</w:t>
      </w:r>
      <w:r>
        <w:rPr>
          <w:spacing w:val="-4"/>
        </w:rPr>
        <w:t xml:space="preserve"> </w:t>
      </w:r>
      <w:r>
        <w:t>amely</w:t>
      </w:r>
      <w:r>
        <w:rPr>
          <w:spacing w:val="-4"/>
        </w:rPr>
        <w:t xml:space="preserve"> </w:t>
      </w:r>
      <w:r>
        <w:t>jelentős</w:t>
      </w:r>
      <w:r>
        <w:rPr>
          <w:spacing w:val="-4"/>
        </w:rPr>
        <w:t xml:space="preserve"> </w:t>
      </w:r>
      <w:r>
        <w:t>mértékben fokozz</w:t>
      </w:r>
      <w:r w:rsidR="00072EAE">
        <w:t>a</w:t>
      </w:r>
      <w:r>
        <w:t xml:space="preserve"> a major vérzés veszélyét, az előny</w:t>
      </w:r>
      <w:r w:rsidR="00072EAE">
        <w:t>/</w:t>
      </w:r>
      <w:r>
        <w:t>kockázat arány gondos elemzésére van szükség. A dabigatrán-etexilát csak akkor adható, ha az előny felülmúlja a vérzési kockázatot.</w:t>
      </w:r>
    </w:p>
    <w:p w14:paraId="6483EA0B" w14:textId="77777777" w:rsidR="00945359" w:rsidRDefault="00945359" w:rsidP="008F5A8D">
      <w:pPr>
        <w:pStyle w:val="Szvegtrzs"/>
        <w:tabs>
          <w:tab w:val="left" w:pos="567"/>
        </w:tabs>
      </w:pPr>
    </w:p>
    <w:p w14:paraId="33B68296" w14:textId="5713A1A4" w:rsidR="00945359" w:rsidRDefault="00220A43" w:rsidP="008F5A8D">
      <w:pPr>
        <w:pStyle w:val="Szvegtrzs"/>
        <w:tabs>
          <w:tab w:val="left" w:pos="567"/>
        </w:tabs>
      </w:pPr>
      <w:r>
        <w:t>A kockázati tényezőkkel rendelkező gyermekek</w:t>
      </w:r>
      <w:r w:rsidR="004D28B9">
        <w:t>ről</w:t>
      </w:r>
      <w:r>
        <w:t xml:space="preserve"> és serdülők</w:t>
      </w:r>
      <w:r w:rsidR="004D28B9">
        <w:t>ről</w:t>
      </w:r>
      <w:r w:rsidR="00072EAE">
        <w:t xml:space="preserve"> </w:t>
      </w:r>
      <w:r>
        <w:t>– beleértve az aktív meningitisben, encephalitisben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intracranialis</w:t>
      </w:r>
      <w:r>
        <w:rPr>
          <w:spacing w:val="-3"/>
        </w:rPr>
        <w:t xml:space="preserve"> </w:t>
      </w:r>
      <w:r>
        <w:t>abscessusban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betegeket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5.1</w:t>
      </w:r>
      <w:r w:rsidR="00294835">
        <w:rPr>
          <w:spacing w:val="-5"/>
        </w:rPr>
        <w:t> pont</w:t>
      </w:r>
      <w:r>
        <w:t>)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korlátozott</w:t>
      </w:r>
      <w:r>
        <w:rPr>
          <w:spacing w:val="-3"/>
        </w:rPr>
        <w:t xml:space="preserve"> </w:t>
      </w:r>
      <w:r w:rsidR="00072EAE">
        <w:rPr>
          <w:spacing w:val="-3"/>
        </w:rPr>
        <w:t xml:space="preserve">számú </w:t>
      </w:r>
      <w:r>
        <w:t>klinikai adat érhető el. Ezeknek a betegeknek a dabigatrán-etexilát csak akkor adható, ha a várt előny felülmúlja a vérzési kockázatot.</w:t>
      </w:r>
    </w:p>
    <w:p w14:paraId="7BBC7F1E" w14:textId="77777777" w:rsidR="00945359" w:rsidRDefault="00945359" w:rsidP="008F5A8D">
      <w:pPr>
        <w:pStyle w:val="Szvegtrzs"/>
        <w:tabs>
          <w:tab w:val="left" w:pos="567"/>
        </w:tabs>
      </w:pPr>
    </w:p>
    <w:p w14:paraId="09659ECF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Szoros</w:t>
      </w:r>
      <w:r>
        <w:rPr>
          <w:i/>
          <w:spacing w:val="-9"/>
        </w:rPr>
        <w:t xml:space="preserve"> </w:t>
      </w:r>
      <w:r>
        <w:rPr>
          <w:i/>
        </w:rPr>
        <w:t>klinikai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megfigyelés</w:t>
      </w:r>
    </w:p>
    <w:p w14:paraId="3E9CB1F8" w14:textId="139368D5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anaemia</w:t>
      </w:r>
      <w:r>
        <w:rPr>
          <w:spacing w:val="-3"/>
        </w:rPr>
        <w:t xml:space="preserve"> </w:t>
      </w:r>
      <w:r>
        <w:t>jeleinek</w:t>
      </w:r>
      <w:r>
        <w:rPr>
          <w:spacing w:val="-3"/>
        </w:rPr>
        <w:t xml:space="preserve"> </w:t>
      </w:r>
      <w:r>
        <w:t>szoros</w:t>
      </w:r>
      <w:r>
        <w:rPr>
          <w:spacing w:val="-3"/>
        </w:rPr>
        <w:t xml:space="preserve"> </w:t>
      </w:r>
      <w:r>
        <w:t>megfigyelése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teljes</w:t>
      </w:r>
      <w:r>
        <w:rPr>
          <w:spacing w:val="-3"/>
        </w:rPr>
        <w:t xml:space="preserve"> </w:t>
      </w:r>
      <w:r>
        <w:t>kezelési</w:t>
      </w:r>
      <w:r>
        <w:rPr>
          <w:spacing w:val="-3"/>
        </w:rPr>
        <w:t xml:space="preserve"> </w:t>
      </w:r>
      <w:r>
        <w:t>időszakban,</w:t>
      </w:r>
      <w:r>
        <w:rPr>
          <w:spacing w:val="-3"/>
        </w:rPr>
        <w:t xml:space="preserve"> </w:t>
      </w:r>
      <w:r>
        <w:t>különösen</w:t>
      </w:r>
      <w:r>
        <w:rPr>
          <w:spacing w:val="-3"/>
        </w:rPr>
        <w:t xml:space="preserve"> </w:t>
      </w:r>
      <w:r>
        <w:t>a kockázati tényezők együttes fennállása esetén (lásd a fenti 5.</w:t>
      </w:r>
      <w:r w:rsidR="00B95CAF">
        <w:t> táblázat</w:t>
      </w:r>
      <w:r>
        <w:t>). Fokozott figyelem szükséges a dabigatrán-etexilát, illetve a verapamil, az amiodaron, a kinidin vagy a klaritromicin (P</w:t>
      </w:r>
      <w:r w:rsidR="00B95CAF">
        <w:t>-gp-in</w:t>
      </w:r>
      <w:r>
        <w:t>hibitorok) egyidejű alkalmazásakor, különösen vérzés esetén, elsősorban vesekárosodásban szenvedő betegek</w:t>
      </w:r>
      <w:r w:rsidR="00072EAE">
        <w:t>nél</w:t>
      </w:r>
      <w:r>
        <w:t xml:space="preserve"> (lásd 4.5</w:t>
      </w:r>
      <w:r w:rsidR="00294835">
        <w:t> pont</w:t>
      </w:r>
      <w:r>
        <w:t>).</w:t>
      </w:r>
    </w:p>
    <w:p w14:paraId="506D67E4" w14:textId="192972C5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jeleinek</w:t>
      </w:r>
      <w:r>
        <w:rPr>
          <w:spacing w:val="-3"/>
        </w:rPr>
        <w:t xml:space="preserve"> </w:t>
      </w:r>
      <w:r>
        <w:t>szoros</w:t>
      </w:r>
      <w:r>
        <w:rPr>
          <w:spacing w:val="-3"/>
        </w:rPr>
        <w:t xml:space="preserve"> </w:t>
      </w:r>
      <w:r>
        <w:t>megfigyelése</w:t>
      </w:r>
      <w:r>
        <w:rPr>
          <w:spacing w:val="-3"/>
        </w:rPr>
        <w:t xml:space="preserve"> </w:t>
      </w:r>
      <w:r>
        <w:t>javasolt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NSAID-okkal</w:t>
      </w:r>
      <w:r>
        <w:rPr>
          <w:spacing w:val="-3"/>
        </w:rPr>
        <w:t xml:space="preserve"> </w:t>
      </w:r>
      <w:r>
        <w:t>egyidejűleg</w:t>
      </w:r>
      <w:r>
        <w:rPr>
          <w:spacing w:val="-3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esetében (lásd 4.5</w:t>
      </w:r>
      <w:r w:rsidR="00294835">
        <w:t> pont</w:t>
      </w:r>
      <w:r>
        <w:t>).</w:t>
      </w:r>
    </w:p>
    <w:p w14:paraId="10377690" w14:textId="77777777" w:rsidR="00945359" w:rsidRDefault="00945359" w:rsidP="008F5A8D">
      <w:pPr>
        <w:pStyle w:val="Szvegtrzs"/>
        <w:tabs>
          <w:tab w:val="left" w:pos="567"/>
        </w:tabs>
      </w:pPr>
    </w:p>
    <w:p w14:paraId="3ACC38E5" w14:textId="433E261E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A</w:t>
      </w:r>
      <w:r>
        <w:rPr>
          <w:i/>
          <w:spacing w:val="-9"/>
        </w:rPr>
        <w:t xml:space="preserve"> </w:t>
      </w:r>
      <w:r w:rsidR="00067923">
        <w:rPr>
          <w:i/>
        </w:rPr>
        <w:t>dabigatrán-etexilát-kezelés</w:t>
      </w:r>
      <w:r>
        <w:rPr>
          <w:i/>
          <w:spacing w:val="-8"/>
        </w:rPr>
        <w:t xml:space="preserve"> </w:t>
      </w:r>
      <w:r>
        <w:rPr>
          <w:i/>
          <w:spacing w:val="-2"/>
        </w:rPr>
        <w:t>leállítása</w:t>
      </w:r>
    </w:p>
    <w:p w14:paraId="33DDD498" w14:textId="18B2F603" w:rsidR="00945359" w:rsidRDefault="00220A43" w:rsidP="008F5A8D">
      <w:pPr>
        <w:pStyle w:val="Szvegtrzs"/>
        <w:tabs>
          <w:tab w:val="left" w:pos="567"/>
        </w:tabs>
      </w:pPr>
      <w:r>
        <w:t>Akut</w:t>
      </w:r>
      <w:r>
        <w:rPr>
          <w:spacing w:val="-7"/>
        </w:rPr>
        <w:t xml:space="preserve"> </w:t>
      </w:r>
      <w:r>
        <w:t>veseelégtelenség</w:t>
      </w:r>
      <w:r>
        <w:rPr>
          <w:spacing w:val="-7"/>
        </w:rPr>
        <w:t xml:space="preserve"> </w:t>
      </w:r>
      <w:r>
        <w:t>fellépése</w:t>
      </w:r>
      <w:r>
        <w:rPr>
          <w:spacing w:val="-7"/>
        </w:rPr>
        <w:t xml:space="preserve"> </w:t>
      </w:r>
      <w:r>
        <w:t>esetén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 w:rsidR="00067923">
        <w:t>dabigatrán-etexilát-kezelés</w:t>
      </w:r>
      <w:r>
        <w:t>t</w:t>
      </w:r>
      <w:r>
        <w:rPr>
          <w:spacing w:val="-7"/>
        </w:rPr>
        <w:t xml:space="preserve"> </w:t>
      </w:r>
      <w:r>
        <w:t>le</w:t>
      </w:r>
      <w:r>
        <w:rPr>
          <w:spacing w:val="-7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állítani</w:t>
      </w:r>
      <w:r>
        <w:rPr>
          <w:spacing w:val="-7"/>
        </w:rPr>
        <w:t xml:space="preserve"> </w:t>
      </w:r>
      <w:r>
        <w:t>(lásd</w:t>
      </w:r>
      <w:r>
        <w:rPr>
          <w:spacing w:val="-7"/>
        </w:rPr>
        <w:t xml:space="preserve"> </w:t>
      </w:r>
      <w:r>
        <w:t>4.3</w:t>
      </w:r>
      <w:r w:rsidR="00294835">
        <w:rPr>
          <w:spacing w:val="-6"/>
        </w:rPr>
        <w:t> pont</w:t>
      </w:r>
      <w:r>
        <w:rPr>
          <w:spacing w:val="-2"/>
        </w:rPr>
        <w:t>).</w:t>
      </w:r>
    </w:p>
    <w:p w14:paraId="6031AC40" w14:textId="710883DD" w:rsidR="00945359" w:rsidRDefault="00220A43">
      <w:pPr>
        <w:pStyle w:val="Szvegtrzs"/>
        <w:tabs>
          <w:tab w:val="left" w:pos="567"/>
        </w:tabs>
      </w:pPr>
      <w:r>
        <w:t xml:space="preserve">Súlyos vérzés jelentkezése esetén a kezelést le kell állítani, meg kell keresni a vérzés forrását, és megfontolandó egy specifikus </w:t>
      </w:r>
      <w:r w:rsidR="00072EAE">
        <w:t>antidotum</w:t>
      </w:r>
      <w:r>
        <w:t xml:space="preserve"> (idarucizumab) </w:t>
      </w:r>
      <w:r w:rsidR="002E2A7B">
        <w:t>alkalmazás</w:t>
      </w:r>
      <w:r>
        <w:t>a felnőtt betegeknél. Az idarucizumab</w:t>
      </w:r>
      <w:r>
        <w:rPr>
          <w:spacing w:val="-3"/>
        </w:rPr>
        <w:t xml:space="preserve"> </w:t>
      </w:r>
      <w:r>
        <w:t>hatásosságát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biztonságosságát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határozták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gyermekeknél</w:t>
      </w:r>
      <w:r>
        <w:rPr>
          <w:spacing w:val="-8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serdülőknél.</w:t>
      </w:r>
      <w:r>
        <w:rPr>
          <w:spacing w:val="-3"/>
        </w:rPr>
        <w:t xml:space="preserve"> </w:t>
      </w:r>
      <w:r>
        <w:t xml:space="preserve">A </w:t>
      </w:r>
      <w:r w:rsidR="00E004BD">
        <w:t>hemodialízis</w:t>
      </w:r>
      <w:r>
        <w:t xml:space="preserve"> képes a dabigatrán eltávolítására.</w:t>
      </w:r>
    </w:p>
    <w:p w14:paraId="6F8493B8" w14:textId="77777777" w:rsidR="00B900F2" w:rsidRDefault="00B900F2" w:rsidP="008F5A8D">
      <w:pPr>
        <w:pStyle w:val="Szvegtrzs"/>
        <w:tabs>
          <w:tab w:val="left" w:pos="567"/>
        </w:tabs>
      </w:pPr>
    </w:p>
    <w:p w14:paraId="6CA9F5B4" w14:textId="6EB79A5D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</w:rPr>
        <w:t>Protonpumpa-inhibitorok</w:t>
      </w:r>
      <w:r>
        <w:rPr>
          <w:i/>
          <w:spacing w:val="23"/>
        </w:rPr>
        <w:t xml:space="preserve"> </w:t>
      </w:r>
      <w:r w:rsidR="002E2A7B">
        <w:rPr>
          <w:i/>
          <w:spacing w:val="-2"/>
        </w:rPr>
        <w:t>alkalmazás</w:t>
      </w:r>
      <w:r>
        <w:rPr>
          <w:i/>
          <w:spacing w:val="-2"/>
        </w:rPr>
        <w:t>a</w:t>
      </w:r>
    </w:p>
    <w:p w14:paraId="7C14406E" w14:textId="14A9CB5D" w:rsidR="00945359" w:rsidRDefault="00220A43">
      <w:pPr>
        <w:pStyle w:val="Szvegtrzs"/>
        <w:tabs>
          <w:tab w:val="left" w:pos="567"/>
        </w:tabs>
      </w:pPr>
      <w:r>
        <w:t>A gastrointestinalis vérzés megelőzésére mérlegelhető egy protonpumpa-inhibitor (PPI) adása. Gyermekeknél</w:t>
      </w:r>
      <w:r>
        <w:rPr>
          <w:spacing w:val="-8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serdülőknél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protonpumpa-inhibitorokra</w:t>
      </w:r>
      <w:r>
        <w:rPr>
          <w:spacing w:val="-4"/>
        </w:rPr>
        <w:t xml:space="preserve"> </w:t>
      </w:r>
      <w:r>
        <w:t>vonatkozó</w:t>
      </w:r>
      <w:r>
        <w:rPr>
          <w:spacing w:val="-4"/>
        </w:rPr>
        <w:t xml:space="preserve"> </w:t>
      </w:r>
      <w:r>
        <w:t>helyi</w:t>
      </w:r>
      <w:r>
        <w:rPr>
          <w:spacing w:val="-4"/>
        </w:rPr>
        <w:t xml:space="preserve"> </w:t>
      </w:r>
      <w:r w:rsidR="00072EAE">
        <w:t>ajánláso</w:t>
      </w:r>
      <w:r>
        <w:t>kat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követni.</w:t>
      </w:r>
    </w:p>
    <w:p w14:paraId="7A4F153B" w14:textId="77777777" w:rsidR="00B900F2" w:rsidRDefault="00B900F2" w:rsidP="008F5A8D">
      <w:pPr>
        <w:pStyle w:val="Szvegtrzs"/>
        <w:tabs>
          <w:tab w:val="left" w:pos="567"/>
        </w:tabs>
      </w:pPr>
    </w:p>
    <w:p w14:paraId="2FF8BC3D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Laboratóriumi</w:t>
      </w:r>
      <w:r>
        <w:rPr>
          <w:i/>
          <w:spacing w:val="-12"/>
        </w:rPr>
        <w:t xml:space="preserve"> </w:t>
      </w:r>
      <w:r>
        <w:rPr>
          <w:i/>
        </w:rPr>
        <w:t>koagulációs</w:t>
      </w:r>
      <w:r>
        <w:rPr>
          <w:i/>
          <w:spacing w:val="-12"/>
        </w:rPr>
        <w:t xml:space="preserve"> </w:t>
      </w:r>
      <w:r>
        <w:rPr>
          <w:i/>
          <w:spacing w:val="-2"/>
        </w:rPr>
        <w:t>paraméterek</w:t>
      </w:r>
    </w:p>
    <w:p w14:paraId="46A7B5BE" w14:textId="50EB5FB6" w:rsidR="00945359" w:rsidRDefault="00220A43" w:rsidP="008F5A8D">
      <w:pPr>
        <w:pStyle w:val="Szvegtrzs"/>
        <w:tabs>
          <w:tab w:val="left" w:pos="567"/>
        </w:tabs>
      </w:pPr>
      <w:r>
        <w:t>Noha a gyógyszer általánosságban nem teszi szükségessé a rutinszerű antikoaguláns monitorozást, további</w:t>
      </w:r>
      <w:r>
        <w:rPr>
          <w:spacing w:val="-3"/>
        </w:rPr>
        <w:t xml:space="preserve"> </w:t>
      </w:r>
      <w:r>
        <w:t>kockázati</w:t>
      </w:r>
      <w:r>
        <w:rPr>
          <w:spacing w:val="-3"/>
        </w:rPr>
        <w:t xml:space="preserve"> </w:t>
      </w:r>
      <w:r>
        <w:t>tényezők</w:t>
      </w:r>
      <w:r>
        <w:rPr>
          <w:spacing w:val="-3"/>
        </w:rPr>
        <w:t xml:space="preserve"> </w:t>
      </w:r>
      <w:r>
        <w:t>jelenléte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dabigatránnal</w:t>
      </w:r>
      <w:r>
        <w:rPr>
          <w:spacing w:val="-3"/>
        </w:rPr>
        <w:t xml:space="preserve"> </w:t>
      </w:r>
      <w:r>
        <w:t>összefüggő</w:t>
      </w:r>
      <w:r>
        <w:rPr>
          <w:spacing w:val="-3"/>
        </w:rPr>
        <w:t xml:space="preserve"> </w:t>
      </w:r>
      <w:r>
        <w:t>alvadásgátlás</w:t>
      </w:r>
      <w:r>
        <w:rPr>
          <w:spacing w:val="-3"/>
        </w:rPr>
        <w:t xml:space="preserve"> </w:t>
      </w:r>
      <w:r>
        <w:t>mérése</w:t>
      </w:r>
      <w:r>
        <w:rPr>
          <w:spacing w:val="-3"/>
        </w:rPr>
        <w:t xml:space="preserve"> </w:t>
      </w:r>
      <w:r>
        <w:t>segíthet meghatározni a túlzott dabigatrán-expozíciót.</w:t>
      </w:r>
    </w:p>
    <w:p w14:paraId="2AF408C6" w14:textId="004A65CF" w:rsidR="00945359" w:rsidRDefault="00220A43" w:rsidP="008F5A8D">
      <w:pPr>
        <w:pStyle w:val="Szvegtrzs"/>
        <w:tabs>
          <w:tab w:val="left" w:pos="567"/>
        </w:tabs>
      </w:pPr>
      <w:r>
        <w:t>Hasznos</w:t>
      </w:r>
      <w:r>
        <w:rPr>
          <w:spacing w:val="-2"/>
        </w:rPr>
        <w:t xml:space="preserve"> </w:t>
      </w:r>
      <w:r>
        <w:t>információval</w:t>
      </w:r>
      <w:r>
        <w:rPr>
          <w:spacing w:val="-2"/>
        </w:rPr>
        <w:t xml:space="preserve"> </w:t>
      </w:r>
      <w:r>
        <w:t>szolgálhat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hígított</w:t>
      </w:r>
      <w:r w:rsidR="005568D3">
        <w:rPr>
          <w:spacing w:val="-2"/>
        </w:rPr>
        <w:t>-</w:t>
      </w:r>
      <w:r w:rsidR="00F532DD">
        <w:t>trombin</w:t>
      </w:r>
      <w:r w:rsidR="005568D3">
        <w:t>-</w:t>
      </w:r>
      <w:r w:rsidR="00F532DD">
        <w:t xml:space="preserve">idő </w:t>
      </w:r>
      <w:r w:rsidR="00072EAE">
        <w:rPr>
          <w:spacing w:val="-2"/>
        </w:rPr>
        <w:t>(</w:t>
      </w:r>
      <w:r w:rsidR="002E2A7B">
        <w:t>DTT</w:t>
      </w:r>
      <w:r w:rsidR="00072EAE">
        <w:t>)</w:t>
      </w:r>
      <w:r>
        <w:t>,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ekarin</w:t>
      </w:r>
      <w:r>
        <w:rPr>
          <w:spacing w:val="-2"/>
        </w:rPr>
        <w:t xml:space="preserve"> </w:t>
      </w:r>
      <w:r>
        <w:t>alvadási</w:t>
      </w:r>
      <w:r>
        <w:rPr>
          <w:spacing w:val="-2"/>
        </w:rPr>
        <w:t xml:space="preserve"> </w:t>
      </w:r>
      <w:r>
        <w:t>idő</w:t>
      </w:r>
      <w:r>
        <w:rPr>
          <w:spacing w:val="-2"/>
        </w:rPr>
        <w:t xml:space="preserve"> </w:t>
      </w:r>
      <w:r>
        <w:t>(ECT)</w:t>
      </w:r>
      <w:r>
        <w:rPr>
          <w:spacing w:val="-2"/>
        </w:rPr>
        <w:t xml:space="preserve"> </w:t>
      </w:r>
      <w:r>
        <w:t xml:space="preserve">és az aktivált parciális </w:t>
      </w:r>
      <w:r w:rsidR="00072EAE">
        <w:t>tromboplasztinidő</w:t>
      </w:r>
      <w:r>
        <w:t xml:space="preserve"> (</w:t>
      </w:r>
      <w:r w:rsidR="002E2A7B">
        <w:t>aPTI</w:t>
      </w:r>
      <w:r>
        <w:t>), de az eredményeket körültekintéssel kell értékelni a vizsgálatok közötti variabilitás miatt (lásd 5.1</w:t>
      </w:r>
      <w:r w:rsidR="00294835">
        <w:t> pont</w:t>
      </w:r>
      <w:r>
        <w:t>).</w:t>
      </w:r>
    </w:p>
    <w:p w14:paraId="6F016A18" w14:textId="7A473886" w:rsidR="00945359" w:rsidRDefault="00220A43" w:rsidP="008F5A8D">
      <w:pPr>
        <w:pStyle w:val="Szvegtrzs"/>
        <w:tabs>
          <w:tab w:val="left" w:pos="567"/>
        </w:tabs>
      </w:pPr>
      <w:r>
        <w:t>A nemzetközi normalizált arány (INR) mérése a dabigatrán-etexilátot kapó betegeknél nem megbízható,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fals</w:t>
      </w:r>
      <w:r>
        <w:rPr>
          <w:spacing w:val="-3"/>
        </w:rPr>
        <w:t xml:space="preserve"> </w:t>
      </w:r>
      <w:r>
        <w:t>pozitív</w:t>
      </w:r>
      <w:r>
        <w:rPr>
          <w:spacing w:val="-3"/>
        </w:rPr>
        <w:t xml:space="preserve"> </w:t>
      </w:r>
      <w:r>
        <w:t>INR</w:t>
      </w:r>
      <w:r w:rsidR="00072EAE">
        <w:rPr>
          <w:spacing w:val="-3"/>
        </w:rPr>
        <w:t>-</w:t>
      </w:r>
      <w:r>
        <w:t>emelkedésről</w:t>
      </w:r>
      <w:r>
        <w:rPr>
          <w:spacing w:val="-3"/>
        </w:rPr>
        <w:t xml:space="preserve"> </w:t>
      </w:r>
      <w:r>
        <w:t>számoltak</w:t>
      </w:r>
      <w:r>
        <w:rPr>
          <w:spacing w:val="-3"/>
        </w:rPr>
        <w:t xml:space="preserve"> </w:t>
      </w:r>
      <w:r>
        <w:t>be.</w:t>
      </w:r>
      <w:r>
        <w:rPr>
          <w:spacing w:val="-3"/>
        </w:rPr>
        <w:t xml:space="preserve"> </w:t>
      </w:r>
      <w:r>
        <w:t>Ezért</w:t>
      </w:r>
      <w:r>
        <w:rPr>
          <w:spacing w:val="-3"/>
        </w:rPr>
        <w:t xml:space="preserve"> </w:t>
      </w:r>
      <w:r>
        <w:t>INR</w:t>
      </w:r>
      <w:r w:rsidR="00072EAE">
        <w:rPr>
          <w:spacing w:val="-3"/>
        </w:rPr>
        <w:t>-</w:t>
      </w:r>
      <w:r>
        <w:t>vizsgálatot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 xml:space="preserve">szabad </w:t>
      </w:r>
      <w:r>
        <w:rPr>
          <w:spacing w:val="-2"/>
        </w:rPr>
        <w:t>végezni.</w:t>
      </w:r>
    </w:p>
    <w:p w14:paraId="24501694" w14:textId="753062B4" w:rsidR="00945359" w:rsidRDefault="00220A43" w:rsidP="008F5A8D">
      <w:pPr>
        <w:pStyle w:val="Szvegtrzs"/>
        <w:tabs>
          <w:tab w:val="left" w:pos="567"/>
        </w:tabs>
      </w:pPr>
      <w:r>
        <w:t>A 6.</w:t>
      </w:r>
      <w:r w:rsidR="00B95CAF">
        <w:t> táblázat</w:t>
      </w:r>
      <w:r>
        <w:t xml:space="preserve"> a véralvadási vizsgálatoknak azt a mélyponti küszöbérték</w:t>
      </w:r>
      <w:r w:rsidR="00E32C4C">
        <w:t>é</w:t>
      </w:r>
      <w:r>
        <w:t>t mutatja felnőtt betegeknél,</w:t>
      </w:r>
      <w:r>
        <w:rPr>
          <w:spacing w:val="-4"/>
        </w:rPr>
        <w:t xml:space="preserve"> </w:t>
      </w:r>
      <w:r>
        <w:t>amely</w:t>
      </w:r>
      <w:r>
        <w:rPr>
          <w:spacing w:val="-4"/>
        </w:rPr>
        <w:t xml:space="preserve"> </w:t>
      </w:r>
      <w:r>
        <w:t>fokozott</w:t>
      </w:r>
      <w:r>
        <w:rPr>
          <w:spacing w:val="-4"/>
        </w:rPr>
        <w:t xml:space="preserve"> </w:t>
      </w:r>
      <w:r>
        <w:t>vérzésveszélyt</w:t>
      </w:r>
      <w:r>
        <w:rPr>
          <w:spacing w:val="-4"/>
        </w:rPr>
        <w:t xml:space="preserve"> </w:t>
      </w:r>
      <w:r>
        <w:t>jelenthet.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gyermekekre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serdülőkre</w:t>
      </w:r>
      <w:r>
        <w:rPr>
          <w:spacing w:val="-4"/>
        </w:rPr>
        <w:t xml:space="preserve"> </w:t>
      </w:r>
      <w:r>
        <w:t>vonatkozó küszöbértékek nem ismertek (lásd 5.1</w:t>
      </w:r>
      <w:r w:rsidR="00294835">
        <w:t> pont</w:t>
      </w:r>
      <w:r>
        <w:t>).</w:t>
      </w:r>
    </w:p>
    <w:p w14:paraId="2F7EE8FC" w14:textId="77777777" w:rsidR="00945359" w:rsidRDefault="00945359" w:rsidP="008F5A8D">
      <w:pPr>
        <w:pStyle w:val="Szvegtrzs"/>
        <w:tabs>
          <w:tab w:val="left" w:pos="567"/>
        </w:tabs>
      </w:pPr>
    </w:p>
    <w:p w14:paraId="32BCCE62" w14:textId="5E01D195" w:rsidR="00945359" w:rsidRPr="00511F35" w:rsidRDefault="006C2A98" w:rsidP="008F5A8D">
      <w:r w:rsidRPr="00511F35">
        <w:rPr>
          <w:b/>
          <w:spacing w:val="-2"/>
        </w:rPr>
        <w:t>6</w:t>
      </w:r>
      <w:r w:rsidR="00BC10BA" w:rsidRPr="00511F35">
        <w:rPr>
          <w:b/>
          <w:spacing w:val="-2"/>
        </w:rPr>
        <w:t>. táblázat</w:t>
      </w:r>
      <w:r w:rsidRPr="00511F35">
        <w:rPr>
          <w:b/>
        </w:rPr>
        <w:t xml:space="preserve">: </w:t>
      </w:r>
      <w:r w:rsidR="00220A43" w:rsidRPr="00511F35">
        <w:rPr>
          <w:b/>
        </w:rPr>
        <w:t>A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véralvadási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vizsgálatok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mélyponti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küszöbértéke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felnőtt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betegeknél,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amely fokozott vérzésveszélyt jelenthet</w:t>
      </w:r>
    </w:p>
    <w:p w14:paraId="10466058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385"/>
        <w:gridCol w:w="2407"/>
        <w:gridCol w:w="2268"/>
      </w:tblGrid>
      <w:tr w:rsidR="00945359" w14:paraId="3FD42351" w14:textId="77777777" w:rsidTr="008F5A8D">
        <w:trPr>
          <w:trHeight w:val="253"/>
        </w:trPr>
        <w:tc>
          <w:tcPr>
            <w:tcW w:w="4385" w:type="dxa"/>
          </w:tcPr>
          <w:p w14:paraId="76EAC22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Vizsgálat</w:t>
            </w:r>
            <w:r>
              <w:rPr>
                <w:spacing w:val="-10"/>
              </w:rPr>
              <w:t xml:space="preserve"> </w:t>
            </w:r>
            <w:r>
              <w:t>(mélyponti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érték)</w:t>
            </w:r>
          </w:p>
        </w:tc>
        <w:tc>
          <w:tcPr>
            <w:tcW w:w="4675" w:type="dxa"/>
            <w:gridSpan w:val="2"/>
          </w:tcPr>
          <w:p w14:paraId="2727E04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Indikáció</w:t>
            </w:r>
          </w:p>
        </w:tc>
      </w:tr>
      <w:tr w:rsidR="00945359" w14:paraId="54E3EAB6" w14:textId="77777777" w:rsidTr="008F5A8D">
        <w:trPr>
          <w:trHeight w:val="506"/>
        </w:trPr>
        <w:tc>
          <w:tcPr>
            <w:tcW w:w="4385" w:type="dxa"/>
          </w:tcPr>
          <w:p w14:paraId="485BA940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407" w:type="dxa"/>
          </w:tcPr>
          <w:p w14:paraId="7F78D96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VTE</w:t>
            </w:r>
            <w:r>
              <w:rPr>
                <w:spacing w:val="-5"/>
              </w:rPr>
              <w:t xml:space="preserve"> </w:t>
            </w:r>
            <w:r>
              <w:t>primer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prevenciója</w:t>
            </w:r>
          </w:p>
          <w:p w14:paraId="5A387C5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ortopédiai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műtéteknél</w:t>
            </w:r>
          </w:p>
        </w:tc>
        <w:tc>
          <w:tcPr>
            <w:tcW w:w="2268" w:type="dxa"/>
          </w:tcPr>
          <w:p w14:paraId="4406D34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SPAF</w:t>
            </w:r>
            <w:r>
              <w:rPr>
                <w:spacing w:val="-3"/>
              </w:rPr>
              <w:t xml:space="preserve"> </w:t>
            </w:r>
            <w:r>
              <w:t>és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MVT/PE</w:t>
            </w:r>
          </w:p>
        </w:tc>
      </w:tr>
      <w:tr w:rsidR="00945359" w14:paraId="4AE914CC" w14:textId="77777777" w:rsidTr="008F5A8D">
        <w:trPr>
          <w:trHeight w:val="251"/>
        </w:trPr>
        <w:tc>
          <w:tcPr>
            <w:tcW w:w="4385" w:type="dxa"/>
          </w:tcPr>
          <w:p w14:paraId="46B0307E" w14:textId="259AF913" w:rsidR="00945359" w:rsidRDefault="002E2A7B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DTT</w:t>
            </w:r>
            <w:r w:rsidR="00220A43">
              <w:rPr>
                <w:spacing w:val="-5"/>
              </w:rPr>
              <w:t xml:space="preserve"> </w:t>
            </w:r>
            <w:r w:rsidR="00E32C4C">
              <w:rPr>
                <w:spacing w:val="-2"/>
              </w:rPr>
              <w:t>(</w:t>
            </w:r>
            <w:r w:rsidR="00220A43">
              <w:rPr>
                <w:spacing w:val="-2"/>
              </w:rPr>
              <w:t>ng/ml</w:t>
            </w:r>
            <w:r w:rsidR="00E32C4C">
              <w:rPr>
                <w:spacing w:val="-2"/>
              </w:rPr>
              <w:t>)</w:t>
            </w:r>
          </w:p>
        </w:tc>
        <w:tc>
          <w:tcPr>
            <w:tcW w:w="2407" w:type="dxa"/>
          </w:tcPr>
          <w:p w14:paraId="70412C95" w14:textId="4552262B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5"/>
              </w:rPr>
              <w:t>67</w:t>
            </w:r>
          </w:p>
        </w:tc>
        <w:tc>
          <w:tcPr>
            <w:tcW w:w="2268" w:type="dxa"/>
          </w:tcPr>
          <w:p w14:paraId="0F585607" w14:textId="7B8F1868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5"/>
              </w:rPr>
              <w:t>200</w:t>
            </w:r>
          </w:p>
        </w:tc>
      </w:tr>
      <w:tr w:rsidR="00945359" w14:paraId="20E253D4" w14:textId="77777777" w:rsidTr="008F5A8D">
        <w:trPr>
          <w:trHeight w:val="253"/>
        </w:trPr>
        <w:tc>
          <w:tcPr>
            <w:tcW w:w="4385" w:type="dxa"/>
          </w:tcPr>
          <w:p w14:paraId="6ACFB02C" w14:textId="442BDE0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ECT</w:t>
            </w:r>
            <w:r>
              <w:rPr>
                <w:spacing w:val="-9"/>
              </w:rPr>
              <w:t xml:space="preserve"> </w:t>
            </w:r>
            <w:r w:rsidR="00E32C4C">
              <w:t>(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normálérték</w:t>
            </w:r>
            <w:r>
              <w:rPr>
                <w:spacing w:val="-7"/>
              </w:rPr>
              <w:t xml:space="preserve"> </w:t>
            </w:r>
            <w:r>
              <w:t>felső</w:t>
            </w:r>
            <w:r>
              <w:rPr>
                <w:spacing w:val="-7"/>
              </w:rPr>
              <w:t xml:space="preserve"> </w:t>
            </w:r>
            <w:r>
              <w:t>határának</w:t>
            </w:r>
            <w:r>
              <w:rPr>
                <w:spacing w:val="-7"/>
              </w:rPr>
              <w:t xml:space="preserve"> </w:t>
            </w:r>
            <w:r>
              <w:t>x-</w:t>
            </w:r>
            <w:r>
              <w:rPr>
                <w:spacing w:val="-2"/>
              </w:rPr>
              <w:t>szerese</w:t>
            </w:r>
            <w:r w:rsidR="00E32C4C">
              <w:rPr>
                <w:spacing w:val="-2"/>
              </w:rPr>
              <w:t>)</w:t>
            </w:r>
          </w:p>
        </w:tc>
        <w:tc>
          <w:tcPr>
            <w:tcW w:w="2407" w:type="dxa"/>
          </w:tcPr>
          <w:p w14:paraId="3CA66E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nincs</w:t>
            </w:r>
            <w:r>
              <w:rPr>
                <w:spacing w:val="-4"/>
              </w:rPr>
              <w:t xml:space="preserve"> adat</w:t>
            </w:r>
          </w:p>
        </w:tc>
        <w:tc>
          <w:tcPr>
            <w:tcW w:w="2268" w:type="dxa"/>
          </w:tcPr>
          <w:p w14:paraId="57EC576A" w14:textId="61F28810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10"/>
              </w:rPr>
              <w:t>3</w:t>
            </w:r>
          </w:p>
        </w:tc>
      </w:tr>
      <w:tr w:rsidR="00945359" w14:paraId="33C6C5AB" w14:textId="77777777" w:rsidTr="008F5A8D">
        <w:trPr>
          <w:trHeight w:val="506"/>
        </w:trPr>
        <w:tc>
          <w:tcPr>
            <w:tcW w:w="4385" w:type="dxa"/>
          </w:tcPr>
          <w:p w14:paraId="25B6A916" w14:textId="2625868F" w:rsidR="00945359" w:rsidRDefault="002E2A7B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aPTI</w:t>
            </w:r>
            <w:r w:rsidR="00220A43">
              <w:rPr>
                <w:spacing w:val="-7"/>
              </w:rPr>
              <w:t xml:space="preserve"> </w:t>
            </w:r>
            <w:r w:rsidR="00E32C4C">
              <w:t>(</w:t>
            </w:r>
            <w:r w:rsidR="00220A43">
              <w:t>a</w:t>
            </w:r>
            <w:r w:rsidR="00220A43">
              <w:rPr>
                <w:spacing w:val="-6"/>
              </w:rPr>
              <w:t xml:space="preserve"> </w:t>
            </w:r>
            <w:r w:rsidR="00220A43">
              <w:t>normálérték</w:t>
            </w:r>
            <w:r w:rsidR="00220A43">
              <w:rPr>
                <w:spacing w:val="-6"/>
              </w:rPr>
              <w:t xml:space="preserve"> </w:t>
            </w:r>
            <w:r w:rsidR="00220A43">
              <w:t>felső</w:t>
            </w:r>
            <w:r w:rsidR="00220A43">
              <w:rPr>
                <w:spacing w:val="-6"/>
              </w:rPr>
              <w:t xml:space="preserve"> </w:t>
            </w:r>
            <w:r w:rsidR="00220A43">
              <w:t>határának</w:t>
            </w:r>
            <w:r w:rsidR="00220A43">
              <w:rPr>
                <w:spacing w:val="-6"/>
              </w:rPr>
              <w:t xml:space="preserve"> </w:t>
            </w:r>
            <w:r w:rsidR="00220A43">
              <w:rPr>
                <w:spacing w:val="-5"/>
              </w:rPr>
              <w:t>x-</w:t>
            </w:r>
          </w:p>
          <w:p w14:paraId="6B8165E4" w14:textId="08A7E29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szerese</w:t>
            </w:r>
            <w:r w:rsidR="00E32C4C">
              <w:rPr>
                <w:spacing w:val="-2"/>
              </w:rPr>
              <w:t>)</w:t>
            </w:r>
          </w:p>
        </w:tc>
        <w:tc>
          <w:tcPr>
            <w:tcW w:w="2407" w:type="dxa"/>
          </w:tcPr>
          <w:p w14:paraId="5E2EBECF" w14:textId="2BAD392A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5"/>
              </w:rPr>
              <w:t>1,3</w:t>
            </w:r>
          </w:p>
        </w:tc>
        <w:tc>
          <w:tcPr>
            <w:tcW w:w="2268" w:type="dxa"/>
          </w:tcPr>
          <w:p w14:paraId="425AE317" w14:textId="2F76C678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10"/>
              </w:rPr>
              <w:t>2</w:t>
            </w:r>
          </w:p>
        </w:tc>
      </w:tr>
      <w:tr w:rsidR="00945359" w14:paraId="68244B6F" w14:textId="77777777" w:rsidTr="008F5A8D">
        <w:trPr>
          <w:trHeight w:val="253"/>
        </w:trPr>
        <w:tc>
          <w:tcPr>
            <w:tcW w:w="4385" w:type="dxa"/>
          </w:tcPr>
          <w:p w14:paraId="6B9A029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INR</w:t>
            </w:r>
          </w:p>
        </w:tc>
        <w:tc>
          <w:tcPr>
            <w:tcW w:w="2407" w:type="dxa"/>
          </w:tcPr>
          <w:p w14:paraId="0E615F8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t>szabad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végezni</w:t>
            </w:r>
          </w:p>
        </w:tc>
        <w:tc>
          <w:tcPr>
            <w:tcW w:w="2268" w:type="dxa"/>
          </w:tcPr>
          <w:p w14:paraId="489A726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t>szabad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végezni</w:t>
            </w:r>
          </w:p>
        </w:tc>
      </w:tr>
    </w:tbl>
    <w:p w14:paraId="57121421" w14:textId="77777777" w:rsidR="00B900F2" w:rsidRDefault="00B900F2">
      <w:pPr>
        <w:pStyle w:val="Szvegtrzs"/>
        <w:tabs>
          <w:tab w:val="left" w:pos="567"/>
        </w:tabs>
        <w:rPr>
          <w:u w:val="single"/>
        </w:rPr>
      </w:pPr>
    </w:p>
    <w:p w14:paraId="536ED5FD" w14:textId="26098A79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Fibrinolitikus</w:t>
      </w:r>
      <w:r>
        <w:rPr>
          <w:spacing w:val="-10"/>
          <w:u w:val="single"/>
        </w:rPr>
        <w:t xml:space="preserve"> </w:t>
      </w:r>
      <w:r>
        <w:rPr>
          <w:u w:val="single"/>
        </w:rPr>
        <w:t>hatású</w:t>
      </w:r>
      <w:r>
        <w:rPr>
          <w:spacing w:val="-8"/>
          <w:u w:val="single"/>
        </w:rPr>
        <w:t xml:space="preserve"> </w:t>
      </w:r>
      <w:r>
        <w:rPr>
          <w:u w:val="single"/>
        </w:rPr>
        <w:t>gyógyszerek</w:t>
      </w:r>
      <w:r>
        <w:rPr>
          <w:spacing w:val="-8"/>
          <w:u w:val="single"/>
        </w:rPr>
        <w:t xml:space="preserve"> </w:t>
      </w:r>
      <w:r>
        <w:rPr>
          <w:u w:val="single"/>
        </w:rPr>
        <w:t>alkalmazása</w:t>
      </w:r>
      <w:r>
        <w:rPr>
          <w:spacing w:val="-8"/>
          <w:u w:val="single"/>
        </w:rPr>
        <w:t xml:space="preserve"> </w:t>
      </w:r>
      <w:r>
        <w:rPr>
          <w:u w:val="single"/>
        </w:rPr>
        <w:t>az</w:t>
      </w:r>
      <w:r>
        <w:rPr>
          <w:spacing w:val="-8"/>
          <w:u w:val="single"/>
        </w:rPr>
        <w:t xml:space="preserve"> </w:t>
      </w:r>
      <w:r>
        <w:rPr>
          <w:u w:val="single"/>
        </w:rPr>
        <w:t>akut</w:t>
      </w:r>
      <w:r>
        <w:rPr>
          <w:spacing w:val="-8"/>
          <w:u w:val="single"/>
        </w:rPr>
        <w:t xml:space="preserve"> </w:t>
      </w:r>
      <w:r>
        <w:rPr>
          <w:u w:val="single"/>
        </w:rPr>
        <w:t>ischaemiás</w:t>
      </w:r>
      <w:r>
        <w:rPr>
          <w:spacing w:val="-8"/>
          <w:u w:val="single"/>
        </w:rPr>
        <w:t xml:space="preserve"> </w:t>
      </w:r>
      <w:r>
        <w:rPr>
          <w:u w:val="single"/>
        </w:rPr>
        <w:t>stroke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kezelésére</w:t>
      </w:r>
    </w:p>
    <w:p w14:paraId="44C197B5" w14:textId="42D33107" w:rsidR="00945359" w:rsidRDefault="00CA14F7" w:rsidP="008F5A8D">
      <w:pPr>
        <w:pStyle w:val="Szvegtrzs"/>
        <w:tabs>
          <w:tab w:val="left" w:pos="567"/>
        </w:tabs>
      </w:pPr>
      <w:r>
        <w:t>F</w:t>
      </w:r>
      <w:r w:rsidR="00220A43">
        <w:t>ibrinolitikus</w:t>
      </w:r>
      <w:r w:rsidR="00220A43">
        <w:rPr>
          <w:spacing w:val="-3"/>
        </w:rPr>
        <w:t xml:space="preserve"> </w:t>
      </w:r>
      <w:r w:rsidR="00220A43">
        <w:t>hatású</w:t>
      </w:r>
      <w:r w:rsidR="00220A43">
        <w:rPr>
          <w:spacing w:val="-3"/>
        </w:rPr>
        <w:t xml:space="preserve"> </w:t>
      </w:r>
      <w:r w:rsidR="00220A43">
        <w:t>gyógyszerek</w:t>
      </w:r>
      <w:r w:rsidR="00220A43">
        <w:rPr>
          <w:spacing w:val="-3"/>
        </w:rPr>
        <w:t xml:space="preserve"> </w:t>
      </w:r>
      <w:r w:rsidR="00220A43">
        <w:t>alkalmazása</w:t>
      </w:r>
      <w:r w:rsidR="00220A43">
        <w:rPr>
          <w:spacing w:val="-3"/>
        </w:rPr>
        <w:t xml:space="preserve"> </w:t>
      </w:r>
      <w:r w:rsidR="00220A43">
        <w:t>mérlegelhető</w:t>
      </w:r>
      <w:r w:rsidR="00220A43">
        <w:rPr>
          <w:spacing w:val="-5"/>
        </w:rPr>
        <w:t xml:space="preserve"> </w:t>
      </w:r>
      <w:r w:rsidR="00220A43">
        <w:t>az</w:t>
      </w:r>
      <w:r w:rsidR="00220A43">
        <w:rPr>
          <w:spacing w:val="-3"/>
        </w:rPr>
        <w:t xml:space="preserve"> </w:t>
      </w:r>
      <w:r w:rsidR="00220A43">
        <w:t>akut</w:t>
      </w:r>
      <w:r w:rsidR="00220A43">
        <w:rPr>
          <w:spacing w:val="-3"/>
        </w:rPr>
        <w:t xml:space="preserve"> </w:t>
      </w:r>
      <w:r w:rsidR="00220A43">
        <w:t>ischaemiás</w:t>
      </w:r>
      <w:r w:rsidR="00220A43">
        <w:rPr>
          <w:spacing w:val="-3"/>
        </w:rPr>
        <w:t xml:space="preserve"> </w:t>
      </w:r>
      <w:r w:rsidR="00220A43">
        <w:t>stroke</w:t>
      </w:r>
      <w:r w:rsidR="00220A43">
        <w:rPr>
          <w:spacing w:val="-3"/>
        </w:rPr>
        <w:t xml:space="preserve"> </w:t>
      </w:r>
      <w:r w:rsidR="00220A43">
        <w:t>kezelésére,</w:t>
      </w:r>
      <w:r w:rsidR="00220A43">
        <w:rPr>
          <w:spacing w:val="-3"/>
        </w:rPr>
        <w:t xml:space="preserve"> </w:t>
      </w:r>
      <w:r w:rsidR="00220A43">
        <w:t xml:space="preserve">ha a beteg </w:t>
      </w:r>
      <w:r w:rsidR="002E2A7B">
        <w:t>DTT</w:t>
      </w:r>
      <w:r w:rsidR="00220A43">
        <w:t xml:space="preserve">-, ECT- vagy </w:t>
      </w:r>
      <w:r w:rsidR="005568D3">
        <w:t>a</w:t>
      </w:r>
      <w:r w:rsidR="00220A43">
        <w:t>PT</w:t>
      </w:r>
      <w:r w:rsidR="005568D3">
        <w:t>I</w:t>
      </w:r>
      <w:r w:rsidR="00220A43">
        <w:t>-értéke nem haladja meg a helyi referenciatartomány szerinti normálérték felső határát (upper limit of normal, ULN).</w:t>
      </w:r>
    </w:p>
    <w:p w14:paraId="678FF0BE" w14:textId="77777777" w:rsidR="00B900F2" w:rsidRDefault="00B900F2">
      <w:pPr>
        <w:pStyle w:val="Szvegtrzs"/>
        <w:tabs>
          <w:tab w:val="left" w:pos="567"/>
        </w:tabs>
        <w:rPr>
          <w:u w:val="single"/>
        </w:rPr>
      </w:pPr>
    </w:p>
    <w:p w14:paraId="1267D559" w14:textId="6BACCF59" w:rsidR="00B900F2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lastRenderedPageBreak/>
        <w:t>Műtét</w:t>
      </w:r>
      <w:r>
        <w:rPr>
          <w:spacing w:val="-4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beavatkozások</w:t>
      </w:r>
    </w:p>
    <w:p w14:paraId="0BDFA366" w14:textId="77777777" w:rsidR="00945359" w:rsidRDefault="00220A43" w:rsidP="008F5A8D">
      <w:pPr>
        <w:pStyle w:val="Szvegtrzs"/>
        <w:tabs>
          <w:tab w:val="left" w:pos="567"/>
        </w:tabs>
      </w:pPr>
      <w:r>
        <w:t>Dabigatrán-etexilátot kapó betegeknél műtét vagy invazív beavatkozás esetén fokozott a vérzésveszély.</w:t>
      </w:r>
      <w:r>
        <w:rPr>
          <w:spacing w:val="-4"/>
        </w:rPr>
        <w:t xml:space="preserve"> </w:t>
      </w:r>
      <w:r>
        <w:t>Ezért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műtéti</w:t>
      </w:r>
      <w:r>
        <w:rPr>
          <w:spacing w:val="-4"/>
        </w:rPr>
        <w:t xml:space="preserve"> </w:t>
      </w:r>
      <w:r>
        <w:t>beavatkozás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ideiglenes</w:t>
      </w:r>
      <w:r>
        <w:rPr>
          <w:spacing w:val="-4"/>
        </w:rPr>
        <w:t xml:space="preserve"> </w:t>
      </w:r>
      <w:r>
        <w:t>leállítását</w:t>
      </w:r>
      <w:r>
        <w:rPr>
          <w:spacing w:val="-4"/>
        </w:rPr>
        <w:t xml:space="preserve"> </w:t>
      </w:r>
      <w:r>
        <w:t xml:space="preserve">teheti </w:t>
      </w:r>
      <w:r>
        <w:rPr>
          <w:spacing w:val="-2"/>
        </w:rPr>
        <w:t>szükségessé.</w:t>
      </w:r>
    </w:p>
    <w:p w14:paraId="24B35053" w14:textId="5DB6FEE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cardioversio</w:t>
      </w:r>
      <w:r>
        <w:rPr>
          <w:spacing w:val="-4"/>
        </w:rPr>
        <w:t xml:space="preserve"> </w:t>
      </w:r>
      <w:r>
        <w:t>alatt</w:t>
      </w:r>
      <w:r>
        <w:rPr>
          <w:spacing w:val="-4"/>
        </w:rPr>
        <w:t xml:space="preserve"> </w:t>
      </w:r>
      <w:r>
        <w:t>folytathatják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szedését.</w:t>
      </w:r>
      <w:r>
        <w:rPr>
          <w:spacing w:val="-4"/>
        </w:rPr>
        <w:t xml:space="preserve"> </w:t>
      </w:r>
      <w:r>
        <w:t>Nincsenek</w:t>
      </w:r>
      <w:r>
        <w:rPr>
          <w:spacing w:val="-4"/>
        </w:rPr>
        <w:t xml:space="preserve"> </w:t>
      </w:r>
      <w:r>
        <w:t>rendelkezésre álló adatok napi kétszer 110</w:t>
      </w:r>
      <w:r w:rsidR="00294835">
        <w:t> mg</w:t>
      </w:r>
      <w:r>
        <w:t xml:space="preserve"> </w:t>
      </w:r>
      <w:r w:rsidR="00067923">
        <w:t>dabigatrán-etexilát-kezelés</w:t>
      </w:r>
      <w:r>
        <w:t>ről pitvarfibrilláció miatt katéteres ablatióban részesülő betegeknél (lásd 4.2</w:t>
      </w:r>
      <w:r w:rsidR="00294835">
        <w:t> pont</w:t>
      </w:r>
      <w:r>
        <w:t>).</w:t>
      </w:r>
    </w:p>
    <w:p w14:paraId="0E1D4577" w14:textId="77777777" w:rsidR="00945359" w:rsidRDefault="00945359" w:rsidP="008F5A8D">
      <w:pPr>
        <w:pStyle w:val="Szvegtrzs"/>
        <w:tabs>
          <w:tab w:val="left" w:pos="567"/>
        </w:tabs>
      </w:pPr>
    </w:p>
    <w:p w14:paraId="13FE9A62" w14:textId="5B0862BF" w:rsidR="00945359" w:rsidRDefault="003811EA" w:rsidP="008F5A8D">
      <w:pPr>
        <w:pStyle w:val="Szvegtrzs"/>
        <w:tabs>
          <w:tab w:val="left" w:pos="567"/>
        </w:tabs>
      </w:pPr>
      <w:r>
        <w:t>Elővigyáz</w:t>
      </w:r>
      <w:r w:rsidR="00220A43">
        <w:t>atosság</w:t>
      </w:r>
      <w:r w:rsidR="00220A43">
        <w:rPr>
          <w:spacing w:val="-3"/>
        </w:rPr>
        <w:t xml:space="preserve"> </w:t>
      </w:r>
      <w:r w:rsidR="00220A43">
        <w:t>szükséges,</w:t>
      </w:r>
      <w:r w:rsidR="00220A43">
        <w:rPr>
          <w:spacing w:val="-3"/>
        </w:rPr>
        <w:t xml:space="preserve"> </w:t>
      </w:r>
      <w:r w:rsidR="00220A43">
        <w:t>és</w:t>
      </w:r>
      <w:r w:rsidR="00220A43">
        <w:rPr>
          <w:spacing w:val="-3"/>
        </w:rPr>
        <w:t xml:space="preserve"> </w:t>
      </w:r>
      <w:r w:rsidR="00220A43">
        <w:t>az</w:t>
      </w:r>
      <w:r w:rsidR="00220A43">
        <w:rPr>
          <w:spacing w:val="-3"/>
        </w:rPr>
        <w:t xml:space="preserve"> </w:t>
      </w:r>
      <w:r w:rsidR="00220A43">
        <w:t>alvadásgátló</w:t>
      </w:r>
      <w:r w:rsidR="00220A43">
        <w:rPr>
          <w:spacing w:val="-3"/>
        </w:rPr>
        <w:t xml:space="preserve"> </w:t>
      </w:r>
      <w:r w:rsidR="00220A43">
        <w:t>hatás</w:t>
      </w:r>
      <w:r w:rsidR="00220A43">
        <w:rPr>
          <w:spacing w:val="-3"/>
        </w:rPr>
        <w:t xml:space="preserve"> </w:t>
      </w:r>
      <w:r w:rsidR="00220A43">
        <w:t>ellenőrzése</w:t>
      </w:r>
      <w:r w:rsidR="00220A43">
        <w:rPr>
          <w:spacing w:val="-3"/>
        </w:rPr>
        <w:t xml:space="preserve"> </w:t>
      </w:r>
      <w:r w:rsidR="00220A43">
        <w:t>elengedhetetlen,</w:t>
      </w:r>
      <w:r w:rsidR="00220A43">
        <w:rPr>
          <w:spacing w:val="-3"/>
        </w:rPr>
        <w:t xml:space="preserve"> </w:t>
      </w:r>
      <w:r w:rsidR="00220A43">
        <w:t>ha</w:t>
      </w:r>
      <w:r w:rsidR="00220A43">
        <w:rPr>
          <w:spacing w:val="-3"/>
        </w:rPr>
        <w:t xml:space="preserve"> 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kezelést</w:t>
      </w:r>
      <w:r w:rsidR="00220A43">
        <w:rPr>
          <w:spacing w:val="-3"/>
        </w:rPr>
        <w:t xml:space="preserve"> </w:t>
      </w:r>
      <w:r w:rsidR="00220A43">
        <w:t>intervenció miatt ideiglenesen leállítják. A dabigatrán clearance-e veseelégtelenségben szenvedő betegeknél megnyúlhat (lásd 5.2</w:t>
      </w:r>
      <w:r w:rsidR="00294835">
        <w:t> pont</w:t>
      </w:r>
      <w:r w:rsidR="00220A43">
        <w:t>). Ezt minden beavatkozás előtt figyelembe kell venni. Ilyen esetben véralvadási</w:t>
      </w:r>
      <w:r w:rsidR="00220A43">
        <w:rPr>
          <w:spacing w:val="-3"/>
        </w:rPr>
        <w:t xml:space="preserve"> </w:t>
      </w:r>
      <w:r w:rsidR="00220A43">
        <w:t>vizsgálat</w:t>
      </w:r>
      <w:r w:rsidR="00220A43">
        <w:rPr>
          <w:spacing w:val="-3"/>
        </w:rPr>
        <w:t xml:space="preserve"> </w:t>
      </w:r>
      <w:r w:rsidR="00220A43">
        <w:t>(lásd</w:t>
      </w:r>
      <w:r w:rsidR="00220A43">
        <w:rPr>
          <w:spacing w:val="-3"/>
        </w:rPr>
        <w:t xml:space="preserve"> </w:t>
      </w:r>
      <w:r w:rsidR="00220A43">
        <w:t>4.4</w:t>
      </w:r>
      <w:r w:rsidR="00220A43">
        <w:rPr>
          <w:spacing w:val="-3"/>
        </w:rPr>
        <w:t xml:space="preserve"> </w:t>
      </w:r>
      <w:r w:rsidR="00220A43">
        <w:t>és</w:t>
      </w:r>
      <w:r w:rsidR="00220A43">
        <w:rPr>
          <w:spacing w:val="-3"/>
        </w:rPr>
        <w:t xml:space="preserve"> </w:t>
      </w:r>
      <w:r w:rsidR="00220A43">
        <w:t>5.1</w:t>
      </w:r>
      <w:r w:rsidR="00294835">
        <w:rPr>
          <w:spacing w:val="-2"/>
        </w:rPr>
        <w:t> pont</w:t>
      </w:r>
      <w:r w:rsidR="00220A43">
        <w:t>)</w:t>
      </w:r>
      <w:r w:rsidR="00220A43">
        <w:rPr>
          <w:spacing w:val="-3"/>
        </w:rPr>
        <w:t xml:space="preserve"> </w:t>
      </w:r>
      <w:r w:rsidR="00220A43">
        <w:t>segíthet</w:t>
      </w:r>
      <w:r w:rsidR="00220A43">
        <w:rPr>
          <w:spacing w:val="-3"/>
        </w:rPr>
        <w:t xml:space="preserve"> </w:t>
      </w:r>
      <w:r w:rsidR="00220A43">
        <w:t>eldönteni,</w:t>
      </w:r>
      <w:r w:rsidR="00220A43">
        <w:rPr>
          <w:spacing w:val="-3"/>
        </w:rPr>
        <w:t xml:space="preserve"> </w:t>
      </w:r>
      <w:r w:rsidR="00220A43">
        <w:t>hogy</w:t>
      </w:r>
      <w:r w:rsidR="00220A43">
        <w:rPr>
          <w:spacing w:val="-3"/>
        </w:rPr>
        <w:t xml:space="preserve"> 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haemostasis</w:t>
      </w:r>
      <w:r w:rsidR="00220A43">
        <w:rPr>
          <w:spacing w:val="-3"/>
        </w:rPr>
        <w:t xml:space="preserve"> </w:t>
      </w:r>
      <w:r w:rsidR="00220A43">
        <w:t>még</w:t>
      </w:r>
      <w:r w:rsidR="00220A43">
        <w:rPr>
          <w:spacing w:val="-3"/>
        </w:rPr>
        <w:t xml:space="preserve"> </w:t>
      </w:r>
      <w:r w:rsidR="00220A43">
        <w:t>károsodott-e.</w:t>
      </w:r>
    </w:p>
    <w:p w14:paraId="29756543" w14:textId="77777777" w:rsidR="00945359" w:rsidRDefault="00945359" w:rsidP="008F5A8D">
      <w:pPr>
        <w:pStyle w:val="Szvegtrzs"/>
        <w:tabs>
          <w:tab w:val="left" w:pos="567"/>
        </w:tabs>
      </w:pPr>
    </w:p>
    <w:p w14:paraId="17BA9602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Akut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műtét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vagy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sürgős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beavatkozások</w:t>
      </w:r>
    </w:p>
    <w:p w14:paraId="27CF30CA" w14:textId="2D4B60EF" w:rsidR="00945359" w:rsidRDefault="00220A43" w:rsidP="008F5A8D">
      <w:pPr>
        <w:pStyle w:val="Szvegtrzs"/>
        <w:tabs>
          <w:tab w:val="left" w:pos="567"/>
        </w:tabs>
      </w:pPr>
      <w:r>
        <w:t>A dabigatrán-etexilát adását átmenetileg le kell állítani. Ha az antikoaguláns hatás gyors felfüggesztésére van szükség, rendelkezésre áll a dabigatrán specifikus antagonista szere (idarucizumab)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felnőtt</w:t>
      </w:r>
      <w:r>
        <w:rPr>
          <w:spacing w:val="-2"/>
        </w:rPr>
        <w:t xml:space="preserve"> </w:t>
      </w:r>
      <w:r>
        <w:t>betegek</w:t>
      </w:r>
      <w:r>
        <w:rPr>
          <w:spacing w:val="-2"/>
        </w:rPr>
        <w:t xml:space="preserve"> </w:t>
      </w:r>
      <w:r>
        <w:t>számára.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idarucizumab</w:t>
      </w:r>
      <w:r>
        <w:rPr>
          <w:spacing w:val="-2"/>
        </w:rPr>
        <w:t xml:space="preserve"> </w:t>
      </w:r>
      <w:r>
        <w:t>hatásosságát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biztonságosságát</w:t>
      </w:r>
      <w:r>
        <w:rPr>
          <w:spacing w:val="-2"/>
        </w:rPr>
        <w:t xml:space="preserve"> </w:t>
      </w:r>
      <w:r>
        <w:t>nem határozták</w:t>
      </w:r>
      <w:r>
        <w:rPr>
          <w:spacing w:val="-7"/>
        </w:rPr>
        <w:t xml:space="preserve"> </w:t>
      </w:r>
      <w:r>
        <w:t>meg</w:t>
      </w:r>
      <w:r>
        <w:rPr>
          <w:spacing w:val="-6"/>
        </w:rPr>
        <w:t xml:space="preserve"> </w:t>
      </w:r>
      <w:r>
        <w:t>gyermekeknél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serdülőknél.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 w:rsidR="00E004BD">
        <w:t>hemodialízis</w:t>
      </w:r>
      <w:r>
        <w:rPr>
          <w:spacing w:val="-7"/>
        </w:rPr>
        <w:t xml:space="preserve"> </w:t>
      </w:r>
      <w:r>
        <w:t>képes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dabigatrán</w:t>
      </w:r>
      <w:r>
        <w:rPr>
          <w:spacing w:val="-6"/>
        </w:rPr>
        <w:t xml:space="preserve"> </w:t>
      </w:r>
      <w:r>
        <w:rPr>
          <w:spacing w:val="-2"/>
        </w:rPr>
        <w:t>eltávolítására.</w:t>
      </w:r>
    </w:p>
    <w:p w14:paraId="528F87BA" w14:textId="5379AF9D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</w:t>
      </w:r>
      <w:r>
        <w:rPr>
          <w:spacing w:val="-4"/>
        </w:rPr>
        <w:t xml:space="preserve"> </w:t>
      </w:r>
      <w:r>
        <w:t>kezelés</w:t>
      </w:r>
      <w:r>
        <w:rPr>
          <w:spacing w:val="-4"/>
        </w:rPr>
        <w:t xml:space="preserve"> </w:t>
      </w:r>
      <w:r>
        <w:t>felfüggesztése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betegeket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alapbetegségük</w:t>
      </w:r>
      <w:r>
        <w:rPr>
          <w:spacing w:val="-4"/>
        </w:rPr>
        <w:t xml:space="preserve"> </w:t>
      </w:r>
      <w:r>
        <w:t>miatti</w:t>
      </w:r>
      <w:r>
        <w:rPr>
          <w:spacing w:val="-4"/>
        </w:rPr>
        <w:t xml:space="preserve"> </w:t>
      </w:r>
      <w:r w:rsidR="00D32DEF">
        <w:t>thromboticus</w:t>
      </w:r>
      <w:r>
        <w:rPr>
          <w:spacing w:val="-4"/>
        </w:rPr>
        <w:t xml:space="preserve"> </w:t>
      </w:r>
      <w:r>
        <w:t xml:space="preserve">kockázatnak teszi ki. A </w:t>
      </w:r>
      <w:r w:rsidR="00067923">
        <w:t>dabigatrán-etexilát-kezelés</w:t>
      </w:r>
      <w:r>
        <w:t xml:space="preserve"> az idarucizumab adása után 24</w:t>
      </w:r>
      <w:r w:rsidR="002E2A7B">
        <w:t> órá</w:t>
      </w:r>
      <w:r>
        <w:t>val újra elkezdhető, ha a beteg klinikailag stabil állapotban van, és a megfelelő haemostasis kialakult.</w:t>
      </w:r>
    </w:p>
    <w:p w14:paraId="6756DC4F" w14:textId="77777777" w:rsidR="00945359" w:rsidRDefault="00945359" w:rsidP="008F5A8D">
      <w:pPr>
        <w:pStyle w:val="Szvegtrzs"/>
        <w:tabs>
          <w:tab w:val="left" w:pos="567"/>
        </w:tabs>
      </w:pPr>
    </w:p>
    <w:p w14:paraId="0A4EB891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Szubakut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műtét/beavatkozások</w:t>
      </w:r>
    </w:p>
    <w:p w14:paraId="090B3B71" w14:textId="7E530CF9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adását</w:t>
      </w:r>
      <w:r>
        <w:rPr>
          <w:spacing w:val="-3"/>
        </w:rPr>
        <w:t xml:space="preserve"> </w:t>
      </w:r>
      <w:r>
        <w:t>átmenetileg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állítani.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műtétet/beavatkozást</w:t>
      </w:r>
      <w:r>
        <w:rPr>
          <w:spacing w:val="-3"/>
        </w:rPr>
        <w:t xml:space="preserve"> </w:t>
      </w:r>
      <w:r>
        <w:t>lehetőség</w:t>
      </w:r>
      <w:r>
        <w:rPr>
          <w:spacing w:val="-3"/>
        </w:rPr>
        <w:t xml:space="preserve"> </w:t>
      </w:r>
      <w:r>
        <w:t>szerint</w:t>
      </w:r>
      <w:r>
        <w:rPr>
          <w:spacing w:val="-3"/>
        </w:rPr>
        <w:t xml:space="preserve"> </w:t>
      </w:r>
      <w:r>
        <w:t>az utolsó dózis után legalább 12</w:t>
      </w:r>
      <w:r w:rsidR="002E2A7B">
        <w:t> órá</w:t>
      </w:r>
      <w:r>
        <w:t>ig halasztani kell. Ha a műtét nem halasztható, fokozott vérzésveszélyre lehet számítani. A vérzésveszélyt és a beavatkozás sürgősségét mérlegelni kell egymással szemben.</w:t>
      </w:r>
    </w:p>
    <w:p w14:paraId="0EF40A56" w14:textId="77777777" w:rsidR="00945359" w:rsidRDefault="00945359" w:rsidP="008F5A8D">
      <w:pPr>
        <w:pStyle w:val="Szvegtrzs"/>
        <w:tabs>
          <w:tab w:val="left" w:pos="567"/>
        </w:tabs>
      </w:pPr>
    </w:p>
    <w:p w14:paraId="433D4621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Elektív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műtét</w:t>
      </w:r>
    </w:p>
    <w:p w14:paraId="20B8455E" w14:textId="28ECC714" w:rsidR="00945359" w:rsidRDefault="00220A43" w:rsidP="008F5A8D">
      <w:pPr>
        <w:pStyle w:val="Szvegtrzs"/>
        <w:tabs>
          <w:tab w:val="left" w:pos="567"/>
        </w:tabs>
      </w:pPr>
      <w:r>
        <w:t>Ha</w:t>
      </w:r>
      <w:r>
        <w:rPr>
          <w:spacing w:val="-3"/>
        </w:rPr>
        <w:t xml:space="preserve"> </w:t>
      </w:r>
      <w:r>
        <w:t>lehetséges,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invazív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műtéti</w:t>
      </w:r>
      <w:r>
        <w:rPr>
          <w:spacing w:val="-3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</w:t>
      </w:r>
      <w:r>
        <w:rPr>
          <w:spacing w:val="-3"/>
        </w:rPr>
        <w:t xml:space="preserve"> </w:t>
      </w:r>
      <w:r>
        <w:t>legalább</w:t>
      </w:r>
      <w:r>
        <w:rPr>
          <w:spacing w:val="-3"/>
        </w:rPr>
        <w:t xml:space="preserve"> </w:t>
      </w:r>
      <w:r>
        <w:t>24</w:t>
      </w:r>
      <w:r w:rsidR="002E2A7B">
        <w:rPr>
          <w:spacing w:val="-3"/>
        </w:rPr>
        <w:t> órá</w:t>
      </w:r>
      <w:r>
        <w:t>val</w:t>
      </w:r>
      <w:r>
        <w:rPr>
          <w:spacing w:val="-3"/>
        </w:rPr>
        <w:t xml:space="preserve"> </w:t>
      </w:r>
      <w:r>
        <w:t>le kell állítani. Nagyobb vérzésveszély vagy nagyműtét esetén, amikor teljes haemostasisra lehet szükség, mérlegelni lehet a dabigatrán-etexilát 2-4</w:t>
      </w:r>
      <w:r w:rsidR="00294835">
        <w:t> nap</w:t>
      </w:r>
      <w:r>
        <w:t>pal a műtét előtt történő leállítását.</w:t>
      </w:r>
    </w:p>
    <w:p w14:paraId="5849F7C5" w14:textId="77777777" w:rsidR="00945359" w:rsidRDefault="00945359" w:rsidP="008F5A8D">
      <w:pPr>
        <w:pStyle w:val="Szvegtrzs"/>
        <w:tabs>
          <w:tab w:val="left" w:pos="567"/>
        </w:tabs>
      </w:pPr>
    </w:p>
    <w:p w14:paraId="28B32B7E" w14:textId="103044D2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7.</w:t>
      </w:r>
      <w:r w:rsidR="00B95CAF">
        <w:rPr>
          <w:spacing w:val="-3"/>
        </w:rPr>
        <w:t> táblázat</w:t>
      </w:r>
      <w:r>
        <w:rPr>
          <w:spacing w:val="-3"/>
        </w:rPr>
        <w:t xml:space="preserve"> </w:t>
      </w:r>
      <w:r>
        <w:t>összefoglalja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invazív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sebészi</w:t>
      </w:r>
      <w:r>
        <w:rPr>
          <w:spacing w:val="-3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előtti</w:t>
      </w:r>
      <w:r>
        <w:rPr>
          <w:spacing w:val="-3"/>
        </w:rPr>
        <w:t xml:space="preserve"> </w:t>
      </w:r>
      <w:r>
        <w:t>leállításra</w:t>
      </w:r>
      <w:r>
        <w:rPr>
          <w:spacing w:val="-3"/>
        </w:rPr>
        <w:t xml:space="preserve"> </w:t>
      </w:r>
      <w:r>
        <w:t>vonatkozó szabályokat felnőtt betegeknél.</w:t>
      </w:r>
    </w:p>
    <w:p w14:paraId="7C983BF7" w14:textId="77777777" w:rsidR="00945359" w:rsidRDefault="00945359" w:rsidP="008F5A8D">
      <w:pPr>
        <w:pStyle w:val="Szvegtrzs"/>
        <w:tabs>
          <w:tab w:val="left" w:pos="567"/>
        </w:tabs>
      </w:pPr>
    </w:p>
    <w:p w14:paraId="77415F99" w14:textId="26CCEAEE" w:rsidR="00945359" w:rsidRPr="00511F35" w:rsidRDefault="006C2A98" w:rsidP="008F5A8D">
      <w:r w:rsidRPr="00511F35">
        <w:rPr>
          <w:b/>
          <w:spacing w:val="-2"/>
        </w:rPr>
        <w:t>7</w:t>
      </w:r>
      <w:r w:rsidR="00BC10BA" w:rsidRPr="00511F35">
        <w:rPr>
          <w:b/>
          <w:spacing w:val="-2"/>
        </w:rPr>
        <w:t>. táblázat</w:t>
      </w:r>
      <w:r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Az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invazív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vagy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sebészi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beavatkozás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előtti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leállításra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vonatkozó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szabályok felnőtt betegeknél</w:t>
      </w:r>
    </w:p>
    <w:p w14:paraId="21FD6DF0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589"/>
        <w:gridCol w:w="1863"/>
        <w:gridCol w:w="2833"/>
        <w:gridCol w:w="2778"/>
      </w:tblGrid>
      <w:tr w:rsidR="00945359" w14:paraId="6CE1E402" w14:textId="77777777" w:rsidTr="008F5A8D">
        <w:trPr>
          <w:trHeight w:val="441"/>
        </w:trPr>
        <w:tc>
          <w:tcPr>
            <w:tcW w:w="1589" w:type="dxa"/>
            <w:vMerge w:val="restart"/>
          </w:tcPr>
          <w:p w14:paraId="126F65AF" w14:textId="041B937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Vesefunkció </w:t>
            </w:r>
            <w:r>
              <w:t>(CrCl</w:t>
            </w:r>
            <w:r w:rsidR="00294835">
              <w:rPr>
                <w:spacing w:val="-14"/>
              </w:rPr>
              <w:t> ml</w:t>
            </w:r>
            <w:r>
              <w:t>/perc)</w:t>
            </w:r>
          </w:p>
        </w:tc>
        <w:tc>
          <w:tcPr>
            <w:tcW w:w="1863" w:type="dxa"/>
            <w:vMerge w:val="restart"/>
          </w:tcPr>
          <w:p w14:paraId="569CA7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Becsült</w:t>
            </w:r>
            <w:r>
              <w:rPr>
                <w:spacing w:val="-14"/>
              </w:rPr>
              <w:t xml:space="preserve"> </w:t>
            </w:r>
            <w:r>
              <w:t xml:space="preserve">felezési </w:t>
            </w:r>
            <w:r>
              <w:rPr>
                <w:spacing w:val="-4"/>
              </w:rPr>
              <w:t>idő</w:t>
            </w:r>
          </w:p>
          <w:p w14:paraId="52DAF9B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(óra)</w:t>
            </w:r>
          </w:p>
        </w:tc>
        <w:tc>
          <w:tcPr>
            <w:tcW w:w="5611" w:type="dxa"/>
            <w:gridSpan w:val="2"/>
          </w:tcPr>
          <w:p w14:paraId="35AA99F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9"/>
              </w:rPr>
              <w:t xml:space="preserve"> </w:t>
            </w:r>
            <w:r>
              <w:t>dabigatrán-etexilátot</w:t>
            </w:r>
            <w:r>
              <w:rPr>
                <w:spacing w:val="-7"/>
              </w:rPr>
              <w:t xml:space="preserve"> </w:t>
            </w:r>
            <w:r>
              <w:t>elektív</w:t>
            </w:r>
            <w:r>
              <w:rPr>
                <w:spacing w:val="-7"/>
              </w:rPr>
              <w:t xml:space="preserve"> </w:t>
            </w:r>
            <w:r>
              <w:t>műtét</w:t>
            </w:r>
            <w:r>
              <w:rPr>
                <w:spacing w:val="-6"/>
              </w:rPr>
              <w:t xml:space="preserve"> </w:t>
            </w:r>
            <w:r>
              <w:t>előtt</w:t>
            </w:r>
            <w:r>
              <w:rPr>
                <w:spacing w:val="-7"/>
              </w:rPr>
              <w:t xml:space="preserve"> </w:t>
            </w:r>
            <w:r>
              <w:t>le</w:t>
            </w:r>
            <w:r>
              <w:rPr>
                <w:spacing w:val="-7"/>
              </w:rPr>
              <w:t xml:space="preserve"> </w:t>
            </w:r>
            <w:r>
              <w:t>kell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állítani</w:t>
            </w:r>
          </w:p>
        </w:tc>
      </w:tr>
      <w:tr w:rsidR="00945359" w14:paraId="4180425A" w14:textId="77777777" w:rsidTr="008F5A8D">
        <w:trPr>
          <w:trHeight w:val="505"/>
        </w:trPr>
        <w:tc>
          <w:tcPr>
            <w:tcW w:w="1589" w:type="dxa"/>
            <w:vMerge/>
            <w:tcBorders>
              <w:top w:val="nil"/>
            </w:tcBorders>
          </w:tcPr>
          <w:p w14:paraId="30F518EA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1863" w:type="dxa"/>
            <w:vMerge/>
            <w:tcBorders>
              <w:top w:val="nil"/>
            </w:tcBorders>
          </w:tcPr>
          <w:p w14:paraId="45C989F8" w14:textId="77777777" w:rsidR="00945359" w:rsidRDefault="00945359" w:rsidP="008F5A8D">
            <w:pPr>
              <w:tabs>
                <w:tab w:val="left" w:pos="567"/>
              </w:tabs>
              <w:rPr>
                <w:sz w:val="2"/>
                <w:szCs w:val="2"/>
              </w:rPr>
            </w:pPr>
          </w:p>
        </w:tc>
        <w:tc>
          <w:tcPr>
            <w:tcW w:w="2833" w:type="dxa"/>
          </w:tcPr>
          <w:p w14:paraId="5FBEDB7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Nagy</w:t>
            </w:r>
            <w:r>
              <w:rPr>
                <w:spacing w:val="-7"/>
              </w:rPr>
              <w:t xml:space="preserve"> </w:t>
            </w:r>
            <w:r>
              <w:t>vérzési</w:t>
            </w:r>
            <w:r>
              <w:rPr>
                <w:spacing w:val="-6"/>
              </w:rPr>
              <w:t xml:space="preserve"> </w:t>
            </w:r>
            <w:r>
              <w:t>kockázat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vagy</w:t>
            </w:r>
          </w:p>
          <w:p w14:paraId="37F54A8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nagyműtét</w:t>
            </w:r>
          </w:p>
        </w:tc>
        <w:tc>
          <w:tcPr>
            <w:tcW w:w="2778" w:type="dxa"/>
          </w:tcPr>
          <w:p w14:paraId="5839EE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Átlagos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kockázat</w:t>
            </w:r>
          </w:p>
        </w:tc>
      </w:tr>
      <w:tr w:rsidR="00945359" w14:paraId="5A8FECB0" w14:textId="77777777" w:rsidTr="008F5A8D">
        <w:trPr>
          <w:trHeight w:val="253"/>
        </w:trPr>
        <w:tc>
          <w:tcPr>
            <w:tcW w:w="1589" w:type="dxa"/>
          </w:tcPr>
          <w:p w14:paraId="707E4EF5" w14:textId="51BC33B1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1863" w:type="dxa"/>
          </w:tcPr>
          <w:p w14:paraId="38A80C2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~ </w:t>
            </w:r>
            <w:r>
              <w:rPr>
                <w:spacing w:val="-5"/>
              </w:rPr>
              <w:t>13</w:t>
            </w:r>
          </w:p>
        </w:tc>
        <w:tc>
          <w:tcPr>
            <w:tcW w:w="2833" w:type="dxa"/>
          </w:tcPr>
          <w:p w14:paraId="21E73DD0" w14:textId="7F8BF96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</w:t>
            </w:r>
            <w:r w:rsidR="00294835">
              <w:rPr>
                <w:spacing w:val="-3"/>
              </w:rPr>
              <w:t> nap</w:t>
            </w:r>
            <w:r>
              <w:t>pal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előtte</w:t>
            </w:r>
          </w:p>
        </w:tc>
        <w:tc>
          <w:tcPr>
            <w:tcW w:w="2778" w:type="dxa"/>
          </w:tcPr>
          <w:p w14:paraId="3F3B21E4" w14:textId="66E69EA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24</w:t>
            </w:r>
            <w:r w:rsidR="002E2A7B">
              <w:rPr>
                <w:spacing w:val="-3"/>
              </w:rPr>
              <w:t> órá</w:t>
            </w:r>
            <w:r>
              <w:t>val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előtte</w:t>
            </w:r>
          </w:p>
        </w:tc>
      </w:tr>
      <w:tr w:rsidR="00945359" w14:paraId="5347E682" w14:textId="77777777" w:rsidTr="008F5A8D">
        <w:trPr>
          <w:trHeight w:val="251"/>
        </w:trPr>
        <w:tc>
          <w:tcPr>
            <w:tcW w:w="1589" w:type="dxa"/>
          </w:tcPr>
          <w:p w14:paraId="5E77F301" w14:textId="40405B28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t>50 –</w:t>
            </w:r>
            <w:r w:rsidR="00220A43">
              <w:rPr>
                <w:spacing w:val="-3"/>
              </w:rPr>
              <w:t xml:space="preserve"> </w:t>
            </w:r>
            <w:r w:rsidR="00B95CAF">
              <w:t>&lt;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1863" w:type="dxa"/>
          </w:tcPr>
          <w:p w14:paraId="3AB249C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~ </w:t>
            </w:r>
            <w:r>
              <w:rPr>
                <w:spacing w:val="-5"/>
              </w:rPr>
              <w:t>15</w:t>
            </w:r>
          </w:p>
        </w:tc>
        <w:tc>
          <w:tcPr>
            <w:tcW w:w="2833" w:type="dxa"/>
          </w:tcPr>
          <w:p w14:paraId="64C4232A" w14:textId="154195A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2-3</w:t>
            </w:r>
            <w:r w:rsidR="00294835">
              <w:rPr>
                <w:spacing w:val="-2"/>
              </w:rPr>
              <w:t> nap</w:t>
            </w:r>
            <w:r>
              <w:t>pal</w:t>
            </w:r>
            <w:r>
              <w:rPr>
                <w:spacing w:val="-2"/>
              </w:rPr>
              <w:t xml:space="preserve"> előtte</w:t>
            </w:r>
          </w:p>
        </w:tc>
        <w:tc>
          <w:tcPr>
            <w:tcW w:w="2778" w:type="dxa"/>
          </w:tcPr>
          <w:p w14:paraId="5385E8FC" w14:textId="447ACB9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1-2</w:t>
            </w:r>
            <w:r w:rsidR="00294835">
              <w:rPr>
                <w:spacing w:val="-2"/>
              </w:rPr>
              <w:t> nap</w:t>
            </w:r>
            <w:r>
              <w:t>pal</w:t>
            </w:r>
            <w:r>
              <w:rPr>
                <w:spacing w:val="-2"/>
              </w:rPr>
              <w:t xml:space="preserve"> előtte</w:t>
            </w:r>
          </w:p>
        </w:tc>
      </w:tr>
      <w:tr w:rsidR="00945359" w14:paraId="0DA7F142" w14:textId="77777777" w:rsidTr="008F5A8D">
        <w:trPr>
          <w:trHeight w:val="253"/>
        </w:trPr>
        <w:tc>
          <w:tcPr>
            <w:tcW w:w="1589" w:type="dxa"/>
          </w:tcPr>
          <w:p w14:paraId="0862F6B3" w14:textId="269B5D48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t>30 –</w:t>
            </w:r>
            <w:r w:rsidR="00220A43">
              <w:rPr>
                <w:spacing w:val="-3"/>
              </w:rPr>
              <w:t xml:space="preserve"> </w:t>
            </w:r>
            <w:r w:rsidR="00B95CAF">
              <w:t>&lt;</w:t>
            </w:r>
            <w:r w:rsidR="00220A43">
              <w:rPr>
                <w:spacing w:val="-5"/>
              </w:rPr>
              <w:t>50</w:t>
            </w:r>
          </w:p>
        </w:tc>
        <w:tc>
          <w:tcPr>
            <w:tcW w:w="1863" w:type="dxa"/>
          </w:tcPr>
          <w:p w14:paraId="579EF2F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~ </w:t>
            </w:r>
            <w:r>
              <w:rPr>
                <w:spacing w:val="-5"/>
              </w:rPr>
              <w:t>18</w:t>
            </w:r>
          </w:p>
        </w:tc>
        <w:tc>
          <w:tcPr>
            <w:tcW w:w="2833" w:type="dxa"/>
          </w:tcPr>
          <w:p w14:paraId="07DBC194" w14:textId="5A4473F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</w:t>
            </w:r>
            <w:r w:rsidR="00294835">
              <w:rPr>
                <w:spacing w:val="-3"/>
              </w:rPr>
              <w:t> nap</w:t>
            </w:r>
            <w:r>
              <w:t>pal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előtte</w:t>
            </w:r>
          </w:p>
        </w:tc>
        <w:tc>
          <w:tcPr>
            <w:tcW w:w="2778" w:type="dxa"/>
          </w:tcPr>
          <w:p w14:paraId="149E080F" w14:textId="5D7F0A7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2-3</w:t>
            </w:r>
            <w:r w:rsidR="00294835">
              <w:rPr>
                <w:spacing w:val="-3"/>
              </w:rPr>
              <w:t> nap</w:t>
            </w:r>
            <w:r>
              <w:t>pal</w:t>
            </w:r>
            <w:r>
              <w:rPr>
                <w:spacing w:val="-1"/>
              </w:rPr>
              <w:t xml:space="preserve"> </w:t>
            </w:r>
            <w:r>
              <w:t>előtte</w:t>
            </w:r>
            <w:r>
              <w:rPr>
                <w:spacing w:val="-2"/>
              </w:rPr>
              <w:t xml:space="preserve"> </w:t>
            </w:r>
            <w:r>
              <w:t>(</w:t>
            </w:r>
            <w:r w:rsidR="00F532DD">
              <w:t>&gt;</w:t>
            </w:r>
            <w:r>
              <w:t>48</w:t>
            </w:r>
            <w:r w:rsidR="00D32DEF">
              <w:rPr>
                <w:spacing w:val="-1"/>
              </w:rPr>
              <w:t> </w:t>
            </w:r>
            <w:r>
              <w:rPr>
                <w:spacing w:val="-4"/>
              </w:rPr>
              <w:t>óra)</w:t>
            </w:r>
          </w:p>
        </w:tc>
      </w:tr>
    </w:tbl>
    <w:p w14:paraId="2D444273" w14:textId="77777777" w:rsidR="00D32DEF" w:rsidRDefault="00D32DEF">
      <w:pPr>
        <w:pStyle w:val="Szvegtrzs"/>
        <w:tabs>
          <w:tab w:val="left" w:pos="567"/>
        </w:tabs>
      </w:pPr>
    </w:p>
    <w:p w14:paraId="7EDF213A" w14:textId="231ADB43" w:rsidR="00945359" w:rsidRDefault="00220A43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invazív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sebészi</w:t>
      </w:r>
      <w:r>
        <w:rPr>
          <w:spacing w:val="-3"/>
        </w:rPr>
        <w:t xml:space="preserve"> </w:t>
      </w:r>
      <w:r>
        <w:t>beavatkozás</w:t>
      </w:r>
      <w:r>
        <w:rPr>
          <w:spacing w:val="-3"/>
        </w:rPr>
        <w:t xml:space="preserve"> </w:t>
      </w:r>
      <w:r>
        <w:t>előtti</w:t>
      </w:r>
      <w:r>
        <w:rPr>
          <w:spacing w:val="-3"/>
        </w:rPr>
        <w:t xml:space="preserve"> </w:t>
      </w:r>
      <w:r>
        <w:t>leállításra</w:t>
      </w:r>
      <w:r>
        <w:rPr>
          <w:spacing w:val="-3"/>
        </w:rPr>
        <w:t xml:space="preserve"> </w:t>
      </w:r>
      <w:r>
        <w:t>vonatkozó</w:t>
      </w:r>
      <w:r>
        <w:rPr>
          <w:spacing w:val="-3"/>
        </w:rPr>
        <w:t xml:space="preserve"> </w:t>
      </w:r>
      <w:r>
        <w:t>szabályokat</w:t>
      </w:r>
      <w:r>
        <w:rPr>
          <w:spacing w:val="-3"/>
        </w:rPr>
        <w:t xml:space="preserve"> </w:t>
      </w:r>
      <w:r>
        <w:t>gyermekeknél</w:t>
      </w:r>
      <w:r>
        <w:rPr>
          <w:spacing w:val="-3"/>
        </w:rPr>
        <w:t xml:space="preserve"> </w:t>
      </w:r>
      <w:r>
        <w:t>és serdülőknél a 8.</w:t>
      </w:r>
      <w:r w:rsidR="00B95CAF">
        <w:t> táblázat</w:t>
      </w:r>
      <w:r>
        <w:t xml:space="preserve"> foglalja össze.</w:t>
      </w:r>
    </w:p>
    <w:p w14:paraId="577F4826" w14:textId="77777777" w:rsidR="00BC10BA" w:rsidRDefault="00BC10BA" w:rsidP="008F5A8D">
      <w:pPr>
        <w:pStyle w:val="Szvegtrzs"/>
        <w:tabs>
          <w:tab w:val="left" w:pos="567"/>
        </w:tabs>
      </w:pPr>
    </w:p>
    <w:p w14:paraId="21AA06BB" w14:textId="585A4FD0" w:rsidR="00945359" w:rsidRPr="00333EE9" w:rsidRDefault="006C2A98" w:rsidP="008F5A8D">
      <w:r w:rsidRPr="008F5A8D">
        <w:rPr>
          <w:b/>
        </w:rPr>
        <w:t>8.</w:t>
      </w:r>
      <w:r w:rsidR="00D32DEF">
        <w:rPr>
          <w:b/>
        </w:rPr>
        <w:t> </w:t>
      </w:r>
      <w:r w:rsidR="00220A43" w:rsidRPr="00511F35">
        <w:rPr>
          <w:b/>
          <w:spacing w:val="-2"/>
        </w:rPr>
        <w:t>táblázat</w:t>
      </w:r>
      <w:r w:rsidRPr="008F5A8D">
        <w:rPr>
          <w:b/>
          <w:spacing w:val="-2"/>
        </w:rPr>
        <w:t>:</w:t>
      </w:r>
      <w:r w:rsidRPr="008F5A8D">
        <w:rPr>
          <w:b/>
        </w:rPr>
        <w:t xml:space="preserve"> </w:t>
      </w:r>
      <w:r w:rsidR="00220A43" w:rsidRPr="008F5A8D">
        <w:rPr>
          <w:b/>
        </w:rPr>
        <w:t>Az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invazív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vagy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sebészi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beavatkozás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előtti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leállításra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vonatkozó</w:t>
      </w:r>
      <w:r w:rsidR="00220A43" w:rsidRPr="008F5A8D">
        <w:rPr>
          <w:b/>
          <w:spacing w:val="-4"/>
        </w:rPr>
        <w:t xml:space="preserve"> </w:t>
      </w:r>
      <w:r w:rsidR="00220A43" w:rsidRPr="008F5A8D">
        <w:rPr>
          <w:b/>
        </w:rPr>
        <w:t>szabályok gyermekeknél és serdülőknél</w:t>
      </w:r>
    </w:p>
    <w:p w14:paraId="12D0F905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432"/>
        <w:gridCol w:w="5628"/>
      </w:tblGrid>
      <w:tr w:rsidR="00945359" w14:paraId="19422E23" w14:textId="77777777" w:rsidTr="008F5A8D">
        <w:trPr>
          <w:trHeight w:val="505"/>
        </w:trPr>
        <w:tc>
          <w:tcPr>
            <w:tcW w:w="3432" w:type="dxa"/>
          </w:tcPr>
          <w:p w14:paraId="75EDFA6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Vesefunkció</w:t>
            </w:r>
          </w:p>
          <w:p w14:paraId="45ACF79F" w14:textId="7F60B59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(eGFR</w:t>
            </w:r>
            <w:r w:rsidR="00294835">
              <w:rPr>
                <w:spacing w:val="-8"/>
              </w:rPr>
              <w:t> ml</w:t>
            </w:r>
            <w:r>
              <w:t>/perc/1,73</w:t>
            </w:r>
            <w:r>
              <w:rPr>
                <w:spacing w:val="-7"/>
              </w:rPr>
              <w:t xml:space="preserve"> </w:t>
            </w:r>
            <w:r>
              <w:t>m</w:t>
            </w:r>
            <w:r>
              <w:rPr>
                <w:vertAlign w:val="superscript"/>
              </w:rPr>
              <w:t>2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értékben)</w:t>
            </w:r>
          </w:p>
        </w:tc>
        <w:tc>
          <w:tcPr>
            <w:tcW w:w="5628" w:type="dxa"/>
          </w:tcPr>
          <w:p w14:paraId="17A4684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Dabigatrán</w:t>
            </w:r>
            <w:r>
              <w:rPr>
                <w:spacing w:val="-8"/>
              </w:rPr>
              <w:t xml:space="preserve"> </w:t>
            </w:r>
            <w:r>
              <w:t>leállítása</w:t>
            </w:r>
            <w:r>
              <w:rPr>
                <w:spacing w:val="-8"/>
              </w:rPr>
              <w:t xml:space="preserve"> </w:t>
            </w:r>
            <w:r>
              <w:t>elektív</w:t>
            </w:r>
            <w:r>
              <w:rPr>
                <w:spacing w:val="-8"/>
              </w:rPr>
              <w:t xml:space="preserve"> </w:t>
            </w:r>
            <w:r>
              <w:t>műtét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előtt</w:t>
            </w:r>
          </w:p>
        </w:tc>
      </w:tr>
      <w:tr w:rsidR="00945359" w14:paraId="49604CF3" w14:textId="77777777" w:rsidTr="008F5A8D">
        <w:trPr>
          <w:trHeight w:val="251"/>
        </w:trPr>
        <w:tc>
          <w:tcPr>
            <w:tcW w:w="3432" w:type="dxa"/>
          </w:tcPr>
          <w:p w14:paraId="1AF0B83A" w14:textId="3C238BCB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5628" w:type="dxa"/>
          </w:tcPr>
          <w:p w14:paraId="1FD855CD" w14:textId="106702C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24</w:t>
            </w:r>
            <w:r w:rsidR="002E2A7B">
              <w:rPr>
                <w:spacing w:val="-3"/>
              </w:rPr>
              <w:t> órá</w:t>
            </w:r>
            <w:r>
              <w:t>val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előtte</w:t>
            </w:r>
          </w:p>
        </w:tc>
      </w:tr>
      <w:tr w:rsidR="00945359" w14:paraId="51759458" w14:textId="77777777" w:rsidTr="008F5A8D">
        <w:trPr>
          <w:trHeight w:val="254"/>
        </w:trPr>
        <w:tc>
          <w:tcPr>
            <w:tcW w:w="3432" w:type="dxa"/>
          </w:tcPr>
          <w:p w14:paraId="0E74D7F4" w14:textId="12FFFE7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50–</w:t>
            </w:r>
            <w:r>
              <w:rPr>
                <w:spacing w:val="-5"/>
              </w:rPr>
              <w:t>80</w:t>
            </w:r>
          </w:p>
        </w:tc>
        <w:tc>
          <w:tcPr>
            <w:tcW w:w="5628" w:type="dxa"/>
          </w:tcPr>
          <w:p w14:paraId="338D5EAB" w14:textId="7CE4E1B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</w:t>
            </w:r>
            <w:r w:rsidR="00294835">
              <w:rPr>
                <w:spacing w:val="-3"/>
              </w:rPr>
              <w:t> nap</w:t>
            </w:r>
            <w:r>
              <w:t>pal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előtte</w:t>
            </w:r>
          </w:p>
        </w:tc>
      </w:tr>
      <w:tr w:rsidR="00945359" w14:paraId="32FEFBFA" w14:textId="77777777" w:rsidTr="008F5A8D">
        <w:trPr>
          <w:trHeight w:val="253"/>
        </w:trPr>
        <w:tc>
          <w:tcPr>
            <w:tcW w:w="3432" w:type="dxa"/>
          </w:tcPr>
          <w:p w14:paraId="26C8E616" w14:textId="73B517CE" w:rsidR="00945359" w:rsidRDefault="00B95CAF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>&lt;</w:t>
            </w:r>
            <w:r w:rsidR="00220A43">
              <w:rPr>
                <w:spacing w:val="-5"/>
              </w:rPr>
              <w:t>50</w:t>
            </w:r>
          </w:p>
        </w:tc>
        <w:tc>
          <w:tcPr>
            <w:tcW w:w="5628" w:type="dxa"/>
          </w:tcPr>
          <w:p w14:paraId="042FA5F9" w14:textId="2F317B2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t>vizsgálták</w:t>
            </w:r>
            <w:r>
              <w:rPr>
                <w:spacing w:val="-6"/>
              </w:rPr>
              <w:t xml:space="preserve"> </w:t>
            </w:r>
            <w:r>
              <w:t>ezeket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betegeket</w:t>
            </w:r>
            <w:r>
              <w:rPr>
                <w:spacing w:val="-5"/>
              </w:rPr>
              <w:t xml:space="preserve"> </w:t>
            </w:r>
            <w:r>
              <w:t>(lásd</w:t>
            </w:r>
            <w:r>
              <w:rPr>
                <w:spacing w:val="-7"/>
              </w:rPr>
              <w:t xml:space="preserve"> </w:t>
            </w:r>
            <w:r>
              <w:t>4.3</w:t>
            </w:r>
            <w:r w:rsidR="00294835">
              <w:rPr>
                <w:spacing w:val="-4"/>
              </w:rPr>
              <w:t> pont</w:t>
            </w:r>
            <w:r>
              <w:rPr>
                <w:spacing w:val="-2"/>
              </w:rPr>
              <w:t>).</w:t>
            </w:r>
          </w:p>
        </w:tc>
      </w:tr>
    </w:tbl>
    <w:p w14:paraId="48658654" w14:textId="77777777" w:rsidR="00B900F2" w:rsidRDefault="00B900F2">
      <w:pPr>
        <w:tabs>
          <w:tab w:val="left" w:pos="567"/>
        </w:tabs>
        <w:rPr>
          <w:i/>
          <w:u w:val="single"/>
        </w:rPr>
      </w:pPr>
    </w:p>
    <w:p w14:paraId="7B157A56" w14:textId="1A3250F1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Spinalis</w:t>
      </w:r>
      <w:r>
        <w:rPr>
          <w:i/>
          <w:spacing w:val="-11"/>
          <w:u w:val="single"/>
        </w:rPr>
        <w:t xml:space="preserve"> </w:t>
      </w:r>
      <w:r>
        <w:rPr>
          <w:i/>
          <w:u w:val="single"/>
        </w:rPr>
        <w:t>anaesthesia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/</w:t>
      </w:r>
      <w:r w:rsidR="00D32DEF">
        <w:rPr>
          <w:i/>
          <w:u w:val="single"/>
        </w:rPr>
        <w:t xml:space="preserve"> </w:t>
      </w:r>
      <w:r>
        <w:rPr>
          <w:i/>
          <w:u w:val="single"/>
        </w:rPr>
        <w:t>epiduralis</w:t>
      </w:r>
      <w:r>
        <w:rPr>
          <w:i/>
          <w:spacing w:val="-10"/>
          <w:u w:val="single"/>
        </w:rPr>
        <w:t xml:space="preserve"> </w:t>
      </w:r>
      <w:r>
        <w:rPr>
          <w:i/>
          <w:u w:val="single"/>
        </w:rPr>
        <w:t>anaesthesia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/</w:t>
      </w:r>
      <w:r w:rsidR="00D32DEF">
        <w:rPr>
          <w:i/>
          <w:spacing w:val="-2"/>
          <w:u w:val="single"/>
        </w:rPr>
        <w:t xml:space="preserve"> </w:t>
      </w:r>
      <w:r>
        <w:rPr>
          <w:i/>
          <w:spacing w:val="-2"/>
          <w:u w:val="single"/>
        </w:rPr>
        <w:t>lumbalpunctio</w:t>
      </w:r>
    </w:p>
    <w:p w14:paraId="4F852F67" w14:textId="77777777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beavatkozások</w:t>
      </w:r>
      <w:r>
        <w:rPr>
          <w:spacing w:val="-3"/>
        </w:rPr>
        <w:t xml:space="preserve"> </w:t>
      </w:r>
      <w:r>
        <w:t>esetén,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spinalis</w:t>
      </w:r>
      <w:r>
        <w:rPr>
          <w:spacing w:val="-3"/>
        </w:rPr>
        <w:t xml:space="preserve"> </w:t>
      </w:r>
      <w:r>
        <w:t>anaesthesia,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haemostasis</w:t>
      </w:r>
      <w:r>
        <w:rPr>
          <w:spacing w:val="-3"/>
        </w:rPr>
        <w:t xml:space="preserve"> </w:t>
      </w:r>
      <w:r>
        <w:t>rendszer</w:t>
      </w:r>
      <w:r>
        <w:rPr>
          <w:spacing w:val="-3"/>
        </w:rPr>
        <w:t xml:space="preserve"> </w:t>
      </w:r>
      <w:r>
        <w:t>teljes</w:t>
      </w:r>
      <w:r>
        <w:rPr>
          <w:spacing w:val="-3"/>
        </w:rPr>
        <w:t xml:space="preserve"> </w:t>
      </w:r>
      <w:r>
        <w:t>működésére szükség lehet.</w:t>
      </w:r>
    </w:p>
    <w:p w14:paraId="43786361" w14:textId="184F44B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spinalis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epiduralis</w:t>
      </w:r>
      <w:r>
        <w:rPr>
          <w:spacing w:val="-3"/>
        </w:rPr>
        <w:t xml:space="preserve"> </w:t>
      </w:r>
      <w:r>
        <w:t>haematoma</w:t>
      </w:r>
      <w:r>
        <w:rPr>
          <w:spacing w:val="-3"/>
        </w:rPr>
        <w:t xml:space="preserve"> </w:t>
      </w:r>
      <w:r>
        <w:t>veszélye</w:t>
      </w:r>
      <w:r>
        <w:rPr>
          <w:spacing w:val="-3"/>
        </w:rPr>
        <w:t xml:space="preserve"> </w:t>
      </w:r>
      <w:r>
        <w:t>fokozott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traumás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ismételt</w:t>
      </w:r>
      <w:r>
        <w:rPr>
          <w:spacing w:val="-3"/>
        </w:rPr>
        <w:t xml:space="preserve"> </w:t>
      </w:r>
      <w:r>
        <w:t>punctio,</w:t>
      </w:r>
      <w:r>
        <w:rPr>
          <w:spacing w:val="-3"/>
        </w:rPr>
        <w:t xml:space="preserve"> </w:t>
      </w:r>
      <w:r>
        <w:t>valamint epiduralis kanülök tartós alkalmazása esetén. A kanül eltávolítása után legalább 2</w:t>
      </w:r>
      <w:r w:rsidR="002E2A7B">
        <w:t> órá</w:t>
      </w:r>
      <w:r>
        <w:t>nak kell eltelnie</w:t>
      </w:r>
      <w:r>
        <w:rPr>
          <w:spacing w:val="40"/>
        </w:rPr>
        <w:t xml:space="preserve"> </w:t>
      </w:r>
      <w:r>
        <w:t>a dabigatrán-etexilát első dózisának a beadásáig. Ezeknél a betegeknél gyakran kell ellenőrizni a spinalis vagy epiduralis haematoma neurológiai jeleit és tüneteit.</w:t>
      </w:r>
    </w:p>
    <w:p w14:paraId="48BAF2F9" w14:textId="77777777" w:rsidR="00B900F2" w:rsidRDefault="00B900F2">
      <w:pPr>
        <w:tabs>
          <w:tab w:val="left" w:pos="567"/>
        </w:tabs>
        <w:rPr>
          <w:i/>
          <w:u w:val="single"/>
        </w:rPr>
      </w:pPr>
    </w:p>
    <w:p w14:paraId="7C894C5D" w14:textId="741A0024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Posztoper</w:t>
      </w:r>
      <w:r w:rsidR="00D32DEF">
        <w:rPr>
          <w:i/>
          <w:u w:val="single"/>
        </w:rPr>
        <w:t>a</w:t>
      </w:r>
      <w:r>
        <w:rPr>
          <w:i/>
          <w:u w:val="single"/>
        </w:rPr>
        <w:t>tív</w:t>
      </w:r>
      <w:r>
        <w:rPr>
          <w:i/>
          <w:spacing w:val="-12"/>
          <w:u w:val="single"/>
        </w:rPr>
        <w:t xml:space="preserve"> </w:t>
      </w:r>
      <w:r>
        <w:rPr>
          <w:i/>
          <w:spacing w:val="-2"/>
          <w:u w:val="single"/>
        </w:rPr>
        <w:t>időszak</w:t>
      </w:r>
    </w:p>
    <w:p w14:paraId="49C358A9" w14:textId="340BF261" w:rsidR="00945359" w:rsidRDefault="00220A43" w:rsidP="008F5A8D">
      <w:pPr>
        <w:pStyle w:val="Szvegtrzs"/>
        <w:tabs>
          <w:tab w:val="left" w:pos="567"/>
        </w:tabs>
      </w:pPr>
      <w:r>
        <w:t xml:space="preserve">Invazív eljárást vagy sebészi beavatkozást követően a </w:t>
      </w:r>
      <w:r w:rsidR="00067923">
        <w:t>dabigatrán-etexilát-kezelés</w:t>
      </w:r>
      <w:r>
        <w:t>t olyan hamar kell folytatni/újrakezdeni,</w:t>
      </w:r>
      <w:r>
        <w:rPr>
          <w:spacing w:val="-3"/>
        </w:rPr>
        <w:t xml:space="preserve"> </w:t>
      </w:r>
      <w:r>
        <w:t>amennyire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helyzet</w:t>
      </w:r>
      <w:r>
        <w:rPr>
          <w:spacing w:val="-3"/>
        </w:rPr>
        <w:t xml:space="preserve"> </w:t>
      </w:r>
      <w:r>
        <w:t>megengedi,</w:t>
      </w:r>
      <w:r>
        <w:rPr>
          <w:spacing w:val="-3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amikor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adekvát</w:t>
      </w:r>
      <w:r>
        <w:rPr>
          <w:spacing w:val="-3"/>
        </w:rPr>
        <w:t xml:space="preserve"> </w:t>
      </w:r>
      <w:r>
        <w:t xml:space="preserve">haemostasis </w:t>
      </w:r>
      <w:r>
        <w:rPr>
          <w:spacing w:val="-2"/>
        </w:rPr>
        <w:t>kialakult.</w:t>
      </w:r>
    </w:p>
    <w:p w14:paraId="662D28C1" w14:textId="77777777" w:rsidR="00945359" w:rsidRDefault="00945359" w:rsidP="008F5A8D">
      <w:pPr>
        <w:pStyle w:val="Szvegtrzs"/>
        <w:tabs>
          <w:tab w:val="left" w:pos="567"/>
        </w:tabs>
      </w:pPr>
    </w:p>
    <w:p w14:paraId="6D815A63" w14:textId="01F5F9B6" w:rsidR="00945359" w:rsidRDefault="003811EA">
      <w:pPr>
        <w:pStyle w:val="Szvegtrzs"/>
        <w:tabs>
          <w:tab w:val="left" w:pos="567"/>
        </w:tabs>
      </w:pPr>
      <w:r>
        <w:t>Elővigyáz</w:t>
      </w:r>
      <w:r w:rsidR="00220A43">
        <w:t>atosan</w:t>
      </w:r>
      <w:r w:rsidR="00220A43">
        <w:rPr>
          <w:spacing w:val="-4"/>
        </w:rPr>
        <w:t xml:space="preserve"> </w:t>
      </w:r>
      <w:r w:rsidR="00220A43">
        <w:t>kell</w:t>
      </w:r>
      <w:r w:rsidR="00220A43">
        <w:rPr>
          <w:spacing w:val="-4"/>
        </w:rPr>
        <w:t xml:space="preserve"> </w:t>
      </w:r>
      <w:r w:rsidR="00220A43">
        <w:t>kezelni</w:t>
      </w:r>
      <w:r w:rsidR="00220A43">
        <w:rPr>
          <w:spacing w:val="-4"/>
        </w:rPr>
        <w:t xml:space="preserve"> </w:t>
      </w:r>
      <w:r w:rsidR="00220A43">
        <w:t>a</w:t>
      </w:r>
      <w:r w:rsidR="00220A43">
        <w:rPr>
          <w:spacing w:val="-4"/>
        </w:rPr>
        <w:t xml:space="preserve"> </w:t>
      </w:r>
      <w:r w:rsidR="00220A43">
        <w:t>vérzésveszélynek</w:t>
      </w:r>
      <w:r w:rsidR="00220A43">
        <w:rPr>
          <w:spacing w:val="-4"/>
        </w:rPr>
        <w:t xml:space="preserve"> </w:t>
      </w:r>
      <w:r w:rsidR="00220A43">
        <w:t>vagy</w:t>
      </w:r>
      <w:r w:rsidR="00220A43">
        <w:rPr>
          <w:spacing w:val="-4"/>
        </w:rPr>
        <w:t xml:space="preserve"> </w:t>
      </w:r>
      <w:r w:rsidR="00220A43">
        <w:t>túlzott</w:t>
      </w:r>
      <w:r w:rsidR="00220A43">
        <w:rPr>
          <w:spacing w:val="-4"/>
        </w:rPr>
        <w:t xml:space="preserve"> </w:t>
      </w:r>
      <w:r w:rsidR="00220A43">
        <w:t>expozíciónak</w:t>
      </w:r>
      <w:r w:rsidR="00220A43">
        <w:rPr>
          <w:spacing w:val="-4"/>
        </w:rPr>
        <w:t xml:space="preserve"> </w:t>
      </w:r>
      <w:r w:rsidR="00220A43">
        <w:t>kitett</w:t>
      </w:r>
      <w:r w:rsidR="00220A43">
        <w:rPr>
          <w:spacing w:val="-4"/>
        </w:rPr>
        <w:t xml:space="preserve"> </w:t>
      </w:r>
      <w:r w:rsidR="00220A43">
        <w:t>(nevezetesen vesekárosodásban szenvedő) (lásd még 5.</w:t>
      </w:r>
      <w:r w:rsidR="00B95CAF">
        <w:t> táblázat</w:t>
      </w:r>
      <w:r w:rsidR="00220A43">
        <w:t>) betegeket (lásd 4.4 és 5.1</w:t>
      </w:r>
      <w:r w:rsidR="00294835">
        <w:t> pont</w:t>
      </w:r>
      <w:r w:rsidR="00220A43">
        <w:t>).</w:t>
      </w:r>
    </w:p>
    <w:p w14:paraId="7B971642" w14:textId="77777777" w:rsidR="00333EE9" w:rsidRDefault="00333EE9" w:rsidP="008F5A8D">
      <w:pPr>
        <w:pStyle w:val="Szvegtrzs"/>
        <w:tabs>
          <w:tab w:val="left" w:pos="567"/>
        </w:tabs>
      </w:pPr>
    </w:p>
    <w:p w14:paraId="167585D9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Nagy</w:t>
      </w:r>
      <w:r>
        <w:rPr>
          <w:spacing w:val="-4"/>
          <w:u w:val="single"/>
        </w:rPr>
        <w:t xml:space="preserve"> </w:t>
      </w:r>
      <w:r>
        <w:rPr>
          <w:u w:val="single"/>
        </w:rPr>
        <w:t>műtéti</w:t>
      </w:r>
      <w:r>
        <w:rPr>
          <w:spacing w:val="-4"/>
          <w:u w:val="single"/>
        </w:rPr>
        <w:t xml:space="preserve"> </w:t>
      </w:r>
      <w:r>
        <w:rPr>
          <w:u w:val="single"/>
        </w:rPr>
        <w:t>mortalitási</w:t>
      </w:r>
      <w:r>
        <w:rPr>
          <w:spacing w:val="-4"/>
          <w:u w:val="single"/>
        </w:rPr>
        <w:t xml:space="preserve"> </w:t>
      </w:r>
      <w:r>
        <w:rPr>
          <w:u w:val="single"/>
        </w:rPr>
        <w:t>kockázatú</w:t>
      </w:r>
      <w:r>
        <w:rPr>
          <w:spacing w:val="-4"/>
          <w:u w:val="single"/>
        </w:rPr>
        <w:t xml:space="preserve"> </w:t>
      </w:r>
      <w:r>
        <w:rPr>
          <w:u w:val="single"/>
        </w:rPr>
        <w:t>és</w:t>
      </w:r>
      <w:r>
        <w:rPr>
          <w:spacing w:val="-4"/>
          <w:u w:val="single"/>
        </w:rPr>
        <w:t xml:space="preserve"> </w:t>
      </w:r>
      <w:r>
        <w:rPr>
          <w:u w:val="single"/>
        </w:rPr>
        <w:t>thromboemboliás</w:t>
      </w:r>
      <w:r>
        <w:rPr>
          <w:spacing w:val="-4"/>
          <w:u w:val="single"/>
        </w:rPr>
        <w:t xml:space="preserve"> </w:t>
      </w:r>
      <w:r>
        <w:rPr>
          <w:u w:val="single"/>
        </w:rPr>
        <w:t>eseményre</w:t>
      </w:r>
      <w:r>
        <w:rPr>
          <w:spacing w:val="-4"/>
          <w:u w:val="single"/>
        </w:rPr>
        <w:t xml:space="preserve"> </w:t>
      </w:r>
      <w:r>
        <w:rPr>
          <w:u w:val="single"/>
        </w:rPr>
        <w:t>hajlamosító</w:t>
      </w:r>
      <w:r>
        <w:rPr>
          <w:spacing w:val="-4"/>
          <w:u w:val="single"/>
        </w:rPr>
        <w:t xml:space="preserve"> </w:t>
      </w:r>
      <w:r>
        <w:rPr>
          <w:u w:val="single"/>
        </w:rPr>
        <w:t>intrinsic</w:t>
      </w:r>
      <w:r>
        <w:rPr>
          <w:spacing w:val="-4"/>
          <w:u w:val="single"/>
        </w:rPr>
        <w:t xml:space="preserve"> </w:t>
      </w:r>
      <w:r>
        <w:rPr>
          <w:u w:val="single"/>
        </w:rPr>
        <w:t>rizikófaktorral</w:t>
      </w:r>
      <w:r>
        <w:t xml:space="preserve"> </w:t>
      </w:r>
      <w:r>
        <w:rPr>
          <w:u w:val="single"/>
        </w:rPr>
        <w:t>rendelkező betegek</w:t>
      </w:r>
    </w:p>
    <w:p w14:paraId="52326306" w14:textId="54797C87" w:rsidR="00945359" w:rsidRDefault="00220A43">
      <w:pPr>
        <w:pStyle w:val="Szvegtrzs"/>
        <w:tabs>
          <w:tab w:val="left" w:pos="567"/>
        </w:tabs>
      </w:pPr>
      <w:r>
        <w:t>Ezen</w:t>
      </w:r>
      <w:r>
        <w:rPr>
          <w:spacing w:val="-4"/>
        </w:rPr>
        <w:t xml:space="preserve"> </w:t>
      </w:r>
      <w:r>
        <w:t>betegekre</w:t>
      </w:r>
      <w:r>
        <w:rPr>
          <w:spacing w:val="-4"/>
        </w:rPr>
        <w:t xml:space="preserve"> </w:t>
      </w:r>
      <w:r>
        <w:t>vonatkozóan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5"/>
        </w:rPr>
        <w:t xml:space="preserve"> </w:t>
      </w:r>
      <w:r>
        <w:t>hatásosságára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biztonságosságára</w:t>
      </w:r>
      <w:r>
        <w:rPr>
          <w:spacing w:val="-4"/>
        </w:rPr>
        <w:t xml:space="preserve"> </w:t>
      </w:r>
      <w:r>
        <w:t xml:space="preserve">vonatkozó adatok korlátozottak, ezért csak </w:t>
      </w:r>
      <w:r w:rsidR="003811EA">
        <w:t>kellő óvatossággal</w:t>
      </w:r>
      <w:r>
        <w:t xml:space="preserve"> kezelhetők.</w:t>
      </w:r>
    </w:p>
    <w:p w14:paraId="34502739" w14:textId="77777777" w:rsidR="00B900F2" w:rsidRDefault="00B900F2" w:rsidP="008F5A8D">
      <w:pPr>
        <w:pStyle w:val="Szvegtrzs"/>
        <w:tabs>
          <w:tab w:val="left" w:pos="567"/>
        </w:tabs>
      </w:pPr>
    </w:p>
    <w:p w14:paraId="720DC627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Csípőtáji</w:t>
      </w:r>
      <w:r>
        <w:rPr>
          <w:spacing w:val="-7"/>
          <w:u w:val="single"/>
        </w:rPr>
        <w:t xml:space="preserve"> </w:t>
      </w:r>
      <w:r>
        <w:rPr>
          <w:u w:val="single"/>
        </w:rPr>
        <w:t>törés</w:t>
      </w:r>
      <w:r>
        <w:rPr>
          <w:spacing w:val="-7"/>
          <w:u w:val="single"/>
        </w:rPr>
        <w:t xml:space="preserve"> </w:t>
      </w:r>
      <w:r>
        <w:rPr>
          <w:u w:val="single"/>
        </w:rPr>
        <w:t>műtéti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kezelése</w:t>
      </w:r>
    </w:p>
    <w:p w14:paraId="2C027EB7" w14:textId="77777777" w:rsidR="00945359" w:rsidRDefault="00220A43">
      <w:pPr>
        <w:pStyle w:val="Szvegtrzs"/>
        <w:tabs>
          <w:tab w:val="left" w:pos="567"/>
        </w:tabs>
      </w:pPr>
      <w:r>
        <w:t>Nincs</w:t>
      </w:r>
      <w:r>
        <w:rPr>
          <w:spacing w:val="-3"/>
        </w:rPr>
        <w:t xml:space="preserve"> </w:t>
      </w:r>
      <w:r>
        <w:t>adat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csípőtáji</w:t>
      </w:r>
      <w:r>
        <w:rPr>
          <w:spacing w:val="-3"/>
        </w:rPr>
        <w:t xml:space="preserve"> </w:t>
      </w:r>
      <w:r>
        <w:t>törés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műtétre</w:t>
      </w:r>
      <w:r>
        <w:rPr>
          <w:spacing w:val="-3"/>
        </w:rPr>
        <w:t xml:space="preserve"> </w:t>
      </w:r>
      <w:r>
        <w:t>kerülő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alkalmazására vonatkozóan. Ezért ez a kezelés nem javasolt.</w:t>
      </w:r>
    </w:p>
    <w:p w14:paraId="371A4487" w14:textId="77777777" w:rsidR="00B900F2" w:rsidRDefault="00B900F2" w:rsidP="008F5A8D">
      <w:pPr>
        <w:pStyle w:val="Szvegtrzs"/>
        <w:tabs>
          <w:tab w:val="left" w:pos="567"/>
        </w:tabs>
      </w:pPr>
    </w:p>
    <w:p w14:paraId="76C3FFA7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Májkárosodás</w:t>
      </w:r>
    </w:p>
    <w:p w14:paraId="518CDBCF" w14:textId="0B1FE295" w:rsidR="00945359" w:rsidRDefault="00220A43" w:rsidP="008F5A8D">
      <w:pPr>
        <w:pStyle w:val="Szvegtrzs"/>
        <w:tabs>
          <w:tab w:val="left" w:pos="567"/>
        </w:tabs>
      </w:pPr>
      <w:r>
        <w:t>A fő vizsgálatokból kizárták azokat a betegeket, akiknek a májenzimértékei a normálérték felső határának</w:t>
      </w:r>
      <w:r>
        <w:rPr>
          <w:spacing w:val="-3"/>
        </w:rPr>
        <w:t xml:space="preserve"> </w:t>
      </w:r>
      <w:r>
        <w:t>(ULN)</w:t>
      </w:r>
      <w:r>
        <w:rPr>
          <w:spacing w:val="-3"/>
        </w:rPr>
        <w:t xml:space="preserve"> </w:t>
      </w:r>
      <w:r>
        <w:t>kétszeresét</w:t>
      </w:r>
      <w:r>
        <w:rPr>
          <w:spacing w:val="-3"/>
        </w:rPr>
        <w:t xml:space="preserve"> </w:t>
      </w:r>
      <w:r>
        <w:t>meghaladták.</w:t>
      </w:r>
      <w:r>
        <w:rPr>
          <w:spacing w:val="-3"/>
        </w:rPr>
        <w:t xml:space="preserve"> </w:t>
      </w:r>
      <w:r>
        <w:t>Ebben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betegalcsoportban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áll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klinikai vizsgálati tapasztalat, ezért a dabigatrán-etexilát alkalmazása ebben a betegcsoportban nem javasolt. Kontraindikációt jelent bármilyen májkárosodás vagy májbetegség, aminek várhatóan hatása lehet a túlélésre (lásd 4.3</w:t>
      </w:r>
      <w:r w:rsidR="00294835">
        <w:t> pont</w:t>
      </w:r>
      <w:r>
        <w:t>).</w:t>
      </w:r>
    </w:p>
    <w:p w14:paraId="699B26E2" w14:textId="77777777" w:rsidR="00B900F2" w:rsidRDefault="00B900F2">
      <w:pPr>
        <w:pStyle w:val="Szvegtrzs"/>
        <w:tabs>
          <w:tab w:val="left" w:pos="567"/>
        </w:tabs>
        <w:rPr>
          <w:u w:val="single"/>
        </w:rPr>
      </w:pPr>
    </w:p>
    <w:p w14:paraId="23D976CF" w14:textId="2BF2F7D6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Interakció</w:t>
      </w:r>
      <w:r>
        <w:rPr>
          <w:spacing w:val="-6"/>
          <w:u w:val="single"/>
        </w:rPr>
        <w:t xml:space="preserve"> </w:t>
      </w:r>
      <w:r>
        <w:rPr>
          <w:u w:val="single"/>
        </w:rPr>
        <w:t>P</w:t>
      </w:r>
      <w:r w:rsidR="00B95CAF">
        <w:rPr>
          <w:u w:val="single"/>
        </w:rPr>
        <w:t>-gp-in</w:t>
      </w:r>
      <w:r>
        <w:rPr>
          <w:spacing w:val="-2"/>
          <w:u w:val="single"/>
        </w:rPr>
        <w:t>duktorokkal</w:t>
      </w:r>
    </w:p>
    <w:p w14:paraId="336DB9EF" w14:textId="633FFE8E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P</w:t>
      </w:r>
      <w:r w:rsidR="00B95CAF">
        <w:t>-gp-in</w:t>
      </w:r>
      <w:r>
        <w:t>duktorok</w:t>
      </w:r>
      <w:r>
        <w:rPr>
          <w:spacing w:val="-4"/>
        </w:rPr>
        <w:t xml:space="preserve"> </w:t>
      </w:r>
      <w:r>
        <w:t>egyidejű</w:t>
      </w:r>
      <w:r>
        <w:rPr>
          <w:spacing w:val="-4"/>
        </w:rPr>
        <w:t xml:space="preserve"> </w:t>
      </w:r>
      <w:r>
        <w:t>adása</w:t>
      </w:r>
      <w:r>
        <w:rPr>
          <w:spacing w:val="-4"/>
        </w:rPr>
        <w:t xml:space="preserve"> </w:t>
      </w:r>
      <w:r>
        <w:t>várhatóan</w:t>
      </w:r>
      <w:r>
        <w:rPr>
          <w:spacing w:val="-4"/>
        </w:rPr>
        <w:t xml:space="preserve"> </w:t>
      </w:r>
      <w:r>
        <w:t>csökkenti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</w:t>
      </w:r>
      <w:r>
        <w:rPr>
          <w:spacing w:val="-4"/>
        </w:rPr>
        <w:t xml:space="preserve"> </w:t>
      </w:r>
      <w:r>
        <w:t>plazmakoncentráció</w:t>
      </w:r>
      <w:r w:rsidR="00D32DEF">
        <w:t>já</w:t>
      </w:r>
      <w:r>
        <w:t>t,</w:t>
      </w:r>
      <w:r>
        <w:rPr>
          <w:spacing w:val="-4"/>
        </w:rPr>
        <w:t xml:space="preserve"> </w:t>
      </w:r>
      <w:r>
        <w:t>ezért együttadásukat kerülni kell (lásd 4.5 és 5.2</w:t>
      </w:r>
      <w:r w:rsidR="00294835">
        <w:t> pont</w:t>
      </w:r>
      <w:r>
        <w:t>).</w:t>
      </w:r>
    </w:p>
    <w:p w14:paraId="1382D986" w14:textId="77777777" w:rsidR="00945359" w:rsidRDefault="00945359" w:rsidP="008F5A8D">
      <w:pPr>
        <w:pStyle w:val="Szvegtrzs"/>
        <w:tabs>
          <w:tab w:val="left" w:pos="567"/>
        </w:tabs>
      </w:pPr>
    </w:p>
    <w:p w14:paraId="0495D92D" w14:textId="43ABAA33" w:rsidR="00B900F2" w:rsidRPr="008F5A8D" w:rsidRDefault="00220A43" w:rsidP="008F5A8D">
      <w:pPr>
        <w:pStyle w:val="Szvegtrzs"/>
        <w:tabs>
          <w:tab w:val="left" w:pos="567"/>
        </w:tabs>
        <w:rPr>
          <w:spacing w:val="-2"/>
          <w:u w:val="single"/>
        </w:rPr>
      </w:pPr>
      <w:r>
        <w:rPr>
          <w:u w:val="single"/>
        </w:rPr>
        <w:t>Antifoszfolipid</w:t>
      </w:r>
      <w:r>
        <w:rPr>
          <w:spacing w:val="-12"/>
          <w:u w:val="single"/>
        </w:rPr>
        <w:t xml:space="preserve"> </w:t>
      </w:r>
      <w:r>
        <w:rPr>
          <w:u w:val="single"/>
        </w:rPr>
        <w:t>szindrómában</w:t>
      </w:r>
      <w:r>
        <w:rPr>
          <w:spacing w:val="-12"/>
          <w:u w:val="single"/>
        </w:rPr>
        <w:t xml:space="preserve"> </w:t>
      </w:r>
      <w:r>
        <w:rPr>
          <w:u w:val="single"/>
        </w:rPr>
        <w:t>szenvedő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betegek</w:t>
      </w:r>
    </w:p>
    <w:p w14:paraId="25FEC051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direkt</w:t>
      </w:r>
      <w:r>
        <w:rPr>
          <w:spacing w:val="-3"/>
        </w:rPr>
        <w:t xml:space="preserve"> </w:t>
      </w:r>
      <w:r>
        <w:t>hatású</w:t>
      </w:r>
      <w:r>
        <w:rPr>
          <w:spacing w:val="-3"/>
        </w:rPr>
        <w:t xml:space="preserve"> </w:t>
      </w:r>
      <w:r>
        <w:t>orális</w:t>
      </w:r>
      <w:r>
        <w:rPr>
          <w:spacing w:val="-3"/>
        </w:rPr>
        <w:t xml:space="preserve"> </w:t>
      </w:r>
      <w:r>
        <w:t>antikoagulánsok</w:t>
      </w:r>
      <w:r>
        <w:rPr>
          <w:spacing w:val="-3"/>
        </w:rPr>
        <w:t xml:space="preserve"> </w:t>
      </w:r>
      <w:r>
        <w:t>(DOAC),</w:t>
      </w:r>
      <w:r>
        <w:rPr>
          <w:spacing w:val="-3"/>
        </w:rPr>
        <w:t xml:space="preserve"> </w:t>
      </w:r>
      <w:r>
        <w:t>köztük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dabigatrán-etexilát,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javasoltak</w:t>
      </w:r>
      <w:r>
        <w:rPr>
          <w:spacing w:val="-3"/>
        </w:rPr>
        <w:t xml:space="preserve"> </w:t>
      </w:r>
      <w:r>
        <w:t>olyan, korábban thrombosison átesett betegeknél, akiknél antifoszfolipid szindrómát diagnosztizáltak.</w:t>
      </w:r>
    </w:p>
    <w:p w14:paraId="3924B94B" w14:textId="77777777" w:rsidR="00945359" w:rsidRDefault="00220A43" w:rsidP="008F5A8D">
      <w:pPr>
        <w:pStyle w:val="Szvegtrzs"/>
        <w:tabs>
          <w:tab w:val="left" w:pos="567"/>
        </w:tabs>
      </w:pPr>
      <w:r>
        <w:t>Különösen</w:t>
      </w:r>
      <w:r>
        <w:rPr>
          <w:spacing w:val="-12"/>
        </w:rPr>
        <w:t xml:space="preserve"> </w:t>
      </w:r>
      <w:r>
        <w:t>azon</w:t>
      </w:r>
      <w:r>
        <w:rPr>
          <w:spacing w:val="-9"/>
        </w:rPr>
        <w:t xml:space="preserve"> </w:t>
      </w:r>
      <w:r>
        <w:t>betegeknél,</w:t>
      </w:r>
      <w:r>
        <w:rPr>
          <w:spacing w:val="-9"/>
        </w:rPr>
        <w:t xml:space="preserve"> </w:t>
      </w:r>
      <w:r>
        <w:t>akik</w:t>
      </w:r>
      <w:r>
        <w:rPr>
          <w:spacing w:val="-9"/>
        </w:rPr>
        <w:t xml:space="preserve"> </w:t>
      </w:r>
      <w:r>
        <w:t>mindhárom</w:t>
      </w:r>
      <w:r>
        <w:rPr>
          <w:spacing w:val="-9"/>
        </w:rPr>
        <w:t xml:space="preserve"> </w:t>
      </w:r>
      <w:r>
        <w:t>antifoszfolipid</w:t>
      </w:r>
      <w:r>
        <w:rPr>
          <w:spacing w:val="-9"/>
        </w:rPr>
        <w:t xml:space="preserve"> </w:t>
      </w:r>
      <w:r>
        <w:t>vizsgálatra</w:t>
      </w:r>
      <w:r>
        <w:rPr>
          <w:spacing w:val="-9"/>
        </w:rPr>
        <w:t xml:space="preserve"> </w:t>
      </w:r>
      <w:r>
        <w:t>pozitívnak</w:t>
      </w:r>
      <w:r>
        <w:rPr>
          <w:spacing w:val="-9"/>
        </w:rPr>
        <w:t xml:space="preserve"> </w:t>
      </w:r>
      <w:r>
        <w:rPr>
          <w:spacing w:val="-2"/>
        </w:rPr>
        <w:t>bizonyultak</w:t>
      </w:r>
    </w:p>
    <w:p w14:paraId="08906F10" w14:textId="1A1C1C8C" w:rsidR="00945359" w:rsidRDefault="00220A43" w:rsidP="008F5A8D">
      <w:pPr>
        <w:pStyle w:val="Szvegtrzs"/>
        <w:tabs>
          <w:tab w:val="left" w:pos="567"/>
        </w:tabs>
      </w:pPr>
      <w:r>
        <w:t>(lupusz</w:t>
      </w:r>
      <w:r>
        <w:rPr>
          <w:spacing w:val="-4"/>
        </w:rPr>
        <w:t xml:space="preserve"> </w:t>
      </w:r>
      <w:r>
        <w:t>antikoaguláns,</w:t>
      </w:r>
      <w:r>
        <w:rPr>
          <w:spacing w:val="-4"/>
        </w:rPr>
        <w:t xml:space="preserve"> </w:t>
      </w:r>
      <w:r>
        <w:t>antikardiolipin</w:t>
      </w:r>
      <w:r>
        <w:rPr>
          <w:spacing w:val="-4"/>
        </w:rPr>
        <w:t xml:space="preserve"> </w:t>
      </w:r>
      <w:r>
        <w:t>antitestek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anti</w:t>
      </w:r>
      <w:r>
        <w:rPr>
          <w:rFonts w:ascii="Verdana" w:hAnsi="Verdana"/>
          <w:sz w:val="20"/>
        </w:rPr>
        <w:t>-</w:t>
      </w:r>
      <w:r>
        <w:t>béta</w:t>
      </w:r>
      <w:r>
        <w:rPr>
          <w:rFonts w:ascii="Verdana" w:hAnsi="Verdana"/>
          <w:sz w:val="20"/>
        </w:rPr>
        <w:t>-</w:t>
      </w:r>
      <w:r>
        <w:t>2-glikoprotein</w:t>
      </w:r>
      <w:r>
        <w:rPr>
          <w:rFonts w:ascii="Verdana" w:hAnsi="Verdana"/>
          <w:sz w:val="20"/>
        </w:rPr>
        <w:t>-</w:t>
      </w:r>
      <w:r>
        <w:t>I</w:t>
      </w:r>
      <w:r w:rsidR="00CA14F7">
        <w:rPr>
          <w:spacing w:val="-4"/>
        </w:rPr>
        <w:t>-</w:t>
      </w:r>
      <w:r>
        <w:t>antitestek)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DOAC- terápia az ismételt </w:t>
      </w:r>
      <w:r w:rsidR="00D32DEF">
        <w:t>thromboticus</w:t>
      </w:r>
      <w:r>
        <w:t xml:space="preserve"> események </w:t>
      </w:r>
      <w:r w:rsidR="00D32DEF">
        <w:t>nagyobb</w:t>
      </w:r>
      <w:r>
        <w:t xml:space="preserve"> gyakoriságával társulhat összehasonlítva a K-</w:t>
      </w:r>
      <w:r w:rsidR="00B95CAF">
        <w:t>vitamin-ant</w:t>
      </w:r>
      <w:r>
        <w:t>agonista</w:t>
      </w:r>
      <w:r w:rsidR="00D32DEF">
        <w:t>-</w:t>
      </w:r>
      <w:r>
        <w:t>kezeléssel.</w:t>
      </w:r>
    </w:p>
    <w:p w14:paraId="2801732F" w14:textId="77777777" w:rsidR="00945359" w:rsidRDefault="00945359" w:rsidP="008F5A8D">
      <w:pPr>
        <w:pStyle w:val="Szvegtrzs"/>
        <w:tabs>
          <w:tab w:val="left" w:pos="567"/>
        </w:tabs>
      </w:pPr>
    </w:p>
    <w:p w14:paraId="5AAC98A8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Myocardialis</w:t>
      </w:r>
      <w:r>
        <w:rPr>
          <w:spacing w:val="-11"/>
          <w:u w:val="single"/>
        </w:rPr>
        <w:t xml:space="preserve"> </w:t>
      </w:r>
      <w:r>
        <w:rPr>
          <w:u w:val="single"/>
        </w:rPr>
        <w:t>infarctus</w:t>
      </w:r>
      <w:r>
        <w:rPr>
          <w:spacing w:val="-10"/>
          <w:u w:val="single"/>
        </w:rPr>
        <w:t xml:space="preserve"> </w:t>
      </w:r>
      <w:r>
        <w:rPr>
          <w:spacing w:val="-4"/>
          <w:u w:val="single"/>
        </w:rPr>
        <w:t>(MI)</w:t>
      </w:r>
    </w:p>
    <w:p w14:paraId="2338FBB4" w14:textId="3EC0CCBC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III.</w:t>
      </w:r>
      <w:r w:rsidR="00294835">
        <w:rPr>
          <w:spacing w:val="-1"/>
        </w:rPr>
        <w:t> fázis</w:t>
      </w:r>
      <w:r>
        <w:t>ú</w:t>
      </w:r>
      <w:r>
        <w:rPr>
          <w:spacing w:val="-1"/>
        </w:rPr>
        <w:t xml:space="preserve"> </w:t>
      </w:r>
      <w:r>
        <w:t>RE-LY</w:t>
      </w:r>
      <w:r>
        <w:rPr>
          <w:spacing w:val="-2"/>
        </w:rPr>
        <w:t xml:space="preserve"> </w:t>
      </w:r>
      <w:r>
        <w:t>vizsgálatban</w:t>
      </w:r>
      <w:r>
        <w:rPr>
          <w:spacing w:val="-2"/>
        </w:rPr>
        <w:t xml:space="preserve"> </w:t>
      </w:r>
      <w:r>
        <w:t>(SPAF,</w:t>
      </w:r>
      <w:r>
        <w:rPr>
          <w:spacing w:val="-2"/>
        </w:rPr>
        <w:t xml:space="preserve"> </w:t>
      </w:r>
      <w:r>
        <w:t>lásd</w:t>
      </w:r>
      <w:r>
        <w:rPr>
          <w:spacing w:val="-2"/>
        </w:rPr>
        <w:t xml:space="preserve"> </w:t>
      </w:r>
      <w:r>
        <w:t>5.1</w:t>
      </w:r>
      <w:r w:rsidR="00294835">
        <w:rPr>
          <w:spacing w:val="-1"/>
        </w:rPr>
        <w:t> pont</w:t>
      </w:r>
      <w:r>
        <w:t>)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éves</w:t>
      </w:r>
      <w:r>
        <w:rPr>
          <w:spacing w:val="-2"/>
        </w:rPr>
        <w:t xml:space="preserve"> </w:t>
      </w:r>
      <w:r>
        <w:t>abszolút</w:t>
      </w:r>
      <w:r>
        <w:rPr>
          <w:spacing w:val="-2"/>
        </w:rPr>
        <w:t xml:space="preserve"> </w:t>
      </w:r>
      <w:r>
        <w:t>aránya</w:t>
      </w:r>
      <w:r>
        <w:rPr>
          <w:spacing w:val="-2"/>
        </w:rPr>
        <w:t xml:space="preserve"> </w:t>
      </w:r>
      <w:r>
        <w:t>0,82% volt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napi kétszer 110</w:t>
      </w:r>
      <w:r w:rsidR="00294835">
        <w:t> mg</w:t>
      </w:r>
      <w:r>
        <w:t xml:space="preserve"> dabigatrán-etexilátot, 0,81% a napi kétszer 150</w:t>
      </w:r>
      <w:r w:rsidR="00294835">
        <w:t> mg</w:t>
      </w:r>
      <w:r>
        <w:t xml:space="preserve"> dabigatrán-etexilátot és 0,64% a warfarint kapó betegeknél, ami a dabigatrán 29</w:t>
      </w:r>
      <w:r w:rsidR="00891449">
        <w:t>%-os</w:t>
      </w:r>
      <w:r>
        <w:t xml:space="preserve"> ill. 27%-os relatív kockázatnövekedését jelenti a warfarinhoz képest. A kezeléstől függetlenül a</w:t>
      </w:r>
      <w:r w:rsidR="00891449">
        <w:t>z</w:t>
      </w:r>
      <w:r>
        <w:t xml:space="preserve"> MI legmagasabb abszolút kockázatát találták a következő alcsoportokban, hasonló relatív kockázattal: korábban MI-on átesett betegek, 65</w:t>
      </w:r>
      <w:r w:rsidR="00294835">
        <w:t> év</w:t>
      </w:r>
      <w:r>
        <w:t xml:space="preserve"> feletti, diabeteses vagy koszorúér</w:t>
      </w:r>
      <w:r w:rsidR="00891449">
        <w:t>-</w:t>
      </w:r>
      <w:r>
        <w:t>betegségben szenvedő betegek, 40%-nál alacsonyabb bal kamrai ejekciós frakciójú betegek, és köz</w:t>
      </w:r>
      <w:r w:rsidR="00891449">
        <w:t xml:space="preserve">epesen </w:t>
      </w:r>
      <w:r>
        <w:t>súlyos veseműködési zavarban szenvedő betegek. Továbbá nagyobb MI</w:t>
      </w:r>
      <w:r w:rsidR="00891449">
        <w:t>-</w:t>
      </w:r>
      <w:r>
        <w:t xml:space="preserve">kockázatot találtak az egyidejűleg ASA-t és klopidogrelt vagy klopidogrelt önmagában szedő </w:t>
      </w:r>
      <w:r>
        <w:rPr>
          <w:spacing w:val="-2"/>
        </w:rPr>
        <w:t>betegeknél.</w:t>
      </w:r>
    </w:p>
    <w:p w14:paraId="5C1CE30F" w14:textId="53682D96" w:rsidR="00945359" w:rsidRDefault="00220A43" w:rsidP="008F5A8D">
      <w:pPr>
        <w:pStyle w:val="Szvegtrzs"/>
        <w:tabs>
          <w:tab w:val="left" w:pos="567"/>
        </w:tabs>
      </w:pPr>
      <w:r>
        <w:t>A három aktív kontrollos, MVT/PE III.</w:t>
      </w:r>
      <w:r w:rsidR="00294835">
        <w:t> fázis</w:t>
      </w:r>
      <w:r>
        <w:t xml:space="preserve">ú vizsgálatban nagyobb gyakorisággal észlelték MI </w:t>
      </w:r>
      <w:r>
        <w:lastRenderedPageBreak/>
        <w:t>jelentkezését</w:t>
      </w:r>
      <w:r>
        <w:rPr>
          <w:spacing w:val="-3"/>
        </w:rPr>
        <w:t xml:space="preserve"> </w:t>
      </w:r>
      <w:r>
        <w:t>azoknál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betegeknél,</w:t>
      </w:r>
      <w:r>
        <w:rPr>
          <w:spacing w:val="-3"/>
        </w:rPr>
        <w:t xml:space="preserve"> </w:t>
      </w:r>
      <w:r>
        <w:t>akik</w:t>
      </w:r>
      <w:r>
        <w:rPr>
          <w:spacing w:val="-4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kaptak,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azoknál,</w:t>
      </w:r>
      <w:r>
        <w:rPr>
          <w:spacing w:val="-3"/>
        </w:rPr>
        <w:t xml:space="preserve"> </w:t>
      </w:r>
      <w:r>
        <w:t>akiket</w:t>
      </w:r>
      <w:r>
        <w:rPr>
          <w:spacing w:val="-3"/>
        </w:rPr>
        <w:t xml:space="preserve"> </w:t>
      </w:r>
      <w:r>
        <w:t>warfarinnal kezeltek:</w:t>
      </w:r>
      <w:r>
        <w:rPr>
          <w:spacing w:val="-1"/>
        </w:rPr>
        <w:t xml:space="preserve"> </w:t>
      </w:r>
      <w:r>
        <w:t xml:space="preserve">0,4% </w:t>
      </w:r>
      <w:r w:rsidRPr="004F4A3C">
        <w:rPr>
          <w:i/>
          <w:iCs/>
        </w:rPr>
        <w:t>vs.</w:t>
      </w:r>
      <w:r>
        <w:rPr>
          <w:spacing w:val="-1"/>
        </w:rPr>
        <w:t xml:space="preserve"> </w:t>
      </w:r>
      <w:r>
        <w:t>0,2% a</w:t>
      </w:r>
      <w:r>
        <w:rPr>
          <w:spacing w:val="-1"/>
        </w:rPr>
        <w:t xml:space="preserve"> </w:t>
      </w:r>
      <w:r>
        <w:t>rövid</w:t>
      </w:r>
      <w:r>
        <w:rPr>
          <w:spacing w:val="-1"/>
        </w:rPr>
        <w:t xml:space="preserve"> </w:t>
      </w:r>
      <w:r>
        <w:t>távú</w:t>
      </w:r>
      <w:r>
        <w:rPr>
          <w:spacing w:val="-1"/>
        </w:rPr>
        <w:t xml:space="preserve"> </w:t>
      </w:r>
      <w:r>
        <w:t>RE-COVER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RE-COVER</w:t>
      </w:r>
      <w:r w:rsidR="00891449">
        <w:t> </w:t>
      </w:r>
      <w:r>
        <w:t>II</w:t>
      </w:r>
      <w:r>
        <w:rPr>
          <w:spacing w:val="-1"/>
        </w:rPr>
        <w:t xml:space="preserve"> </w:t>
      </w:r>
      <w:r>
        <w:t>vizsgálatban;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 xml:space="preserve">0,8% </w:t>
      </w:r>
      <w:r w:rsidRPr="004F4A3C">
        <w:rPr>
          <w:i/>
          <w:iCs/>
        </w:rPr>
        <w:t>vs.</w:t>
      </w:r>
      <w:r>
        <w:rPr>
          <w:spacing w:val="-1"/>
        </w:rPr>
        <w:t xml:space="preserve"> </w:t>
      </w:r>
      <w:r>
        <w:t>0,1% a hosszú távú RE-MEDY vizsgálatban. A növekedés ebben a vizsgálatban statisztikailag szignifikáns volt (p</w:t>
      </w:r>
      <w:r w:rsidR="00891449">
        <w:t> </w:t>
      </w:r>
      <w:r>
        <w:t>=</w:t>
      </w:r>
      <w:r w:rsidR="00891449">
        <w:t> </w:t>
      </w:r>
      <w:r>
        <w:t>0,022).</w:t>
      </w:r>
    </w:p>
    <w:p w14:paraId="5B3F98E7" w14:textId="19DAAE4B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RE-SONATE</w:t>
      </w:r>
      <w:r>
        <w:rPr>
          <w:spacing w:val="-4"/>
        </w:rPr>
        <w:t xml:space="preserve"> </w:t>
      </w:r>
      <w:r>
        <w:t>vizsgálatban,</w:t>
      </w:r>
      <w:r>
        <w:rPr>
          <w:spacing w:val="-4"/>
        </w:rPr>
        <w:t xml:space="preserve"> </w:t>
      </w:r>
      <w:r>
        <w:t>amelyben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dabigatrán-etexilátot</w:t>
      </w:r>
      <w:r>
        <w:rPr>
          <w:spacing w:val="-4"/>
        </w:rPr>
        <w:t xml:space="preserve"> </w:t>
      </w:r>
      <w:r>
        <w:t>placebóval</w:t>
      </w:r>
      <w:r>
        <w:rPr>
          <w:spacing w:val="-4"/>
        </w:rPr>
        <w:t xml:space="preserve"> </w:t>
      </w:r>
      <w:r>
        <w:t>hasonlították</w:t>
      </w:r>
      <w:r>
        <w:rPr>
          <w:spacing w:val="-4"/>
        </w:rPr>
        <w:t xml:space="preserve"> </w:t>
      </w:r>
      <w:r>
        <w:t>össze,</w:t>
      </w:r>
      <w:r>
        <w:rPr>
          <w:spacing w:val="-4"/>
        </w:rPr>
        <w:t xml:space="preserve"> </w:t>
      </w:r>
      <w:r>
        <w:t>a</w:t>
      </w:r>
      <w:r w:rsidR="00891449">
        <w:t>z</w:t>
      </w:r>
      <w:r>
        <w:rPr>
          <w:spacing w:val="-4"/>
        </w:rPr>
        <w:t xml:space="preserve"> </w:t>
      </w:r>
      <w:r>
        <w:t>MI gyakorisága 0,1% volt a dabigatrán-etexilátot kapó, és 0,2% a placebót kapó betegeknél.</w:t>
      </w:r>
    </w:p>
    <w:p w14:paraId="31D9C9AF" w14:textId="77777777" w:rsidR="00945359" w:rsidRDefault="00945359" w:rsidP="008F5A8D">
      <w:pPr>
        <w:pStyle w:val="Szvegtrzs"/>
        <w:tabs>
          <w:tab w:val="left" w:pos="567"/>
        </w:tabs>
      </w:pPr>
    </w:p>
    <w:p w14:paraId="0B1B0A68" w14:textId="69514881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Aktív</w:t>
      </w:r>
      <w:r>
        <w:rPr>
          <w:spacing w:val="-7"/>
          <w:u w:val="single"/>
        </w:rPr>
        <w:t xml:space="preserve"> </w:t>
      </w:r>
      <w:r>
        <w:rPr>
          <w:u w:val="single"/>
        </w:rPr>
        <w:t>daganatos</w:t>
      </w:r>
      <w:r>
        <w:rPr>
          <w:spacing w:val="-7"/>
          <w:u w:val="single"/>
        </w:rPr>
        <w:t xml:space="preserve"> </w:t>
      </w:r>
      <w:r>
        <w:rPr>
          <w:u w:val="single"/>
        </w:rPr>
        <w:t>betegségben</w:t>
      </w:r>
      <w:r>
        <w:rPr>
          <w:spacing w:val="-7"/>
          <w:u w:val="single"/>
        </w:rPr>
        <w:t xml:space="preserve"> </w:t>
      </w:r>
      <w:r>
        <w:rPr>
          <w:u w:val="single"/>
        </w:rPr>
        <w:t>szenvedők</w:t>
      </w:r>
      <w:r>
        <w:rPr>
          <w:spacing w:val="-7"/>
          <w:u w:val="single"/>
        </w:rPr>
        <w:t xml:space="preserve"> </w:t>
      </w:r>
      <w:r>
        <w:rPr>
          <w:u w:val="single"/>
        </w:rPr>
        <w:t>(MVT/PE</w:t>
      </w:r>
      <w:r w:rsidR="004E17CD">
        <w:rPr>
          <w:u w:val="single"/>
        </w:rPr>
        <w:t xml:space="preserve"> kezelése;</w:t>
      </w:r>
      <w:r>
        <w:rPr>
          <w:spacing w:val="-6"/>
          <w:u w:val="single"/>
        </w:rPr>
        <w:t xml:space="preserve"> </w:t>
      </w:r>
      <w:r>
        <w:rPr>
          <w:u w:val="single"/>
        </w:rPr>
        <w:t>VTE</w:t>
      </w:r>
      <w:r>
        <w:rPr>
          <w:spacing w:val="-7"/>
          <w:u w:val="single"/>
        </w:rPr>
        <w:t xml:space="preserve"> </w:t>
      </w:r>
      <w:r>
        <w:rPr>
          <w:u w:val="single"/>
        </w:rPr>
        <w:t>kezelése</w:t>
      </w:r>
      <w:r>
        <w:rPr>
          <w:spacing w:val="-7"/>
          <w:u w:val="single"/>
        </w:rPr>
        <w:t xml:space="preserve"> </w:t>
      </w:r>
      <w:r>
        <w:rPr>
          <w:u w:val="single"/>
        </w:rPr>
        <w:t>gyermekeknél</w:t>
      </w:r>
      <w:r>
        <w:rPr>
          <w:spacing w:val="-7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serdülőknél)</w:t>
      </w:r>
    </w:p>
    <w:p w14:paraId="4AC7A08C" w14:textId="77777777" w:rsidR="00945359" w:rsidRDefault="00220A43">
      <w:pPr>
        <w:pStyle w:val="Szvegtrzs"/>
        <w:tabs>
          <w:tab w:val="left" w:pos="567"/>
        </w:tabs>
      </w:pPr>
      <w:r>
        <w:t>A hatásosságot és biztonságosságot aktív daganatos betegségben szenvedő betegek MVT/PE kezelésére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igazolták.</w:t>
      </w:r>
      <w:r>
        <w:rPr>
          <w:spacing w:val="-4"/>
        </w:rPr>
        <w:t xml:space="preserve"> </w:t>
      </w:r>
      <w:r>
        <w:t>Aktív</w:t>
      </w:r>
      <w:r>
        <w:rPr>
          <w:spacing w:val="-4"/>
        </w:rPr>
        <w:t xml:space="preserve"> </w:t>
      </w:r>
      <w:r>
        <w:t>daganatos</w:t>
      </w:r>
      <w:r>
        <w:rPr>
          <w:spacing w:val="-4"/>
        </w:rPr>
        <w:t xml:space="preserve"> </w:t>
      </w:r>
      <w:r>
        <w:t>betegségben</w:t>
      </w:r>
      <w:r>
        <w:rPr>
          <w:spacing w:val="-4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gyermekeknél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serdülőknél korlátozottan állnak rendelkezésre adatok a hatásosságra és biztonságosságra vonatkozóan.</w:t>
      </w:r>
    </w:p>
    <w:p w14:paraId="4595E4BA" w14:textId="77777777" w:rsidR="00B900F2" w:rsidRDefault="00B900F2" w:rsidP="008F5A8D">
      <w:pPr>
        <w:pStyle w:val="Szvegtrzs"/>
        <w:tabs>
          <w:tab w:val="left" w:pos="567"/>
        </w:tabs>
      </w:pPr>
    </w:p>
    <w:p w14:paraId="6766EFC0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Gyermekek</w:t>
      </w:r>
      <w:r>
        <w:rPr>
          <w:spacing w:val="-6"/>
          <w:u w:val="single"/>
        </w:rPr>
        <w:t xml:space="preserve"> </w:t>
      </w:r>
      <w:r>
        <w:rPr>
          <w:u w:val="single"/>
        </w:rPr>
        <w:t>és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serdülők</w:t>
      </w:r>
    </w:p>
    <w:p w14:paraId="2AB887A2" w14:textId="5E23D7BD" w:rsidR="00945359" w:rsidRDefault="00220A43" w:rsidP="008F5A8D">
      <w:pPr>
        <w:pStyle w:val="Szvegtrzs"/>
        <w:tabs>
          <w:tab w:val="left" w:pos="567"/>
        </w:tabs>
      </w:pPr>
      <w:r>
        <w:t>Néhány</w:t>
      </w:r>
      <w:r>
        <w:rPr>
          <w:spacing w:val="-4"/>
        </w:rPr>
        <w:t xml:space="preserve"> </w:t>
      </w:r>
      <w:r>
        <w:t>gyermek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serdülő</w:t>
      </w:r>
      <w:r>
        <w:rPr>
          <w:spacing w:val="-4"/>
        </w:rPr>
        <w:t xml:space="preserve"> </w:t>
      </w:r>
      <w:r w:rsidR="00891449">
        <w:t>nagyon</w:t>
      </w:r>
      <w:r w:rsidR="00891449">
        <w:rPr>
          <w:spacing w:val="-4"/>
        </w:rPr>
        <w:t xml:space="preserve"> </w:t>
      </w:r>
      <w:r w:rsidR="00891449">
        <w:t>specifikus</w:t>
      </w:r>
      <w:r w:rsidR="00891449">
        <w:rPr>
          <w:spacing w:val="-4"/>
        </w:rPr>
        <w:t xml:space="preserve"> </w:t>
      </w:r>
      <w:r>
        <w:t>esetében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pl.</w:t>
      </w:r>
      <w:r>
        <w:rPr>
          <w:spacing w:val="-4"/>
        </w:rPr>
        <w:t xml:space="preserve"> </w:t>
      </w:r>
      <w:r>
        <w:t>vékonybél</w:t>
      </w:r>
      <w:r w:rsidR="00891449">
        <w:t>-</w:t>
      </w:r>
      <w:r>
        <w:t>betegségben</w:t>
      </w:r>
      <w:r>
        <w:rPr>
          <w:spacing w:val="-4"/>
        </w:rPr>
        <w:t xml:space="preserve"> </w:t>
      </w:r>
      <w:r>
        <w:t>szenvedő betegeknél, akiknél a betegség a felszívódást érintheti – meg kell fontolni egy parenter</w:t>
      </w:r>
      <w:r w:rsidR="003811EA">
        <w:t>a</w:t>
      </w:r>
      <w:r>
        <w:t xml:space="preserve">lisan alkalmazott antikoaguláns készítmény </w:t>
      </w:r>
      <w:r w:rsidR="002E2A7B">
        <w:t>alkalmazás</w:t>
      </w:r>
      <w:r>
        <w:t>át.</w:t>
      </w:r>
    </w:p>
    <w:p w14:paraId="04382DCB" w14:textId="77777777" w:rsidR="00945359" w:rsidRDefault="00945359" w:rsidP="008F5A8D">
      <w:pPr>
        <w:pStyle w:val="Szvegtrzs"/>
        <w:tabs>
          <w:tab w:val="left" w:pos="567"/>
        </w:tabs>
      </w:pPr>
    </w:p>
    <w:p w14:paraId="7A417359" w14:textId="5E4B64F6" w:rsidR="00945359" w:rsidRPr="00511F35" w:rsidRDefault="00002AA2" w:rsidP="00511F35">
      <w:r w:rsidRPr="00511F35">
        <w:rPr>
          <w:b/>
        </w:rPr>
        <w:t>4.5</w:t>
      </w:r>
      <w:r w:rsidRPr="00511F35">
        <w:rPr>
          <w:b/>
        </w:rPr>
        <w:tab/>
      </w:r>
      <w:r w:rsidR="00220A43" w:rsidRPr="00511F35">
        <w:rPr>
          <w:b/>
        </w:rPr>
        <w:t>Gyógyszerkölcsönhatások</w:t>
      </w:r>
      <w:r w:rsidR="00220A43" w:rsidRPr="00511F35">
        <w:rPr>
          <w:b/>
          <w:spacing w:val="-10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10"/>
        </w:rPr>
        <w:t xml:space="preserve"> </w:t>
      </w:r>
      <w:r w:rsidR="00220A43" w:rsidRPr="00511F35">
        <w:rPr>
          <w:b/>
        </w:rPr>
        <w:t>egyéb</w:t>
      </w:r>
      <w:r w:rsidR="00220A43" w:rsidRPr="00511F35">
        <w:rPr>
          <w:b/>
          <w:spacing w:val="-10"/>
        </w:rPr>
        <w:t xml:space="preserve"> </w:t>
      </w:r>
      <w:r w:rsidR="00220A43" w:rsidRPr="00511F35">
        <w:rPr>
          <w:b/>
          <w:spacing w:val="-2"/>
        </w:rPr>
        <w:t>interakciók</w:t>
      </w:r>
    </w:p>
    <w:p w14:paraId="390799E3" w14:textId="77777777" w:rsidR="00002AA2" w:rsidRPr="00511F35" w:rsidRDefault="00002AA2" w:rsidP="008F5A8D"/>
    <w:p w14:paraId="486B6A2C" w14:textId="20185A15" w:rsidR="00B900F2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Transzporter</w:t>
      </w:r>
      <w:r w:rsidR="00891449">
        <w:rPr>
          <w:spacing w:val="-12"/>
          <w:u w:val="single"/>
        </w:rPr>
        <w:t>-</w:t>
      </w:r>
      <w:r>
        <w:rPr>
          <w:spacing w:val="-2"/>
          <w:u w:val="single"/>
        </w:rPr>
        <w:t>interakciók</w:t>
      </w:r>
    </w:p>
    <w:p w14:paraId="4BFE9F67" w14:textId="712E0FD5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efflux</w:t>
      </w:r>
      <w:r>
        <w:rPr>
          <w:spacing w:val="-3"/>
        </w:rPr>
        <w:t xml:space="preserve"> </w:t>
      </w:r>
      <w:r>
        <w:t>transzporter</w:t>
      </w:r>
      <w:r>
        <w:rPr>
          <w:spacing w:val="-3"/>
        </w:rPr>
        <w:t xml:space="preserve"> </w:t>
      </w:r>
      <w:r>
        <w:t>P-gp</w:t>
      </w:r>
      <w:r>
        <w:rPr>
          <w:spacing w:val="-2"/>
        </w:rPr>
        <w:t xml:space="preserve"> </w:t>
      </w:r>
      <w:r>
        <w:t>szubsztrátja.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</w:t>
      </w:r>
      <w:r w:rsidR="00B95CAF">
        <w:t>-gp-in</w:t>
      </w:r>
      <w:r>
        <w:t>hibitorok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9.</w:t>
      </w:r>
      <w:r w:rsidR="00B95CAF">
        <w:rPr>
          <w:spacing w:val="-2"/>
        </w:rPr>
        <w:t> táblázat</w:t>
      </w:r>
      <w:r>
        <w:t>) egyidejű adása várhatóan emelkedett dabigatrán</w:t>
      </w:r>
      <w:r w:rsidR="00891449">
        <w:t>-</w:t>
      </w:r>
      <w:r>
        <w:t>plazmakoncentrációt eredményez.</w:t>
      </w:r>
    </w:p>
    <w:p w14:paraId="02361F25" w14:textId="3FA7F1EE" w:rsidR="00945359" w:rsidRDefault="00220A43">
      <w:pPr>
        <w:pStyle w:val="Szvegtrzs"/>
        <w:tabs>
          <w:tab w:val="left" w:pos="567"/>
        </w:tabs>
      </w:pPr>
      <w:r>
        <w:t>Hacsak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leírásban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szerepel</w:t>
      </w:r>
      <w:r>
        <w:rPr>
          <w:spacing w:val="-3"/>
        </w:rPr>
        <w:t xml:space="preserve"> </w:t>
      </w:r>
      <w:r>
        <w:t>más,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erős</w:t>
      </w:r>
      <w:r>
        <w:rPr>
          <w:spacing w:val="-3"/>
        </w:rPr>
        <w:t xml:space="preserve"> </w:t>
      </w:r>
      <w:r>
        <w:t>P</w:t>
      </w:r>
      <w:r w:rsidR="00B95CAF">
        <w:t>-gp-in</w:t>
      </w:r>
      <w:r>
        <w:t>hibitor</w:t>
      </w:r>
      <w:r>
        <w:rPr>
          <w:spacing w:val="-3"/>
        </w:rPr>
        <w:t xml:space="preserve"> </w:t>
      </w:r>
      <w:r>
        <w:t>együttadása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szoros klinikai ellenőrzés (vérzés vagy anaemia jeleinek figyelése) szükséges. Egyes P</w:t>
      </w:r>
      <w:r w:rsidR="00B95CAF">
        <w:t>-gp-in</w:t>
      </w:r>
      <w:r>
        <w:t>hibitorok együttadása esetén dóziscsökkentésre lehet szükség (lásd 4.2, 4.3, 4.4 és 5.1</w:t>
      </w:r>
      <w:r w:rsidR="00294835">
        <w:t> pont</w:t>
      </w:r>
      <w:r>
        <w:t>).</w:t>
      </w:r>
    </w:p>
    <w:p w14:paraId="136BC5E4" w14:textId="77777777" w:rsidR="00BC10BA" w:rsidRDefault="00BC10BA" w:rsidP="008F5A8D">
      <w:pPr>
        <w:pStyle w:val="Szvegtrzs"/>
        <w:tabs>
          <w:tab w:val="left" w:pos="567"/>
        </w:tabs>
      </w:pPr>
    </w:p>
    <w:p w14:paraId="75DF2324" w14:textId="28F91CAE" w:rsidR="00945359" w:rsidRPr="00333EE9" w:rsidRDefault="006C2A98" w:rsidP="008F5A8D">
      <w:r w:rsidRPr="00511F35">
        <w:rPr>
          <w:b/>
        </w:rPr>
        <w:t>9.</w:t>
      </w:r>
      <w:r w:rsidR="00220A43" w:rsidRPr="008F5A8D">
        <w:rPr>
          <w:b/>
          <w:spacing w:val="-2"/>
        </w:rPr>
        <w:t>táblázat</w:t>
      </w:r>
      <w:r w:rsidRPr="008F5A8D">
        <w:rPr>
          <w:b/>
          <w:spacing w:val="-2"/>
        </w:rPr>
        <w:t>:</w:t>
      </w:r>
      <w:r w:rsidRPr="008F5A8D">
        <w:rPr>
          <w:b/>
        </w:rPr>
        <w:t xml:space="preserve"> </w:t>
      </w:r>
      <w:r w:rsidR="00220A43" w:rsidRPr="008F5A8D">
        <w:rPr>
          <w:b/>
        </w:rPr>
        <w:t>Transzporter</w:t>
      </w:r>
      <w:r w:rsidR="00891449">
        <w:rPr>
          <w:b/>
          <w:spacing w:val="-12"/>
        </w:rPr>
        <w:t>-</w:t>
      </w:r>
      <w:r w:rsidR="00220A43" w:rsidRPr="008F5A8D">
        <w:rPr>
          <w:b/>
          <w:spacing w:val="-2"/>
        </w:rPr>
        <w:t>interakciók</w:t>
      </w:r>
    </w:p>
    <w:p w14:paraId="0C5412FE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90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126"/>
        <w:gridCol w:w="29"/>
        <w:gridCol w:w="6904"/>
      </w:tblGrid>
      <w:tr w:rsidR="00945359" w14:paraId="345F7ED6" w14:textId="77777777" w:rsidTr="004F4A3C">
        <w:trPr>
          <w:trHeight w:val="760"/>
        </w:trPr>
        <w:tc>
          <w:tcPr>
            <w:tcW w:w="9059" w:type="dxa"/>
            <w:gridSpan w:val="3"/>
          </w:tcPr>
          <w:p w14:paraId="106957F1" w14:textId="1291674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  <w:u w:val="single"/>
              </w:rPr>
              <w:t>P</w:t>
            </w:r>
            <w:r w:rsidR="00B95CAF">
              <w:rPr>
                <w:i/>
                <w:u w:val="single"/>
              </w:rPr>
              <w:t>-gp-in</w:t>
            </w:r>
            <w:r>
              <w:rPr>
                <w:i/>
                <w:spacing w:val="-2"/>
                <w:u w:val="single"/>
              </w:rPr>
              <w:t>hibitorok</w:t>
            </w:r>
          </w:p>
        </w:tc>
      </w:tr>
      <w:tr w:rsidR="00945359" w14:paraId="42C45BED" w14:textId="77777777" w:rsidTr="004F4A3C">
        <w:trPr>
          <w:trHeight w:val="758"/>
        </w:trPr>
        <w:tc>
          <w:tcPr>
            <w:tcW w:w="9059" w:type="dxa"/>
            <w:gridSpan w:val="3"/>
          </w:tcPr>
          <w:p w14:paraId="4E9199C1" w14:textId="304ABF6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</w:rPr>
              <w:t>Az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egyidejű</w:t>
            </w:r>
            <w:r>
              <w:rPr>
                <w:i/>
                <w:spacing w:val="-7"/>
              </w:rPr>
              <w:t xml:space="preserve"> </w:t>
            </w:r>
            <w:r w:rsidR="002E2A7B">
              <w:rPr>
                <w:i/>
              </w:rPr>
              <w:t>alkalmazás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ellenjavallt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(lásd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4.3</w:t>
            </w:r>
            <w:r w:rsidR="00294835">
              <w:rPr>
                <w:i/>
                <w:spacing w:val="-7"/>
              </w:rPr>
              <w:t> pont</w:t>
            </w:r>
            <w:r>
              <w:rPr>
                <w:i/>
                <w:spacing w:val="-2"/>
              </w:rPr>
              <w:t>)</w:t>
            </w:r>
          </w:p>
        </w:tc>
      </w:tr>
      <w:tr w:rsidR="00945359" w14:paraId="31E5C2B4" w14:textId="77777777" w:rsidTr="004F4A3C">
        <w:trPr>
          <w:trHeight w:val="1012"/>
        </w:trPr>
        <w:tc>
          <w:tcPr>
            <w:tcW w:w="2155" w:type="dxa"/>
            <w:gridSpan w:val="2"/>
          </w:tcPr>
          <w:p w14:paraId="020772A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Ketokonazol</w:t>
            </w:r>
          </w:p>
        </w:tc>
        <w:tc>
          <w:tcPr>
            <w:tcW w:w="6904" w:type="dxa"/>
          </w:tcPr>
          <w:p w14:paraId="72C57B07" w14:textId="063AB7D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ketokonazol</w:t>
            </w:r>
            <w:r>
              <w:rPr>
                <w:spacing w:val="-5"/>
              </w:rPr>
              <w:t xml:space="preserve"> </w:t>
            </w:r>
            <w:r>
              <w:t>egyetlen</w:t>
            </w:r>
            <w:r>
              <w:rPr>
                <w:spacing w:val="-5"/>
              </w:rPr>
              <w:t xml:space="preserve"> </w:t>
            </w:r>
            <w:r>
              <w:t>400</w:t>
            </w:r>
            <w:r w:rsidR="00294835">
              <w:rPr>
                <w:spacing w:val="-5"/>
              </w:rPr>
              <w:t> mg</w:t>
            </w:r>
            <w:r>
              <w:t>-os</w:t>
            </w:r>
            <w:r>
              <w:rPr>
                <w:spacing w:val="-4"/>
              </w:rPr>
              <w:t xml:space="preserve"> </w:t>
            </w:r>
            <w:r>
              <w:t>orális</w:t>
            </w:r>
            <w:r>
              <w:rPr>
                <w:spacing w:val="-4"/>
              </w:rPr>
              <w:t xml:space="preserve"> </w:t>
            </w:r>
            <w:r>
              <w:t>adagját</w:t>
            </w:r>
            <w:r>
              <w:rPr>
                <w:spacing w:val="-5"/>
              </w:rPr>
              <w:t xml:space="preserve"> </w:t>
            </w:r>
            <w:r>
              <w:t>követően</w:t>
            </w:r>
            <w:r>
              <w:rPr>
                <w:spacing w:val="-5"/>
              </w:rPr>
              <w:t xml:space="preserve"> </w:t>
            </w:r>
            <w:r>
              <w:t xml:space="preserve">2,38-szorosára </w:t>
            </w:r>
            <w:r>
              <w:rPr>
                <w:position w:val="2"/>
              </w:rPr>
              <w:t>emelkedett a dabigatrán AUC</w:t>
            </w:r>
            <w:r>
              <w:rPr>
                <w:sz w:val="14"/>
              </w:rPr>
              <w:t>0-∞</w:t>
            </w:r>
            <w:r w:rsidR="00891449" w:rsidRPr="004F4A3C">
              <w:t>-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position w:val="2"/>
              </w:rPr>
              <w:t>és 2,35-szorosára a C</w:t>
            </w:r>
            <w:r>
              <w:rPr>
                <w:sz w:val="14"/>
              </w:rPr>
              <w:t>max</w:t>
            </w:r>
            <w:r w:rsidR="00891449" w:rsidRPr="004F4A3C">
              <w:rPr>
                <w:spacing w:val="35"/>
              </w:rPr>
              <w:t>-</w:t>
            </w:r>
            <w:r>
              <w:rPr>
                <w:position w:val="2"/>
              </w:rPr>
              <w:t>értéke</w:t>
            </w:r>
            <w:r w:rsidR="00891449">
              <w:rPr>
                <w:position w:val="2"/>
              </w:rPr>
              <w:t>;</w:t>
            </w:r>
            <w:r>
              <w:rPr>
                <w:position w:val="2"/>
              </w:rPr>
              <w:t xml:space="preserve"> napi </w:t>
            </w:r>
            <w:r>
              <w:t>egyszer 400</w:t>
            </w:r>
            <w:r w:rsidR="00294835">
              <w:t> mg</w:t>
            </w:r>
            <w:r>
              <w:t xml:space="preserve"> ketokonazol ismételt</w:t>
            </w:r>
            <w:r w:rsidR="00891449">
              <w:t>,</w:t>
            </w:r>
            <w:r>
              <w:t xml:space="preserve"> szájon át történő alkalmazás</w:t>
            </w:r>
            <w:r w:rsidR="00891449">
              <w:t>a</w:t>
            </w:r>
            <w:r>
              <w:t xml:space="preserve"> esetén</w:t>
            </w:r>
          </w:p>
          <w:p w14:paraId="1D0DB502" w14:textId="595B714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position w:val="2"/>
              </w:rPr>
              <w:t>pedig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dabigatrán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AUC</w:t>
            </w:r>
            <w:r>
              <w:rPr>
                <w:sz w:val="14"/>
              </w:rPr>
              <w:t>0-∞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position w:val="2"/>
              </w:rPr>
              <w:t>2,53-szorosára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position w:val="2"/>
              </w:rPr>
              <w:t>pedig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2,49-szorosára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nőtt.</w:t>
            </w:r>
          </w:p>
        </w:tc>
      </w:tr>
      <w:tr w:rsidR="00945359" w14:paraId="72B3C987" w14:textId="77777777" w:rsidTr="004F4A3C">
        <w:trPr>
          <w:trHeight w:val="1264"/>
        </w:trPr>
        <w:tc>
          <w:tcPr>
            <w:tcW w:w="2155" w:type="dxa"/>
            <w:gridSpan w:val="2"/>
          </w:tcPr>
          <w:p w14:paraId="566B36F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Dronedaron</w:t>
            </w:r>
          </w:p>
        </w:tc>
        <w:tc>
          <w:tcPr>
            <w:tcW w:w="6904" w:type="dxa"/>
          </w:tcPr>
          <w:p w14:paraId="6A28E883" w14:textId="41E9112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 dabigatrán-etexilát és a dronedaron együttes adása esetén 400</w:t>
            </w:r>
            <w:r w:rsidR="00294835">
              <w:t> mg</w:t>
            </w:r>
            <w:r>
              <w:t xml:space="preserve"> </w:t>
            </w:r>
            <w:r>
              <w:rPr>
                <w:position w:val="2"/>
              </w:rPr>
              <w:t>dronedaron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ismételt,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napi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kétszeri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adagolása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mellett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dabigatrán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AUC</w:t>
            </w:r>
            <w:r>
              <w:rPr>
                <w:sz w:val="14"/>
              </w:rPr>
              <w:t>0-∞</w:t>
            </w:r>
            <w:r w:rsidR="00891449" w:rsidRPr="004F4A3C">
              <w:t>-</w:t>
            </w:r>
            <w:r w:rsidRPr="004F4A3C">
              <w:rPr>
                <w:spacing w:val="16"/>
              </w:rPr>
              <w:t xml:space="preserve"> </w:t>
            </w:r>
            <w:r>
              <w:rPr>
                <w:position w:val="2"/>
              </w:rPr>
              <w:t>és C</w:t>
            </w:r>
            <w:r>
              <w:rPr>
                <w:sz w:val="14"/>
              </w:rPr>
              <w:t>max</w:t>
            </w:r>
            <w:r w:rsidR="00891449" w:rsidRPr="004F4A3C">
              <w:rPr>
                <w:spacing w:val="35"/>
              </w:rPr>
              <w:t>-</w:t>
            </w:r>
            <w:r>
              <w:rPr>
                <w:position w:val="2"/>
              </w:rPr>
              <w:t>értéke sorrendben kb. 2,4-szeresére, illetve 2,3-szeresére</w:t>
            </w:r>
            <w:r w:rsidR="00115B93">
              <w:rPr>
                <w:position w:val="2"/>
              </w:rPr>
              <w:t>;</w:t>
            </w:r>
            <w:r>
              <w:rPr>
                <w:position w:val="2"/>
              </w:rPr>
              <w:t xml:space="preserve"> 400</w:t>
            </w:r>
            <w:r w:rsidR="00294835">
              <w:rPr>
                <w:position w:val="2"/>
              </w:rPr>
              <w:t> mg</w:t>
            </w:r>
          </w:p>
          <w:p w14:paraId="3E6CE5AC" w14:textId="25431FB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dronedaron</w:t>
            </w:r>
            <w:r>
              <w:rPr>
                <w:spacing w:val="-5"/>
              </w:rPr>
              <w:t xml:space="preserve"> </w:t>
            </w:r>
            <w:r>
              <w:t>egyszeri</w:t>
            </w:r>
            <w:r>
              <w:rPr>
                <w:spacing w:val="-6"/>
              </w:rPr>
              <w:t xml:space="preserve"> </w:t>
            </w:r>
            <w:r>
              <w:t>alkalmazása</w:t>
            </w:r>
            <w:r>
              <w:rPr>
                <w:spacing w:val="-5"/>
              </w:rPr>
              <w:t xml:space="preserve"> </w:t>
            </w:r>
            <w:r>
              <w:t>után</w:t>
            </w:r>
            <w:r>
              <w:rPr>
                <w:spacing w:val="-6"/>
              </w:rPr>
              <w:t xml:space="preserve"> </w:t>
            </w:r>
            <w:r>
              <w:t>pedig</w:t>
            </w:r>
            <w:r>
              <w:rPr>
                <w:spacing w:val="-5"/>
              </w:rPr>
              <w:t xml:space="preserve"> </w:t>
            </w:r>
            <w:r>
              <w:t>sorrendben</w:t>
            </w:r>
            <w:r>
              <w:rPr>
                <w:spacing w:val="-6"/>
              </w:rPr>
              <w:t xml:space="preserve"> </w:t>
            </w:r>
            <w:r>
              <w:t>kb.</w:t>
            </w:r>
            <w:r>
              <w:rPr>
                <w:spacing w:val="-5"/>
              </w:rPr>
              <w:t xml:space="preserve"> </w:t>
            </w:r>
            <w:r>
              <w:t>2,1-szeresére, illetve 1,9-szeresére nőtt.</w:t>
            </w:r>
          </w:p>
        </w:tc>
      </w:tr>
      <w:tr w:rsidR="00945359" w14:paraId="004B8EE0" w14:textId="77777777" w:rsidTr="004F4A3C">
        <w:trPr>
          <w:trHeight w:val="506"/>
        </w:trPr>
        <w:tc>
          <w:tcPr>
            <w:tcW w:w="2155" w:type="dxa"/>
            <w:gridSpan w:val="2"/>
          </w:tcPr>
          <w:p w14:paraId="76473C4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Itrakonazol</w:t>
            </w:r>
            <w:r>
              <w:rPr>
                <w:spacing w:val="-11"/>
              </w:rPr>
              <w:t xml:space="preserve"> </w:t>
            </w:r>
            <w:r>
              <w:rPr>
                <w:spacing w:val="-5"/>
              </w:rPr>
              <w:t>és</w:t>
            </w:r>
          </w:p>
          <w:p w14:paraId="25E0299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ciklosporin</w:t>
            </w:r>
          </w:p>
        </w:tc>
        <w:tc>
          <w:tcPr>
            <w:tcW w:w="6904" w:type="dxa"/>
          </w:tcPr>
          <w:p w14:paraId="23A754F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i/>
              </w:rPr>
              <w:t>In</w:t>
            </w:r>
            <w:r>
              <w:rPr>
                <w:i/>
                <w:spacing w:val="-9"/>
              </w:rPr>
              <w:t xml:space="preserve"> </w:t>
            </w:r>
            <w:r>
              <w:rPr>
                <w:i/>
              </w:rPr>
              <w:t>vitro</w:t>
            </w:r>
            <w:r>
              <w:rPr>
                <w:i/>
                <w:spacing w:val="-6"/>
              </w:rPr>
              <w:t xml:space="preserve"> </w:t>
            </w:r>
            <w:r>
              <w:t>vizsgálatok</w:t>
            </w:r>
            <w:r>
              <w:rPr>
                <w:spacing w:val="-7"/>
              </w:rPr>
              <w:t xml:space="preserve"> </w:t>
            </w:r>
            <w:r>
              <w:t>eredményei</w:t>
            </w:r>
            <w:r>
              <w:rPr>
                <w:spacing w:val="-7"/>
              </w:rPr>
              <w:t xml:space="preserve"> </w:t>
            </w:r>
            <w:r>
              <w:t>alapján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ketokonazolhoz</w:t>
            </w:r>
            <w:r>
              <w:rPr>
                <w:spacing w:val="-7"/>
              </w:rPr>
              <w:t xml:space="preserve"> </w:t>
            </w:r>
            <w:r>
              <w:t>hasonló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hatások</w:t>
            </w:r>
          </w:p>
          <w:p w14:paraId="6572CDB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várhatók.</w:t>
            </w:r>
          </w:p>
        </w:tc>
      </w:tr>
      <w:tr w:rsidR="00945359" w14:paraId="6E19A1CC" w14:textId="77777777" w:rsidTr="004F4A3C">
        <w:trPr>
          <w:trHeight w:val="757"/>
        </w:trPr>
        <w:tc>
          <w:tcPr>
            <w:tcW w:w="2155" w:type="dxa"/>
            <w:gridSpan w:val="2"/>
          </w:tcPr>
          <w:p w14:paraId="6DB4D83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Glekaprevir</w:t>
            </w:r>
            <w:r>
              <w:rPr>
                <w:spacing w:val="-14"/>
              </w:rPr>
              <w:t xml:space="preserve"> </w:t>
            </w:r>
            <w:r>
              <w:t xml:space="preserve">/ </w:t>
            </w:r>
            <w:r>
              <w:rPr>
                <w:spacing w:val="-2"/>
              </w:rPr>
              <w:t>pibrentaszvir</w:t>
            </w:r>
          </w:p>
        </w:tc>
        <w:tc>
          <w:tcPr>
            <w:tcW w:w="6904" w:type="dxa"/>
          </w:tcPr>
          <w:p w14:paraId="4DD8136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Megállapították,</w:t>
            </w:r>
            <w:r>
              <w:rPr>
                <w:spacing w:val="-6"/>
              </w:rPr>
              <w:t xml:space="preserve"> </w:t>
            </w:r>
            <w:r>
              <w:t>hogy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dabigatrán-etexilát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fix</w:t>
            </w:r>
            <w:r>
              <w:rPr>
                <w:spacing w:val="-6"/>
              </w:rPr>
              <w:t xml:space="preserve"> </w:t>
            </w:r>
            <w:r>
              <w:t>dózisú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kombinációban</w:t>
            </w:r>
          </w:p>
          <w:p w14:paraId="756CE853" w14:textId="195450F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alkalmazott,</w:t>
            </w:r>
            <w:r>
              <w:rPr>
                <w:spacing w:val="-6"/>
              </w:rPr>
              <w:t xml:space="preserve"> </w:t>
            </w:r>
            <w:r>
              <w:t>P</w:t>
            </w:r>
            <w:r w:rsidR="00B95CAF">
              <w:t>-gp-in</w:t>
            </w:r>
            <w:r>
              <w:t>hibitor</w:t>
            </w:r>
            <w:r>
              <w:rPr>
                <w:spacing w:val="-6"/>
              </w:rPr>
              <w:t xml:space="preserve"> </w:t>
            </w:r>
            <w:r>
              <w:t>glekaprevir/pibrentaszvir</w:t>
            </w:r>
            <w:r>
              <w:rPr>
                <w:spacing w:val="-6"/>
              </w:rPr>
              <w:t xml:space="preserve"> </w:t>
            </w:r>
            <w:r>
              <w:t>együttes</w:t>
            </w:r>
            <w:r>
              <w:rPr>
                <w:spacing w:val="-6"/>
              </w:rPr>
              <w:t xml:space="preserve"> </w:t>
            </w:r>
            <w:r>
              <w:t>adása</w:t>
            </w:r>
            <w:r>
              <w:rPr>
                <w:spacing w:val="-6"/>
              </w:rPr>
              <w:t xml:space="preserve"> </w:t>
            </w:r>
            <w:r>
              <w:t>esetén megnő a dabigatrán expozíciója</w:t>
            </w:r>
            <w:r w:rsidR="00891449">
              <w:t>,</w:t>
            </w:r>
            <w:r>
              <w:t xml:space="preserve"> és megnövekedhet a vérzés kockázata.</w:t>
            </w:r>
          </w:p>
        </w:tc>
      </w:tr>
      <w:tr w:rsidR="00945359" w14:paraId="6F41BA0C" w14:textId="77777777" w:rsidTr="004F4A3C">
        <w:trPr>
          <w:trHeight w:val="760"/>
        </w:trPr>
        <w:tc>
          <w:tcPr>
            <w:tcW w:w="9059" w:type="dxa"/>
            <w:gridSpan w:val="3"/>
          </w:tcPr>
          <w:p w14:paraId="686113CE" w14:textId="52B3604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</w:rPr>
              <w:t>Az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egyidejű</w:t>
            </w:r>
            <w:r>
              <w:rPr>
                <w:i/>
                <w:spacing w:val="-5"/>
              </w:rPr>
              <w:t xml:space="preserve"> </w:t>
            </w:r>
            <w:r w:rsidR="002E2A7B">
              <w:rPr>
                <w:i/>
              </w:rPr>
              <w:t>alkalmazás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nem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javasolt</w:t>
            </w:r>
          </w:p>
        </w:tc>
      </w:tr>
      <w:tr w:rsidR="00945359" w14:paraId="59FB3B9A" w14:textId="77777777" w:rsidTr="004F4A3C">
        <w:trPr>
          <w:trHeight w:val="1516"/>
        </w:trPr>
        <w:tc>
          <w:tcPr>
            <w:tcW w:w="2155" w:type="dxa"/>
            <w:gridSpan w:val="2"/>
          </w:tcPr>
          <w:p w14:paraId="478B53F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lastRenderedPageBreak/>
              <w:t>Takrolimusz</w:t>
            </w:r>
          </w:p>
        </w:tc>
        <w:tc>
          <w:tcPr>
            <w:tcW w:w="6904" w:type="dxa"/>
          </w:tcPr>
          <w:p w14:paraId="47223E5E" w14:textId="76BF251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Megállapították, hogy a takrolimusz </w:t>
            </w:r>
            <w:r>
              <w:rPr>
                <w:i/>
              </w:rPr>
              <w:t xml:space="preserve">in vitro </w:t>
            </w:r>
            <w:r>
              <w:t>hasonló mértékű inhibitoros hatással van a P-gp-re, mint amit az itrakonazol és a ciklosporin esetén észleltek.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1"/>
              </w:rPr>
              <w:t xml:space="preserve"> </w:t>
            </w:r>
            <w:r>
              <w:t>dabigatrán-etexilátot</w:t>
            </w:r>
            <w:r>
              <w:rPr>
                <w:spacing w:val="-1"/>
              </w:rPr>
              <w:t xml:space="preserve"> </w:t>
            </w:r>
            <w:r>
              <w:t>klinikailag</w:t>
            </w:r>
            <w:r>
              <w:rPr>
                <w:spacing w:val="-1"/>
              </w:rPr>
              <w:t xml:space="preserve"> </w:t>
            </w:r>
            <w:r>
              <w:t>nem</w:t>
            </w:r>
            <w:r>
              <w:rPr>
                <w:spacing w:val="-1"/>
              </w:rPr>
              <w:t xml:space="preserve"> </w:t>
            </w:r>
            <w:r>
              <w:t>vizsgálták</w:t>
            </w:r>
            <w:r>
              <w:rPr>
                <w:spacing w:val="-1"/>
              </w:rPr>
              <w:t xml:space="preserve"> </w:t>
            </w:r>
            <w:r>
              <w:t>takrolimusszal együtt.</w:t>
            </w:r>
            <w:r>
              <w:rPr>
                <w:spacing w:val="-5"/>
              </w:rPr>
              <w:t xml:space="preserve"> </w:t>
            </w:r>
            <w:r>
              <w:t>Ugyanakkor</w:t>
            </w:r>
            <w:r>
              <w:rPr>
                <w:spacing w:val="-5"/>
              </w:rPr>
              <w:t xml:space="preserve"> </w:t>
            </w:r>
            <w:r>
              <w:t>egy</w:t>
            </w:r>
            <w:r>
              <w:rPr>
                <w:spacing w:val="-5"/>
              </w:rPr>
              <w:t xml:space="preserve"> </w:t>
            </w:r>
            <w:r>
              <w:t>másik</w:t>
            </w:r>
            <w:r>
              <w:rPr>
                <w:spacing w:val="-5"/>
              </w:rPr>
              <w:t xml:space="preserve"> </w:t>
            </w:r>
            <w:r>
              <w:t>P-gp</w:t>
            </w:r>
            <w:r w:rsidR="00891449">
              <w:rPr>
                <w:spacing w:val="-5"/>
              </w:rPr>
              <w:t>-</w:t>
            </w:r>
            <w:r>
              <w:t>szubsztráttal</w:t>
            </w:r>
            <w:r>
              <w:rPr>
                <w:spacing w:val="-5"/>
              </w:rPr>
              <w:t xml:space="preserve"> </w:t>
            </w:r>
            <w:r>
              <w:t>(everolimusz)</w:t>
            </w:r>
            <w:r>
              <w:rPr>
                <w:spacing w:val="-5"/>
              </w:rPr>
              <w:t xml:space="preserve"> </w:t>
            </w:r>
            <w:r>
              <w:t>nyert</w:t>
            </w:r>
            <w:r>
              <w:rPr>
                <w:spacing w:val="-5"/>
              </w:rPr>
              <w:t xml:space="preserve"> </w:t>
            </w:r>
            <w:r>
              <w:t>kevés klinikai adat arra utal, hogy a takrolimusszal való P-gp</w:t>
            </w:r>
            <w:r w:rsidR="00891449">
              <w:t>-</w:t>
            </w:r>
            <w:r>
              <w:t>gátlás gyengébb,</w:t>
            </w:r>
          </w:p>
          <w:p w14:paraId="07BF8919" w14:textId="5A4A1EC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mint</w:t>
            </w:r>
            <w:r>
              <w:rPr>
                <w:spacing w:val="-8"/>
              </w:rPr>
              <w:t xml:space="preserve"> </w:t>
            </w:r>
            <w:r>
              <w:t>amit</w:t>
            </w:r>
            <w:r>
              <w:rPr>
                <w:spacing w:val="-6"/>
              </w:rPr>
              <w:t xml:space="preserve"> </w:t>
            </w:r>
            <w:r>
              <w:t>az</w:t>
            </w:r>
            <w:r>
              <w:rPr>
                <w:spacing w:val="-5"/>
              </w:rPr>
              <w:t xml:space="preserve"> </w:t>
            </w:r>
            <w:r>
              <w:t>erős</w:t>
            </w:r>
            <w:r>
              <w:rPr>
                <w:spacing w:val="-6"/>
              </w:rPr>
              <w:t xml:space="preserve"> </w:t>
            </w:r>
            <w:r>
              <w:t>P</w:t>
            </w:r>
            <w:r w:rsidR="00B95CAF">
              <w:t>-gp-in</w:t>
            </w:r>
            <w:r>
              <w:t>hibitorok</w:t>
            </w:r>
            <w:r>
              <w:rPr>
                <w:spacing w:val="-6"/>
              </w:rPr>
              <w:t xml:space="preserve"> </w:t>
            </w:r>
            <w:r>
              <w:t>mellett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észleltek.</w:t>
            </w:r>
          </w:p>
        </w:tc>
      </w:tr>
      <w:tr w:rsidR="00945359" w14:paraId="75A3153E" w14:textId="77777777" w:rsidTr="004F4A3C">
        <w:trPr>
          <w:trHeight w:val="760"/>
        </w:trPr>
        <w:tc>
          <w:tcPr>
            <w:tcW w:w="9059" w:type="dxa"/>
            <w:gridSpan w:val="3"/>
          </w:tcPr>
          <w:p w14:paraId="162A73A4" w14:textId="458754DF" w:rsidR="00945359" w:rsidRDefault="003811EA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</w:rPr>
              <w:t>Elővigyáz</w:t>
            </w:r>
            <w:r w:rsidR="00220A43">
              <w:rPr>
                <w:i/>
              </w:rPr>
              <w:t>atosság</w:t>
            </w:r>
            <w:r w:rsidR="00220A43">
              <w:rPr>
                <w:i/>
                <w:spacing w:val="-8"/>
              </w:rPr>
              <w:t xml:space="preserve"> </w:t>
            </w:r>
            <w:r w:rsidR="00220A43">
              <w:rPr>
                <w:i/>
              </w:rPr>
              <w:t>szükséges</w:t>
            </w:r>
            <w:r w:rsidR="00220A43">
              <w:rPr>
                <w:i/>
                <w:spacing w:val="-6"/>
              </w:rPr>
              <w:t xml:space="preserve"> </w:t>
            </w:r>
            <w:r w:rsidR="00220A43">
              <w:rPr>
                <w:i/>
              </w:rPr>
              <w:t>az</w:t>
            </w:r>
            <w:r w:rsidR="00220A43">
              <w:rPr>
                <w:i/>
                <w:spacing w:val="-6"/>
              </w:rPr>
              <w:t xml:space="preserve"> </w:t>
            </w:r>
            <w:r w:rsidR="00220A43">
              <w:rPr>
                <w:i/>
              </w:rPr>
              <w:t>egyidejű</w:t>
            </w:r>
            <w:r w:rsidR="00220A43">
              <w:rPr>
                <w:i/>
                <w:spacing w:val="-5"/>
              </w:rPr>
              <w:t xml:space="preserve"> </w:t>
            </w:r>
            <w:r w:rsidR="00220A43">
              <w:rPr>
                <w:i/>
              </w:rPr>
              <w:t>alkalmazás</w:t>
            </w:r>
            <w:r w:rsidR="00220A43">
              <w:rPr>
                <w:i/>
                <w:spacing w:val="-6"/>
              </w:rPr>
              <w:t xml:space="preserve"> </w:t>
            </w:r>
            <w:r w:rsidR="00220A43">
              <w:rPr>
                <w:i/>
              </w:rPr>
              <w:t>esetén</w:t>
            </w:r>
            <w:r w:rsidR="00220A43">
              <w:rPr>
                <w:i/>
                <w:spacing w:val="-6"/>
              </w:rPr>
              <w:t xml:space="preserve"> </w:t>
            </w:r>
            <w:r w:rsidR="00220A43">
              <w:rPr>
                <w:i/>
              </w:rPr>
              <w:t>(lásd</w:t>
            </w:r>
            <w:r w:rsidR="00220A43">
              <w:rPr>
                <w:i/>
                <w:spacing w:val="-5"/>
              </w:rPr>
              <w:t xml:space="preserve"> </w:t>
            </w:r>
            <w:r w:rsidR="00220A43">
              <w:rPr>
                <w:i/>
              </w:rPr>
              <w:t>4.2</w:t>
            </w:r>
            <w:r w:rsidR="00220A43">
              <w:rPr>
                <w:i/>
                <w:spacing w:val="-6"/>
              </w:rPr>
              <w:t xml:space="preserve"> </w:t>
            </w:r>
            <w:r w:rsidR="00220A43">
              <w:rPr>
                <w:i/>
              </w:rPr>
              <w:t>és</w:t>
            </w:r>
            <w:r w:rsidR="00220A43">
              <w:rPr>
                <w:i/>
                <w:spacing w:val="-6"/>
              </w:rPr>
              <w:t xml:space="preserve"> </w:t>
            </w:r>
            <w:r w:rsidR="00220A43">
              <w:rPr>
                <w:i/>
              </w:rPr>
              <w:t>4.4</w:t>
            </w:r>
            <w:r w:rsidR="00294835">
              <w:rPr>
                <w:i/>
                <w:spacing w:val="-3"/>
              </w:rPr>
              <w:t> pont</w:t>
            </w:r>
            <w:r w:rsidR="00220A43">
              <w:rPr>
                <w:i/>
                <w:spacing w:val="-2"/>
              </w:rPr>
              <w:t>)</w:t>
            </w:r>
          </w:p>
        </w:tc>
      </w:tr>
      <w:tr w:rsidR="00945359" w14:paraId="4E7D650C" w14:textId="77777777" w:rsidTr="004F4A3C">
        <w:trPr>
          <w:trHeight w:val="4300"/>
        </w:trPr>
        <w:tc>
          <w:tcPr>
            <w:tcW w:w="2155" w:type="dxa"/>
            <w:gridSpan w:val="2"/>
          </w:tcPr>
          <w:p w14:paraId="0C72F45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Verapamil</w:t>
            </w:r>
          </w:p>
        </w:tc>
        <w:tc>
          <w:tcPr>
            <w:tcW w:w="6904" w:type="dxa"/>
          </w:tcPr>
          <w:p w14:paraId="3114A185" w14:textId="2412D5C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dabigatrán-etexilátot</w:t>
            </w:r>
            <w:r>
              <w:rPr>
                <w:spacing w:val="-5"/>
              </w:rPr>
              <w:t xml:space="preserve"> </w:t>
            </w:r>
            <w:r>
              <w:t>(150</w:t>
            </w:r>
            <w:r w:rsidR="00294835">
              <w:rPr>
                <w:spacing w:val="-4"/>
              </w:rPr>
              <w:t> mg</w:t>
            </w:r>
            <w:r>
              <w:t>)</w:t>
            </w:r>
            <w:r>
              <w:rPr>
                <w:spacing w:val="-5"/>
              </w:rPr>
              <w:t xml:space="preserve"> </w:t>
            </w:r>
            <w:r>
              <w:t>szájon</w:t>
            </w:r>
            <w:r>
              <w:rPr>
                <w:spacing w:val="-5"/>
              </w:rPr>
              <w:t xml:space="preserve"> </w:t>
            </w:r>
            <w:r>
              <w:t>át</w:t>
            </w:r>
            <w:r>
              <w:rPr>
                <w:spacing w:val="-5"/>
              </w:rPr>
              <w:t xml:space="preserve"> </w:t>
            </w:r>
            <w:r>
              <w:t>adagolt</w:t>
            </w:r>
            <w:r>
              <w:rPr>
                <w:spacing w:val="-5"/>
              </w:rPr>
              <w:t xml:space="preserve"> </w:t>
            </w:r>
            <w:r>
              <w:t>verapamillal</w:t>
            </w:r>
            <w:r>
              <w:rPr>
                <w:spacing w:val="-5"/>
              </w:rPr>
              <w:t xml:space="preserve"> </w:t>
            </w:r>
            <w:r>
              <w:t xml:space="preserve">adták </w:t>
            </w:r>
            <w:r>
              <w:rPr>
                <w:position w:val="2"/>
              </w:rPr>
              <w:t>együtt, a dabigatrán C</w:t>
            </w:r>
            <w:r>
              <w:rPr>
                <w:sz w:val="14"/>
              </w:rPr>
              <w:t>max</w:t>
            </w:r>
            <w:r>
              <w:rPr>
                <w:position w:val="2"/>
              </w:rPr>
              <w:t>- és AUC-értéke megnöveked</w:t>
            </w:r>
            <w:r w:rsidR="00977927">
              <w:rPr>
                <w:position w:val="2"/>
              </w:rPr>
              <w:t>ett</w:t>
            </w:r>
            <w:r>
              <w:rPr>
                <w:position w:val="2"/>
              </w:rPr>
              <w:t xml:space="preserve">, a változás </w:t>
            </w:r>
            <w:r>
              <w:t>nagysága azonban a beadás idejétől és a verapamil gyógyszerformájától függően eltérő volt (lásd 4.2 és 4.4</w:t>
            </w:r>
            <w:r w:rsidR="00294835">
              <w:t> pont</w:t>
            </w:r>
            <w:r>
              <w:t>).</w:t>
            </w:r>
          </w:p>
          <w:p w14:paraId="7F854514" w14:textId="108A3BF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 dabigatrán-expozíció legnagyobb mértékű növekedését akkor figyelték meg, amikor a verapamil azonnali hatóanyag</w:t>
            </w:r>
            <w:r w:rsidR="00977927">
              <w:t>-</w:t>
            </w:r>
            <w:r>
              <w:t xml:space="preserve">leadású gyógyszerformájának </w:t>
            </w:r>
            <w:r>
              <w:rPr>
                <w:position w:val="2"/>
              </w:rPr>
              <w:t>első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dózisát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dabigatrán-etexilát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bevétele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előtt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1</w:t>
            </w:r>
            <w:r w:rsidR="002E2A7B">
              <w:rPr>
                <w:spacing w:val="-6"/>
                <w:position w:val="2"/>
              </w:rPr>
              <w:t> órá</w:t>
            </w:r>
            <w:r>
              <w:rPr>
                <w:position w:val="2"/>
              </w:rPr>
              <w:t>val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alkalmazták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(a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</w:t>
            </w:r>
            <w:r>
              <w:rPr>
                <w:spacing w:val="40"/>
                <w:sz w:val="14"/>
              </w:rPr>
              <w:t xml:space="preserve"> </w:t>
            </w:r>
            <w:r>
              <w:t xml:space="preserve">kb. 2,8-szeresére, az AUC kb. 2,5-szeresére növekedett). A hatás </w:t>
            </w:r>
            <w:r>
              <w:rPr>
                <w:position w:val="2"/>
              </w:rPr>
              <w:t>progresszíven csökkent retard gyógyszerforma alkalmazásakor (a C</w:t>
            </w:r>
            <w:r>
              <w:rPr>
                <w:sz w:val="14"/>
              </w:rPr>
              <w:t>max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position w:val="2"/>
              </w:rPr>
              <w:t xml:space="preserve">kb. </w:t>
            </w:r>
            <w:r>
              <w:t xml:space="preserve">1,9-szeresére, az AUC kb. 1,7-szeresére nőtt), illetve a verapamil ismételt </w:t>
            </w:r>
            <w:r>
              <w:rPr>
                <w:position w:val="2"/>
              </w:rPr>
              <w:t>adagolásakor (a C</w:t>
            </w:r>
            <w:r>
              <w:rPr>
                <w:sz w:val="14"/>
              </w:rPr>
              <w:t>max</w:t>
            </w:r>
            <w:r>
              <w:rPr>
                <w:spacing w:val="33"/>
                <w:sz w:val="14"/>
              </w:rPr>
              <w:t xml:space="preserve"> </w:t>
            </w:r>
            <w:r>
              <w:rPr>
                <w:position w:val="2"/>
              </w:rPr>
              <w:t>kb. 1,6-szeresére, az AUC kb. 1,5-szeresére nőtt).</w:t>
            </w:r>
          </w:p>
          <w:p w14:paraId="36B80155" w14:textId="687A698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Nem alakult ki számottevő kölcsönhatás, ha a dabigatrán-etexilát </w:t>
            </w:r>
            <w:r>
              <w:rPr>
                <w:position w:val="2"/>
              </w:rPr>
              <w:t>alkalmazása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után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2</w:t>
            </w:r>
            <w:r w:rsidR="002E2A7B">
              <w:rPr>
                <w:spacing w:val="-4"/>
                <w:position w:val="2"/>
              </w:rPr>
              <w:t> órá</w:t>
            </w:r>
            <w:r>
              <w:rPr>
                <w:position w:val="2"/>
              </w:rPr>
              <w:t>val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később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adagolták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verapamilt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(a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position w:val="2"/>
              </w:rPr>
              <w:t xml:space="preserve">kb. </w:t>
            </w:r>
            <w:r>
              <w:t>1,1-szeresére, az AUC kb. 1,2-szeresére növekedett). Ezt azzal</w:t>
            </w:r>
          </w:p>
          <w:p w14:paraId="4C17F777" w14:textId="3B308DC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magyarázzák,</w:t>
            </w:r>
            <w:r>
              <w:rPr>
                <w:spacing w:val="-6"/>
              </w:rPr>
              <w:t xml:space="preserve"> </w:t>
            </w:r>
            <w:r>
              <w:t>hogy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dabigatrán</w:t>
            </w:r>
            <w:r>
              <w:rPr>
                <w:spacing w:val="-6"/>
              </w:rPr>
              <w:t xml:space="preserve"> </w:t>
            </w:r>
            <w:r>
              <w:t>felszívódása</w:t>
            </w:r>
            <w:r>
              <w:rPr>
                <w:spacing w:val="-6"/>
              </w:rPr>
              <w:t xml:space="preserve"> </w:t>
            </w:r>
            <w:r>
              <w:t>2</w:t>
            </w:r>
            <w:r w:rsidR="00115B93">
              <w:rPr>
                <w:spacing w:val="-6"/>
              </w:rPr>
              <w:t> </w:t>
            </w:r>
            <w:r>
              <w:t>óra</w:t>
            </w:r>
            <w:r>
              <w:rPr>
                <w:spacing w:val="-7"/>
              </w:rPr>
              <w:t xml:space="preserve"> </w:t>
            </w:r>
            <w:r>
              <w:t>alatt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lezajlik.</w:t>
            </w:r>
          </w:p>
        </w:tc>
      </w:tr>
      <w:tr w:rsidR="00945359" w14:paraId="698CC7AB" w14:textId="77777777" w:rsidTr="004F4A3C">
        <w:trPr>
          <w:trHeight w:val="1518"/>
        </w:trPr>
        <w:tc>
          <w:tcPr>
            <w:tcW w:w="2155" w:type="dxa"/>
            <w:gridSpan w:val="2"/>
          </w:tcPr>
          <w:p w14:paraId="3B9A6EE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Amiodaron</w:t>
            </w:r>
          </w:p>
        </w:tc>
        <w:tc>
          <w:tcPr>
            <w:tcW w:w="6904" w:type="dxa"/>
          </w:tcPr>
          <w:p w14:paraId="2E9C6855" w14:textId="50BC8A0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 a dabigatrán-etexilátot 600</w:t>
            </w:r>
            <w:r w:rsidR="00294835">
              <w:t> mg</w:t>
            </w:r>
            <w:r>
              <w:t>-os egyszeri dózisban szájon át adagolt amiodaronnal adták együtt, az amiodaron és aktív metabolitja, a DEA felszívódásának</w:t>
            </w:r>
            <w:r>
              <w:rPr>
                <w:spacing w:val="-5"/>
              </w:rPr>
              <w:t xml:space="preserve"> </w:t>
            </w:r>
            <w:r>
              <w:t>mértéke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sebessége</w:t>
            </w:r>
            <w:r>
              <w:rPr>
                <w:spacing w:val="-5"/>
              </w:rPr>
              <w:t xml:space="preserve"> </w:t>
            </w:r>
            <w:r>
              <w:t>gyakorlatilag</w:t>
            </w:r>
            <w:r>
              <w:rPr>
                <w:spacing w:val="-5"/>
              </w:rPr>
              <w:t xml:space="preserve"> </w:t>
            </w:r>
            <w:r>
              <w:t>változatlan</w:t>
            </w:r>
            <w:r>
              <w:rPr>
                <w:spacing w:val="-5"/>
              </w:rPr>
              <w:t xml:space="preserve"> </w:t>
            </w:r>
            <w:r>
              <w:t>maradt.</w:t>
            </w:r>
            <w:r>
              <w:rPr>
                <w:spacing w:val="-5"/>
              </w:rPr>
              <w:t xml:space="preserve"> </w:t>
            </w:r>
            <w:r>
              <w:t xml:space="preserve">A </w:t>
            </w:r>
            <w:r>
              <w:rPr>
                <w:position w:val="2"/>
              </w:rPr>
              <w:t>dabigatrán AUC-je 1,6-szeresére, a C</w:t>
            </w:r>
            <w:r>
              <w:rPr>
                <w:sz w:val="14"/>
              </w:rPr>
              <w:t>max</w:t>
            </w:r>
            <w:r>
              <w:rPr>
                <w:spacing w:val="32"/>
                <w:sz w:val="14"/>
              </w:rPr>
              <w:t xml:space="preserve"> </w:t>
            </w:r>
            <w:r>
              <w:rPr>
                <w:position w:val="2"/>
              </w:rPr>
              <w:t>értéke pedig 1,5-szeresére nőtt.</w:t>
            </w:r>
          </w:p>
          <w:p w14:paraId="415B605E" w14:textId="6C08DE6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Ennek a kölcsönhatásnak a mechanizmusa nem teljesen tisztázott. Az amiodaron</w:t>
            </w:r>
            <w:r>
              <w:rPr>
                <w:spacing w:val="-4"/>
              </w:rPr>
              <w:t xml:space="preserve"> </w:t>
            </w:r>
            <w:r>
              <w:t>hosszú</w:t>
            </w:r>
            <w:r>
              <w:rPr>
                <w:spacing w:val="-4"/>
              </w:rPr>
              <w:t xml:space="preserve"> </w:t>
            </w:r>
            <w:r>
              <w:t>felezési</w:t>
            </w:r>
            <w:r>
              <w:rPr>
                <w:spacing w:val="-4"/>
              </w:rPr>
              <w:t xml:space="preserve"> </w:t>
            </w:r>
            <w:r>
              <w:t>idejére</w:t>
            </w:r>
            <w:r>
              <w:rPr>
                <w:spacing w:val="-4"/>
              </w:rPr>
              <w:t xml:space="preserve"> </w:t>
            </w:r>
            <w:r>
              <w:t>való</w:t>
            </w:r>
            <w:r>
              <w:rPr>
                <w:spacing w:val="-4"/>
              </w:rPr>
              <w:t xml:space="preserve"> </w:t>
            </w:r>
            <w:r>
              <w:t>tekintettel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kölcsönhatás</w:t>
            </w:r>
            <w:r>
              <w:rPr>
                <w:spacing w:val="-4"/>
              </w:rPr>
              <w:t xml:space="preserve"> </w:t>
            </w:r>
            <w:r>
              <w:t>lehetősége</w:t>
            </w:r>
            <w:r w:rsidR="00891449">
              <w:t xml:space="preserve"> még</w:t>
            </w:r>
            <w:r w:rsidR="00891449">
              <w:rPr>
                <w:spacing w:val="-4"/>
              </w:rPr>
              <w:t xml:space="preserve"> </w:t>
            </w:r>
            <w:r w:rsidR="00891449">
              <w:t>az</w:t>
            </w:r>
            <w:r w:rsidR="00891449">
              <w:rPr>
                <w:spacing w:val="-4"/>
              </w:rPr>
              <w:t xml:space="preserve"> </w:t>
            </w:r>
            <w:r w:rsidR="00891449">
              <w:t>amiodaron</w:t>
            </w:r>
            <w:r w:rsidR="00891449">
              <w:rPr>
                <w:spacing w:val="-4"/>
              </w:rPr>
              <w:t xml:space="preserve"> </w:t>
            </w:r>
            <w:r w:rsidR="00891449">
              <w:t>leállítását</w:t>
            </w:r>
            <w:r w:rsidR="00891449">
              <w:rPr>
                <w:spacing w:val="-4"/>
              </w:rPr>
              <w:t xml:space="preserve"> </w:t>
            </w:r>
            <w:r w:rsidR="00891449">
              <w:t>követően</w:t>
            </w:r>
            <w:r w:rsidR="00891449">
              <w:rPr>
                <w:spacing w:val="-4"/>
              </w:rPr>
              <w:t xml:space="preserve"> </w:t>
            </w:r>
            <w:r w:rsidR="00891449">
              <w:t>több</w:t>
            </w:r>
            <w:r w:rsidR="00891449">
              <w:rPr>
                <w:spacing w:val="-4"/>
              </w:rPr>
              <w:t xml:space="preserve"> </w:t>
            </w:r>
            <w:r w:rsidR="00891449">
              <w:t>héttel</w:t>
            </w:r>
            <w:r w:rsidR="00891449">
              <w:rPr>
                <w:spacing w:val="-4"/>
              </w:rPr>
              <w:t xml:space="preserve"> </w:t>
            </w:r>
            <w:r w:rsidR="00891449">
              <w:t>is</w:t>
            </w:r>
            <w:r w:rsidR="00891449">
              <w:rPr>
                <w:spacing w:val="-4"/>
              </w:rPr>
              <w:t xml:space="preserve"> </w:t>
            </w:r>
            <w:r w:rsidR="00891449">
              <w:t>fennállhat</w:t>
            </w:r>
            <w:r w:rsidR="00891449">
              <w:rPr>
                <w:spacing w:val="-4"/>
              </w:rPr>
              <w:t xml:space="preserve"> </w:t>
            </w:r>
            <w:r w:rsidR="00891449">
              <w:t>(lásd</w:t>
            </w:r>
            <w:r w:rsidR="00891449">
              <w:rPr>
                <w:spacing w:val="-4"/>
              </w:rPr>
              <w:t xml:space="preserve"> </w:t>
            </w:r>
            <w:r w:rsidR="00891449">
              <w:t>4.2</w:t>
            </w:r>
            <w:r w:rsidR="00891449">
              <w:rPr>
                <w:spacing w:val="-4"/>
              </w:rPr>
              <w:t xml:space="preserve"> </w:t>
            </w:r>
            <w:r w:rsidR="00891449">
              <w:t>és 4.4 pont).</w:t>
            </w:r>
          </w:p>
        </w:tc>
      </w:tr>
      <w:tr w:rsidR="00945359" w14:paraId="07653E5A" w14:textId="77777777" w:rsidTr="004F4A3C">
        <w:trPr>
          <w:trHeight w:val="1266"/>
        </w:trPr>
        <w:tc>
          <w:tcPr>
            <w:tcW w:w="2155" w:type="dxa"/>
            <w:gridSpan w:val="2"/>
          </w:tcPr>
          <w:p w14:paraId="34182B7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Kinidin</w:t>
            </w:r>
          </w:p>
        </w:tc>
        <w:tc>
          <w:tcPr>
            <w:tcW w:w="6904" w:type="dxa"/>
          </w:tcPr>
          <w:p w14:paraId="1E4900B3" w14:textId="3C83E8E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kinidint</w:t>
            </w:r>
            <w:r>
              <w:rPr>
                <w:spacing w:val="-3"/>
              </w:rPr>
              <w:t xml:space="preserve"> </w:t>
            </w:r>
            <w:r>
              <w:t>200</w:t>
            </w:r>
            <w:r w:rsidR="00294835">
              <w:rPr>
                <w:spacing w:val="-4"/>
              </w:rPr>
              <w:t> mg</w:t>
            </w:r>
            <w:r>
              <w:t>-os</w:t>
            </w:r>
            <w:r>
              <w:rPr>
                <w:spacing w:val="-3"/>
              </w:rPr>
              <w:t xml:space="preserve"> </w:t>
            </w:r>
            <w:r>
              <w:t>dózisban</w:t>
            </w:r>
            <w:r>
              <w:rPr>
                <w:spacing w:val="-3"/>
              </w:rPr>
              <w:t xml:space="preserve"> </w:t>
            </w:r>
            <w:r>
              <w:t>2</w:t>
            </w:r>
            <w:r w:rsidR="002E2A7B">
              <w:rPr>
                <w:spacing w:val="-3"/>
              </w:rPr>
              <w:t> órá</w:t>
            </w:r>
            <w:r>
              <w:t>nként</w:t>
            </w:r>
            <w:r>
              <w:rPr>
                <w:spacing w:val="-4"/>
              </w:rPr>
              <w:t xml:space="preserve"> </w:t>
            </w:r>
            <w:r>
              <w:t>adták</w:t>
            </w:r>
            <w:r>
              <w:rPr>
                <w:spacing w:val="-4"/>
              </w:rPr>
              <w:t xml:space="preserve"> </w:t>
            </w:r>
            <w:r>
              <w:t>1000</w:t>
            </w:r>
            <w:r w:rsidR="00294835">
              <w:rPr>
                <w:spacing w:val="-6"/>
              </w:rPr>
              <w:t> mg</w:t>
            </w:r>
            <w:r>
              <w:t>-os</w:t>
            </w:r>
            <w:r>
              <w:rPr>
                <w:spacing w:val="-4"/>
              </w:rPr>
              <w:t xml:space="preserve"> </w:t>
            </w:r>
            <w:r>
              <w:t>összdózisig.</w:t>
            </w:r>
            <w:r>
              <w:rPr>
                <w:spacing w:val="-4"/>
              </w:rPr>
              <w:t xml:space="preserve"> </w:t>
            </w:r>
            <w:r>
              <w:t xml:space="preserve">A dabigatrán-etexilátot naponta kétszer adták 3 egymást követő napon, a </w:t>
            </w:r>
            <w:r>
              <w:rPr>
                <w:position w:val="2"/>
              </w:rPr>
              <w:t>harmadik napon kinidinnel vagy anélkül. A dabigatrán AUC</w:t>
            </w:r>
            <w:r>
              <w:rPr>
                <w:sz w:val="14"/>
              </w:rPr>
              <w:t>τ,ss</w:t>
            </w:r>
            <w:r w:rsidR="00ED3263" w:rsidRPr="004F4A3C">
              <w:rPr>
                <w:spacing w:val="37"/>
              </w:rPr>
              <w:t>-</w:t>
            </w:r>
            <w:r>
              <w:rPr>
                <w:position w:val="2"/>
              </w:rPr>
              <w:t>értéke</w:t>
            </w:r>
          </w:p>
          <w:p w14:paraId="71ACA5E5" w14:textId="6DCCB16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position w:val="2"/>
              </w:rPr>
              <w:t>1,53-szorosára,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max,ss</w:t>
            </w:r>
            <w:r w:rsidR="00ED3263" w:rsidRPr="00E705DE">
              <w:rPr>
                <w:spacing w:val="37"/>
              </w:rPr>
              <w:t>-</w:t>
            </w:r>
            <w:r>
              <w:rPr>
                <w:position w:val="2"/>
              </w:rPr>
              <w:t>értéke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pedig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1,56-szorosára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nőtt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kinidin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 xml:space="preserve">egyidejű </w:t>
            </w:r>
            <w:r>
              <w:t>alkalmazása esetén (lásd 4.2 és 4.4</w:t>
            </w:r>
            <w:r w:rsidR="00294835">
              <w:t> pont</w:t>
            </w:r>
            <w:r>
              <w:t>).</w:t>
            </w:r>
          </w:p>
        </w:tc>
      </w:tr>
      <w:tr w:rsidR="00945359" w14:paraId="199152EF" w14:textId="77777777" w:rsidTr="004F4A3C">
        <w:trPr>
          <w:trHeight w:val="757"/>
        </w:trPr>
        <w:tc>
          <w:tcPr>
            <w:tcW w:w="2155" w:type="dxa"/>
            <w:gridSpan w:val="2"/>
          </w:tcPr>
          <w:p w14:paraId="5215B56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Klaritromicin</w:t>
            </w:r>
          </w:p>
        </w:tc>
        <w:tc>
          <w:tcPr>
            <w:tcW w:w="6904" w:type="dxa"/>
          </w:tcPr>
          <w:p w14:paraId="25DDC8F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Amikor</w:t>
            </w:r>
            <w:r>
              <w:rPr>
                <w:spacing w:val="-11"/>
              </w:rPr>
              <w:t xml:space="preserve"> </w:t>
            </w:r>
            <w:r>
              <w:t>egészséges</w:t>
            </w:r>
            <w:r>
              <w:rPr>
                <w:spacing w:val="-10"/>
              </w:rPr>
              <w:t xml:space="preserve"> </w:t>
            </w:r>
            <w:r>
              <w:t>önkénteseknek</w:t>
            </w:r>
            <w:r>
              <w:rPr>
                <w:spacing w:val="-11"/>
              </w:rPr>
              <w:t xml:space="preserve"> </w:t>
            </w:r>
            <w:r>
              <w:t>klaritromicint</w:t>
            </w:r>
            <w:r>
              <w:rPr>
                <w:spacing w:val="-10"/>
              </w:rPr>
              <w:t xml:space="preserve"> </w:t>
            </w:r>
            <w:r>
              <w:t>(naponta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kétszer</w:t>
            </w:r>
          </w:p>
          <w:p w14:paraId="4872EE84" w14:textId="33CF790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500</w:t>
            </w:r>
            <w:r w:rsidR="00294835">
              <w:rPr>
                <w:spacing w:val="-9"/>
              </w:rPr>
              <w:t> mg</w:t>
            </w:r>
            <w:r>
              <w:t>-os</w:t>
            </w:r>
            <w:r>
              <w:rPr>
                <w:spacing w:val="-9"/>
              </w:rPr>
              <w:t xml:space="preserve"> </w:t>
            </w:r>
            <w:r>
              <w:t>adagban)</w:t>
            </w:r>
            <w:r>
              <w:rPr>
                <w:spacing w:val="-10"/>
              </w:rPr>
              <w:t xml:space="preserve"> </w:t>
            </w:r>
            <w:r>
              <w:t>adtak</w:t>
            </w:r>
            <w:r>
              <w:rPr>
                <w:spacing w:val="-9"/>
              </w:rPr>
              <w:t xml:space="preserve"> </w:t>
            </w:r>
            <w:r>
              <w:t>együtt</w:t>
            </w:r>
            <w:r>
              <w:rPr>
                <w:spacing w:val="-10"/>
              </w:rPr>
              <w:t xml:space="preserve"> </w:t>
            </w:r>
            <w:r>
              <w:t>dabigatrán-etexiláttal,</w:t>
            </w:r>
            <w:r>
              <w:rPr>
                <w:spacing w:val="-9"/>
              </w:rPr>
              <w:t xml:space="preserve"> </w:t>
            </w:r>
            <w:r>
              <w:t>1,19-szoros</w:t>
            </w:r>
            <w:r>
              <w:rPr>
                <w:spacing w:val="-9"/>
              </w:rPr>
              <w:t xml:space="preserve"> </w:t>
            </w:r>
            <w:r>
              <w:rPr>
                <w:spacing w:val="-4"/>
              </w:rPr>
              <w:t>AUC-</w:t>
            </w:r>
          </w:p>
          <w:p w14:paraId="7C35086E" w14:textId="30890AA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position w:val="2"/>
              </w:rPr>
              <w:t>és</w:t>
            </w:r>
            <w:r>
              <w:rPr>
                <w:spacing w:val="-10"/>
                <w:position w:val="2"/>
              </w:rPr>
              <w:t xml:space="preserve"> </w:t>
            </w:r>
            <w:r>
              <w:rPr>
                <w:position w:val="2"/>
              </w:rPr>
              <w:t>1,15-szoros</w:t>
            </w:r>
            <w:r>
              <w:rPr>
                <w:spacing w:val="-9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</w:t>
            </w:r>
            <w:r>
              <w:rPr>
                <w:position w:val="2"/>
              </w:rPr>
              <w:t>-növekedést</w:t>
            </w:r>
            <w:r>
              <w:rPr>
                <w:spacing w:val="-10"/>
                <w:position w:val="2"/>
              </w:rPr>
              <w:t xml:space="preserve"> </w:t>
            </w:r>
            <w:r>
              <w:rPr>
                <w:spacing w:val="-2"/>
                <w:position w:val="2"/>
              </w:rPr>
              <w:t>mértek.</w:t>
            </w:r>
          </w:p>
        </w:tc>
      </w:tr>
      <w:tr w:rsidR="00945359" w14:paraId="25C674A4" w14:textId="77777777" w:rsidTr="004F4A3C">
        <w:trPr>
          <w:trHeight w:val="5058"/>
        </w:trPr>
        <w:tc>
          <w:tcPr>
            <w:tcW w:w="2155" w:type="dxa"/>
            <w:gridSpan w:val="2"/>
          </w:tcPr>
          <w:p w14:paraId="77274EB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lastRenderedPageBreak/>
              <w:t>Tikagrelor</w:t>
            </w:r>
          </w:p>
        </w:tc>
        <w:tc>
          <w:tcPr>
            <w:tcW w:w="6904" w:type="dxa"/>
          </w:tcPr>
          <w:p w14:paraId="3A04F0DF" w14:textId="06ACA46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4"/>
              </w:rPr>
            </w:pPr>
            <w:r>
              <w:t>A dabigatrán-etexilát 75</w:t>
            </w:r>
            <w:r w:rsidR="00294835">
              <w:t> mg</w:t>
            </w:r>
            <w:r>
              <w:t>-os egyszeri adagját egyidejűleg alkalmazva tikagrelor 180</w:t>
            </w:r>
            <w:r w:rsidR="00294835">
              <w:t> mg</w:t>
            </w:r>
            <w:r>
              <w:t xml:space="preserve">-os telítő dózisával, a dabigatrán AUC 1,73-szorosára, a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</w:t>
            </w:r>
            <w:r>
              <w:rPr>
                <w:spacing w:val="17"/>
                <w:sz w:val="14"/>
              </w:rPr>
              <w:t xml:space="preserve"> </w:t>
            </w:r>
            <w:r>
              <w:rPr>
                <w:position w:val="2"/>
              </w:rPr>
              <w:t>1,95-szorosára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nőtt.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tikaglerol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napi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kétszer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90</w:t>
            </w:r>
            <w:r w:rsidR="00294835">
              <w:rPr>
                <w:spacing w:val="-3"/>
                <w:position w:val="2"/>
              </w:rPr>
              <w:t> mg</w:t>
            </w:r>
            <w:r>
              <w:rPr>
                <w:position w:val="2"/>
              </w:rPr>
              <w:t>-os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dózisú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ismételt adagolását követően a dabigatrán-expozíció növekedéseként a C</w:t>
            </w:r>
            <w:r>
              <w:rPr>
                <w:sz w:val="14"/>
              </w:rPr>
              <w:t>max</w:t>
            </w:r>
          </w:p>
          <w:p w14:paraId="6A995BA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1,56-szoros,</w:t>
            </w:r>
            <w:r>
              <w:rPr>
                <w:spacing w:val="-8"/>
              </w:rPr>
              <w:t xml:space="preserve"> </w:t>
            </w:r>
            <w:r>
              <w:t>az</w:t>
            </w:r>
            <w:r>
              <w:rPr>
                <w:spacing w:val="-5"/>
              </w:rPr>
              <w:t xml:space="preserve"> </w:t>
            </w:r>
            <w:r>
              <w:t>AUC</w:t>
            </w:r>
            <w:r>
              <w:rPr>
                <w:spacing w:val="-6"/>
              </w:rPr>
              <w:t xml:space="preserve"> </w:t>
            </w:r>
            <w:r>
              <w:t>1,46-szoros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lett.</w:t>
            </w:r>
          </w:p>
          <w:p w14:paraId="185ECC5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07D142C7" w14:textId="484957C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180</w:t>
            </w:r>
            <w:r w:rsidR="00294835">
              <w:t> mg</w:t>
            </w:r>
            <w:r>
              <w:t xml:space="preserve"> telítő dózisú tikagrelor és 110</w:t>
            </w:r>
            <w:r w:rsidR="00294835">
              <w:t> mg</w:t>
            </w:r>
            <w:r>
              <w:t xml:space="preserve"> dabigatrán-etexilát egyidejű </w:t>
            </w:r>
            <w:r>
              <w:rPr>
                <w:position w:val="2"/>
              </w:rPr>
              <w:t>alkalmazása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(dinamikus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egyensúlyi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állapotban)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dabigatrán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AUC</w:t>
            </w:r>
            <w:r>
              <w:rPr>
                <w:sz w:val="14"/>
              </w:rPr>
              <w:t>t,ss</w:t>
            </w:r>
            <w:r w:rsidR="00ED3263" w:rsidRPr="004F4A3C">
              <w:rPr>
                <w:spacing w:val="-2"/>
              </w:rPr>
              <w:t>-</w:t>
            </w:r>
            <w:r>
              <w:rPr>
                <w:position w:val="2"/>
              </w:rPr>
              <w:t>értékét 1,49-szorosára, a C</w:t>
            </w:r>
            <w:r>
              <w:rPr>
                <w:sz w:val="14"/>
              </w:rPr>
              <w:t>max,ss</w:t>
            </w:r>
            <w:r w:rsidR="00ED3263" w:rsidRPr="004F4A3C">
              <w:rPr>
                <w:spacing w:val="30"/>
              </w:rPr>
              <w:t>-</w:t>
            </w:r>
            <w:r>
              <w:rPr>
                <w:position w:val="2"/>
              </w:rPr>
              <w:t xml:space="preserve">értéket 1,65-szorosára emelte az önmagában adott </w:t>
            </w:r>
            <w:r>
              <w:t>dabigatrán-etexiláthoz képest. Ha a tikagrelor 180</w:t>
            </w:r>
            <w:r w:rsidR="00294835">
              <w:t> mg</w:t>
            </w:r>
            <w:r>
              <w:t>-os telítő dózisát</w:t>
            </w:r>
          </w:p>
          <w:p w14:paraId="01FB8FBC" w14:textId="57AD992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</w:t>
            </w:r>
            <w:r w:rsidR="002E2A7B">
              <w:t> órá</w:t>
            </w:r>
            <w:r>
              <w:t>val a 110</w:t>
            </w:r>
            <w:r w:rsidR="00294835">
              <w:t> mg</w:t>
            </w:r>
            <w:r>
              <w:t xml:space="preserve"> dabigatrán-etexilát után adták (dinamikus egyensúlyi </w:t>
            </w:r>
            <w:r>
              <w:rPr>
                <w:position w:val="2"/>
              </w:rPr>
              <w:t>állapotban),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dabigatrán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AUC</w:t>
            </w:r>
            <w:r>
              <w:rPr>
                <w:sz w:val="14"/>
              </w:rPr>
              <w:t>t,ss</w:t>
            </w:r>
            <w:r w:rsidR="00ED3263" w:rsidRPr="00E705DE">
              <w:rPr>
                <w:spacing w:val="37"/>
              </w:rPr>
              <w:t>-</w:t>
            </w:r>
            <w:r>
              <w:rPr>
                <w:position w:val="2"/>
              </w:rPr>
              <w:t>értéke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kisebb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mértékben,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1,27-szorosára,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a C</w:t>
            </w:r>
            <w:r>
              <w:rPr>
                <w:sz w:val="14"/>
              </w:rPr>
              <w:t xml:space="preserve">max,ss </w:t>
            </w:r>
            <w:r>
              <w:rPr>
                <w:position w:val="2"/>
              </w:rPr>
              <w:t xml:space="preserve">pedig 1,23-szorosára nőtt, az önmagában adott dabigatrán-etexiláttal </w:t>
            </w:r>
            <w:r>
              <w:t>összehasonlítva. Ez a lépcsőzetes terápia a javasolt adagolási mód a telítő dózisú tikagrerol terápia indításakor.</w:t>
            </w:r>
          </w:p>
          <w:p w14:paraId="2AC5BEB2" w14:textId="48CC230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Naponta kétszer 90</w:t>
            </w:r>
            <w:r w:rsidR="00294835">
              <w:t> mg</w:t>
            </w:r>
            <w:r>
              <w:t xml:space="preserve"> tikagrelor (fenntartó dózis) együttadása 110</w:t>
            </w:r>
            <w:r w:rsidR="00294835">
              <w:t> mg</w:t>
            </w:r>
            <w:r>
              <w:t xml:space="preserve"> </w:t>
            </w:r>
            <w:r>
              <w:rPr>
                <w:position w:val="2"/>
              </w:rPr>
              <w:t>dabigatrán-etexiláttal</w:t>
            </w:r>
            <w:r>
              <w:rPr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dabigatrán</w:t>
            </w:r>
            <w:r w:rsidR="00ED3263">
              <w:rPr>
                <w:position w:val="2"/>
              </w:rPr>
              <w:t xml:space="preserve"> illesztett</w:t>
            </w:r>
            <w:r>
              <w:rPr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AUC</w:t>
            </w:r>
            <w:r>
              <w:rPr>
                <w:sz w:val="14"/>
              </w:rPr>
              <w:t>t,ss</w:t>
            </w:r>
            <w:r w:rsidR="00ED3263" w:rsidRPr="004F4A3C">
              <w:t>-</w:t>
            </w:r>
            <w:r w:rsidRPr="004F4A3C">
              <w:rPr>
                <w:spacing w:val="-5"/>
              </w:rPr>
              <w:t xml:space="preserve"> </w:t>
            </w:r>
            <w:r>
              <w:rPr>
                <w:position w:val="2"/>
              </w:rPr>
              <w:t>értékét</w:t>
            </w:r>
            <w:r>
              <w:rPr>
                <w:spacing w:val="-7"/>
                <w:position w:val="2"/>
              </w:rPr>
              <w:t xml:space="preserve"> </w:t>
            </w:r>
            <w:r>
              <w:rPr>
                <w:position w:val="2"/>
              </w:rPr>
              <w:t>1,26-szorosára,</w:t>
            </w:r>
          </w:p>
          <w:p w14:paraId="7F316A42" w14:textId="5A6885E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position w:val="2"/>
              </w:rPr>
              <w:t>a</w:t>
            </w:r>
            <w:r>
              <w:rPr>
                <w:spacing w:val="-4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max,ss</w:t>
            </w:r>
            <w:r w:rsidR="00ED3263" w:rsidRPr="004F4A3C">
              <w:rPr>
                <w:spacing w:val="-2"/>
              </w:rPr>
              <w:t>-</w:t>
            </w:r>
            <w:r>
              <w:rPr>
                <w:position w:val="2"/>
              </w:rPr>
              <w:t>értéket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pedig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1,29-szorosára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növelte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az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>önmagában</w:t>
            </w:r>
            <w:r>
              <w:rPr>
                <w:spacing w:val="-5"/>
                <w:position w:val="2"/>
              </w:rPr>
              <w:t xml:space="preserve"> </w:t>
            </w:r>
            <w:r>
              <w:rPr>
                <w:position w:val="2"/>
              </w:rPr>
              <w:t xml:space="preserve">adott </w:t>
            </w:r>
            <w:r>
              <w:t>dabigatrán-etexiláthoz képest.</w:t>
            </w:r>
          </w:p>
        </w:tc>
      </w:tr>
      <w:tr w:rsidR="00945359" w14:paraId="6F53A1A1" w14:textId="77777777" w:rsidTr="004F4A3C">
        <w:trPr>
          <w:trHeight w:val="760"/>
        </w:trPr>
        <w:tc>
          <w:tcPr>
            <w:tcW w:w="2155" w:type="dxa"/>
            <w:gridSpan w:val="2"/>
          </w:tcPr>
          <w:p w14:paraId="49758B6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Pozakonazol</w:t>
            </w:r>
          </w:p>
        </w:tc>
        <w:tc>
          <w:tcPr>
            <w:tcW w:w="6904" w:type="dxa"/>
          </w:tcPr>
          <w:p w14:paraId="3D7291E4" w14:textId="76E6D2C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 pozakonazol szintén gátolja bizonyos mértékben a P-gp-t, de ezt klinikailag</w:t>
            </w:r>
            <w:r>
              <w:rPr>
                <w:spacing w:val="-5"/>
              </w:rPr>
              <w:t xml:space="preserve"> </w:t>
            </w:r>
            <w:r>
              <w:t>nem</w:t>
            </w:r>
            <w:r>
              <w:rPr>
                <w:spacing w:val="-5"/>
              </w:rPr>
              <w:t xml:space="preserve"> </w:t>
            </w:r>
            <w:r>
              <w:t>vizsgálták.</w:t>
            </w:r>
            <w:r>
              <w:rPr>
                <w:spacing w:val="-5"/>
              </w:rPr>
              <w:t xml:space="preserve"> </w:t>
            </w:r>
            <w:r w:rsidR="003811EA">
              <w:t>Elővigyáz</w:t>
            </w:r>
            <w:r>
              <w:t>atosság</w:t>
            </w:r>
            <w:r>
              <w:rPr>
                <w:spacing w:val="-5"/>
              </w:rPr>
              <w:t xml:space="preserve"> </w:t>
            </w:r>
            <w:r>
              <w:t>szükséges,</w:t>
            </w:r>
            <w:r>
              <w:rPr>
                <w:spacing w:val="-5"/>
              </w:rPr>
              <w:t xml:space="preserve"> </w:t>
            </w:r>
            <w:r>
              <w:t>ha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dabigatrán-etexilátot pozakonazollal egyidejűleg alkalmazzák.</w:t>
            </w:r>
          </w:p>
        </w:tc>
      </w:tr>
      <w:tr w:rsidR="00945359" w14:paraId="3F6EC689" w14:textId="77777777" w:rsidTr="004F4A3C">
        <w:trPr>
          <w:trHeight w:val="758"/>
        </w:trPr>
        <w:tc>
          <w:tcPr>
            <w:tcW w:w="9059" w:type="dxa"/>
            <w:gridSpan w:val="3"/>
          </w:tcPr>
          <w:p w14:paraId="766C9A77" w14:textId="79A7E73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  <w:u w:val="single"/>
              </w:rPr>
              <w:t>P</w:t>
            </w:r>
            <w:r w:rsidR="00B95CAF">
              <w:rPr>
                <w:i/>
                <w:u w:val="single"/>
              </w:rPr>
              <w:t>-gp-in</w:t>
            </w:r>
            <w:r>
              <w:rPr>
                <w:i/>
                <w:spacing w:val="-2"/>
                <w:u w:val="single"/>
              </w:rPr>
              <w:t>duktorok</w:t>
            </w:r>
          </w:p>
        </w:tc>
      </w:tr>
      <w:tr w:rsidR="00945359" w14:paraId="3892FF36" w14:textId="77777777" w:rsidTr="004F4A3C">
        <w:trPr>
          <w:trHeight w:val="760"/>
        </w:trPr>
        <w:tc>
          <w:tcPr>
            <w:tcW w:w="9059" w:type="dxa"/>
            <w:gridSpan w:val="3"/>
          </w:tcPr>
          <w:p w14:paraId="17C340A0" w14:textId="395DD304" w:rsidR="00945359" w:rsidRPr="004F4A3C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  <w:iCs/>
              </w:rPr>
            </w:pPr>
            <w:r w:rsidRPr="004F4A3C">
              <w:rPr>
                <w:i/>
                <w:iCs/>
              </w:rPr>
              <w:t>Az</w:t>
            </w:r>
            <w:r w:rsidRPr="004F4A3C">
              <w:rPr>
                <w:i/>
                <w:iCs/>
                <w:spacing w:val="-7"/>
              </w:rPr>
              <w:t xml:space="preserve"> </w:t>
            </w:r>
            <w:r w:rsidRPr="004F4A3C">
              <w:rPr>
                <w:i/>
                <w:iCs/>
              </w:rPr>
              <w:t>egyidejű</w:t>
            </w:r>
            <w:r w:rsidRPr="004F4A3C">
              <w:rPr>
                <w:i/>
                <w:iCs/>
                <w:spacing w:val="-7"/>
              </w:rPr>
              <w:t xml:space="preserve"> </w:t>
            </w:r>
            <w:r w:rsidRPr="004F4A3C">
              <w:rPr>
                <w:i/>
                <w:iCs/>
              </w:rPr>
              <w:t>alkalmazás</w:t>
            </w:r>
            <w:r w:rsidRPr="004F4A3C">
              <w:rPr>
                <w:i/>
                <w:iCs/>
                <w:spacing w:val="-6"/>
              </w:rPr>
              <w:t xml:space="preserve"> </w:t>
            </w:r>
            <w:r w:rsidRPr="004F4A3C">
              <w:rPr>
                <w:i/>
                <w:iCs/>
                <w:spacing w:val="-2"/>
              </w:rPr>
              <w:t>kerülendő</w:t>
            </w:r>
          </w:p>
        </w:tc>
      </w:tr>
      <w:tr w:rsidR="00945359" w14:paraId="3847C0A8" w14:textId="77777777" w:rsidTr="004F4A3C">
        <w:trPr>
          <w:trHeight w:val="2274"/>
        </w:trPr>
        <w:tc>
          <w:tcPr>
            <w:tcW w:w="2155" w:type="dxa"/>
            <w:gridSpan w:val="2"/>
          </w:tcPr>
          <w:p w14:paraId="7A55803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Pl. rifampicin, közönséges</w:t>
            </w:r>
            <w:r>
              <w:rPr>
                <w:spacing w:val="-14"/>
              </w:rPr>
              <w:t xml:space="preserve"> </w:t>
            </w:r>
            <w:r>
              <w:t xml:space="preserve">orbáncfű </w:t>
            </w:r>
            <w:r>
              <w:rPr>
                <w:spacing w:val="-2"/>
              </w:rPr>
              <w:t>(</w:t>
            </w:r>
            <w:r>
              <w:rPr>
                <w:i/>
                <w:spacing w:val="-2"/>
              </w:rPr>
              <w:t>Hypericum perforatum</w:t>
            </w:r>
            <w:r>
              <w:rPr>
                <w:spacing w:val="-2"/>
              </w:rPr>
              <w:t xml:space="preserve">), </w:t>
            </w:r>
            <w:r>
              <w:t xml:space="preserve">karbamazepin, vagy </w:t>
            </w:r>
            <w:r>
              <w:rPr>
                <w:spacing w:val="-2"/>
              </w:rPr>
              <w:t>fenitoin</w:t>
            </w:r>
          </w:p>
        </w:tc>
        <w:tc>
          <w:tcPr>
            <w:tcW w:w="6904" w:type="dxa"/>
          </w:tcPr>
          <w:p w14:paraId="3D250118" w14:textId="29EEC76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Egyidejű</w:t>
            </w:r>
            <w:r>
              <w:rPr>
                <w:spacing w:val="-6"/>
              </w:rPr>
              <w:t xml:space="preserve"> </w:t>
            </w:r>
            <w:r>
              <w:t>adásuk</w:t>
            </w:r>
            <w:r>
              <w:rPr>
                <w:spacing w:val="-6"/>
              </w:rPr>
              <w:t xml:space="preserve"> </w:t>
            </w:r>
            <w:r>
              <w:t>várhatóan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dabigatrán</w:t>
            </w:r>
            <w:r w:rsidR="00ED3263">
              <w:rPr>
                <w:spacing w:val="-6"/>
              </w:rPr>
              <w:t>-</w:t>
            </w:r>
            <w:r>
              <w:t>koncentráció</w:t>
            </w:r>
            <w:r>
              <w:rPr>
                <w:spacing w:val="-6"/>
              </w:rPr>
              <w:t xml:space="preserve"> </w:t>
            </w:r>
            <w:r>
              <w:t xml:space="preserve">csökkenését </w:t>
            </w:r>
            <w:r>
              <w:rPr>
                <w:spacing w:val="-2"/>
              </w:rPr>
              <w:t>eredményezi.</w:t>
            </w:r>
          </w:p>
          <w:p w14:paraId="4FA7CF42" w14:textId="57F8E27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 tesztinduktor rifampicin 7</w:t>
            </w:r>
            <w:r w:rsidR="00294835">
              <w:t> nap</w:t>
            </w:r>
            <w:r>
              <w:t>on át napi egyszeri 600</w:t>
            </w:r>
            <w:r w:rsidR="00294835">
              <w:t> mg</w:t>
            </w:r>
            <w:r>
              <w:t xml:space="preserve"> dózisban alkalmazott</w:t>
            </w:r>
            <w:r>
              <w:rPr>
                <w:spacing w:val="-6"/>
              </w:rPr>
              <w:t xml:space="preserve"> </w:t>
            </w:r>
            <w:r>
              <w:t>előzetes</w:t>
            </w:r>
            <w:r>
              <w:rPr>
                <w:spacing w:val="-8"/>
              </w:rPr>
              <w:t xml:space="preserve"> </w:t>
            </w:r>
            <w:r>
              <w:t>(pre-dose)</w:t>
            </w:r>
            <w:r>
              <w:rPr>
                <w:spacing w:val="-6"/>
              </w:rPr>
              <w:t xml:space="preserve"> </w:t>
            </w:r>
            <w:r>
              <w:t>adagolása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dabigatrán</w:t>
            </w:r>
            <w:r>
              <w:rPr>
                <w:spacing w:val="-6"/>
              </w:rPr>
              <w:t xml:space="preserve"> </w:t>
            </w:r>
            <w:r>
              <w:t>csúcskoncentrációját 65,5%-kal, a teljes expozícióját pedig 67%-kal csökkentette. A</w:t>
            </w:r>
          </w:p>
          <w:p w14:paraId="73C6F323" w14:textId="068901D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rifampicin-kezelés</w:t>
            </w:r>
            <w:r>
              <w:rPr>
                <w:spacing w:val="-10"/>
              </w:rPr>
              <w:t xml:space="preserve"> </w:t>
            </w:r>
            <w:r>
              <w:t>leállítását</w:t>
            </w:r>
            <w:r>
              <w:rPr>
                <w:spacing w:val="-7"/>
              </w:rPr>
              <w:t xml:space="preserve"> </w:t>
            </w:r>
            <w:r>
              <w:t>követő</w:t>
            </w:r>
            <w:r>
              <w:rPr>
                <w:spacing w:val="-8"/>
              </w:rPr>
              <w:t xml:space="preserve"> </w:t>
            </w:r>
            <w:r>
              <w:t>7.</w:t>
            </w:r>
            <w:r w:rsidR="00294835">
              <w:rPr>
                <w:spacing w:val="-7"/>
              </w:rPr>
              <w:t> nap</w:t>
            </w:r>
            <w:r>
              <w:t>ra</w:t>
            </w:r>
            <w:r>
              <w:rPr>
                <w:spacing w:val="-8"/>
              </w:rPr>
              <w:t xml:space="preserve"> </w:t>
            </w:r>
            <w:r>
              <w:t>az</w:t>
            </w:r>
            <w:r>
              <w:rPr>
                <w:spacing w:val="-7"/>
              </w:rPr>
              <w:t xml:space="preserve"> </w:t>
            </w:r>
            <w:r>
              <w:t>indukáló</w:t>
            </w:r>
            <w:r>
              <w:rPr>
                <w:spacing w:val="-8"/>
              </w:rPr>
              <w:t xml:space="preserve"> </w:t>
            </w:r>
            <w:r>
              <w:t>hatás</w:t>
            </w:r>
            <w:r>
              <w:rPr>
                <w:spacing w:val="-7"/>
              </w:rPr>
              <w:t xml:space="preserve"> </w:t>
            </w:r>
            <w:r>
              <w:t>csökkent</w:t>
            </w:r>
            <w:r w:rsidR="00ED3263">
              <w:t>,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és</w:t>
            </w:r>
          </w:p>
          <w:p w14:paraId="326A6F97" w14:textId="5118B46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5"/>
              </w:rPr>
              <w:t xml:space="preserve"> </w:t>
            </w:r>
            <w:r>
              <w:t>dabigatrán-expozíció</w:t>
            </w:r>
            <w:r>
              <w:rPr>
                <w:spacing w:val="-5"/>
              </w:rPr>
              <w:t xml:space="preserve"> </w:t>
            </w:r>
            <w:r>
              <w:t>közel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referenciaszintet</w:t>
            </w:r>
            <w:r>
              <w:rPr>
                <w:spacing w:val="-5"/>
              </w:rPr>
              <w:t xml:space="preserve"> </w:t>
            </w:r>
            <w:r>
              <w:t>érte</w:t>
            </w:r>
            <w:r>
              <w:rPr>
                <w:spacing w:val="-5"/>
              </w:rPr>
              <w:t xml:space="preserve"> </w:t>
            </w:r>
            <w:r>
              <w:t>el.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biohasznosulás további növekedését a következő 7</w:t>
            </w:r>
            <w:r w:rsidR="00294835">
              <w:t> nap</w:t>
            </w:r>
            <w:r>
              <w:t>ban nem figyelték meg.</w:t>
            </w:r>
          </w:p>
        </w:tc>
      </w:tr>
      <w:tr w:rsidR="00945359" w14:paraId="07037EA9" w14:textId="77777777" w:rsidTr="004F4A3C">
        <w:trPr>
          <w:trHeight w:val="760"/>
        </w:trPr>
        <w:tc>
          <w:tcPr>
            <w:tcW w:w="9059" w:type="dxa"/>
            <w:gridSpan w:val="3"/>
          </w:tcPr>
          <w:p w14:paraId="33B6CD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  <w:u w:val="single"/>
              </w:rPr>
              <w:t>Proteázinhibitorok,</w:t>
            </w:r>
            <w:r>
              <w:rPr>
                <w:i/>
                <w:spacing w:val="-11"/>
                <w:u w:val="single"/>
              </w:rPr>
              <w:t xml:space="preserve"> </w:t>
            </w:r>
            <w:r>
              <w:rPr>
                <w:i/>
                <w:u w:val="single"/>
              </w:rPr>
              <w:t>pl.</w:t>
            </w:r>
            <w:r>
              <w:rPr>
                <w:i/>
                <w:spacing w:val="-11"/>
                <w:u w:val="single"/>
              </w:rPr>
              <w:t xml:space="preserve"> </w:t>
            </w:r>
            <w:r>
              <w:rPr>
                <w:i/>
                <w:spacing w:val="-2"/>
                <w:u w:val="single"/>
              </w:rPr>
              <w:t>ritonavir</w:t>
            </w:r>
          </w:p>
        </w:tc>
      </w:tr>
      <w:tr w:rsidR="00945359" w14:paraId="34A378D0" w14:textId="77777777" w:rsidTr="004F4A3C">
        <w:trPr>
          <w:trHeight w:val="758"/>
        </w:trPr>
        <w:tc>
          <w:tcPr>
            <w:tcW w:w="9059" w:type="dxa"/>
            <w:gridSpan w:val="3"/>
          </w:tcPr>
          <w:p w14:paraId="2C1ECCCC" w14:textId="3BCDCAB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</w:rPr>
              <w:t>Az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egyidejű</w:t>
            </w:r>
            <w:r>
              <w:rPr>
                <w:i/>
                <w:spacing w:val="-5"/>
              </w:rPr>
              <w:t xml:space="preserve"> </w:t>
            </w:r>
            <w:r w:rsidR="002E2A7B">
              <w:rPr>
                <w:i/>
              </w:rPr>
              <w:t>alkalmazás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nem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javasolt</w:t>
            </w:r>
          </w:p>
        </w:tc>
      </w:tr>
      <w:tr w:rsidR="00945359" w14:paraId="6A82006A" w14:textId="77777777" w:rsidTr="004F4A3C">
        <w:trPr>
          <w:trHeight w:val="760"/>
        </w:trPr>
        <w:tc>
          <w:tcPr>
            <w:tcW w:w="2155" w:type="dxa"/>
            <w:gridSpan w:val="2"/>
          </w:tcPr>
          <w:p w14:paraId="7E5EA11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pl.</w:t>
            </w:r>
            <w:r>
              <w:rPr>
                <w:spacing w:val="-5"/>
              </w:rPr>
              <w:t xml:space="preserve"> </w:t>
            </w:r>
            <w:r>
              <w:t>ritonavir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annak</w:t>
            </w:r>
          </w:p>
          <w:p w14:paraId="0F5623C2" w14:textId="0092FA1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 xml:space="preserve">más </w:t>
            </w:r>
            <w:r>
              <w:rPr>
                <w:spacing w:val="-2"/>
              </w:rPr>
              <w:t>proteázinhibitorokkal</w:t>
            </w:r>
            <w:r w:rsidR="00ED3263">
              <w:rPr>
                <w:spacing w:val="-2"/>
              </w:rPr>
              <w:t xml:space="preserve"> való kombinációi</w:t>
            </w:r>
          </w:p>
        </w:tc>
        <w:tc>
          <w:tcPr>
            <w:tcW w:w="6904" w:type="dxa"/>
          </w:tcPr>
          <w:p w14:paraId="76A67276" w14:textId="47C374C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Befolyásolják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P-gp-t</w:t>
            </w:r>
            <w:r>
              <w:rPr>
                <w:spacing w:val="-4"/>
              </w:rPr>
              <w:t xml:space="preserve"> </w:t>
            </w:r>
            <w:r>
              <w:t>(gátolják</w:t>
            </w:r>
            <w:r>
              <w:rPr>
                <w:spacing w:val="-4"/>
              </w:rPr>
              <w:t xml:space="preserve"> </w:t>
            </w:r>
            <w:r>
              <w:t>vagy</w:t>
            </w:r>
            <w:r>
              <w:rPr>
                <w:spacing w:val="-4"/>
              </w:rPr>
              <w:t xml:space="preserve"> </w:t>
            </w:r>
            <w:r>
              <w:t>indukálják).</w:t>
            </w:r>
            <w:r>
              <w:rPr>
                <w:spacing w:val="-4"/>
              </w:rPr>
              <w:t xml:space="preserve"> </w:t>
            </w:r>
            <w:r>
              <w:t>Ezeket</w:t>
            </w:r>
            <w:r>
              <w:rPr>
                <w:spacing w:val="-4"/>
              </w:rPr>
              <w:t xml:space="preserve"> </w:t>
            </w:r>
            <w:r>
              <w:t>nem</w:t>
            </w:r>
            <w:r>
              <w:rPr>
                <w:spacing w:val="-4"/>
              </w:rPr>
              <w:t xml:space="preserve"> </w:t>
            </w:r>
            <w:r>
              <w:t>vizsgálták</w:t>
            </w:r>
            <w:r w:rsidR="00977927">
              <w:t>,</w:t>
            </w:r>
            <w:r>
              <w:rPr>
                <w:spacing w:val="-4"/>
              </w:rPr>
              <w:t xml:space="preserve"> </w:t>
            </w:r>
            <w:r>
              <w:t>és ezért egyidejű alkalmazásuk a dabigatrán-etexiláttal nem javasolt.</w:t>
            </w:r>
          </w:p>
        </w:tc>
      </w:tr>
      <w:tr w:rsidR="00945359" w14:paraId="0861AE01" w14:textId="77777777" w:rsidTr="004F4A3C">
        <w:trPr>
          <w:trHeight w:val="758"/>
        </w:trPr>
        <w:tc>
          <w:tcPr>
            <w:tcW w:w="9059" w:type="dxa"/>
            <w:gridSpan w:val="3"/>
          </w:tcPr>
          <w:p w14:paraId="2048153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  <w:u w:val="single"/>
              </w:rPr>
              <w:t>P-gp</w:t>
            </w:r>
            <w:r>
              <w:rPr>
                <w:i/>
                <w:spacing w:val="-3"/>
                <w:u w:val="single"/>
              </w:rPr>
              <w:t xml:space="preserve"> </w:t>
            </w:r>
            <w:r>
              <w:rPr>
                <w:i/>
                <w:spacing w:val="-2"/>
                <w:u w:val="single"/>
              </w:rPr>
              <w:t>szubsztrát</w:t>
            </w:r>
          </w:p>
        </w:tc>
      </w:tr>
      <w:tr w:rsidR="00945359" w14:paraId="3135DF27" w14:textId="77777777" w:rsidTr="004F4A3C">
        <w:trPr>
          <w:trHeight w:val="760"/>
        </w:trPr>
        <w:tc>
          <w:tcPr>
            <w:tcW w:w="2126" w:type="dxa"/>
          </w:tcPr>
          <w:p w14:paraId="265D0E7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Digoxin</w:t>
            </w:r>
          </w:p>
        </w:tc>
        <w:tc>
          <w:tcPr>
            <w:tcW w:w="6933" w:type="dxa"/>
            <w:gridSpan w:val="2"/>
          </w:tcPr>
          <w:p w14:paraId="5B01BF1B" w14:textId="60E5DFC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Egy</w:t>
            </w:r>
            <w:r>
              <w:rPr>
                <w:spacing w:val="-2"/>
              </w:rPr>
              <w:t xml:space="preserve"> </w:t>
            </w:r>
            <w:r>
              <w:t>24</w:t>
            </w:r>
            <w:r>
              <w:rPr>
                <w:spacing w:val="-1"/>
              </w:rPr>
              <w:t xml:space="preserve"> </w:t>
            </w:r>
            <w:r>
              <w:t>egészséges</w:t>
            </w:r>
            <w:r>
              <w:rPr>
                <w:spacing w:val="-2"/>
              </w:rPr>
              <w:t xml:space="preserve"> </w:t>
            </w:r>
            <w:r>
              <w:t>önkéntes</w:t>
            </w:r>
            <w:r w:rsidR="00094D04">
              <w:t>sel</w:t>
            </w:r>
            <w:r>
              <w:rPr>
                <w:spacing w:val="-2"/>
              </w:rPr>
              <w:t xml:space="preserve"> </w:t>
            </w:r>
            <w:r>
              <w:t>végzett</w:t>
            </w:r>
            <w:r>
              <w:rPr>
                <w:spacing w:val="-2"/>
              </w:rPr>
              <w:t xml:space="preserve"> </w:t>
            </w:r>
            <w:r>
              <w:t>vizsgálatban,</w:t>
            </w:r>
            <w:r>
              <w:rPr>
                <w:spacing w:val="-2"/>
              </w:rPr>
              <w:t xml:space="preserve"> </w:t>
            </w:r>
            <w:r>
              <w:t>melyben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dabigatrán- etexilátot</w:t>
            </w:r>
            <w:r>
              <w:rPr>
                <w:spacing w:val="-9"/>
              </w:rPr>
              <w:t xml:space="preserve"> </w:t>
            </w:r>
            <w:r>
              <w:t>digoxinnal</w:t>
            </w:r>
            <w:r>
              <w:rPr>
                <w:spacing w:val="-7"/>
              </w:rPr>
              <w:t xml:space="preserve"> </w:t>
            </w:r>
            <w:r>
              <w:t>adták</w:t>
            </w:r>
            <w:r>
              <w:rPr>
                <w:spacing w:val="-10"/>
              </w:rPr>
              <w:t xml:space="preserve"> </w:t>
            </w:r>
            <w:r>
              <w:t>együtt,</w:t>
            </w:r>
            <w:r>
              <w:rPr>
                <w:spacing w:val="-6"/>
              </w:rPr>
              <w:t xml:space="preserve"> </w:t>
            </w:r>
            <w:r>
              <w:t>nem</w:t>
            </w:r>
            <w:r>
              <w:rPr>
                <w:spacing w:val="-7"/>
              </w:rPr>
              <w:t xml:space="preserve"> </w:t>
            </w:r>
            <w:r>
              <w:t>észleltek</w:t>
            </w:r>
            <w:r>
              <w:rPr>
                <w:spacing w:val="-7"/>
              </w:rPr>
              <w:t xml:space="preserve"> </w:t>
            </w:r>
            <w:r>
              <w:t>változást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digoxin</w:t>
            </w:r>
            <w:r w:rsidR="00ED3263">
              <w:t>-</w:t>
            </w:r>
            <w:r>
              <w:t>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illetve</w:t>
            </w:r>
          </w:p>
          <w:p w14:paraId="6D0D45A6" w14:textId="268D2A44" w:rsidR="00945359" w:rsidRDefault="00ED326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nem észleltek </w:t>
            </w:r>
            <w:r w:rsidR="00220A43">
              <w:t>klinikailag</w:t>
            </w:r>
            <w:r w:rsidR="00220A43">
              <w:rPr>
                <w:spacing w:val="-11"/>
              </w:rPr>
              <w:t xml:space="preserve"> </w:t>
            </w:r>
            <w:r w:rsidR="00220A43">
              <w:t>jelentős</w:t>
            </w:r>
            <w:r w:rsidR="00220A43">
              <w:rPr>
                <w:spacing w:val="-11"/>
              </w:rPr>
              <w:t xml:space="preserve"> </w:t>
            </w:r>
            <w:r w:rsidR="00220A43">
              <w:t>változást</w:t>
            </w:r>
            <w:r w:rsidR="00220A43">
              <w:rPr>
                <w:spacing w:val="-11"/>
              </w:rPr>
              <w:t xml:space="preserve"> </w:t>
            </w:r>
            <w:r w:rsidR="00220A43">
              <w:t>a</w:t>
            </w:r>
            <w:r w:rsidR="00220A43">
              <w:rPr>
                <w:spacing w:val="-10"/>
              </w:rPr>
              <w:t xml:space="preserve"> </w:t>
            </w:r>
            <w:r w:rsidR="00220A43">
              <w:t>dabigatrán-</w:t>
            </w:r>
            <w:r w:rsidR="00220A43">
              <w:rPr>
                <w:spacing w:val="-2"/>
              </w:rPr>
              <w:t>expozícióban.</w:t>
            </w:r>
          </w:p>
        </w:tc>
      </w:tr>
    </w:tbl>
    <w:p w14:paraId="7ABE99BB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7D1C8E78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Antikoagulánsok</w:t>
      </w:r>
      <w:r>
        <w:rPr>
          <w:spacing w:val="14"/>
          <w:u w:val="single"/>
        </w:rPr>
        <w:t xml:space="preserve"> </w:t>
      </w:r>
      <w:r>
        <w:rPr>
          <w:spacing w:val="-2"/>
          <w:u w:val="single"/>
        </w:rPr>
        <w:t>és</w:t>
      </w:r>
      <w:r>
        <w:rPr>
          <w:spacing w:val="14"/>
          <w:u w:val="single"/>
        </w:rPr>
        <w:t xml:space="preserve"> </w:t>
      </w:r>
      <w:r>
        <w:rPr>
          <w:spacing w:val="-2"/>
          <w:u w:val="single"/>
        </w:rPr>
        <w:t>thrombocytaaggregáció-gátló</w:t>
      </w:r>
      <w:r>
        <w:rPr>
          <w:spacing w:val="15"/>
          <w:u w:val="single"/>
        </w:rPr>
        <w:t xml:space="preserve"> </w:t>
      </w:r>
      <w:r>
        <w:rPr>
          <w:spacing w:val="-2"/>
          <w:u w:val="single"/>
        </w:rPr>
        <w:t>gyógyszerek</w:t>
      </w:r>
    </w:p>
    <w:p w14:paraId="517A0AA6" w14:textId="24545015" w:rsidR="00945359" w:rsidRDefault="00220A43" w:rsidP="008F5A8D">
      <w:pPr>
        <w:pStyle w:val="Szvegtrzs"/>
        <w:tabs>
          <w:tab w:val="left" w:pos="567"/>
        </w:tabs>
      </w:pPr>
      <w:r>
        <w:lastRenderedPageBreak/>
        <w:t>Nincs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korlátozott</w:t>
      </w:r>
      <w:r>
        <w:rPr>
          <w:spacing w:val="-3"/>
        </w:rPr>
        <w:t xml:space="preserve"> </w:t>
      </w:r>
      <w:r>
        <w:t>tapasztalat</w:t>
      </w:r>
      <w:r>
        <w:rPr>
          <w:spacing w:val="-3"/>
        </w:rPr>
        <w:t xml:space="preserve"> </w:t>
      </w:r>
      <w:r>
        <w:t>áll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kezelésekr</w:t>
      </w:r>
      <w:r w:rsidR="00C747CD">
        <w:t>ől</w:t>
      </w:r>
      <w:r>
        <w:t>,</w:t>
      </w:r>
      <w:r>
        <w:rPr>
          <w:spacing w:val="-3"/>
        </w:rPr>
        <w:t xml:space="preserve"> </w:t>
      </w:r>
      <w:r>
        <w:t>melyek</w:t>
      </w:r>
      <w:r>
        <w:rPr>
          <w:spacing w:val="-3"/>
        </w:rPr>
        <w:t xml:space="preserve"> </w:t>
      </w:r>
      <w:r>
        <w:t>fokozhatják a vérzésveszélyt, ha a dabigatrán-etexiláttal egyidejűleg alkalmazzák őket: antikoagulánsok, pl. nem frakcionált heparin (UFH), alacsony molekulatömegű heparinok (LMWH) és heparin</w:t>
      </w:r>
      <w:r w:rsidR="00C747CD">
        <w:t>-</w:t>
      </w:r>
      <w:r>
        <w:t>származékok (fondaparinux, dezirudin), thrombolyticus gyógyszerek és K-</w:t>
      </w:r>
      <w:r w:rsidR="00B95CAF">
        <w:t>vitamin-ant</w:t>
      </w:r>
      <w:r>
        <w:t>agonisták, rivaroxabán vagy egyéb orális antikoagulánsok (lásd 4.3</w:t>
      </w:r>
      <w:r w:rsidR="00294835">
        <w:t> pont</w:t>
      </w:r>
      <w:r>
        <w:t>) és thrombocytaaggregáció-gátló gyógyszerek mint pl.</w:t>
      </w:r>
    </w:p>
    <w:p w14:paraId="51F75CAB" w14:textId="2C928B47" w:rsidR="00945359" w:rsidRDefault="00220A43" w:rsidP="008F5A8D">
      <w:pPr>
        <w:pStyle w:val="Szvegtrzs"/>
        <w:tabs>
          <w:tab w:val="left" w:pos="567"/>
        </w:tabs>
      </w:pPr>
      <w:r>
        <w:t>GPIIb/IIIa</w:t>
      </w:r>
      <w:r w:rsidR="00C747CD">
        <w:rPr>
          <w:spacing w:val="-4"/>
        </w:rPr>
        <w:t>-</w:t>
      </w:r>
      <w:r>
        <w:t>receptor</w:t>
      </w:r>
      <w:r w:rsidR="00C747CD">
        <w:rPr>
          <w:spacing w:val="-4"/>
        </w:rPr>
        <w:t>-</w:t>
      </w:r>
      <w:r>
        <w:t>antagonisták,</w:t>
      </w:r>
      <w:r>
        <w:rPr>
          <w:spacing w:val="-4"/>
        </w:rPr>
        <w:t xml:space="preserve"> </w:t>
      </w:r>
      <w:r>
        <w:t>tiklopidin,</w:t>
      </w:r>
      <w:r>
        <w:rPr>
          <w:spacing w:val="-4"/>
        </w:rPr>
        <w:t xml:space="preserve"> </w:t>
      </w:r>
      <w:r>
        <w:t>prazugrel,</w:t>
      </w:r>
      <w:r>
        <w:rPr>
          <w:spacing w:val="-4"/>
        </w:rPr>
        <w:t xml:space="preserve"> </w:t>
      </w:r>
      <w:r>
        <w:t>tikagrelor,</w:t>
      </w:r>
      <w:r>
        <w:rPr>
          <w:spacing w:val="-4"/>
        </w:rPr>
        <w:t xml:space="preserve"> </w:t>
      </w:r>
      <w:r>
        <w:t>dextrán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szulfinpirazon</w:t>
      </w:r>
      <w:r>
        <w:rPr>
          <w:spacing w:val="-4"/>
        </w:rPr>
        <w:t xml:space="preserve"> </w:t>
      </w:r>
      <w:r>
        <w:t>(lásd 4.4</w:t>
      </w:r>
      <w:r w:rsidR="00294835">
        <w:t> pont</w:t>
      </w:r>
      <w:r>
        <w:t>).</w:t>
      </w:r>
    </w:p>
    <w:p w14:paraId="19AAE836" w14:textId="77777777" w:rsidR="00945359" w:rsidRDefault="00945359" w:rsidP="008F5A8D">
      <w:pPr>
        <w:pStyle w:val="Szvegtrzs"/>
        <w:tabs>
          <w:tab w:val="left" w:pos="567"/>
        </w:tabs>
      </w:pPr>
    </w:p>
    <w:p w14:paraId="4C9B1C29" w14:textId="2177BCB6" w:rsidR="00945359" w:rsidRDefault="00220A43" w:rsidP="008F5A8D">
      <w:pPr>
        <w:pStyle w:val="Szvegtrzs"/>
        <w:tabs>
          <w:tab w:val="left" w:pos="567"/>
        </w:tabs>
      </w:pPr>
      <w:r>
        <w:t>A III.</w:t>
      </w:r>
      <w:r w:rsidR="00294835">
        <w:t> fázis</w:t>
      </w:r>
      <w:r>
        <w:t>ú RE-LY vizsgálatban gyűjtött adatokból (lásd 5.1</w:t>
      </w:r>
      <w:r w:rsidR="00294835">
        <w:t> pont</w:t>
      </w:r>
      <w:r>
        <w:t>) azt figyelték meg, hogy mind a dabigatrán-etexilát, mind a warfarin más orális vagy parenter</w:t>
      </w:r>
      <w:r w:rsidR="003811EA">
        <w:t>a</w:t>
      </w:r>
      <w:r>
        <w:t>lis antikoagulánsokkal történő együttadása,</w:t>
      </w:r>
      <w:r>
        <w:rPr>
          <w:spacing w:val="-3"/>
        </w:rPr>
        <w:t xml:space="preserve"> </w:t>
      </w:r>
      <w:r>
        <w:t>melyre</w:t>
      </w:r>
      <w:r>
        <w:rPr>
          <w:spacing w:val="-3"/>
        </w:rPr>
        <w:t xml:space="preserve"> </w:t>
      </w:r>
      <w:r>
        <w:t>többnyire</w:t>
      </w:r>
      <w:r>
        <w:rPr>
          <w:spacing w:val="-3"/>
        </w:rPr>
        <w:t xml:space="preserve"> </w:t>
      </w:r>
      <w:r>
        <w:t>egyik</w:t>
      </w:r>
      <w:r>
        <w:rPr>
          <w:spacing w:val="-3"/>
        </w:rPr>
        <w:t xml:space="preserve"> </w:t>
      </w:r>
      <w:r>
        <w:t>antikoagulánsról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másikra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átállítással</w:t>
      </w:r>
      <w:r>
        <w:rPr>
          <w:spacing w:val="-3"/>
        </w:rPr>
        <w:t xml:space="preserve"> </w:t>
      </w:r>
      <w:r>
        <w:t>kapcsolatban</w:t>
      </w:r>
      <w:r>
        <w:rPr>
          <w:spacing w:val="-3"/>
        </w:rPr>
        <w:t xml:space="preserve"> </w:t>
      </w:r>
      <w:r>
        <w:t>került sor, körülbelül 2,5-szeresére növelte a major vérzések kockázatát (lásd 4.3</w:t>
      </w:r>
      <w:r w:rsidR="00294835">
        <w:t> pont</w:t>
      </w:r>
      <w:r>
        <w:t>). Továbbá mind a dabigatrán-etexilát, mind a warfarin véralvadásgátlókkal (ASA vagy klopidogrel) történő egyidejű adása körülbelül megkétszerezte a major vérzések arányát (lásd 4.4</w:t>
      </w:r>
      <w:r w:rsidR="00294835">
        <w:t> pont</w:t>
      </w:r>
      <w:r>
        <w:t>).</w:t>
      </w:r>
    </w:p>
    <w:p w14:paraId="759421BD" w14:textId="098F57E1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UFH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szükséges</w:t>
      </w:r>
      <w:r>
        <w:rPr>
          <w:spacing w:val="-3"/>
        </w:rPr>
        <w:t xml:space="preserve"> </w:t>
      </w:r>
      <w:r>
        <w:t>dózisban</w:t>
      </w:r>
      <w:r>
        <w:rPr>
          <w:spacing w:val="-3"/>
        </w:rPr>
        <w:t xml:space="preserve"> </w:t>
      </w:r>
      <w:r>
        <w:t>adható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centrális</w:t>
      </w:r>
      <w:r>
        <w:rPr>
          <w:spacing w:val="-3"/>
        </w:rPr>
        <w:t xml:space="preserve"> </w:t>
      </w:r>
      <w:r>
        <w:t>vénás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artériás</w:t>
      </w:r>
      <w:r>
        <w:rPr>
          <w:spacing w:val="-3"/>
        </w:rPr>
        <w:t xml:space="preserve"> </w:t>
      </w:r>
      <w:r>
        <w:t>kanül</w:t>
      </w:r>
      <w:r>
        <w:rPr>
          <w:spacing w:val="-3"/>
        </w:rPr>
        <w:t xml:space="preserve"> </w:t>
      </w:r>
      <w:r>
        <w:t>nyitva</w:t>
      </w:r>
      <w:r w:rsidR="00C747CD">
        <w:t xml:space="preserve"> </w:t>
      </w:r>
      <w:r>
        <w:t>tartásához</w:t>
      </w:r>
      <w:r>
        <w:rPr>
          <w:spacing w:val="-3"/>
        </w:rPr>
        <w:t xml:space="preserve"> </w:t>
      </w:r>
      <w:r>
        <w:t>vagy pitvarfibrilláció esetén katéteres ablatio alatt (lásd 4.3</w:t>
      </w:r>
      <w:r w:rsidR="00294835">
        <w:t> pont</w:t>
      </w:r>
      <w:r>
        <w:t>).</w:t>
      </w:r>
    </w:p>
    <w:p w14:paraId="4EDF4F7D" w14:textId="77777777" w:rsidR="00945359" w:rsidRDefault="00945359" w:rsidP="008F5A8D">
      <w:pPr>
        <w:pStyle w:val="Szvegtrzs"/>
        <w:tabs>
          <w:tab w:val="left" w:pos="567"/>
        </w:tabs>
      </w:pPr>
    </w:p>
    <w:p w14:paraId="67F943C0" w14:textId="50A3B90D" w:rsidR="00945359" w:rsidRPr="00511F35" w:rsidRDefault="006C2A98" w:rsidP="008F5A8D">
      <w:r w:rsidRPr="00511F35">
        <w:rPr>
          <w:b/>
          <w:spacing w:val="-2"/>
        </w:rPr>
        <w:t>10</w:t>
      </w:r>
      <w:r w:rsidR="00BC10BA" w:rsidRPr="00511F35">
        <w:rPr>
          <w:b/>
          <w:spacing w:val="-2"/>
        </w:rPr>
        <w:t>. táblázat</w:t>
      </w:r>
      <w:r w:rsidRPr="00511F35">
        <w:rPr>
          <w:b/>
        </w:rPr>
        <w:t xml:space="preserve">: </w:t>
      </w:r>
      <w:r w:rsidR="00220A43" w:rsidRPr="00511F35">
        <w:rPr>
          <w:b/>
          <w:spacing w:val="-2"/>
        </w:rPr>
        <w:t>Interakciók</w:t>
      </w:r>
      <w:r w:rsidR="00220A43" w:rsidRPr="00511F35">
        <w:rPr>
          <w:b/>
          <w:spacing w:val="12"/>
        </w:rPr>
        <w:t xml:space="preserve"> </w:t>
      </w:r>
      <w:r w:rsidR="00220A43" w:rsidRPr="00511F35">
        <w:rPr>
          <w:b/>
          <w:spacing w:val="-2"/>
        </w:rPr>
        <w:t>antikoagulánsokkal</w:t>
      </w:r>
      <w:r w:rsidR="00220A43" w:rsidRPr="00511F35">
        <w:rPr>
          <w:b/>
          <w:spacing w:val="14"/>
        </w:rPr>
        <w:t xml:space="preserve"> </w:t>
      </w:r>
      <w:r w:rsidR="00220A43" w:rsidRPr="00511F35">
        <w:rPr>
          <w:b/>
          <w:spacing w:val="-2"/>
        </w:rPr>
        <w:t>és</w:t>
      </w:r>
      <w:r w:rsidR="00220A43" w:rsidRPr="00511F35">
        <w:rPr>
          <w:b/>
          <w:spacing w:val="14"/>
        </w:rPr>
        <w:t xml:space="preserve"> </w:t>
      </w:r>
      <w:r w:rsidR="00220A43" w:rsidRPr="00511F35">
        <w:rPr>
          <w:b/>
          <w:spacing w:val="-2"/>
        </w:rPr>
        <w:t>thrombocytaaggregáció-gátló</w:t>
      </w:r>
      <w:r w:rsidR="00220A43" w:rsidRPr="00511F35">
        <w:rPr>
          <w:b/>
          <w:spacing w:val="15"/>
        </w:rPr>
        <w:t xml:space="preserve"> </w:t>
      </w:r>
      <w:r w:rsidR="00220A43" w:rsidRPr="00511F35">
        <w:rPr>
          <w:b/>
          <w:spacing w:val="-2"/>
        </w:rPr>
        <w:t>gyógyszerekkel</w:t>
      </w:r>
    </w:p>
    <w:p w14:paraId="60A918AE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279"/>
        <w:gridCol w:w="7781"/>
      </w:tblGrid>
      <w:tr w:rsidR="00945359" w14:paraId="13BB29DF" w14:textId="77777777" w:rsidTr="008F5A8D">
        <w:trPr>
          <w:trHeight w:val="1012"/>
        </w:trPr>
        <w:tc>
          <w:tcPr>
            <w:tcW w:w="1279" w:type="dxa"/>
          </w:tcPr>
          <w:p w14:paraId="5224B5A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NSAID-</w:t>
            </w:r>
            <w:r>
              <w:rPr>
                <w:spacing w:val="-5"/>
              </w:rPr>
              <w:t>ok</w:t>
            </w:r>
          </w:p>
        </w:tc>
        <w:tc>
          <w:tcPr>
            <w:tcW w:w="7781" w:type="dxa"/>
          </w:tcPr>
          <w:p w14:paraId="655AD8AF" w14:textId="153D56B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Kimutatták, hogy a rövid távú fájdalomcsillapítás céljára adott NSAID-ok nem fokozzák a vérzésveszélyt, ha dabigatrán-etexiláttal adják együtt</w:t>
            </w:r>
            <w:r w:rsidR="00296615">
              <w:t xml:space="preserve"> őket</w:t>
            </w:r>
            <w:r>
              <w:t>. A RE-LY vizsgálatban</w:t>
            </w:r>
            <w:r>
              <w:rPr>
                <w:spacing w:val="-5"/>
              </w:rPr>
              <w:t xml:space="preserve"> </w:t>
            </w:r>
            <w:r>
              <w:t>megfigyelhető</w:t>
            </w:r>
            <w:r>
              <w:rPr>
                <w:spacing w:val="-5"/>
              </w:rPr>
              <w:t xml:space="preserve"> </w:t>
            </w:r>
            <w:r>
              <w:t>krónikus</w:t>
            </w:r>
            <w:r>
              <w:rPr>
                <w:spacing w:val="-5"/>
              </w:rPr>
              <w:t xml:space="preserve"> </w:t>
            </w:r>
            <w:r>
              <w:t>NSAID-szedés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vérzés</w:t>
            </w:r>
            <w:r>
              <w:rPr>
                <w:spacing w:val="-5"/>
              </w:rPr>
              <w:t xml:space="preserve"> </w:t>
            </w:r>
            <w:r>
              <w:t>veszélyét</w:t>
            </w:r>
            <w:r>
              <w:rPr>
                <w:spacing w:val="-5"/>
              </w:rPr>
              <w:t xml:space="preserve"> </w:t>
            </w:r>
            <w:r>
              <w:t>körülbelül</w:t>
            </w:r>
          </w:p>
          <w:p w14:paraId="693790C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50%-kal</w:t>
            </w:r>
            <w:r>
              <w:rPr>
                <w:spacing w:val="-8"/>
              </w:rPr>
              <w:t xml:space="preserve"> </w:t>
            </w:r>
            <w:r>
              <w:t>növeli</w:t>
            </w:r>
            <w:r>
              <w:rPr>
                <w:spacing w:val="-9"/>
              </w:rPr>
              <w:t xml:space="preserve"> </w:t>
            </w:r>
            <w:r>
              <w:t>dabigatrán-etexilát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t>warfarin</w:t>
            </w:r>
            <w:r>
              <w:rPr>
                <w:spacing w:val="-9"/>
              </w:rPr>
              <w:t xml:space="preserve"> </w:t>
            </w:r>
            <w:r>
              <w:t>esetében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is.</w:t>
            </w:r>
          </w:p>
        </w:tc>
      </w:tr>
      <w:tr w:rsidR="00945359" w14:paraId="18F8AF67" w14:textId="77777777" w:rsidTr="008F5A8D">
        <w:trPr>
          <w:trHeight w:val="2025"/>
        </w:trPr>
        <w:tc>
          <w:tcPr>
            <w:tcW w:w="1279" w:type="dxa"/>
          </w:tcPr>
          <w:p w14:paraId="0E420D3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Klopidogrel</w:t>
            </w:r>
          </w:p>
        </w:tc>
        <w:tc>
          <w:tcPr>
            <w:tcW w:w="7781" w:type="dxa"/>
          </w:tcPr>
          <w:p w14:paraId="17025346" w14:textId="155CC90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Fiatal</w:t>
            </w:r>
            <w:r>
              <w:rPr>
                <w:spacing w:val="-5"/>
              </w:rPr>
              <w:t xml:space="preserve"> </w:t>
            </w:r>
            <w:r>
              <w:t>egészséges</w:t>
            </w:r>
            <w:r>
              <w:rPr>
                <w:spacing w:val="-5"/>
              </w:rPr>
              <w:t xml:space="preserve"> </w:t>
            </w:r>
            <w:r>
              <w:t>önkéntes</w:t>
            </w:r>
            <w:r>
              <w:rPr>
                <w:spacing w:val="-5"/>
              </w:rPr>
              <w:t xml:space="preserve"> </w:t>
            </w:r>
            <w:r>
              <w:t>férfiak</w:t>
            </w:r>
            <w:r w:rsidR="00977927">
              <w:t>kal</w:t>
            </w:r>
            <w:r>
              <w:rPr>
                <w:spacing w:val="-5"/>
              </w:rPr>
              <w:t xml:space="preserve"> </w:t>
            </w:r>
            <w:r>
              <w:t>végzett</w:t>
            </w:r>
            <w:r>
              <w:rPr>
                <w:spacing w:val="-5"/>
              </w:rPr>
              <w:t xml:space="preserve"> </w:t>
            </w:r>
            <w:r>
              <w:t>vizsgálatok</w:t>
            </w:r>
            <w:r>
              <w:rPr>
                <w:spacing w:val="-5"/>
              </w:rPr>
              <w:t xml:space="preserve"> </w:t>
            </w:r>
            <w:r>
              <w:t>szerint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 xml:space="preserve">dabigatrán-etexilát és a klopidogrel együttadása nem nyújtotta tovább a kapillárisvérzési időt a </w:t>
            </w:r>
            <w:r>
              <w:rPr>
                <w:position w:val="2"/>
              </w:rPr>
              <w:t>klopidogrel</w:t>
            </w:r>
            <w:r w:rsidR="009465F3">
              <w:rPr>
                <w:position w:val="2"/>
              </w:rPr>
              <w:t>-</w:t>
            </w:r>
            <w:r>
              <w:rPr>
                <w:position w:val="2"/>
              </w:rPr>
              <w:t>monoterápiához viszonyítva. Ezenkívül a dabigatrán AUC</w:t>
            </w:r>
            <w:r>
              <w:rPr>
                <w:sz w:val="14"/>
              </w:rPr>
              <w:t>τ,ss</w:t>
            </w:r>
            <w:r>
              <w:rPr>
                <w:position w:val="2"/>
              </w:rPr>
              <w:t>- és C</w:t>
            </w:r>
            <w:r>
              <w:rPr>
                <w:sz w:val="14"/>
              </w:rPr>
              <w:t>max,ss</w:t>
            </w:r>
            <w:r>
              <w:rPr>
                <w:position w:val="2"/>
              </w:rPr>
              <w:t xml:space="preserve">- </w:t>
            </w:r>
            <w:r>
              <w:t>értéke, valamint a dabigatrán hatását vizsgáló alvadási vizsgálatok, illetve a klopidogrel hatását mutató thrombocytaaggregáció-gátlás lényegében változatlan</w:t>
            </w:r>
            <w:r w:rsidR="00494782">
              <w:t>ok</w:t>
            </w:r>
            <w:r>
              <w:t xml:space="preserve"> maradt</w:t>
            </w:r>
            <w:r w:rsidR="00494782">
              <w:t>ak</w:t>
            </w:r>
            <w:r>
              <w:t xml:space="preserve"> a kombinált kezelés és a megfelelő monoterápiák összehasonlítása során.</w:t>
            </w:r>
          </w:p>
          <w:p w14:paraId="4F4158CE" w14:textId="2640CFB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position w:val="2"/>
              </w:rPr>
              <w:t>300</w:t>
            </w:r>
            <w:r w:rsidR="00294835">
              <w:rPr>
                <w:spacing w:val="-2"/>
                <w:position w:val="2"/>
              </w:rPr>
              <w:t> mg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vagy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600</w:t>
            </w:r>
            <w:r w:rsidR="00294835">
              <w:rPr>
                <w:spacing w:val="-2"/>
                <w:position w:val="2"/>
              </w:rPr>
              <w:t> mg</w:t>
            </w:r>
            <w:r>
              <w:rPr>
                <w:spacing w:val="-2"/>
                <w:position w:val="2"/>
              </w:rPr>
              <w:t xml:space="preserve"> </w:t>
            </w:r>
            <w:r>
              <w:rPr>
                <w:position w:val="2"/>
              </w:rPr>
              <w:t>klopidogrel</w:t>
            </w:r>
            <w:r>
              <w:rPr>
                <w:spacing w:val="-2"/>
                <w:position w:val="2"/>
              </w:rPr>
              <w:t xml:space="preserve"> </w:t>
            </w:r>
            <w:r>
              <w:rPr>
                <w:position w:val="2"/>
              </w:rPr>
              <w:t>telítő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dózis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esetén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a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dabigatrán</w:t>
            </w:r>
            <w:r>
              <w:rPr>
                <w:spacing w:val="-3"/>
                <w:position w:val="2"/>
              </w:rPr>
              <w:t xml:space="preserve"> </w:t>
            </w:r>
            <w:r>
              <w:rPr>
                <w:position w:val="2"/>
              </w:rPr>
              <w:t>AUC</w:t>
            </w:r>
            <w:r>
              <w:rPr>
                <w:sz w:val="14"/>
              </w:rPr>
              <w:t>τ,ss</w:t>
            </w:r>
            <w:r>
              <w:rPr>
                <w:position w:val="2"/>
              </w:rPr>
              <w:t>-</w:t>
            </w:r>
            <w:r>
              <w:rPr>
                <w:spacing w:val="-6"/>
                <w:position w:val="2"/>
              </w:rPr>
              <w:t xml:space="preserve"> </w:t>
            </w:r>
            <w:r>
              <w:rPr>
                <w:position w:val="2"/>
              </w:rPr>
              <w:t>és</w:t>
            </w:r>
            <w:r>
              <w:rPr>
                <w:spacing w:val="-2"/>
                <w:position w:val="2"/>
              </w:rPr>
              <w:t xml:space="preserve"> </w:t>
            </w:r>
            <w:r>
              <w:rPr>
                <w:position w:val="2"/>
              </w:rPr>
              <w:t>C</w:t>
            </w:r>
            <w:r>
              <w:rPr>
                <w:sz w:val="14"/>
              </w:rPr>
              <w:t>max,ss</w:t>
            </w:r>
            <w:r>
              <w:rPr>
                <w:position w:val="2"/>
              </w:rPr>
              <w:t xml:space="preserve">- </w:t>
            </w:r>
            <w:r>
              <w:t>értéke körülbelül 30-40%-kal nőtt (lásd 4.4</w:t>
            </w:r>
            <w:r w:rsidR="00294835">
              <w:t> pont</w:t>
            </w:r>
            <w:r>
              <w:t>).</w:t>
            </w:r>
          </w:p>
        </w:tc>
      </w:tr>
      <w:tr w:rsidR="00945359" w14:paraId="45E3D9BD" w14:textId="77777777" w:rsidTr="008F5A8D">
        <w:trPr>
          <w:trHeight w:val="757"/>
        </w:trPr>
        <w:tc>
          <w:tcPr>
            <w:tcW w:w="1279" w:type="dxa"/>
          </w:tcPr>
          <w:p w14:paraId="176DD0B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ASA</w:t>
            </w:r>
          </w:p>
        </w:tc>
        <w:tc>
          <w:tcPr>
            <w:tcW w:w="7781" w:type="dxa"/>
          </w:tcPr>
          <w:p w14:paraId="1F958389" w14:textId="00B7C56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Az ASA és napi kétszeri 150</w:t>
            </w:r>
            <w:r w:rsidR="00294835">
              <w:t> mg</w:t>
            </w:r>
            <w:r>
              <w:rPr>
                <w:spacing w:val="-1"/>
              </w:rPr>
              <w:t xml:space="preserve"> </w:t>
            </w:r>
            <w:r>
              <w:t>dabigatrán-etexilát együttadása bármilyen vérzés veszélyét</w:t>
            </w:r>
            <w:r>
              <w:rPr>
                <w:spacing w:val="-4"/>
              </w:rPr>
              <w:t xml:space="preserve"> </w:t>
            </w:r>
            <w:r>
              <w:t>12%-ról</w:t>
            </w:r>
            <w:r>
              <w:rPr>
                <w:spacing w:val="-2"/>
              </w:rPr>
              <w:t xml:space="preserve"> </w:t>
            </w:r>
            <w:r>
              <w:t>18%-ra</w:t>
            </w:r>
            <w:r>
              <w:rPr>
                <w:spacing w:val="-3"/>
              </w:rPr>
              <w:t xml:space="preserve"> </w:t>
            </w:r>
            <w:r>
              <w:t>növelheti</w:t>
            </w:r>
            <w:r>
              <w:rPr>
                <w:spacing w:val="-3"/>
              </w:rPr>
              <w:t xml:space="preserve"> </w:t>
            </w:r>
            <w:r>
              <w:t>81</w:t>
            </w:r>
            <w:r w:rsidR="00294835">
              <w:rPr>
                <w:spacing w:val="-4"/>
              </w:rPr>
              <w:t> mg</w:t>
            </w:r>
            <w:r w:rsidR="00494782">
              <w:rPr>
                <w:spacing w:val="-4"/>
              </w:rPr>
              <w:t xml:space="preserve"> ASA</w:t>
            </w:r>
            <w:r>
              <w:t>,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24%-ra</w:t>
            </w:r>
            <w:r>
              <w:rPr>
                <w:spacing w:val="-3"/>
              </w:rPr>
              <w:t xml:space="preserve"> </w:t>
            </w:r>
            <w:r>
              <w:t>325</w:t>
            </w:r>
            <w:r w:rsidR="00294835">
              <w:rPr>
                <w:spacing w:val="-3"/>
              </w:rPr>
              <w:t> mg</w:t>
            </w:r>
            <w:r>
              <w:rPr>
                <w:spacing w:val="-4"/>
              </w:rPr>
              <w:t xml:space="preserve"> </w:t>
            </w:r>
            <w:r>
              <w:t>ASA</w:t>
            </w:r>
            <w:r>
              <w:rPr>
                <w:spacing w:val="-4"/>
              </w:rPr>
              <w:t xml:space="preserve"> </w:t>
            </w:r>
            <w:r>
              <w:t>esetében</w:t>
            </w:r>
            <w:r>
              <w:rPr>
                <w:spacing w:val="-4"/>
              </w:rPr>
              <w:t xml:space="preserve"> </w:t>
            </w:r>
            <w:r>
              <w:t>(lásd</w:t>
            </w:r>
            <w:r w:rsidR="00494782">
              <w:t xml:space="preserve"> </w:t>
            </w:r>
            <w:r>
              <w:t>4.4</w:t>
            </w:r>
            <w:r w:rsidR="00294835">
              <w:t> pont</w:t>
            </w:r>
            <w:r>
              <w:rPr>
                <w:spacing w:val="-2"/>
              </w:rPr>
              <w:t>).</w:t>
            </w:r>
          </w:p>
        </w:tc>
      </w:tr>
      <w:tr w:rsidR="00945359" w14:paraId="3F1E6E08" w14:textId="77777777" w:rsidTr="008F5A8D">
        <w:trPr>
          <w:trHeight w:val="2529"/>
        </w:trPr>
        <w:tc>
          <w:tcPr>
            <w:tcW w:w="1279" w:type="dxa"/>
          </w:tcPr>
          <w:p w14:paraId="5124FFA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LMWH</w:t>
            </w:r>
          </w:p>
        </w:tc>
        <w:tc>
          <w:tcPr>
            <w:tcW w:w="7781" w:type="dxa"/>
          </w:tcPr>
          <w:p w14:paraId="136F8068" w14:textId="65761B8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Az LMWH-k (például enoxaparin) és a dabigatrán-etexilát egyidejű alkalmazását külön nem vizsgálták. Három napon keresztül, naponta egyszer sc. </w:t>
            </w:r>
            <w:r w:rsidR="00494782">
              <w:t>a</w:t>
            </w:r>
            <w:r>
              <w:t>dott 40</w:t>
            </w:r>
            <w:r w:rsidR="00294835">
              <w:t> mg</w:t>
            </w:r>
            <w:r>
              <w:t xml:space="preserve"> enoxaparinról történő átállítás után, az enoxaparin utolsó dózisa után 24</w:t>
            </w:r>
            <w:r w:rsidR="002E2A7B">
              <w:t> órá</w:t>
            </w:r>
            <w:r>
              <w:t xml:space="preserve">val a dabigatrán-expozíció kicsivel alacsonyabb volt, mint </w:t>
            </w:r>
            <w:r w:rsidR="00494782">
              <w:t xml:space="preserve">az </w:t>
            </w:r>
            <w:r>
              <w:t>önmagában adott dabigatrán- etexilát</w:t>
            </w:r>
            <w:r>
              <w:rPr>
                <w:spacing w:val="-1"/>
              </w:rPr>
              <w:t xml:space="preserve"> </w:t>
            </w:r>
            <w:r>
              <w:t>(egyszeri 220</w:t>
            </w:r>
            <w:r w:rsidR="00294835">
              <w:t> mg</w:t>
            </w:r>
            <w:r>
              <w:t>-os dózis) után. Magasabb anti-F</w:t>
            </w:r>
            <w:r w:rsidR="00977927">
              <w:t>X</w:t>
            </w:r>
            <w:r>
              <w:t>a/FIIa</w:t>
            </w:r>
            <w:r w:rsidR="00494782">
              <w:t>-</w:t>
            </w:r>
            <w:r>
              <w:t>aktivitást figyeltek meg dabigatrán-etexilát adása után enoxaparin-előkezelést követően az önmagában adott dabigatrán-etexiláthoz viszonyítva. A feltételezések szerint ez az enoxaparin megmaradó</w:t>
            </w:r>
            <w:r>
              <w:rPr>
                <w:spacing w:val="-5"/>
              </w:rPr>
              <w:t xml:space="preserve"> </w:t>
            </w:r>
            <w:r>
              <w:t>hatásának</w:t>
            </w:r>
            <w:r>
              <w:rPr>
                <w:spacing w:val="-5"/>
              </w:rPr>
              <w:t xml:space="preserve"> </w:t>
            </w:r>
            <w:r>
              <w:t>következménye,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klinikailag</w:t>
            </w:r>
            <w:r>
              <w:rPr>
                <w:spacing w:val="-5"/>
              </w:rPr>
              <w:t xml:space="preserve"> </w:t>
            </w:r>
            <w:r>
              <w:t>nem</w:t>
            </w:r>
            <w:r>
              <w:rPr>
                <w:spacing w:val="-5"/>
              </w:rPr>
              <w:t xml:space="preserve"> </w:t>
            </w:r>
            <w:r>
              <w:t>tekintik</w:t>
            </w:r>
            <w:r>
              <w:rPr>
                <w:spacing w:val="-5"/>
              </w:rPr>
              <w:t xml:space="preserve"> </w:t>
            </w:r>
            <w:r>
              <w:t>relevánsnak.</w:t>
            </w:r>
            <w:r>
              <w:rPr>
                <w:spacing w:val="-5"/>
              </w:rPr>
              <w:t xml:space="preserve"> </w:t>
            </w:r>
            <w:r>
              <w:t>Más, dabigatránnal kapcsolatos antikoaguláns vizsgálatok nem változtak meg lényegesen</w:t>
            </w:r>
          </w:p>
          <w:p w14:paraId="379DE31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enoxaparin</w:t>
            </w:r>
            <w:r>
              <w:rPr>
                <w:spacing w:val="-11"/>
              </w:rPr>
              <w:t xml:space="preserve"> </w:t>
            </w:r>
            <w:r>
              <w:t>előkezelést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követően.</w:t>
            </w:r>
          </w:p>
        </w:tc>
      </w:tr>
    </w:tbl>
    <w:p w14:paraId="4159DFE7" w14:textId="77777777" w:rsidR="007A316E" w:rsidRDefault="007A316E" w:rsidP="008F5A8D">
      <w:pPr>
        <w:pStyle w:val="Szvegtrzs"/>
        <w:tabs>
          <w:tab w:val="left" w:pos="567"/>
        </w:tabs>
        <w:rPr>
          <w:u w:val="single"/>
        </w:rPr>
      </w:pPr>
    </w:p>
    <w:p w14:paraId="1CBBCFD9" w14:textId="08F886D9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Egyéb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interakciók</w:t>
      </w:r>
    </w:p>
    <w:p w14:paraId="6C2169E2" w14:textId="77777777" w:rsidR="00945359" w:rsidRDefault="00945359" w:rsidP="008F5A8D">
      <w:pPr>
        <w:pStyle w:val="Szvegtrzs"/>
        <w:tabs>
          <w:tab w:val="left" w:pos="567"/>
        </w:tabs>
      </w:pPr>
    </w:p>
    <w:p w14:paraId="58E7E9D4" w14:textId="2957DD6B" w:rsidR="00945359" w:rsidRPr="00511F35" w:rsidRDefault="006C2A98" w:rsidP="008F5A8D">
      <w:r w:rsidRPr="00511F35">
        <w:rPr>
          <w:b/>
          <w:spacing w:val="-2"/>
        </w:rPr>
        <w:t>11</w:t>
      </w:r>
      <w:r w:rsidR="00BC10BA" w:rsidRPr="00511F35">
        <w:rPr>
          <w:b/>
          <w:spacing w:val="-2"/>
        </w:rPr>
        <w:t>. táblázat</w:t>
      </w:r>
      <w:r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Egyéb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  <w:spacing w:val="-2"/>
        </w:rPr>
        <w:t>interakciók</w:t>
      </w:r>
    </w:p>
    <w:p w14:paraId="5402450D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1538"/>
        <w:gridCol w:w="7521"/>
      </w:tblGrid>
      <w:tr w:rsidR="00945359" w14:paraId="43802113" w14:textId="77777777" w:rsidTr="008F5A8D">
        <w:trPr>
          <w:trHeight w:val="1012"/>
        </w:trPr>
        <w:tc>
          <w:tcPr>
            <w:tcW w:w="9059" w:type="dxa"/>
            <w:gridSpan w:val="2"/>
          </w:tcPr>
          <w:p w14:paraId="761FF829" w14:textId="0E0F725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  <w:u w:val="single"/>
              </w:rPr>
              <w:t>Szelektív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szerotoninvisszavétel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gátlók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(SSRI-k)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vagy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szelektív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szerotonin</w:t>
            </w:r>
            <w:r w:rsidR="007A316E">
              <w:rPr>
                <w:i/>
                <w:u w:val="single"/>
              </w:rPr>
              <w:t>-</w:t>
            </w:r>
            <w:r>
              <w:rPr>
                <w:i/>
                <w:u w:val="single"/>
              </w:rPr>
              <w:t>noradrenalin</w:t>
            </w:r>
            <w:r w:rsidR="007A316E">
              <w:rPr>
                <w:i/>
                <w:u w:val="single"/>
              </w:rPr>
              <w:t xml:space="preserve"> </w:t>
            </w:r>
            <w:r>
              <w:rPr>
                <w:i/>
                <w:u w:val="single"/>
              </w:rPr>
              <w:t>visszavétel</w:t>
            </w:r>
            <w:r>
              <w:rPr>
                <w:i/>
              </w:rPr>
              <w:t xml:space="preserve"> </w:t>
            </w:r>
            <w:r>
              <w:rPr>
                <w:i/>
                <w:u w:val="single"/>
              </w:rPr>
              <w:t>gátlók (SNRI-k)</w:t>
            </w:r>
          </w:p>
        </w:tc>
      </w:tr>
      <w:tr w:rsidR="00945359" w14:paraId="292ED975" w14:textId="77777777" w:rsidTr="008F5A8D">
        <w:trPr>
          <w:trHeight w:val="505"/>
        </w:trPr>
        <w:tc>
          <w:tcPr>
            <w:tcW w:w="1538" w:type="dxa"/>
          </w:tcPr>
          <w:p w14:paraId="2581AA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SSRI-</w:t>
            </w:r>
            <w:r>
              <w:rPr>
                <w:spacing w:val="-5"/>
              </w:rPr>
              <w:t>k,</w:t>
            </w:r>
          </w:p>
          <w:p w14:paraId="7A6B274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SNRI-</w:t>
            </w:r>
            <w:r>
              <w:rPr>
                <w:spacing w:val="-10"/>
              </w:rPr>
              <w:t>k</w:t>
            </w:r>
          </w:p>
        </w:tc>
        <w:tc>
          <w:tcPr>
            <w:tcW w:w="7521" w:type="dxa"/>
          </w:tcPr>
          <w:p w14:paraId="7BCE332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Az</w:t>
            </w:r>
            <w:r>
              <w:rPr>
                <w:spacing w:val="-6"/>
              </w:rPr>
              <w:t xml:space="preserve"> </w:t>
            </w:r>
            <w:r>
              <w:t>SSRI-k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t>az</w:t>
            </w:r>
            <w:r>
              <w:rPr>
                <w:spacing w:val="-5"/>
              </w:rPr>
              <w:t xml:space="preserve"> </w:t>
            </w:r>
            <w:r>
              <w:t>SNRI-k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RE-LY</w:t>
            </w:r>
            <w:r>
              <w:rPr>
                <w:spacing w:val="-4"/>
              </w:rPr>
              <w:t xml:space="preserve"> </w:t>
            </w:r>
            <w:r>
              <w:t>vizsgálat</w:t>
            </w:r>
            <w:r>
              <w:rPr>
                <w:spacing w:val="-5"/>
              </w:rPr>
              <w:t xml:space="preserve"> </w:t>
            </w:r>
            <w:r>
              <w:t>valamennyi</w:t>
            </w:r>
            <w:r>
              <w:rPr>
                <w:spacing w:val="-6"/>
              </w:rPr>
              <w:t xml:space="preserve"> </w:t>
            </w:r>
            <w:r>
              <w:t>kezelési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csoportjában</w:t>
            </w:r>
          </w:p>
          <w:p w14:paraId="308CEB6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növelték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vérzés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kockázatát.</w:t>
            </w:r>
          </w:p>
        </w:tc>
      </w:tr>
      <w:tr w:rsidR="00945359" w14:paraId="4790C077" w14:textId="77777777" w:rsidTr="008F5A8D">
        <w:trPr>
          <w:trHeight w:val="757"/>
        </w:trPr>
        <w:tc>
          <w:tcPr>
            <w:tcW w:w="9059" w:type="dxa"/>
            <w:gridSpan w:val="2"/>
          </w:tcPr>
          <w:p w14:paraId="0559229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i/>
              </w:rPr>
            </w:pPr>
            <w:r>
              <w:rPr>
                <w:i/>
                <w:u w:val="single"/>
              </w:rPr>
              <w:lastRenderedPageBreak/>
              <w:t>A</w:t>
            </w:r>
            <w:r>
              <w:rPr>
                <w:i/>
                <w:spacing w:val="-7"/>
                <w:u w:val="single"/>
              </w:rPr>
              <w:t xml:space="preserve"> </w:t>
            </w:r>
            <w:r>
              <w:rPr>
                <w:i/>
                <w:u w:val="single"/>
              </w:rPr>
              <w:t>gyomor</w:t>
            </w:r>
            <w:r>
              <w:rPr>
                <w:i/>
                <w:spacing w:val="-5"/>
                <w:u w:val="single"/>
              </w:rPr>
              <w:t xml:space="preserve"> </w:t>
            </w:r>
            <w:r>
              <w:rPr>
                <w:i/>
                <w:u w:val="single"/>
              </w:rPr>
              <w:t>pH-t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befolyásoló</w:t>
            </w:r>
            <w:r>
              <w:rPr>
                <w:i/>
                <w:spacing w:val="-6"/>
                <w:u w:val="single"/>
              </w:rPr>
              <w:t xml:space="preserve"> </w:t>
            </w:r>
            <w:r>
              <w:rPr>
                <w:i/>
                <w:u w:val="single"/>
              </w:rPr>
              <w:t>egyéb</w:t>
            </w:r>
            <w:r>
              <w:rPr>
                <w:i/>
                <w:spacing w:val="-5"/>
                <w:u w:val="single"/>
              </w:rPr>
              <w:t xml:space="preserve"> </w:t>
            </w:r>
            <w:r>
              <w:rPr>
                <w:i/>
                <w:spacing w:val="-2"/>
                <w:u w:val="single"/>
              </w:rPr>
              <w:t>gyógyszerek</w:t>
            </w:r>
          </w:p>
        </w:tc>
      </w:tr>
      <w:tr w:rsidR="00945359" w14:paraId="74C26C63" w14:textId="77777777" w:rsidTr="008F5A8D">
        <w:trPr>
          <w:trHeight w:val="1012"/>
        </w:trPr>
        <w:tc>
          <w:tcPr>
            <w:tcW w:w="1538" w:type="dxa"/>
          </w:tcPr>
          <w:p w14:paraId="1734654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Pantoprazol</w:t>
            </w:r>
          </w:p>
        </w:tc>
        <w:tc>
          <w:tcPr>
            <w:tcW w:w="7521" w:type="dxa"/>
          </w:tcPr>
          <w:p w14:paraId="0E65DC55" w14:textId="22F38FA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 w:rsidR="00977927">
              <w:t>dabigatrán-etexilátot</w:t>
            </w:r>
            <w:r w:rsidR="00703531">
              <w:rPr>
                <w:spacing w:val="-5"/>
              </w:rPr>
              <w:t xml:space="preserve"> </w:t>
            </w:r>
            <w:r>
              <w:t>pantoprazollal</w:t>
            </w:r>
            <w:r>
              <w:rPr>
                <w:spacing w:val="-4"/>
              </w:rPr>
              <w:t xml:space="preserve"> </w:t>
            </w:r>
            <w:r>
              <w:t>adták</w:t>
            </w:r>
            <w:r>
              <w:rPr>
                <w:spacing w:val="-4"/>
              </w:rPr>
              <w:t xml:space="preserve"> </w:t>
            </w:r>
            <w:r>
              <w:t>együtt,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dabigatrán</w:t>
            </w:r>
            <w:r>
              <w:rPr>
                <w:spacing w:val="-4"/>
              </w:rPr>
              <w:t xml:space="preserve"> </w:t>
            </w:r>
            <w:r>
              <w:t>AUC</w:t>
            </w:r>
            <w:r w:rsidR="001602BE">
              <w:rPr>
                <w:spacing w:val="-4"/>
              </w:rPr>
              <w:t>-</w:t>
            </w:r>
            <w:r>
              <w:t>értékének</w:t>
            </w:r>
            <w:r>
              <w:rPr>
                <w:spacing w:val="-4"/>
              </w:rPr>
              <w:t xml:space="preserve"> </w:t>
            </w:r>
            <w:r>
              <w:t>kb.</w:t>
            </w:r>
            <w:r>
              <w:rPr>
                <w:spacing w:val="-4"/>
              </w:rPr>
              <w:t xml:space="preserve"> </w:t>
            </w:r>
            <w:r>
              <w:t xml:space="preserve">30%- os csökkenését figyelték meg. Klinikai vizsgálatokban pantoprazolt és egyéb protonpumpa-inhibitort (PPI) adtak együtt </w:t>
            </w:r>
            <w:r w:rsidR="00977927">
              <w:t>dabigatrán-etexilátt</w:t>
            </w:r>
            <w:r w:rsidR="00991911">
              <w:t>al</w:t>
            </w:r>
            <w:r>
              <w:t>: a párhuzamos</w:t>
            </w:r>
            <w:r w:rsidR="00977927">
              <w:t xml:space="preserve"> </w:t>
            </w:r>
            <w:r>
              <w:t>PPI-kezelés</w:t>
            </w:r>
            <w:r>
              <w:rPr>
                <w:spacing w:val="-8"/>
              </w:rPr>
              <w:t xml:space="preserve"> </w:t>
            </w:r>
            <w:r>
              <w:t>során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 w:rsidR="00977927">
              <w:t>dabigatrán-etexilát</w:t>
            </w:r>
            <w:r>
              <w:rPr>
                <w:spacing w:val="-7"/>
              </w:rPr>
              <w:t xml:space="preserve"> </w:t>
            </w:r>
            <w:r>
              <w:t>hatásosságát</w:t>
            </w:r>
            <w:r>
              <w:rPr>
                <w:spacing w:val="-8"/>
              </w:rPr>
              <w:t xml:space="preserve"> </w:t>
            </w:r>
            <w:r>
              <w:t>csökkentő</w:t>
            </w:r>
            <w:r>
              <w:rPr>
                <w:spacing w:val="-7"/>
              </w:rPr>
              <w:t xml:space="preserve"> </w:t>
            </w:r>
            <w:r>
              <w:t>hatást</w:t>
            </w:r>
            <w:r>
              <w:rPr>
                <w:spacing w:val="-7"/>
              </w:rPr>
              <w:t xml:space="preserve"> </w:t>
            </w:r>
            <w:r>
              <w:t>nem</w:t>
            </w:r>
            <w:r>
              <w:rPr>
                <w:spacing w:val="-7"/>
              </w:rPr>
              <w:t xml:space="preserve"> </w:t>
            </w:r>
            <w:r>
              <w:t>figyeltek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meg.</w:t>
            </w:r>
          </w:p>
        </w:tc>
      </w:tr>
      <w:tr w:rsidR="00945359" w14:paraId="717E5AF4" w14:textId="77777777" w:rsidTr="008F5A8D">
        <w:trPr>
          <w:trHeight w:val="506"/>
        </w:trPr>
        <w:tc>
          <w:tcPr>
            <w:tcW w:w="1538" w:type="dxa"/>
          </w:tcPr>
          <w:p w14:paraId="61C5050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Ranitidin</w:t>
            </w:r>
          </w:p>
        </w:tc>
        <w:tc>
          <w:tcPr>
            <w:tcW w:w="7521" w:type="dxa"/>
          </w:tcPr>
          <w:p w14:paraId="5E5FC3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9"/>
              </w:rPr>
              <w:t xml:space="preserve"> </w:t>
            </w:r>
            <w:r>
              <w:t>ranitidin</w:t>
            </w:r>
            <w:r>
              <w:rPr>
                <w:spacing w:val="-11"/>
              </w:rPr>
              <w:t xml:space="preserve"> </w:t>
            </w:r>
            <w:r>
              <w:t>dabigatrán-etexiláttal</w:t>
            </w:r>
            <w:r>
              <w:rPr>
                <w:spacing w:val="-9"/>
              </w:rPr>
              <w:t xml:space="preserve"> </w:t>
            </w:r>
            <w:r>
              <w:t>történő</w:t>
            </w:r>
            <w:r>
              <w:rPr>
                <w:spacing w:val="-9"/>
              </w:rPr>
              <w:t xml:space="preserve"> </w:t>
            </w:r>
            <w:r>
              <w:t>együttadásának</w:t>
            </w:r>
            <w:r>
              <w:rPr>
                <w:spacing w:val="-9"/>
              </w:rPr>
              <w:t xml:space="preserve"> </w:t>
            </w:r>
            <w:r>
              <w:t>nem</w:t>
            </w:r>
            <w:r>
              <w:rPr>
                <w:spacing w:val="-12"/>
              </w:rPr>
              <w:t xml:space="preserve"> </w:t>
            </w:r>
            <w:r>
              <w:t>volt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klinikailag</w:t>
            </w:r>
          </w:p>
          <w:p w14:paraId="1AEC2CC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jelentős</w:t>
            </w:r>
            <w:r>
              <w:rPr>
                <w:spacing w:val="-8"/>
              </w:rPr>
              <w:t xml:space="preserve"> </w:t>
            </w:r>
            <w:r>
              <w:t>hatása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dabigatrán</w:t>
            </w:r>
            <w:r>
              <w:rPr>
                <w:spacing w:val="-8"/>
              </w:rPr>
              <w:t xml:space="preserve"> </w:t>
            </w:r>
            <w:r>
              <w:t>felszívódásának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mértékére.</w:t>
            </w:r>
          </w:p>
        </w:tc>
      </w:tr>
    </w:tbl>
    <w:p w14:paraId="00E7BF01" w14:textId="77777777" w:rsidR="001602BE" w:rsidRDefault="001602BE" w:rsidP="008F5A8D">
      <w:pPr>
        <w:pStyle w:val="Szvegtrzs"/>
        <w:tabs>
          <w:tab w:val="left" w:pos="567"/>
        </w:tabs>
        <w:rPr>
          <w:u w:val="single"/>
        </w:rPr>
      </w:pPr>
    </w:p>
    <w:p w14:paraId="1774373B" w14:textId="088567B2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A</w:t>
      </w:r>
      <w:r>
        <w:rPr>
          <w:spacing w:val="-11"/>
          <w:u w:val="single"/>
        </w:rPr>
        <w:t xml:space="preserve"> </w:t>
      </w:r>
      <w:r>
        <w:rPr>
          <w:u w:val="single"/>
        </w:rPr>
        <w:t>dabigatrán-etexilát</w:t>
      </w:r>
      <w:r>
        <w:rPr>
          <w:spacing w:val="-8"/>
          <w:u w:val="single"/>
        </w:rPr>
        <w:t xml:space="preserve"> </w:t>
      </w:r>
      <w:r>
        <w:rPr>
          <w:u w:val="single"/>
        </w:rPr>
        <w:t>és</w:t>
      </w:r>
      <w:r>
        <w:rPr>
          <w:spacing w:val="-8"/>
          <w:u w:val="single"/>
        </w:rPr>
        <w:t xml:space="preserve"> </w:t>
      </w:r>
      <w:r>
        <w:rPr>
          <w:u w:val="single"/>
        </w:rPr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dabigatrán</w:t>
      </w:r>
      <w:r>
        <w:rPr>
          <w:spacing w:val="-9"/>
          <w:u w:val="single"/>
        </w:rPr>
        <w:t xml:space="preserve"> </w:t>
      </w:r>
      <w:r>
        <w:rPr>
          <w:u w:val="single"/>
        </w:rPr>
        <w:t>metabolikus</w:t>
      </w:r>
      <w:r>
        <w:rPr>
          <w:spacing w:val="-8"/>
          <w:u w:val="single"/>
        </w:rPr>
        <w:t xml:space="preserve"> </w:t>
      </w:r>
      <w:r>
        <w:rPr>
          <w:u w:val="single"/>
        </w:rPr>
        <w:t>profiljával</w:t>
      </w:r>
      <w:r>
        <w:rPr>
          <w:spacing w:val="-9"/>
          <w:u w:val="single"/>
        </w:rPr>
        <w:t xml:space="preserve"> </w:t>
      </w:r>
      <w:r>
        <w:rPr>
          <w:u w:val="single"/>
        </w:rPr>
        <w:t>kapcsolatos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interakciók</w:t>
      </w:r>
    </w:p>
    <w:p w14:paraId="60779E2F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metabolizálódik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citokróm</w:t>
      </w:r>
      <w:r>
        <w:rPr>
          <w:spacing w:val="-7"/>
        </w:rPr>
        <w:t xml:space="preserve"> </w:t>
      </w:r>
      <w:r>
        <w:t>P450</w:t>
      </w:r>
      <w:r>
        <w:rPr>
          <w:spacing w:val="-3"/>
        </w:rPr>
        <w:t xml:space="preserve"> </w:t>
      </w:r>
      <w:r>
        <w:t>rendszeren</w:t>
      </w:r>
      <w:r>
        <w:rPr>
          <w:spacing w:val="-3"/>
        </w:rPr>
        <w:t xml:space="preserve"> </w:t>
      </w:r>
      <w:r>
        <w:t>keresztül,</w:t>
      </w:r>
      <w:r>
        <w:rPr>
          <w:spacing w:val="-3"/>
        </w:rPr>
        <w:t xml:space="preserve"> </w:t>
      </w:r>
      <w:r>
        <w:t xml:space="preserve">és </w:t>
      </w:r>
      <w:r>
        <w:rPr>
          <w:i/>
        </w:rPr>
        <w:t xml:space="preserve">in vitro </w:t>
      </w:r>
      <w:r>
        <w:t>nincs hatásuk az emberi citokróm P450 enzimekre. Ezért az ezzel összefüggő gyógyszerkölcsönhatások a dabigatránnal nem várhatók.</w:t>
      </w:r>
    </w:p>
    <w:p w14:paraId="67FC636A" w14:textId="77777777" w:rsidR="00945359" w:rsidRDefault="00945359" w:rsidP="008F5A8D">
      <w:pPr>
        <w:pStyle w:val="Szvegtrzs"/>
        <w:tabs>
          <w:tab w:val="left" w:pos="567"/>
        </w:tabs>
      </w:pPr>
    </w:p>
    <w:p w14:paraId="587EBA64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Gyermekek</w:t>
      </w:r>
      <w:r>
        <w:rPr>
          <w:spacing w:val="-6"/>
          <w:u w:val="single"/>
        </w:rPr>
        <w:t xml:space="preserve"> </w:t>
      </w:r>
      <w:r>
        <w:rPr>
          <w:u w:val="single"/>
        </w:rPr>
        <w:t>és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serdülők</w:t>
      </w:r>
    </w:p>
    <w:p w14:paraId="65F9F479" w14:textId="77777777" w:rsidR="00945359" w:rsidRDefault="00220A43" w:rsidP="008F5A8D">
      <w:pPr>
        <w:pStyle w:val="Szvegtrzs"/>
        <w:tabs>
          <w:tab w:val="left" w:pos="567"/>
        </w:tabs>
      </w:pPr>
      <w:r>
        <w:t>Interakciós</w:t>
      </w:r>
      <w:r>
        <w:rPr>
          <w:spacing w:val="-11"/>
        </w:rPr>
        <w:t xml:space="preserve"> </w:t>
      </w:r>
      <w:r>
        <w:t>vizsgálatokat</w:t>
      </w:r>
      <w:r>
        <w:rPr>
          <w:spacing w:val="-9"/>
        </w:rPr>
        <w:t xml:space="preserve"> </w:t>
      </w:r>
      <w:r>
        <w:t>csak</w:t>
      </w:r>
      <w:r>
        <w:rPr>
          <w:spacing w:val="-8"/>
        </w:rPr>
        <w:t xml:space="preserve"> </w:t>
      </w:r>
      <w:r>
        <w:t>felnőttek</w:t>
      </w:r>
      <w:r>
        <w:rPr>
          <w:spacing w:val="-9"/>
        </w:rPr>
        <w:t xml:space="preserve"> </w:t>
      </w:r>
      <w:r>
        <w:t>körében</w:t>
      </w:r>
      <w:r>
        <w:rPr>
          <w:spacing w:val="-8"/>
        </w:rPr>
        <w:t xml:space="preserve"> </w:t>
      </w:r>
      <w:r>
        <w:rPr>
          <w:spacing w:val="-2"/>
        </w:rPr>
        <w:t>végeztek.</w:t>
      </w:r>
    </w:p>
    <w:p w14:paraId="4124B766" w14:textId="77777777" w:rsidR="00945359" w:rsidRDefault="00945359" w:rsidP="008F5A8D">
      <w:pPr>
        <w:pStyle w:val="Szvegtrzs"/>
        <w:tabs>
          <w:tab w:val="left" w:pos="567"/>
        </w:tabs>
      </w:pPr>
    </w:p>
    <w:p w14:paraId="389C9E0B" w14:textId="445595B6" w:rsidR="00945359" w:rsidRDefault="00002AA2" w:rsidP="00511F35">
      <w:pPr>
        <w:rPr>
          <w:b/>
          <w:spacing w:val="-2"/>
        </w:rPr>
      </w:pPr>
      <w:r w:rsidRPr="00511F35">
        <w:rPr>
          <w:b/>
        </w:rPr>
        <w:t>4.6</w:t>
      </w:r>
      <w:r w:rsidRPr="00511F35">
        <w:rPr>
          <w:b/>
        </w:rPr>
        <w:tab/>
      </w:r>
      <w:r w:rsidR="00220A43" w:rsidRPr="00511F35">
        <w:rPr>
          <w:b/>
        </w:rPr>
        <w:t>Termékenység,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terhesség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  <w:spacing w:val="-2"/>
        </w:rPr>
        <w:t>szoptatás</w:t>
      </w:r>
    </w:p>
    <w:p w14:paraId="706B8372" w14:textId="77777777" w:rsidR="00511F35" w:rsidRPr="00511F35" w:rsidRDefault="00511F35" w:rsidP="008F5A8D"/>
    <w:p w14:paraId="6B67EB9A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Fogamzóképes</w:t>
      </w:r>
      <w:r>
        <w:rPr>
          <w:spacing w:val="-12"/>
          <w:u w:val="single"/>
        </w:rPr>
        <w:t xml:space="preserve"> </w:t>
      </w:r>
      <w:r>
        <w:rPr>
          <w:spacing w:val="-5"/>
          <w:u w:val="single"/>
        </w:rPr>
        <w:t>nők</w:t>
      </w:r>
    </w:p>
    <w:p w14:paraId="3C2E4AA4" w14:textId="77777777" w:rsidR="00B900F2" w:rsidRDefault="00220A43">
      <w:pPr>
        <w:pStyle w:val="Szvegtrzs"/>
        <w:tabs>
          <w:tab w:val="left" w:pos="567"/>
        </w:tabs>
      </w:pPr>
      <w:r>
        <w:t>Fogamzóképes</w:t>
      </w:r>
      <w:r>
        <w:rPr>
          <w:spacing w:val="-4"/>
        </w:rPr>
        <w:t xml:space="preserve"> </w:t>
      </w:r>
      <w:r>
        <w:t>nőknek</w:t>
      </w:r>
      <w:r>
        <w:rPr>
          <w:spacing w:val="-4"/>
        </w:rPr>
        <w:t xml:space="preserve"> </w:t>
      </w:r>
      <w:r>
        <w:t>kerülniük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teherbe</w:t>
      </w:r>
      <w:r>
        <w:rPr>
          <w:spacing w:val="-4"/>
        </w:rPr>
        <w:t xml:space="preserve"> </w:t>
      </w:r>
      <w:r>
        <w:t>esést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 w:rsidR="00701BD2">
        <w:t>Dabigatran Etexilate Laboratorios Liconsa</w:t>
      </w:r>
      <w:r>
        <w:t>-kezelés</w:t>
      </w:r>
      <w:r>
        <w:rPr>
          <w:spacing w:val="-4"/>
        </w:rPr>
        <w:t xml:space="preserve"> </w:t>
      </w:r>
      <w:r>
        <w:t>alatt.</w:t>
      </w:r>
    </w:p>
    <w:p w14:paraId="24E6B32C" w14:textId="77777777" w:rsidR="00B900F2" w:rsidRDefault="00B900F2">
      <w:pPr>
        <w:pStyle w:val="Szvegtrzs"/>
        <w:tabs>
          <w:tab w:val="left" w:pos="567"/>
        </w:tabs>
      </w:pPr>
    </w:p>
    <w:p w14:paraId="0CC66A76" w14:textId="3D9B48C9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Terhesség</w:t>
      </w:r>
    </w:p>
    <w:p w14:paraId="32EED98E" w14:textId="770DAD62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1602BE">
        <w:t>dabigatrán-etexilát</w:t>
      </w:r>
      <w:r>
        <w:rPr>
          <w:spacing w:val="-4"/>
        </w:rPr>
        <w:t xml:space="preserve"> </w:t>
      </w:r>
      <w:r>
        <w:t>terhes</w:t>
      </w:r>
      <w:r>
        <w:rPr>
          <w:spacing w:val="-3"/>
        </w:rPr>
        <w:t xml:space="preserve"> </w:t>
      </w:r>
      <w:r>
        <w:t>nőknél</w:t>
      </w:r>
      <w:r>
        <w:rPr>
          <w:spacing w:val="-4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alkalmazás</w:t>
      </w:r>
      <w:r w:rsidR="001602BE">
        <w:t>áról</w:t>
      </w:r>
      <w:r>
        <w:rPr>
          <w:spacing w:val="-3"/>
        </w:rPr>
        <w:t xml:space="preserve"> </w:t>
      </w:r>
      <w:r>
        <w:t>korlátozott</w:t>
      </w:r>
      <w:r>
        <w:rPr>
          <w:spacing w:val="-4"/>
        </w:rPr>
        <w:t xml:space="preserve"> </w:t>
      </w:r>
      <w:r>
        <w:t>mennyiségű</w:t>
      </w:r>
      <w:r>
        <w:rPr>
          <w:spacing w:val="-3"/>
        </w:rPr>
        <w:t xml:space="preserve"> </w:t>
      </w:r>
      <w:r w:rsidR="001602BE">
        <w:t>adat</w:t>
      </w:r>
      <w:r>
        <w:rPr>
          <w:spacing w:val="-4"/>
        </w:rPr>
        <w:t xml:space="preserve"> </w:t>
      </w:r>
      <w:r>
        <w:t xml:space="preserve">áll </w:t>
      </w:r>
      <w:r>
        <w:rPr>
          <w:spacing w:val="-2"/>
        </w:rPr>
        <w:t>rendelkezésre.</w:t>
      </w:r>
    </w:p>
    <w:p w14:paraId="101CE844" w14:textId="7AF5D2D3" w:rsidR="00945359" w:rsidRDefault="00094D04" w:rsidP="008F5A8D">
      <w:pPr>
        <w:pStyle w:val="Szvegtrzs"/>
        <w:tabs>
          <w:tab w:val="left" w:pos="567"/>
        </w:tabs>
      </w:pPr>
      <w:r>
        <w:t>Az á</w:t>
      </w:r>
      <w:r w:rsidR="00220A43">
        <w:t>llatok</w:t>
      </w:r>
      <w:r w:rsidR="001602BE">
        <w:t>kal</w:t>
      </w:r>
      <w:r w:rsidR="00220A43">
        <w:rPr>
          <w:spacing w:val="-3"/>
        </w:rPr>
        <w:t xml:space="preserve"> </w:t>
      </w:r>
      <w:r w:rsidR="00220A43">
        <w:t>végzett</w:t>
      </w:r>
      <w:r w:rsidR="00220A43">
        <w:rPr>
          <w:spacing w:val="-3"/>
        </w:rPr>
        <w:t xml:space="preserve"> </w:t>
      </w:r>
      <w:r w:rsidR="001602BE">
        <w:t>vizsgálatok</w:t>
      </w:r>
      <w:r w:rsidR="00220A43">
        <w:rPr>
          <w:spacing w:val="-3"/>
        </w:rPr>
        <w:t xml:space="preserve"> </w:t>
      </w:r>
      <w:r w:rsidR="00220A43">
        <w:t>reprodukciós</w:t>
      </w:r>
      <w:r w:rsidR="00220A43">
        <w:rPr>
          <w:spacing w:val="-3"/>
        </w:rPr>
        <w:t xml:space="preserve"> </w:t>
      </w:r>
      <w:r w:rsidR="00220A43">
        <w:t>toxicitást</w:t>
      </w:r>
      <w:r w:rsidR="00220A43">
        <w:rPr>
          <w:spacing w:val="-3"/>
        </w:rPr>
        <w:t xml:space="preserve"> </w:t>
      </w:r>
      <w:r w:rsidR="001602BE">
        <w:t>igazol</w:t>
      </w:r>
      <w:r w:rsidR="00220A43">
        <w:t>tak</w:t>
      </w:r>
      <w:r w:rsidR="00220A43">
        <w:rPr>
          <w:spacing w:val="-3"/>
        </w:rPr>
        <w:t xml:space="preserve"> </w:t>
      </w:r>
      <w:r w:rsidR="00220A43">
        <w:t>(lásd</w:t>
      </w:r>
      <w:r w:rsidR="00220A43">
        <w:rPr>
          <w:spacing w:val="-3"/>
        </w:rPr>
        <w:t xml:space="preserve"> </w:t>
      </w:r>
      <w:r w:rsidR="00220A43">
        <w:t>5.3</w:t>
      </w:r>
      <w:r w:rsidR="00294835">
        <w:rPr>
          <w:spacing w:val="-3"/>
        </w:rPr>
        <w:t> pont</w:t>
      </w:r>
      <w:r w:rsidR="00220A43">
        <w:t>).</w:t>
      </w:r>
      <w:r w:rsidR="00220A43">
        <w:rPr>
          <w:spacing w:val="-3"/>
        </w:rPr>
        <w:t xml:space="preserve"> </w:t>
      </w:r>
      <w:r w:rsidR="001602BE">
        <w:t>A</w:t>
      </w:r>
      <w:r w:rsidR="00220A43">
        <w:t xml:space="preserve"> potenciális </w:t>
      </w:r>
      <w:r w:rsidR="001602BE">
        <w:t>humán kockázat</w:t>
      </w:r>
      <w:r w:rsidR="00220A43">
        <w:t xml:space="preserve"> nem ismert.</w:t>
      </w:r>
    </w:p>
    <w:p w14:paraId="739F47C8" w14:textId="1425FE7E" w:rsidR="00703531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703531">
        <w:t>Dabigatran Etexilate Laboratorios Liconsa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 w:rsidR="00703531">
        <w:rPr>
          <w:spacing w:val="-3"/>
        </w:rPr>
        <w:t>a</w:t>
      </w:r>
      <w:r>
        <w:t>lkalmaz</w:t>
      </w:r>
      <w:r w:rsidR="001602BE">
        <w:t>ható</w:t>
      </w:r>
      <w:r w:rsidR="00094D04">
        <w:t xml:space="preserve"> terhesség</w:t>
      </w:r>
      <w:r w:rsidR="00094D04">
        <w:rPr>
          <w:spacing w:val="-3"/>
        </w:rPr>
        <w:t xml:space="preserve"> </w:t>
      </w:r>
      <w:r w:rsidR="00094D04">
        <w:t>alatt</w:t>
      </w:r>
      <w:r>
        <w:t>,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nagyon</w:t>
      </w:r>
      <w:r>
        <w:rPr>
          <w:spacing w:val="-3"/>
        </w:rPr>
        <w:t xml:space="preserve"> </w:t>
      </w:r>
      <w:r>
        <w:t>indokolt</w:t>
      </w:r>
      <w:r>
        <w:rPr>
          <w:spacing w:val="-2"/>
        </w:rPr>
        <w:t xml:space="preserve"> </w:t>
      </w:r>
      <w:r>
        <w:t>esetben.</w:t>
      </w:r>
    </w:p>
    <w:p w14:paraId="3DE5C619" w14:textId="77777777" w:rsidR="00B900F2" w:rsidRDefault="00B900F2" w:rsidP="008F5A8D">
      <w:pPr>
        <w:pStyle w:val="Szvegtrzs"/>
        <w:tabs>
          <w:tab w:val="left" w:pos="567"/>
        </w:tabs>
      </w:pPr>
    </w:p>
    <w:p w14:paraId="40073DB6" w14:textId="1BCBC708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Szoptatás</w:t>
      </w:r>
    </w:p>
    <w:p w14:paraId="70D7541E" w14:textId="60D8E47A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szoptatott</w:t>
      </w:r>
      <w:r>
        <w:rPr>
          <w:spacing w:val="-3"/>
        </w:rPr>
        <w:t xml:space="preserve"> </w:t>
      </w:r>
      <w:r>
        <w:t>csecsemőre</w:t>
      </w:r>
      <w:r>
        <w:rPr>
          <w:spacing w:val="-3"/>
        </w:rPr>
        <w:t xml:space="preserve"> </w:t>
      </w:r>
      <w:r>
        <w:t>gyakorolt</w:t>
      </w:r>
      <w:r>
        <w:rPr>
          <w:spacing w:val="-3"/>
        </w:rPr>
        <w:t xml:space="preserve"> </w:t>
      </w:r>
      <w:r>
        <w:t>hatás</w:t>
      </w:r>
      <w:r w:rsidR="00094D04">
        <w:t>airól klin</w:t>
      </w:r>
      <w:r w:rsidR="002D6A7E">
        <w:t>i</w:t>
      </w:r>
      <w:r w:rsidR="00094D04">
        <w:t>kai</w:t>
      </w:r>
      <w:r>
        <w:rPr>
          <w:spacing w:val="-3"/>
        </w:rPr>
        <w:t xml:space="preserve"> </w:t>
      </w:r>
      <w:r>
        <w:t>adatok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állnak</w:t>
      </w:r>
      <w:r>
        <w:rPr>
          <w:spacing w:val="-3"/>
        </w:rPr>
        <w:t xml:space="preserve"> </w:t>
      </w:r>
      <w:r>
        <w:t xml:space="preserve">rendelkezésre. A </w:t>
      </w:r>
      <w:r w:rsidR="00701BD2">
        <w:t>Dabigatran Etexilate Laboratorios Liconsa</w:t>
      </w:r>
      <w:r w:rsidR="0067328B">
        <w:t xml:space="preserve"> alkalmazás</w:t>
      </w:r>
      <w:r w:rsidR="00094D04">
        <w:t>ának ideje</w:t>
      </w:r>
      <w:r>
        <w:t xml:space="preserve"> alatt a szoptatást </w:t>
      </w:r>
      <w:r w:rsidR="0067328B">
        <w:t>fel</w:t>
      </w:r>
      <w:r>
        <w:t xml:space="preserve"> kell </w:t>
      </w:r>
      <w:r w:rsidR="0067328B">
        <w:t>függeszte</w:t>
      </w:r>
      <w:r>
        <w:t>ni.</w:t>
      </w:r>
    </w:p>
    <w:p w14:paraId="465DFA6D" w14:textId="77777777" w:rsidR="00B900F2" w:rsidRDefault="00B900F2" w:rsidP="008F5A8D">
      <w:pPr>
        <w:pStyle w:val="Szvegtrzs"/>
        <w:tabs>
          <w:tab w:val="left" w:pos="567"/>
        </w:tabs>
      </w:pPr>
    </w:p>
    <w:p w14:paraId="0FC2FD69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Termékenység</w:t>
      </w:r>
    </w:p>
    <w:p w14:paraId="44BD9E78" w14:textId="77777777" w:rsidR="00945359" w:rsidRDefault="00220A43" w:rsidP="008F5A8D">
      <w:pPr>
        <w:pStyle w:val="Szvegtrzs"/>
        <w:tabs>
          <w:tab w:val="left" w:pos="567"/>
        </w:tabs>
      </w:pPr>
      <w:r>
        <w:t>Nem</w:t>
      </w:r>
      <w:r>
        <w:rPr>
          <w:spacing w:val="-8"/>
        </w:rPr>
        <w:t xml:space="preserve"> </w:t>
      </w:r>
      <w:r>
        <w:t>állnak</w:t>
      </w:r>
      <w:r>
        <w:rPr>
          <w:spacing w:val="-7"/>
        </w:rPr>
        <w:t xml:space="preserve"> </w:t>
      </w:r>
      <w:r>
        <w:t>rendelkezésre</w:t>
      </w:r>
      <w:r>
        <w:rPr>
          <w:spacing w:val="-8"/>
        </w:rPr>
        <w:t xml:space="preserve"> </w:t>
      </w:r>
      <w:r>
        <w:t>humán</w:t>
      </w:r>
      <w:r>
        <w:rPr>
          <w:spacing w:val="-7"/>
        </w:rPr>
        <w:t xml:space="preserve"> </w:t>
      </w:r>
      <w:r>
        <w:t>vizsgálati</w:t>
      </w:r>
      <w:r>
        <w:rPr>
          <w:spacing w:val="-7"/>
        </w:rPr>
        <w:t xml:space="preserve"> </w:t>
      </w:r>
      <w:r>
        <w:rPr>
          <w:spacing w:val="-2"/>
        </w:rPr>
        <w:t>adatok.</w:t>
      </w:r>
    </w:p>
    <w:p w14:paraId="39753597" w14:textId="77777777" w:rsidR="00945359" w:rsidRDefault="00945359" w:rsidP="008F5A8D">
      <w:pPr>
        <w:pStyle w:val="Szvegtrzs"/>
        <w:tabs>
          <w:tab w:val="left" w:pos="567"/>
        </w:tabs>
      </w:pPr>
    </w:p>
    <w:p w14:paraId="3B22ACF4" w14:textId="35EAB324" w:rsidR="00945359" w:rsidRDefault="00220A43" w:rsidP="008F5A8D">
      <w:pPr>
        <w:pStyle w:val="Szvegtrzs"/>
        <w:tabs>
          <w:tab w:val="left" w:pos="567"/>
        </w:tabs>
      </w:pPr>
      <w:r>
        <w:t>Állatkísérletekben a nőstények termékenységére kifejtett hatást figyeltek meg az implantáció csökkenése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preimplantációs</w:t>
      </w:r>
      <w:r>
        <w:rPr>
          <w:spacing w:val="-3"/>
        </w:rPr>
        <w:t xml:space="preserve"> </w:t>
      </w:r>
      <w:r>
        <w:t>veszteség</w:t>
      </w:r>
      <w:r>
        <w:rPr>
          <w:spacing w:val="-3"/>
        </w:rPr>
        <w:t xml:space="preserve"> </w:t>
      </w:r>
      <w:r>
        <w:t>növekedése</w:t>
      </w:r>
      <w:r>
        <w:rPr>
          <w:spacing w:val="-3"/>
        </w:rPr>
        <w:t xml:space="preserve"> </w:t>
      </w:r>
      <w:r>
        <w:t>formájában</w:t>
      </w:r>
      <w:r>
        <w:rPr>
          <w:spacing w:val="-3"/>
        </w:rPr>
        <w:t xml:space="preserve"> </w:t>
      </w:r>
      <w:r>
        <w:t>70</w:t>
      </w:r>
      <w:r w:rsidR="00294835">
        <w:rPr>
          <w:spacing w:val="-3"/>
        </w:rPr>
        <w:t> mg</w:t>
      </w:r>
      <w:r>
        <w:t>/ttkg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(ez</w:t>
      </w:r>
      <w:r>
        <w:rPr>
          <w:spacing w:val="-3"/>
        </w:rPr>
        <w:t xml:space="preserve"> </w:t>
      </w:r>
      <w:r>
        <w:t>5-ször nagyobb plazmaexpozíció</w:t>
      </w:r>
      <w:r w:rsidR="001602BE">
        <w:t>s</w:t>
      </w:r>
      <w:r>
        <w:t xml:space="preserve"> szintet jelent, mint a betegeknél). Más, a nőstények termékenységére</w:t>
      </w:r>
      <w:r w:rsidR="00703531">
        <w:t xml:space="preserve"> </w:t>
      </w:r>
      <w:r>
        <w:t>kifejtett hatást nem figyeltek meg. A hímek termékenységére kifejtett hatást nem találtak. Anyai toxikus</w:t>
      </w:r>
      <w:r>
        <w:rPr>
          <w:spacing w:val="-3"/>
        </w:rPr>
        <w:t xml:space="preserve"> </w:t>
      </w:r>
      <w:r>
        <w:t>dózisok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(ami</w:t>
      </w:r>
      <w:r>
        <w:rPr>
          <w:spacing w:val="-3"/>
        </w:rPr>
        <w:t xml:space="preserve"> </w:t>
      </w:r>
      <w:r>
        <w:t>5-10-szer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plazmaexpozíció</w:t>
      </w:r>
      <w:r w:rsidR="001602BE">
        <w:t>s</w:t>
      </w:r>
      <w:r>
        <w:rPr>
          <w:spacing w:val="-3"/>
        </w:rPr>
        <w:t xml:space="preserve"> </w:t>
      </w:r>
      <w:r>
        <w:t>szintet</w:t>
      </w:r>
      <w:r>
        <w:rPr>
          <w:spacing w:val="-3"/>
        </w:rPr>
        <w:t xml:space="preserve"> </w:t>
      </w:r>
      <w:r>
        <w:t>jelent,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betegeknél),</w:t>
      </w:r>
      <w:r>
        <w:rPr>
          <w:spacing w:val="-3"/>
        </w:rPr>
        <w:t xml:space="preserve"> </w:t>
      </w:r>
      <w:r>
        <w:t>a foetalis testtömeg és az embryofoetalis életképesség csökkenését, valamint a foetalis variációk növekedését figyelték meg patkányoknál és nyulaknál. A pre- és postnatalis vizsgálatban a foetalis mortalitás növekedését észlelték az anyaállatra toxikus dózisok esetén (a dózis olyan plazmaexpozíciós szintnek felel meg, ami 4-szer nagyobb volt, mint amit a betegeknél megfigyeltek).</w:t>
      </w:r>
    </w:p>
    <w:p w14:paraId="3C51DE8A" w14:textId="77777777" w:rsidR="00945359" w:rsidRDefault="00945359" w:rsidP="008F5A8D">
      <w:pPr>
        <w:pStyle w:val="Szvegtrzs"/>
        <w:tabs>
          <w:tab w:val="left" w:pos="567"/>
        </w:tabs>
      </w:pPr>
    </w:p>
    <w:p w14:paraId="2BD31C11" w14:textId="654DE524" w:rsidR="00945359" w:rsidRPr="00511F35" w:rsidRDefault="00002AA2" w:rsidP="00511F35">
      <w:r w:rsidRPr="00511F35">
        <w:rPr>
          <w:b/>
        </w:rPr>
        <w:t>4.7</w:t>
      </w:r>
      <w:r w:rsidRPr="00511F35">
        <w:rPr>
          <w:b/>
        </w:rPr>
        <w:tab/>
      </w:r>
      <w:r w:rsidR="00220A43" w:rsidRPr="00511F35">
        <w:rPr>
          <w:b/>
        </w:rPr>
        <w:t>A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készítmény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hatásai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gépjárművezetéshez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gépek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kezeléséhez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szükséges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  <w:spacing w:val="-2"/>
        </w:rPr>
        <w:t>képességekre</w:t>
      </w:r>
    </w:p>
    <w:p w14:paraId="2B3B0E40" w14:textId="77777777" w:rsidR="00002AA2" w:rsidRPr="00511F35" w:rsidRDefault="00002AA2" w:rsidP="008F5A8D"/>
    <w:p w14:paraId="5CE87A09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elhanyagolható</w:t>
      </w:r>
      <w:r>
        <w:rPr>
          <w:spacing w:val="-3"/>
        </w:rPr>
        <w:t xml:space="preserve"> </w:t>
      </w:r>
      <w:r>
        <w:t>mértékben</w:t>
      </w:r>
      <w:r>
        <w:rPr>
          <w:spacing w:val="-3"/>
        </w:rPr>
        <w:t xml:space="preserve"> </w:t>
      </w:r>
      <w:r>
        <w:t>befolyásolja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gépjárművezetéshez</w:t>
      </w:r>
      <w:r>
        <w:rPr>
          <w:spacing w:val="-3"/>
        </w:rPr>
        <w:t xml:space="preserve"> </w:t>
      </w:r>
      <w:r>
        <w:t>és a gépek kezeléséhez szükséges képességeket.</w:t>
      </w:r>
    </w:p>
    <w:p w14:paraId="5D9E9E82" w14:textId="77777777" w:rsidR="00945359" w:rsidRDefault="00945359" w:rsidP="008F5A8D">
      <w:pPr>
        <w:pStyle w:val="Szvegtrzs"/>
        <w:tabs>
          <w:tab w:val="left" w:pos="567"/>
        </w:tabs>
      </w:pPr>
    </w:p>
    <w:p w14:paraId="2933C901" w14:textId="7FE8F5B8" w:rsidR="00945359" w:rsidRPr="00511F35" w:rsidRDefault="00002AA2" w:rsidP="00511F35">
      <w:r w:rsidRPr="00511F35">
        <w:rPr>
          <w:b/>
        </w:rPr>
        <w:t>4.8</w:t>
      </w:r>
      <w:r w:rsidRPr="00511F35">
        <w:rPr>
          <w:b/>
        </w:rPr>
        <w:tab/>
      </w:r>
      <w:r w:rsidR="00220A43" w:rsidRPr="00511F35">
        <w:rPr>
          <w:b/>
        </w:rPr>
        <w:t>Nemkívánatos</w:t>
      </w:r>
      <w:r w:rsidR="00220A43" w:rsidRPr="00511F35">
        <w:rPr>
          <w:b/>
          <w:spacing w:val="-10"/>
        </w:rPr>
        <w:t xml:space="preserve"> </w:t>
      </w:r>
      <w:r w:rsidR="00220A43" w:rsidRPr="00511F35">
        <w:rPr>
          <w:b/>
        </w:rPr>
        <w:t>hatások,</w:t>
      </w:r>
      <w:r w:rsidR="00220A43" w:rsidRPr="00511F35">
        <w:rPr>
          <w:b/>
          <w:spacing w:val="-10"/>
        </w:rPr>
        <w:t xml:space="preserve"> </w:t>
      </w:r>
      <w:r w:rsidR="00220A43" w:rsidRPr="00511F35">
        <w:rPr>
          <w:b/>
          <w:spacing w:val="-2"/>
        </w:rPr>
        <w:t>mellékhatások</w:t>
      </w:r>
    </w:p>
    <w:p w14:paraId="290C11A3" w14:textId="77777777" w:rsidR="00002AA2" w:rsidRPr="00511F35" w:rsidRDefault="00002AA2" w:rsidP="008F5A8D"/>
    <w:p w14:paraId="42B2F4CB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lastRenderedPageBreak/>
        <w:t>A</w:t>
      </w:r>
      <w:r>
        <w:rPr>
          <w:spacing w:val="-8"/>
          <w:u w:val="single"/>
        </w:rPr>
        <w:t xml:space="preserve"> </w:t>
      </w:r>
      <w:r>
        <w:rPr>
          <w:u w:val="single"/>
        </w:rPr>
        <w:t>biztonságossági</w:t>
      </w:r>
      <w:r>
        <w:rPr>
          <w:spacing w:val="-7"/>
          <w:u w:val="single"/>
        </w:rPr>
        <w:t xml:space="preserve"> </w:t>
      </w:r>
      <w:r>
        <w:rPr>
          <w:u w:val="single"/>
        </w:rPr>
        <w:t>profil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összefoglalása</w:t>
      </w:r>
    </w:p>
    <w:p w14:paraId="6ECA70A5" w14:textId="22A1D578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összesen</w:t>
      </w:r>
      <w:r>
        <w:rPr>
          <w:spacing w:val="-3"/>
        </w:rPr>
        <w:t xml:space="preserve"> </w:t>
      </w:r>
      <w:r>
        <w:t>körülbelül</w:t>
      </w:r>
      <w:r>
        <w:rPr>
          <w:spacing w:val="-3"/>
        </w:rPr>
        <w:t xml:space="preserve"> </w:t>
      </w:r>
      <w:r>
        <w:t>64</w:t>
      </w:r>
      <w:r w:rsidR="009465F3">
        <w:rPr>
          <w:spacing w:val="-3"/>
        </w:rPr>
        <w:t> </w:t>
      </w:r>
      <w:r w:rsidR="00B95CAF">
        <w:rPr>
          <w:spacing w:val="-3"/>
        </w:rPr>
        <w:t>000</w:t>
      </w:r>
      <w:r w:rsidR="009465F3">
        <w:rPr>
          <w:spacing w:val="-3"/>
        </w:rPr>
        <w:t> </w:t>
      </w:r>
      <w:r>
        <w:t>beteg</w:t>
      </w:r>
      <w:r w:rsidR="00094D04">
        <w:t>gel</w:t>
      </w:r>
      <w:r>
        <w:rPr>
          <w:spacing w:val="-3"/>
        </w:rPr>
        <w:t xml:space="preserve"> </w:t>
      </w:r>
      <w:r>
        <w:t>végzett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vizsgálatokban</w:t>
      </w:r>
      <w:r>
        <w:rPr>
          <w:spacing w:val="-3"/>
        </w:rPr>
        <w:t xml:space="preserve"> </w:t>
      </w:r>
      <w:r>
        <w:t>értékelték; közülük körülbelül 35</w:t>
      </w:r>
      <w:r w:rsidR="00B95CAF">
        <w:t> 000</w:t>
      </w:r>
      <w:r w:rsidR="009465F3">
        <w:t> </w:t>
      </w:r>
      <w:r>
        <w:t>beteg kapott dabigatrán-etexilátot.</w:t>
      </w:r>
    </w:p>
    <w:p w14:paraId="67505935" w14:textId="77777777" w:rsidR="00945359" w:rsidRDefault="00945359" w:rsidP="008F5A8D">
      <w:pPr>
        <w:pStyle w:val="Szvegtrzs"/>
        <w:tabs>
          <w:tab w:val="left" w:pos="567"/>
        </w:tabs>
      </w:pPr>
    </w:p>
    <w:p w14:paraId="107B3C6B" w14:textId="1F7E6B97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elektív</w:t>
      </w:r>
      <w:r>
        <w:rPr>
          <w:spacing w:val="-3"/>
        </w:rPr>
        <w:t xml:space="preserve"> </w:t>
      </w:r>
      <w:r>
        <w:t>csípő</w:t>
      </w:r>
      <w:r w:rsidR="001602BE">
        <w:t>-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térdműtét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9%-a</w:t>
      </w:r>
      <w:r>
        <w:rPr>
          <w:spacing w:val="-3"/>
        </w:rPr>
        <w:t xml:space="preserve"> </w:t>
      </w:r>
      <w:r>
        <w:t>(rövid</w:t>
      </w:r>
      <w:r>
        <w:rPr>
          <w:spacing w:val="-3"/>
        </w:rPr>
        <w:t xml:space="preserve"> </w:t>
      </w:r>
      <w:r>
        <w:t>távú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legfeljebb</w:t>
      </w:r>
      <w:r>
        <w:rPr>
          <w:spacing w:val="-3"/>
        </w:rPr>
        <w:t xml:space="preserve"> </w:t>
      </w:r>
      <w:r>
        <w:t>42</w:t>
      </w:r>
      <w:r w:rsidR="00294835">
        <w:rPr>
          <w:spacing w:val="-2"/>
        </w:rPr>
        <w:t> nap</w:t>
      </w:r>
      <w:r>
        <w:t>ig)</w:t>
      </w:r>
      <w:r>
        <w:rPr>
          <w:spacing w:val="-3"/>
        </w:rPr>
        <w:t xml:space="preserve"> </w:t>
      </w:r>
      <w:r>
        <w:t>és stroke és a szisztémás embolizáció prevenciója miatt kezelt pitvarfibrilláló betegek 22%-a (tartós kezelés legfeljebb 3</w:t>
      </w:r>
      <w:r w:rsidR="00294835">
        <w:t> év</w:t>
      </w:r>
      <w:r>
        <w:t>ig), az MVT/PE miatt kezelt betegek 14%-a, valamint az MVT/PE prevenció miatt kezelt betegek 15%-a észlelt mellékhatásokat.</w:t>
      </w:r>
    </w:p>
    <w:p w14:paraId="62C99981" w14:textId="77777777" w:rsidR="00945359" w:rsidRDefault="00945359" w:rsidP="008F5A8D">
      <w:pPr>
        <w:pStyle w:val="Szvegtrzs"/>
        <w:tabs>
          <w:tab w:val="left" w:pos="567"/>
        </w:tabs>
      </w:pPr>
    </w:p>
    <w:p w14:paraId="6B12D263" w14:textId="4FF2379A" w:rsidR="00945359" w:rsidRDefault="00220A43" w:rsidP="008F5A8D">
      <w:pPr>
        <w:pStyle w:val="Szvegtrzs"/>
        <w:tabs>
          <w:tab w:val="left" w:pos="567"/>
        </w:tabs>
      </w:pPr>
      <w:r>
        <w:t>A leggyakrabban jelentett esemény a vérzés volt, ami a csípő- vagy térdprotézisműtét miatt rövid távon kezelt betegek körülbelül 14%-ánál, a pitvarfibrillációval kapcsolatos stroke és a szisztémás embolizáció prevenciója miatt hosszú távon kezelt betegek 16,6%-ánál, és az MVT/PE miatt kezelt felnőtt betegek 14,4%-ánál észlelték. Továbbá vérzés az MVT/PE prevenciós RE-MEDY vizsgálat (felnőtt)</w:t>
      </w:r>
      <w:r>
        <w:rPr>
          <w:spacing w:val="-3"/>
        </w:rPr>
        <w:t xml:space="preserve"> </w:t>
      </w:r>
      <w:r>
        <w:t>betegeinek</w:t>
      </w:r>
      <w:r>
        <w:rPr>
          <w:spacing w:val="-3"/>
        </w:rPr>
        <w:t xml:space="preserve"> </w:t>
      </w:r>
      <w:r>
        <w:t>19,4%-ánál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MVT/PE</w:t>
      </w:r>
      <w:r>
        <w:rPr>
          <w:spacing w:val="-3"/>
        </w:rPr>
        <w:t xml:space="preserve"> </w:t>
      </w:r>
      <w:r>
        <w:t>prevenciós</w:t>
      </w:r>
      <w:r>
        <w:rPr>
          <w:spacing w:val="-3"/>
        </w:rPr>
        <w:t xml:space="preserve"> </w:t>
      </w:r>
      <w:r>
        <w:t>RE-SONATE</w:t>
      </w:r>
      <w:r>
        <w:rPr>
          <w:spacing w:val="-3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>(felnőtt)</w:t>
      </w:r>
      <w:r>
        <w:rPr>
          <w:spacing w:val="-3"/>
        </w:rPr>
        <w:t xml:space="preserve"> </w:t>
      </w:r>
      <w:r>
        <w:t>betegeinek 10,5%-ánál jelentkezett.</w:t>
      </w:r>
    </w:p>
    <w:p w14:paraId="4C1E08B7" w14:textId="77777777" w:rsidR="00945359" w:rsidRDefault="00945359" w:rsidP="008F5A8D">
      <w:pPr>
        <w:pStyle w:val="Szvegtrzs"/>
        <w:tabs>
          <w:tab w:val="left" w:pos="567"/>
        </w:tabs>
      </w:pPr>
    </w:p>
    <w:p w14:paraId="37412BEC" w14:textId="250F7FD2" w:rsidR="00945359" w:rsidRDefault="00220A43" w:rsidP="008F5A8D">
      <w:pPr>
        <w:pStyle w:val="Szvegtrzs"/>
        <w:tabs>
          <w:tab w:val="left" w:pos="567"/>
        </w:tabs>
      </w:pPr>
      <w:r>
        <w:t>Mivel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három</w:t>
      </w:r>
      <w:r>
        <w:rPr>
          <w:spacing w:val="-3"/>
        </w:rPr>
        <w:t xml:space="preserve"> </w:t>
      </w:r>
      <w:r>
        <w:t>indikációban</w:t>
      </w:r>
      <w:r>
        <w:rPr>
          <w:spacing w:val="-3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betegpopuláció</w:t>
      </w:r>
      <w:r>
        <w:rPr>
          <w:spacing w:val="-3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összehasonlítható,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vérzéses</w:t>
      </w:r>
      <w:r>
        <w:rPr>
          <w:spacing w:val="-3"/>
        </w:rPr>
        <w:t xml:space="preserve"> </w:t>
      </w:r>
      <w:r>
        <w:t>események számos szervrendszer</w:t>
      </w:r>
      <w:r w:rsidR="00E40DDA">
        <w:t>i kategóriá</w:t>
      </w:r>
      <w:r>
        <w:t>t érintettek, a jelentős</w:t>
      </w:r>
      <w:r w:rsidR="001602BE">
        <w:t>,</w:t>
      </w:r>
      <w:r>
        <w:t xml:space="preserve"> illetve bármilyen vérzések összesített leírása indikáció szerint megadva alább, a 13</w:t>
      </w:r>
      <w:r w:rsidR="001602BE">
        <w:t>–</w:t>
      </w:r>
      <w:r>
        <w:t>17.</w:t>
      </w:r>
      <w:r w:rsidR="00B95CAF">
        <w:t> táblázat</w:t>
      </w:r>
      <w:r>
        <w:t>ban található.</w:t>
      </w:r>
    </w:p>
    <w:p w14:paraId="5A3ED599" w14:textId="77777777" w:rsidR="00945359" w:rsidRDefault="00945359" w:rsidP="008F5A8D">
      <w:pPr>
        <w:pStyle w:val="Szvegtrzs"/>
        <w:tabs>
          <w:tab w:val="left" w:pos="567"/>
        </w:tabs>
      </w:pPr>
    </w:p>
    <w:p w14:paraId="379538C2" w14:textId="5EA75E33" w:rsidR="00945359" w:rsidRDefault="00220A43">
      <w:pPr>
        <w:pStyle w:val="Szvegtrzs"/>
        <w:tabs>
          <w:tab w:val="left" w:pos="567"/>
        </w:tabs>
      </w:pPr>
      <w:r>
        <w:t>Bár a klinikai vizsgálatokban alacsony gyakoriságot mutattak, mégis előfordulhatnak jelentős vagy súlyos</w:t>
      </w:r>
      <w:r>
        <w:rPr>
          <w:spacing w:val="-4"/>
        </w:rPr>
        <w:t xml:space="preserve"> </w:t>
      </w:r>
      <w:r>
        <w:t>vérzések,</w:t>
      </w:r>
      <w:r>
        <w:rPr>
          <w:spacing w:val="-4"/>
        </w:rPr>
        <w:t xml:space="preserve"> </w:t>
      </w:r>
      <w:r>
        <w:t>amelyek</w:t>
      </w:r>
      <w:r>
        <w:rPr>
          <w:spacing w:val="-4"/>
        </w:rPr>
        <w:t xml:space="preserve"> </w:t>
      </w:r>
      <w:r>
        <w:t>lokalizációjuktól</w:t>
      </w:r>
      <w:r>
        <w:rPr>
          <w:spacing w:val="-4"/>
        </w:rPr>
        <w:t xml:space="preserve"> </w:t>
      </w:r>
      <w:r>
        <w:t>függetlenül</w:t>
      </w:r>
      <w:r>
        <w:rPr>
          <w:spacing w:val="-4"/>
        </w:rPr>
        <w:t xml:space="preserve"> </w:t>
      </w:r>
      <w:r w:rsidR="00B95CAF">
        <w:t>egészségkárosodás</w:t>
      </w:r>
      <w:r>
        <w:t>hoz,</w:t>
      </w:r>
      <w:r>
        <w:rPr>
          <w:spacing w:val="-4"/>
        </w:rPr>
        <w:t xml:space="preserve"> </w:t>
      </w:r>
      <w:r>
        <w:t>életet</w:t>
      </w:r>
      <w:r>
        <w:rPr>
          <w:spacing w:val="-4"/>
        </w:rPr>
        <w:t xml:space="preserve"> </w:t>
      </w:r>
      <w:r>
        <w:t>veszélyeztető</w:t>
      </w:r>
      <w:r>
        <w:rPr>
          <w:spacing w:val="-4"/>
        </w:rPr>
        <w:t xml:space="preserve"> </w:t>
      </w:r>
      <w:r>
        <w:t>állapothoz vagy akár halálos kimenetelhez vezethetnek.</w:t>
      </w:r>
    </w:p>
    <w:p w14:paraId="0EDCACD0" w14:textId="77777777" w:rsidR="00B900F2" w:rsidRDefault="00B900F2" w:rsidP="008F5A8D">
      <w:pPr>
        <w:pStyle w:val="Szvegtrzs"/>
        <w:tabs>
          <w:tab w:val="left" w:pos="567"/>
        </w:tabs>
      </w:pPr>
    </w:p>
    <w:p w14:paraId="72AF2CB6" w14:textId="17DF28E1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A</w:t>
      </w:r>
      <w:r>
        <w:rPr>
          <w:spacing w:val="-8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8"/>
          <w:u w:val="single"/>
        </w:rPr>
        <w:t xml:space="preserve"> </w:t>
      </w:r>
      <w:r>
        <w:rPr>
          <w:u w:val="single"/>
        </w:rPr>
        <w:t>táblázatos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felsorolása</w:t>
      </w:r>
    </w:p>
    <w:p w14:paraId="23ABB1FD" w14:textId="49021CEF" w:rsidR="00945359" w:rsidRDefault="00220A43">
      <w:pPr>
        <w:pStyle w:val="Szvegtrzs"/>
        <w:tabs>
          <w:tab w:val="left" w:pos="567"/>
        </w:tabs>
      </w:pPr>
      <w:r>
        <w:t>A 12.</w:t>
      </w:r>
      <w:r w:rsidR="00B95CAF">
        <w:t> táblázat</w:t>
      </w:r>
      <w:r>
        <w:t xml:space="preserve"> azokat a mellékhatásokat mutatja, amelyeket primer </w:t>
      </w:r>
      <w:r w:rsidR="002E2A7B">
        <w:t>VTE-prevenció</w:t>
      </w:r>
      <w:r>
        <w:t>s indikációban csípő- vagy térdprotézisműtétet követően, pitvarfibrilláló betegek</w:t>
      </w:r>
      <w:r w:rsidR="00F02D44">
        <w:t>nél,</w:t>
      </w:r>
      <w:r>
        <w:t xml:space="preserve"> thromboemboliás stroke és szisztémás embolizáció prevenciója során, valamint az MVT/PE kezelése és MVT/PE prevenciója során észleltek klinikai vizsgálatokban és a forgalomba hozatalt követően. A mellékhatásokat szervrendszer</w:t>
      </w:r>
      <w:r w:rsidR="00E40DDA">
        <w:t>i kategória</w:t>
      </w:r>
      <w:r>
        <w:t xml:space="preserve"> és gyakoriság szerinti felosztásban, a következő gyakorisági kategóriák szerint ismertetjük: nagyon gyakori (</w:t>
      </w:r>
      <w:r w:rsidR="00294835">
        <w:t>≥</w:t>
      </w:r>
      <w:r>
        <w:t>1/10); gyakori (</w:t>
      </w:r>
      <w:r w:rsidR="00294835">
        <w:t>≥</w:t>
      </w:r>
      <w:r>
        <w:t xml:space="preserve">1/100 </w:t>
      </w:r>
      <w:r w:rsidR="001602BE">
        <w:t>–</w:t>
      </w:r>
      <w:r>
        <w:t xml:space="preserve"> </w:t>
      </w:r>
      <w:r w:rsidR="00B95CAF">
        <w:t>&lt;</w:t>
      </w:r>
      <w:r>
        <w:t>1/10); nem gyakori (</w:t>
      </w:r>
      <w:r w:rsidR="00294835">
        <w:t>≥</w:t>
      </w:r>
      <w:r>
        <w:t xml:space="preserve">1/1000 </w:t>
      </w:r>
      <w:r w:rsidR="001602BE">
        <w:t>–</w:t>
      </w:r>
      <w:r>
        <w:t xml:space="preserve"> </w:t>
      </w:r>
      <w:r w:rsidR="00B95CAF">
        <w:t>&lt;</w:t>
      </w:r>
      <w:r>
        <w:t>1/100); ritka</w:t>
      </w:r>
      <w:r>
        <w:rPr>
          <w:spacing w:val="-2"/>
        </w:rPr>
        <w:t xml:space="preserve"> </w:t>
      </w:r>
      <w:r>
        <w:t>(</w:t>
      </w:r>
      <w:r w:rsidR="00294835">
        <w:t>≥</w:t>
      </w:r>
      <w:r>
        <w:t>1/10</w:t>
      </w:r>
      <w:r w:rsidR="00B95CAF">
        <w:rPr>
          <w:spacing w:val="-4"/>
        </w:rPr>
        <w:t> 000</w:t>
      </w:r>
      <w:r>
        <w:rPr>
          <w:spacing w:val="-1"/>
        </w:rPr>
        <w:t xml:space="preserve"> </w:t>
      </w:r>
      <w:r w:rsidR="001602BE">
        <w:t>–</w:t>
      </w:r>
      <w:r>
        <w:rPr>
          <w:spacing w:val="-5"/>
        </w:rPr>
        <w:t xml:space="preserve"> </w:t>
      </w:r>
      <w:r w:rsidR="00B95CAF">
        <w:t>&lt;</w:t>
      </w:r>
      <w:r>
        <w:t>1/1000);</w:t>
      </w:r>
      <w:r>
        <w:rPr>
          <w:spacing w:val="-2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ritka</w:t>
      </w:r>
      <w:r>
        <w:rPr>
          <w:spacing w:val="-2"/>
        </w:rPr>
        <w:t xml:space="preserve"> </w:t>
      </w:r>
      <w:r>
        <w:t>(</w:t>
      </w:r>
      <w:r w:rsidR="00B95CAF">
        <w:t>&lt;</w:t>
      </w:r>
      <w:r>
        <w:t>1/10</w:t>
      </w:r>
      <w:r w:rsidR="00B95CAF">
        <w:rPr>
          <w:spacing w:val="-4"/>
        </w:rPr>
        <w:t> 000</w:t>
      </w:r>
      <w:r>
        <w:t>),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ismert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gyakoriság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rendelkezésre</w:t>
      </w:r>
      <w:r>
        <w:rPr>
          <w:spacing w:val="-2"/>
        </w:rPr>
        <w:t xml:space="preserve"> </w:t>
      </w:r>
      <w:r>
        <w:t>álló adatokból nem állapítható meg).</w:t>
      </w:r>
    </w:p>
    <w:p w14:paraId="58AFB089" w14:textId="77777777" w:rsidR="00BC10BA" w:rsidRDefault="00BC10BA" w:rsidP="008F5A8D">
      <w:pPr>
        <w:pStyle w:val="Szvegtrzs"/>
        <w:tabs>
          <w:tab w:val="left" w:pos="567"/>
        </w:tabs>
      </w:pPr>
    </w:p>
    <w:p w14:paraId="56E5147C" w14:textId="53C6CE1C" w:rsidR="00945359" w:rsidRPr="00333EE9" w:rsidRDefault="00A9240D" w:rsidP="008F5A8D">
      <w:r w:rsidRPr="00511F35">
        <w:rPr>
          <w:b/>
        </w:rPr>
        <w:t>12.</w:t>
      </w:r>
      <w:r w:rsidR="00333EE9">
        <w:rPr>
          <w:b/>
        </w:rPr>
        <w:t> </w:t>
      </w:r>
      <w:r w:rsidR="00220A43" w:rsidRPr="008F5A8D">
        <w:rPr>
          <w:b/>
          <w:spacing w:val="-2"/>
        </w:rPr>
        <w:t>táblázat</w:t>
      </w:r>
      <w:r w:rsidRPr="008F5A8D">
        <w:rPr>
          <w:b/>
        </w:rPr>
        <w:t xml:space="preserve">: </w:t>
      </w:r>
      <w:r w:rsidR="00220A43" w:rsidRPr="008F5A8D">
        <w:rPr>
          <w:b/>
          <w:spacing w:val="-2"/>
        </w:rPr>
        <w:t>Mellékhatások</w:t>
      </w:r>
    </w:p>
    <w:p w14:paraId="2D4FACAB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906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950"/>
        <w:gridCol w:w="2148"/>
        <w:gridCol w:w="2314"/>
        <w:gridCol w:w="1649"/>
      </w:tblGrid>
      <w:tr w:rsidR="00945359" w14:paraId="7FD81133" w14:textId="77777777" w:rsidTr="004F4A3C">
        <w:trPr>
          <w:trHeight w:val="254"/>
        </w:trPr>
        <w:tc>
          <w:tcPr>
            <w:tcW w:w="2950" w:type="dxa"/>
          </w:tcPr>
          <w:p w14:paraId="649FEADE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6111" w:type="dxa"/>
            <w:gridSpan w:val="3"/>
          </w:tcPr>
          <w:p w14:paraId="6602432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Gyakoriság</w:t>
            </w:r>
          </w:p>
        </w:tc>
      </w:tr>
      <w:tr w:rsidR="00945359" w14:paraId="331B19B3" w14:textId="77777777" w:rsidTr="004F4A3C">
        <w:trPr>
          <w:trHeight w:val="1264"/>
        </w:trPr>
        <w:tc>
          <w:tcPr>
            <w:tcW w:w="2950" w:type="dxa"/>
          </w:tcPr>
          <w:p w14:paraId="1F18DB6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Szervrendszeri </w:t>
            </w:r>
            <w:r>
              <w:t>kategória/Preferált</w:t>
            </w:r>
            <w:r>
              <w:rPr>
                <w:spacing w:val="-14"/>
              </w:rPr>
              <w:t xml:space="preserve"> </w:t>
            </w:r>
            <w:r>
              <w:t>kifejezés</w:t>
            </w:r>
          </w:p>
        </w:tc>
        <w:tc>
          <w:tcPr>
            <w:tcW w:w="2148" w:type="dxa"/>
          </w:tcPr>
          <w:p w14:paraId="17A593ED" w14:textId="711CE6E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VTE primer prevenciója</w:t>
            </w:r>
            <w:r>
              <w:rPr>
                <w:spacing w:val="-14"/>
              </w:rPr>
              <w:t xml:space="preserve"> </w:t>
            </w:r>
            <w:r>
              <w:t>csípő- vagy térdprotézisműtét után</w:t>
            </w:r>
          </w:p>
        </w:tc>
        <w:tc>
          <w:tcPr>
            <w:tcW w:w="2314" w:type="dxa"/>
          </w:tcPr>
          <w:p w14:paraId="4628A39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Stroke</w:t>
            </w:r>
            <w:r>
              <w:rPr>
                <w:spacing w:val="-13"/>
              </w:rPr>
              <w:t xml:space="preserve"> </w:t>
            </w:r>
            <w:r>
              <w:t>és</w:t>
            </w:r>
            <w:r>
              <w:rPr>
                <w:spacing w:val="-13"/>
              </w:rPr>
              <w:t xml:space="preserve"> </w:t>
            </w:r>
            <w:r>
              <w:t>a</w:t>
            </w:r>
            <w:r>
              <w:rPr>
                <w:spacing w:val="-13"/>
              </w:rPr>
              <w:t xml:space="preserve"> </w:t>
            </w:r>
            <w:r>
              <w:t xml:space="preserve">szisztémás </w:t>
            </w:r>
            <w:r>
              <w:rPr>
                <w:spacing w:val="-2"/>
              </w:rPr>
              <w:t>embolizáció prevenciója pitvarfibrillációban</w:t>
            </w:r>
          </w:p>
          <w:p w14:paraId="2018D66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szenvedő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betegeknél</w:t>
            </w:r>
          </w:p>
        </w:tc>
        <w:tc>
          <w:tcPr>
            <w:tcW w:w="1649" w:type="dxa"/>
          </w:tcPr>
          <w:p w14:paraId="73E64BF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MVT/PE</w:t>
            </w:r>
          </w:p>
          <w:p w14:paraId="64FD2A0E" w14:textId="3286033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kezelés</w:t>
            </w:r>
            <w:r w:rsidR="00E40DDA">
              <w:t>e</w:t>
            </w:r>
            <w:r>
              <w:rPr>
                <w:spacing w:val="-14"/>
              </w:rPr>
              <w:t xml:space="preserve"> </w:t>
            </w:r>
            <w:r>
              <w:t xml:space="preserve">és </w:t>
            </w:r>
            <w:r>
              <w:rPr>
                <w:spacing w:val="-2"/>
              </w:rPr>
              <w:t>MVT/PE</w:t>
            </w:r>
          </w:p>
          <w:p w14:paraId="5F434781" w14:textId="3832F6E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prevenció</w:t>
            </w:r>
            <w:r w:rsidR="00E40DDA">
              <w:rPr>
                <w:spacing w:val="-2"/>
              </w:rPr>
              <w:t>ja</w:t>
            </w:r>
          </w:p>
        </w:tc>
      </w:tr>
      <w:tr w:rsidR="00945359" w14:paraId="286E82B3" w14:textId="77777777" w:rsidTr="004F4A3C">
        <w:trPr>
          <w:trHeight w:val="253"/>
        </w:trPr>
        <w:tc>
          <w:tcPr>
            <w:tcW w:w="7412" w:type="dxa"/>
            <w:gridSpan w:val="3"/>
          </w:tcPr>
          <w:p w14:paraId="31B5A8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Vérképzőszervi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9"/>
              </w:rPr>
              <w:t xml:space="preserve"> </w:t>
            </w:r>
            <w:r>
              <w:t>nyirokrendszeri</w:t>
            </w:r>
            <w:r>
              <w:rPr>
                <w:spacing w:val="-8"/>
              </w:rPr>
              <w:t xml:space="preserve"> </w:t>
            </w:r>
            <w:r>
              <w:t>betegségek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211B1E8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338FA4E" w14:textId="77777777" w:rsidTr="004F4A3C">
        <w:trPr>
          <w:trHeight w:val="251"/>
        </w:trPr>
        <w:tc>
          <w:tcPr>
            <w:tcW w:w="2950" w:type="dxa"/>
          </w:tcPr>
          <w:p w14:paraId="3298D13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Anaemia</w:t>
            </w:r>
          </w:p>
        </w:tc>
        <w:tc>
          <w:tcPr>
            <w:tcW w:w="2148" w:type="dxa"/>
          </w:tcPr>
          <w:p w14:paraId="2B9EE9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0A782C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3F5AA35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30C309D5" w14:textId="77777777" w:rsidTr="004F4A3C">
        <w:trPr>
          <w:trHeight w:val="253"/>
        </w:trPr>
        <w:tc>
          <w:tcPr>
            <w:tcW w:w="2950" w:type="dxa"/>
          </w:tcPr>
          <w:p w14:paraId="0BE73092" w14:textId="7CD25D6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Csökkent</w:t>
            </w:r>
            <w:r>
              <w:rPr>
                <w:spacing w:val="-8"/>
              </w:rPr>
              <w:t xml:space="preserve"> </w:t>
            </w:r>
            <w:r w:rsidR="002E2A7B">
              <w:rPr>
                <w:spacing w:val="-2"/>
              </w:rPr>
              <w:t>hemogl</w:t>
            </w:r>
            <w:r>
              <w:rPr>
                <w:spacing w:val="-2"/>
              </w:rPr>
              <w:t>obinszint</w:t>
            </w:r>
          </w:p>
        </w:tc>
        <w:tc>
          <w:tcPr>
            <w:tcW w:w="2148" w:type="dxa"/>
          </w:tcPr>
          <w:p w14:paraId="3F3F074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700768D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674DDA7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0499B7C7" w14:textId="77777777" w:rsidTr="004F4A3C">
        <w:trPr>
          <w:trHeight w:val="251"/>
        </w:trPr>
        <w:tc>
          <w:tcPr>
            <w:tcW w:w="2950" w:type="dxa"/>
          </w:tcPr>
          <w:p w14:paraId="455CFA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Thrombocytopenia</w:t>
            </w:r>
          </w:p>
        </w:tc>
        <w:tc>
          <w:tcPr>
            <w:tcW w:w="2148" w:type="dxa"/>
          </w:tcPr>
          <w:p w14:paraId="1B10928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65D21F4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905F52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2602D490" w14:textId="77777777" w:rsidTr="004F4A3C">
        <w:trPr>
          <w:trHeight w:val="254"/>
        </w:trPr>
        <w:tc>
          <w:tcPr>
            <w:tcW w:w="2950" w:type="dxa"/>
          </w:tcPr>
          <w:p w14:paraId="182BF708" w14:textId="2D55B7B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Csökkent</w:t>
            </w:r>
            <w:r>
              <w:rPr>
                <w:spacing w:val="-8"/>
              </w:rPr>
              <w:t xml:space="preserve"> </w:t>
            </w:r>
            <w:r w:rsidR="002E2A7B">
              <w:rPr>
                <w:spacing w:val="-2"/>
              </w:rPr>
              <w:t>hematokrit</w:t>
            </w:r>
          </w:p>
        </w:tc>
        <w:tc>
          <w:tcPr>
            <w:tcW w:w="2148" w:type="dxa"/>
          </w:tcPr>
          <w:p w14:paraId="69B0A80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392BD2C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61416D1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5FA8D710" w14:textId="77777777" w:rsidTr="004F4A3C">
        <w:trPr>
          <w:trHeight w:val="253"/>
        </w:trPr>
        <w:tc>
          <w:tcPr>
            <w:tcW w:w="2950" w:type="dxa"/>
          </w:tcPr>
          <w:p w14:paraId="55A15D8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Neutropenia</w:t>
            </w:r>
          </w:p>
        </w:tc>
        <w:tc>
          <w:tcPr>
            <w:tcW w:w="2148" w:type="dxa"/>
          </w:tcPr>
          <w:p w14:paraId="2A8E976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2314" w:type="dxa"/>
          </w:tcPr>
          <w:p w14:paraId="3B5338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1649" w:type="dxa"/>
          </w:tcPr>
          <w:p w14:paraId="02ADC69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6B552B1E" w14:textId="77777777" w:rsidTr="004F4A3C">
        <w:trPr>
          <w:trHeight w:val="251"/>
        </w:trPr>
        <w:tc>
          <w:tcPr>
            <w:tcW w:w="2950" w:type="dxa"/>
          </w:tcPr>
          <w:p w14:paraId="6B4F67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Agranulocytosis</w:t>
            </w:r>
          </w:p>
        </w:tc>
        <w:tc>
          <w:tcPr>
            <w:tcW w:w="2148" w:type="dxa"/>
          </w:tcPr>
          <w:p w14:paraId="604F8A9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2314" w:type="dxa"/>
          </w:tcPr>
          <w:p w14:paraId="66844A1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1649" w:type="dxa"/>
          </w:tcPr>
          <w:p w14:paraId="7C1C78D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224504A9" w14:textId="77777777" w:rsidTr="004F4A3C">
        <w:trPr>
          <w:trHeight w:val="254"/>
        </w:trPr>
        <w:tc>
          <w:tcPr>
            <w:tcW w:w="7412" w:type="dxa"/>
            <w:gridSpan w:val="3"/>
          </w:tcPr>
          <w:p w14:paraId="3D641BB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Immunrendszeri</w:t>
            </w:r>
            <w:r>
              <w:rPr>
                <w:spacing w:val="-9"/>
              </w:rPr>
              <w:t xml:space="preserve"> </w:t>
            </w:r>
            <w:r>
              <w:t>betegségek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4487A15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892AE07" w14:textId="77777777" w:rsidTr="004F4A3C">
        <w:trPr>
          <w:trHeight w:val="251"/>
        </w:trPr>
        <w:tc>
          <w:tcPr>
            <w:tcW w:w="2950" w:type="dxa"/>
          </w:tcPr>
          <w:p w14:paraId="4CD085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Gyógyszer-túlérzékenység</w:t>
            </w:r>
          </w:p>
        </w:tc>
        <w:tc>
          <w:tcPr>
            <w:tcW w:w="2148" w:type="dxa"/>
          </w:tcPr>
          <w:p w14:paraId="769EBC5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42AB657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45F56D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DB3E739" w14:textId="77777777" w:rsidTr="004F4A3C">
        <w:trPr>
          <w:trHeight w:val="254"/>
        </w:trPr>
        <w:tc>
          <w:tcPr>
            <w:tcW w:w="2950" w:type="dxa"/>
          </w:tcPr>
          <w:p w14:paraId="4E2B000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Bőrkiütés</w:t>
            </w:r>
          </w:p>
        </w:tc>
        <w:tc>
          <w:tcPr>
            <w:tcW w:w="2148" w:type="dxa"/>
          </w:tcPr>
          <w:p w14:paraId="62AE1E2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4CC7D52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2948ECD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53353490" w14:textId="77777777" w:rsidTr="004F4A3C">
        <w:trPr>
          <w:trHeight w:val="251"/>
        </w:trPr>
        <w:tc>
          <w:tcPr>
            <w:tcW w:w="2950" w:type="dxa"/>
          </w:tcPr>
          <w:p w14:paraId="29BA691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Viszketés</w:t>
            </w:r>
          </w:p>
        </w:tc>
        <w:tc>
          <w:tcPr>
            <w:tcW w:w="2148" w:type="dxa"/>
          </w:tcPr>
          <w:p w14:paraId="6F5EB36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1F166A8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3A00FEA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274A0A68" w14:textId="77777777" w:rsidTr="004F4A3C">
        <w:trPr>
          <w:trHeight w:val="254"/>
        </w:trPr>
        <w:tc>
          <w:tcPr>
            <w:tcW w:w="2950" w:type="dxa"/>
          </w:tcPr>
          <w:p w14:paraId="3B2E5C7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Anafilaxiás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reakció</w:t>
            </w:r>
          </w:p>
        </w:tc>
        <w:tc>
          <w:tcPr>
            <w:tcW w:w="2148" w:type="dxa"/>
          </w:tcPr>
          <w:p w14:paraId="7C9F21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7FE7ED6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7F8B8A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0708ADC2" w14:textId="77777777" w:rsidTr="004F4A3C">
        <w:trPr>
          <w:trHeight w:val="253"/>
        </w:trPr>
        <w:tc>
          <w:tcPr>
            <w:tcW w:w="2950" w:type="dxa"/>
          </w:tcPr>
          <w:p w14:paraId="5E7E020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Angiooedema</w:t>
            </w:r>
          </w:p>
        </w:tc>
        <w:tc>
          <w:tcPr>
            <w:tcW w:w="2148" w:type="dxa"/>
          </w:tcPr>
          <w:p w14:paraId="2320ED5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413DBC7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7873A18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4CCFDF94" w14:textId="77777777" w:rsidTr="004F4A3C">
        <w:trPr>
          <w:trHeight w:val="251"/>
        </w:trPr>
        <w:tc>
          <w:tcPr>
            <w:tcW w:w="2950" w:type="dxa"/>
          </w:tcPr>
          <w:p w14:paraId="72FEACB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Csalánkiütés</w:t>
            </w:r>
          </w:p>
        </w:tc>
        <w:tc>
          <w:tcPr>
            <w:tcW w:w="2148" w:type="dxa"/>
          </w:tcPr>
          <w:p w14:paraId="2F35B0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39C19A7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53505B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3E692337" w14:textId="77777777" w:rsidTr="004F4A3C">
        <w:trPr>
          <w:trHeight w:val="253"/>
        </w:trPr>
        <w:tc>
          <w:tcPr>
            <w:tcW w:w="2950" w:type="dxa"/>
          </w:tcPr>
          <w:p w14:paraId="5DC1041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lastRenderedPageBreak/>
              <w:t>Hörgőgörcs</w:t>
            </w:r>
          </w:p>
        </w:tc>
        <w:tc>
          <w:tcPr>
            <w:tcW w:w="2148" w:type="dxa"/>
          </w:tcPr>
          <w:p w14:paraId="50C6993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2314" w:type="dxa"/>
          </w:tcPr>
          <w:p w14:paraId="6DF1531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1649" w:type="dxa"/>
          </w:tcPr>
          <w:p w14:paraId="5E0D46F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3E846D04" w14:textId="77777777" w:rsidTr="004F4A3C">
        <w:trPr>
          <w:trHeight w:val="251"/>
        </w:trPr>
        <w:tc>
          <w:tcPr>
            <w:tcW w:w="7412" w:type="dxa"/>
            <w:gridSpan w:val="3"/>
          </w:tcPr>
          <w:p w14:paraId="6278BD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Idegrendszeri</w:t>
            </w:r>
            <w:r>
              <w:rPr>
                <w:spacing w:val="-9"/>
              </w:rPr>
              <w:t xml:space="preserve"> </w:t>
            </w:r>
            <w:r>
              <w:t>betegségek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4D0B1DD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586E966" w14:textId="77777777" w:rsidTr="004F4A3C">
        <w:trPr>
          <w:trHeight w:val="253"/>
        </w:trPr>
        <w:tc>
          <w:tcPr>
            <w:tcW w:w="2950" w:type="dxa"/>
          </w:tcPr>
          <w:p w14:paraId="7956F6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Koponyaűri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48" w:type="dxa"/>
          </w:tcPr>
          <w:p w14:paraId="18494FE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4F8B460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2D0A771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77DC248C" w14:textId="77777777" w:rsidTr="004F4A3C">
        <w:trPr>
          <w:trHeight w:val="251"/>
        </w:trPr>
        <w:tc>
          <w:tcPr>
            <w:tcW w:w="7412" w:type="dxa"/>
            <w:gridSpan w:val="3"/>
          </w:tcPr>
          <w:p w14:paraId="23B4AB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Érbetegségek</w:t>
            </w:r>
            <w:r>
              <w:rPr>
                <w:spacing w:val="-7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65187F6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67CCD8D8" w14:textId="77777777" w:rsidTr="004F4A3C">
        <w:trPr>
          <w:trHeight w:val="253"/>
        </w:trPr>
        <w:tc>
          <w:tcPr>
            <w:tcW w:w="2950" w:type="dxa"/>
          </w:tcPr>
          <w:p w14:paraId="53730D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Haematoma</w:t>
            </w:r>
          </w:p>
        </w:tc>
        <w:tc>
          <w:tcPr>
            <w:tcW w:w="2148" w:type="dxa"/>
          </w:tcPr>
          <w:p w14:paraId="7FD66D6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602FF6B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2B188C5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36782D4" w14:textId="77777777" w:rsidTr="004F4A3C">
        <w:trPr>
          <w:trHeight w:val="253"/>
        </w:trPr>
        <w:tc>
          <w:tcPr>
            <w:tcW w:w="2950" w:type="dxa"/>
          </w:tcPr>
          <w:p w14:paraId="38A7BE3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Vérzés</w:t>
            </w:r>
          </w:p>
        </w:tc>
        <w:tc>
          <w:tcPr>
            <w:tcW w:w="2148" w:type="dxa"/>
          </w:tcPr>
          <w:p w14:paraId="163A405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53C23D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5DC0AAD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A4F2D70" w14:textId="77777777" w:rsidTr="004F4A3C">
        <w:trPr>
          <w:trHeight w:val="251"/>
        </w:trPr>
        <w:tc>
          <w:tcPr>
            <w:tcW w:w="2950" w:type="dxa"/>
          </w:tcPr>
          <w:p w14:paraId="7512CEB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Seb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vérzése</w:t>
            </w:r>
          </w:p>
        </w:tc>
        <w:tc>
          <w:tcPr>
            <w:tcW w:w="2148" w:type="dxa"/>
          </w:tcPr>
          <w:p w14:paraId="6D920CB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16FDA8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1C3C247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FAA7606" w14:textId="77777777" w:rsidTr="004F4A3C">
        <w:trPr>
          <w:trHeight w:val="253"/>
        </w:trPr>
        <w:tc>
          <w:tcPr>
            <w:tcW w:w="7412" w:type="dxa"/>
            <w:gridSpan w:val="3"/>
          </w:tcPr>
          <w:p w14:paraId="5A8EFD7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Légzőrendszeri,</w:t>
            </w:r>
            <w:r>
              <w:rPr>
                <w:spacing w:val="-9"/>
              </w:rPr>
              <w:t xml:space="preserve"> </w:t>
            </w:r>
            <w:r>
              <w:t>mellkasi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t>mediastinalis</w:t>
            </w:r>
            <w:r>
              <w:rPr>
                <w:spacing w:val="-9"/>
              </w:rPr>
              <w:t xml:space="preserve"> </w:t>
            </w:r>
            <w:r>
              <w:t>betegségek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3A9EF85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6FF9A8E2" w14:textId="77777777" w:rsidTr="004F4A3C">
        <w:trPr>
          <w:trHeight w:val="251"/>
        </w:trPr>
        <w:tc>
          <w:tcPr>
            <w:tcW w:w="2950" w:type="dxa"/>
          </w:tcPr>
          <w:p w14:paraId="497EC2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Orrvérzés</w:t>
            </w:r>
          </w:p>
        </w:tc>
        <w:tc>
          <w:tcPr>
            <w:tcW w:w="2148" w:type="dxa"/>
          </w:tcPr>
          <w:p w14:paraId="1EF8D8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4B9C804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DF2A03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14E38C72" w14:textId="77777777" w:rsidTr="004F4A3C">
        <w:trPr>
          <w:trHeight w:val="253"/>
        </w:trPr>
        <w:tc>
          <w:tcPr>
            <w:tcW w:w="2950" w:type="dxa"/>
          </w:tcPr>
          <w:p w14:paraId="57D0E1C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Haemoptoe</w:t>
            </w:r>
          </w:p>
        </w:tc>
        <w:tc>
          <w:tcPr>
            <w:tcW w:w="2148" w:type="dxa"/>
          </w:tcPr>
          <w:p w14:paraId="037397D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0495048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63DC48D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0D8D5CBA" w14:textId="77777777" w:rsidTr="004F4A3C">
        <w:trPr>
          <w:trHeight w:val="251"/>
        </w:trPr>
        <w:tc>
          <w:tcPr>
            <w:tcW w:w="7412" w:type="dxa"/>
            <w:gridSpan w:val="3"/>
          </w:tcPr>
          <w:p w14:paraId="788F9C3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Emésztőrendszeri</w:t>
            </w:r>
            <w:r>
              <w:rPr>
                <w:spacing w:val="-12"/>
              </w:rPr>
              <w:t xml:space="preserve"> </w:t>
            </w:r>
            <w:r>
              <w:t>betegségek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38681F8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8BFB324" w14:textId="77777777" w:rsidTr="004F4A3C">
        <w:trPr>
          <w:trHeight w:val="253"/>
        </w:trPr>
        <w:tc>
          <w:tcPr>
            <w:tcW w:w="2950" w:type="dxa"/>
          </w:tcPr>
          <w:p w14:paraId="032AFC4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Emésztőrendszeri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48" w:type="dxa"/>
          </w:tcPr>
          <w:p w14:paraId="231CE5D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26A95B5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A22165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172DDF71" w14:textId="77777777" w:rsidTr="004F4A3C">
        <w:trPr>
          <w:trHeight w:val="254"/>
        </w:trPr>
        <w:tc>
          <w:tcPr>
            <w:tcW w:w="2950" w:type="dxa"/>
          </w:tcPr>
          <w:p w14:paraId="0D48340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Hasi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fájdalom</w:t>
            </w:r>
          </w:p>
        </w:tc>
        <w:tc>
          <w:tcPr>
            <w:tcW w:w="2148" w:type="dxa"/>
          </w:tcPr>
          <w:p w14:paraId="260018F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6CCA158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1FA850B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26775DB5" w14:textId="77777777" w:rsidTr="004F4A3C">
        <w:trPr>
          <w:trHeight w:val="251"/>
        </w:trPr>
        <w:tc>
          <w:tcPr>
            <w:tcW w:w="2950" w:type="dxa"/>
          </w:tcPr>
          <w:p w14:paraId="55E1ACC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Hasmenés</w:t>
            </w:r>
          </w:p>
        </w:tc>
        <w:tc>
          <w:tcPr>
            <w:tcW w:w="2148" w:type="dxa"/>
          </w:tcPr>
          <w:p w14:paraId="4DAED12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469B4E4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F1652E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7EE9C9B5" w14:textId="77777777" w:rsidTr="004F4A3C">
        <w:trPr>
          <w:trHeight w:val="253"/>
        </w:trPr>
        <w:tc>
          <w:tcPr>
            <w:tcW w:w="2950" w:type="dxa"/>
          </w:tcPr>
          <w:p w14:paraId="4C52B0E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Dyspepsia</w:t>
            </w:r>
          </w:p>
        </w:tc>
        <w:tc>
          <w:tcPr>
            <w:tcW w:w="2148" w:type="dxa"/>
          </w:tcPr>
          <w:p w14:paraId="1B59B1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5AF7F00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74BFD8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37E64045" w14:textId="77777777" w:rsidTr="004F4A3C">
        <w:trPr>
          <w:trHeight w:val="251"/>
        </w:trPr>
        <w:tc>
          <w:tcPr>
            <w:tcW w:w="2950" w:type="dxa"/>
          </w:tcPr>
          <w:p w14:paraId="69EC0DE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Hányinger</w:t>
            </w:r>
          </w:p>
        </w:tc>
        <w:tc>
          <w:tcPr>
            <w:tcW w:w="2148" w:type="dxa"/>
          </w:tcPr>
          <w:p w14:paraId="1FDD44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069CEBC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D0E47D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B8FBBAC" w14:textId="77777777" w:rsidTr="004F4A3C">
        <w:trPr>
          <w:trHeight w:val="254"/>
        </w:trPr>
        <w:tc>
          <w:tcPr>
            <w:tcW w:w="2950" w:type="dxa"/>
          </w:tcPr>
          <w:p w14:paraId="173C700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Rectalis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48" w:type="dxa"/>
          </w:tcPr>
          <w:p w14:paraId="04A1C7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4D6F845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4A34EDB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71EE40A8" w14:textId="77777777" w:rsidTr="004F4A3C">
        <w:trPr>
          <w:trHeight w:val="251"/>
        </w:trPr>
        <w:tc>
          <w:tcPr>
            <w:tcW w:w="2950" w:type="dxa"/>
          </w:tcPr>
          <w:p w14:paraId="041FB8E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Aranyérvérzés</w:t>
            </w:r>
          </w:p>
        </w:tc>
        <w:tc>
          <w:tcPr>
            <w:tcW w:w="2148" w:type="dxa"/>
          </w:tcPr>
          <w:p w14:paraId="50058D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0006AD1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1B2B948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3449B474" w14:textId="77777777" w:rsidTr="004F4A3C">
        <w:trPr>
          <w:trHeight w:val="505"/>
        </w:trPr>
        <w:tc>
          <w:tcPr>
            <w:tcW w:w="2950" w:type="dxa"/>
          </w:tcPr>
          <w:p w14:paraId="5C33624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Gastrointestinalis</w:t>
            </w:r>
            <w:r>
              <w:rPr>
                <w:spacing w:val="-13"/>
              </w:rPr>
              <w:t xml:space="preserve"> </w:t>
            </w:r>
            <w:r>
              <w:t>fekély,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3A4EBB6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nyelőcsőfekélyt</w:t>
            </w:r>
            <w:r>
              <w:rPr>
                <w:spacing w:val="-9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beleértve</w:t>
            </w:r>
          </w:p>
        </w:tc>
        <w:tc>
          <w:tcPr>
            <w:tcW w:w="2148" w:type="dxa"/>
          </w:tcPr>
          <w:p w14:paraId="797918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35B9EA0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38551D1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01B2D655" w14:textId="77777777" w:rsidTr="004F4A3C">
        <w:trPr>
          <w:trHeight w:val="254"/>
        </w:trPr>
        <w:tc>
          <w:tcPr>
            <w:tcW w:w="2950" w:type="dxa"/>
          </w:tcPr>
          <w:p w14:paraId="0A9C895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Gastrooesophagitis</w:t>
            </w:r>
          </w:p>
        </w:tc>
        <w:tc>
          <w:tcPr>
            <w:tcW w:w="2148" w:type="dxa"/>
          </w:tcPr>
          <w:p w14:paraId="324E18E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791E8CF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2412D64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78DED87C" w14:textId="77777777" w:rsidTr="004F4A3C">
        <w:trPr>
          <w:trHeight w:val="505"/>
        </w:trPr>
        <w:tc>
          <w:tcPr>
            <w:tcW w:w="2950" w:type="dxa"/>
          </w:tcPr>
          <w:p w14:paraId="44D5365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Gastrooesophagealis</w:t>
            </w:r>
          </w:p>
          <w:p w14:paraId="4293BCE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refluxbetegség</w:t>
            </w:r>
          </w:p>
        </w:tc>
        <w:tc>
          <w:tcPr>
            <w:tcW w:w="2148" w:type="dxa"/>
          </w:tcPr>
          <w:p w14:paraId="38C27AA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17E7396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1C90C4E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2345C6F5" w14:textId="77777777" w:rsidTr="004F4A3C">
        <w:trPr>
          <w:trHeight w:val="254"/>
        </w:trPr>
        <w:tc>
          <w:tcPr>
            <w:tcW w:w="2950" w:type="dxa"/>
          </w:tcPr>
          <w:p w14:paraId="182415F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Hányás</w:t>
            </w:r>
          </w:p>
        </w:tc>
        <w:tc>
          <w:tcPr>
            <w:tcW w:w="2148" w:type="dxa"/>
          </w:tcPr>
          <w:p w14:paraId="3B6A92F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02960F5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51D63F4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C2EA027" w14:textId="77777777" w:rsidTr="004F4A3C">
        <w:trPr>
          <w:trHeight w:val="251"/>
        </w:trPr>
        <w:tc>
          <w:tcPr>
            <w:tcW w:w="2950" w:type="dxa"/>
          </w:tcPr>
          <w:p w14:paraId="46EE78C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Dysphagia</w:t>
            </w:r>
          </w:p>
        </w:tc>
        <w:tc>
          <w:tcPr>
            <w:tcW w:w="2148" w:type="dxa"/>
          </w:tcPr>
          <w:p w14:paraId="459C209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119C1B5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2CD1156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08B2663A" w14:textId="77777777" w:rsidTr="004F4A3C">
        <w:trPr>
          <w:trHeight w:val="253"/>
        </w:trPr>
        <w:tc>
          <w:tcPr>
            <w:tcW w:w="7412" w:type="dxa"/>
            <w:gridSpan w:val="3"/>
          </w:tcPr>
          <w:p w14:paraId="53C2D78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Máj-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t>epebetegségek,</w:t>
            </w:r>
            <w:r>
              <w:rPr>
                <w:spacing w:val="-6"/>
              </w:rPr>
              <w:t xml:space="preserve"> </w:t>
            </w:r>
            <w:r>
              <w:t>illetve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74D41EE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35EA1A6" w14:textId="77777777" w:rsidTr="004F4A3C">
        <w:trPr>
          <w:trHeight w:val="758"/>
        </w:trPr>
        <w:tc>
          <w:tcPr>
            <w:tcW w:w="2950" w:type="dxa"/>
          </w:tcPr>
          <w:p w14:paraId="3F087E89" w14:textId="275EF9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Kóros</w:t>
            </w:r>
            <w:r>
              <w:rPr>
                <w:spacing w:val="-14"/>
              </w:rPr>
              <w:t xml:space="preserve"> </w:t>
            </w:r>
            <w:r>
              <w:t>májfunkció</w:t>
            </w:r>
            <w:r w:rsidR="00F02D44">
              <w:t xml:space="preserve"> </w:t>
            </w:r>
            <w:r>
              <w:t>/</w:t>
            </w:r>
            <w:r w:rsidR="00F02D44">
              <w:t xml:space="preserve"> </w:t>
            </w:r>
            <w:r>
              <w:t>Kóros májfunkciós vizsgálati</w:t>
            </w:r>
          </w:p>
          <w:p w14:paraId="43EB21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eredmények</w:t>
            </w:r>
          </w:p>
        </w:tc>
        <w:tc>
          <w:tcPr>
            <w:tcW w:w="2148" w:type="dxa"/>
          </w:tcPr>
          <w:p w14:paraId="2E7E074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33EAF8C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5856C20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2CDDD859" w14:textId="77777777" w:rsidTr="004F4A3C">
        <w:trPr>
          <w:trHeight w:val="506"/>
        </w:trPr>
        <w:tc>
          <w:tcPr>
            <w:tcW w:w="2950" w:type="dxa"/>
          </w:tcPr>
          <w:p w14:paraId="306C10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Glutamát-piruvát-</w:t>
            </w:r>
          </w:p>
          <w:p w14:paraId="3CC6DA96" w14:textId="2A194C0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transzamináz</w:t>
            </w:r>
            <w:r w:rsidR="00F02D44">
              <w:rPr>
                <w:spacing w:val="-2"/>
              </w:rPr>
              <w:t>-szint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emelkedés</w:t>
            </w:r>
            <w:r w:rsidR="00F02D44">
              <w:rPr>
                <w:spacing w:val="-2"/>
              </w:rPr>
              <w:t>e</w:t>
            </w:r>
          </w:p>
        </w:tc>
        <w:tc>
          <w:tcPr>
            <w:tcW w:w="2148" w:type="dxa"/>
          </w:tcPr>
          <w:p w14:paraId="33BC8E2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63A52F1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530CCB3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815CDCA" w14:textId="77777777" w:rsidTr="004F4A3C">
        <w:trPr>
          <w:trHeight w:val="505"/>
        </w:trPr>
        <w:tc>
          <w:tcPr>
            <w:tcW w:w="2950" w:type="dxa"/>
          </w:tcPr>
          <w:p w14:paraId="55C1AB7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Glutamát-oxálacetát-</w:t>
            </w:r>
          </w:p>
          <w:p w14:paraId="01DBEBF8" w14:textId="103B83D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transzamináz</w:t>
            </w:r>
            <w:r w:rsidR="00F02D44">
              <w:rPr>
                <w:spacing w:val="-2"/>
              </w:rPr>
              <w:t>-szint</w:t>
            </w:r>
            <w:r>
              <w:rPr>
                <w:spacing w:val="10"/>
              </w:rPr>
              <w:t xml:space="preserve"> </w:t>
            </w:r>
            <w:r>
              <w:rPr>
                <w:spacing w:val="-2"/>
              </w:rPr>
              <w:t>emelkedés</w:t>
            </w:r>
            <w:r w:rsidR="00F02D44">
              <w:rPr>
                <w:spacing w:val="-2"/>
              </w:rPr>
              <w:t>e</w:t>
            </w:r>
          </w:p>
        </w:tc>
        <w:tc>
          <w:tcPr>
            <w:tcW w:w="2148" w:type="dxa"/>
          </w:tcPr>
          <w:p w14:paraId="6CF8469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0BB9AD6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6D3D69E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75C631DF" w14:textId="77777777" w:rsidTr="008F5A8D">
        <w:trPr>
          <w:trHeight w:val="253"/>
        </w:trPr>
        <w:tc>
          <w:tcPr>
            <w:tcW w:w="2950" w:type="dxa"/>
          </w:tcPr>
          <w:p w14:paraId="264083D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Májenzimszint-emelkedés</w:t>
            </w:r>
          </w:p>
        </w:tc>
        <w:tc>
          <w:tcPr>
            <w:tcW w:w="2148" w:type="dxa"/>
          </w:tcPr>
          <w:p w14:paraId="140E18A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7BD3D6A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08DF337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7807394F" w14:textId="77777777" w:rsidTr="008F5A8D">
        <w:trPr>
          <w:trHeight w:val="254"/>
        </w:trPr>
        <w:tc>
          <w:tcPr>
            <w:tcW w:w="2950" w:type="dxa"/>
          </w:tcPr>
          <w:p w14:paraId="4F7429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Hyperbilirubinaemia</w:t>
            </w:r>
          </w:p>
        </w:tc>
        <w:tc>
          <w:tcPr>
            <w:tcW w:w="2148" w:type="dxa"/>
          </w:tcPr>
          <w:p w14:paraId="3667214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2D748E5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6B8568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596E113F" w14:textId="77777777" w:rsidTr="008F5A8D">
        <w:trPr>
          <w:trHeight w:val="251"/>
        </w:trPr>
        <w:tc>
          <w:tcPr>
            <w:tcW w:w="7412" w:type="dxa"/>
            <w:gridSpan w:val="3"/>
          </w:tcPr>
          <w:p w14:paraId="482E961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bőr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bőr</w:t>
            </w:r>
            <w:r>
              <w:rPr>
                <w:spacing w:val="-3"/>
              </w:rPr>
              <w:t xml:space="preserve"> </w:t>
            </w:r>
            <w:r>
              <w:t>alatti</w:t>
            </w:r>
            <w:r>
              <w:rPr>
                <w:spacing w:val="-4"/>
              </w:rPr>
              <w:t xml:space="preserve"> </w:t>
            </w:r>
            <w:r>
              <w:t>szövet</w:t>
            </w:r>
            <w:r>
              <w:rPr>
                <w:spacing w:val="-4"/>
              </w:rPr>
              <w:t xml:space="preserve"> </w:t>
            </w:r>
            <w:r>
              <w:t>betegségei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tünetei</w:t>
            </w:r>
          </w:p>
        </w:tc>
        <w:tc>
          <w:tcPr>
            <w:tcW w:w="1649" w:type="dxa"/>
          </w:tcPr>
          <w:p w14:paraId="3E40DD1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0D68E0D" w14:textId="77777777" w:rsidTr="008F5A8D">
        <w:trPr>
          <w:trHeight w:val="253"/>
        </w:trPr>
        <w:tc>
          <w:tcPr>
            <w:tcW w:w="2950" w:type="dxa"/>
          </w:tcPr>
          <w:p w14:paraId="6E98749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Bőrvérzés</w:t>
            </w:r>
          </w:p>
        </w:tc>
        <w:tc>
          <w:tcPr>
            <w:tcW w:w="2148" w:type="dxa"/>
          </w:tcPr>
          <w:p w14:paraId="69BD31A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1A2780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7879B9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26493FFE" w14:textId="77777777" w:rsidTr="008F5A8D">
        <w:trPr>
          <w:trHeight w:val="251"/>
        </w:trPr>
        <w:tc>
          <w:tcPr>
            <w:tcW w:w="2950" w:type="dxa"/>
          </w:tcPr>
          <w:p w14:paraId="72146A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Alopecia</w:t>
            </w:r>
          </w:p>
        </w:tc>
        <w:tc>
          <w:tcPr>
            <w:tcW w:w="2148" w:type="dxa"/>
          </w:tcPr>
          <w:p w14:paraId="143B32D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2314" w:type="dxa"/>
          </w:tcPr>
          <w:p w14:paraId="3E1B50B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  <w:tc>
          <w:tcPr>
            <w:tcW w:w="1649" w:type="dxa"/>
          </w:tcPr>
          <w:p w14:paraId="38F4E6D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03C09C71" w14:textId="77777777" w:rsidTr="008F5A8D">
        <w:trPr>
          <w:trHeight w:val="253"/>
        </w:trPr>
        <w:tc>
          <w:tcPr>
            <w:tcW w:w="7412" w:type="dxa"/>
            <w:gridSpan w:val="3"/>
          </w:tcPr>
          <w:p w14:paraId="6328C45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csont-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izomrendszer,</w:t>
            </w:r>
            <w:r>
              <w:rPr>
                <w:spacing w:val="-6"/>
              </w:rPr>
              <w:t xml:space="preserve"> </w:t>
            </w:r>
            <w:r>
              <w:t>valamint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kötőszövet</w:t>
            </w:r>
            <w:r>
              <w:rPr>
                <w:spacing w:val="-6"/>
              </w:rPr>
              <w:t xml:space="preserve"> </w:t>
            </w:r>
            <w:r>
              <w:t>betegségei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tünetei</w:t>
            </w:r>
          </w:p>
        </w:tc>
        <w:tc>
          <w:tcPr>
            <w:tcW w:w="1649" w:type="dxa"/>
          </w:tcPr>
          <w:p w14:paraId="2E015257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8EAEBC7" w14:textId="77777777" w:rsidTr="008F5A8D">
        <w:trPr>
          <w:trHeight w:val="254"/>
        </w:trPr>
        <w:tc>
          <w:tcPr>
            <w:tcW w:w="2950" w:type="dxa"/>
          </w:tcPr>
          <w:p w14:paraId="0F3E3D7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Haemarthros</w:t>
            </w:r>
          </w:p>
        </w:tc>
        <w:tc>
          <w:tcPr>
            <w:tcW w:w="2148" w:type="dxa"/>
          </w:tcPr>
          <w:p w14:paraId="61C800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50BC90C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6D0BCE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B1B8EC6" w14:textId="77777777" w:rsidTr="008F5A8D">
        <w:trPr>
          <w:trHeight w:val="251"/>
        </w:trPr>
        <w:tc>
          <w:tcPr>
            <w:tcW w:w="7412" w:type="dxa"/>
            <w:gridSpan w:val="3"/>
          </w:tcPr>
          <w:p w14:paraId="6764356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Vese-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húgyúti</w:t>
            </w:r>
            <w:r>
              <w:rPr>
                <w:spacing w:val="-5"/>
              </w:rPr>
              <w:t xml:space="preserve"> </w:t>
            </w:r>
            <w:r>
              <w:t>betegségek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  <w:tc>
          <w:tcPr>
            <w:tcW w:w="1649" w:type="dxa"/>
          </w:tcPr>
          <w:p w14:paraId="0A61202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1E667B4" w14:textId="77777777" w:rsidTr="008F5A8D">
        <w:trPr>
          <w:trHeight w:val="505"/>
        </w:trPr>
        <w:tc>
          <w:tcPr>
            <w:tcW w:w="2950" w:type="dxa"/>
          </w:tcPr>
          <w:p w14:paraId="7B411F8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Urogenitális</w:t>
            </w:r>
            <w:r>
              <w:rPr>
                <w:spacing w:val="-10"/>
              </w:rPr>
              <w:t xml:space="preserve"> </w:t>
            </w:r>
            <w:r>
              <w:t>vérzés,</w:t>
            </w:r>
            <w:r>
              <w:rPr>
                <w:spacing w:val="-9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0C62DFC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haematuriát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beleértve</w:t>
            </w:r>
          </w:p>
        </w:tc>
        <w:tc>
          <w:tcPr>
            <w:tcW w:w="2148" w:type="dxa"/>
          </w:tcPr>
          <w:p w14:paraId="482F7A1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606B58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  <w:tc>
          <w:tcPr>
            <w:tcW w:w="1649" w:type="dxa"/>
          </w:tcPr>
          <w:p w14:paraId="11324DF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260D5536" w14:textId="77777777" w:rsidTr="008F5A8D">
        <w:trPr>
          <w:trHeight w:val="254"/>
        </w:trPr>
        <w:tc>
          <w:tcPr>
            <w:tcW w:w="7412" w:type="dxa"/>
            <w:gridSpan w:val="3"/>
          </w:tcPr>
          <w:p w14:paraId="0F25563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Általános</w:t>
            </w:r>
            <w:r>
              <w:rPr>
                <w:spacing w:val="-9"/>
              </w:rPr>
              <w:t xml:space="preserve"> </w:t>
            </w:r>
            <w:r>
              <w:t>tünetek,</w:t>
            </w:r>
            <w:r>
              <w:rPr>
                <w:spacing w:val="-7"/>
              </w:rPr>
              <w:t xml:space="preserve"> </w:t>
            </w:r>
            <w:r>
              <w:t>az</w:t>
            </w:r>
            <w:r>
              <w:rPr>
                <w:spacing w:val="-7"/>
              </w:rPr>
              <w:t xml:space="preserve"> </w:t>
            </w:r>
            <w:r>
              <w:t>alkalmazás</w:t>
            </w:r>
            <w:r>
              <w:rPr>
                <w:spacing w:val="-7"/>
              </w:rPr>
              <w:t xml:space="preserve"> </w:t>
            </w:r>
            <w:r>
              <w:t>helyén</w:t>
            </w:r>
            <w:r>
              <w:rPr>
                <w:spacing w:val="-7"/>
              </w:rPr>
              <w:t xml:space="preserve"> </w:t>
            </w:r>
            <w:r>
              <w:t>fellépő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reakciók</w:t>
            </w:r>
          </w:p>
        </w:tc>
        <w:tc>
          <w:tcPr>
            <w:tcW w:w="1649" w:type="dxa"/>
          </w:tcPr>
          <w:p w14:paraId="266905B9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C9AEED6" w14:textId="77777777" w:rsidTr="008F5A8D">
        <w:trPr>
          <w:trHeight w:val="505"/>
        </w:trPr>
        <w:tc>
          <w:tcPr>
            <w:tcW w:w="2950" w:type="dxa"/>
          </w:tcPr>
          <w:p w14:paraId="688ACBA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Vérzés</w:t>
            </w:r>
            <w:r>
              <w:rPr>
                <w:spacing w:val="-4"/>
              </w:rPr>
              <w:t xml:space="preserve"> </w:t>
            </w:r>
            <w:r>
              <w:t>az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injekció</w:t>
            </w:r>
          </w:p>
          <w:p w14:paraId="2FB30FF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beadásának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helyén</w:t>
            </w:r>
          </w:p>
        </w:tc>
        <w:tc>
          <w:tcPr>
            <w:tcW w:w="2148" w:type="dxa"/>
          </w:tcPr>
          <w:p w14:paraId="037787B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1B9D3D7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7A4AA4A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0FBDB36B" w14:textId="77777777" w:rsidTr="008F5A8D">
        <w:trPr>
          <w:trHeight w:val="251"/>
        </w:trPr>
        <w:tc>
          <w:tcPr>
            <w:tcW w:w="2950" w:type="dxa"/>
          </w:tcPr>
          <w:p w14:paraId="7EC957B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Vérzés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kanül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helyén</w:t>
            </w:r>
          </w:p>
        </w:tc>
        <w:tc>
          <w:tcPr>
            <w:tcW w:w="2148" w:type="dxa"/>
          </w:tcPr>
          <w:p w14:paraId="0D35F3E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69D9927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5AD3F07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3D9AC76A" w14:textId="77777777" w:rsidTr="008F5A8D">
        <w:trPr>
          <w:trHeight w:val="253"/>
        </w:trPr>
        <w:tc>
          <w:tcPr>
            <w:tcW w:w="2950" w:type="dxa"/>
          </w:tcPr>
          <w:p w14:paraId="7B98D8B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váladékozás</w:t>
            </w:r>
          </w:p>
        </w:tc>
        <w:tc>
          <w:tcPr>
            <w:tcW w:w="2148" w:type="dxa"/>
          </w:tcPr>
          <w:p w14:paraId="31BE3A2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69C985A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7319BDFF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660DA96" w14:textId="77777777" w:rsidTr="008F5A8D">
        <w:trPr>
          <w:trHeight w:val="251"/>
        </w:trPr>
        <w:tc>
          <w:tcPr>
            <w:tcW w:w="7412" w:type="dxa"/>
            <w:gridSpan w:val="3"/>
          </w:tcPr>
          <w:p w14:paraId="75E0F70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Sérülés,</w:t>
            </w:r>
            <w:r>
              <w:rPr>
                <w:spacing w:val="-8"/>
              </w:rPr>
              <w:t xml:space="preserve"> </w:t>
            </w:r>
            <w:r>
              <w:t>mérgezés</w:t>
            </w:r>
            <w:r>
              <w:rPr>
                <w:spacing w:val="-7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beavatkozással</w:t>
            </w:r>
            <w:r>
              <w:rPr>
                <w:spacing w:val="-7"/>
              </w:rPr>
              <w:t xml:space="preserve"> </w:t>
            </w:r>
            <w:r>
              <w:t>kapcsolatos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szövődmények</w:t>
            </w:r>
          </w:p>
        </w:tc>
        <w:tc>
          <w:tcPr>
            <w:tcW w:w="1649" w:type="dxa"/>
          </w:tcPr>
          <w:p w14:paraId="52710F3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8D0FD78" w14:textId="77777777" w:rsidTr="008F5A8D">
        <w:trPr>
          <w:trHeight w:val="254"/>
        </w:trPr>
        <w:tc>
          <w:tcPr>
            <w:tcW w:w="2950" w:type="dxa"/>
          </w:tcPr>
          <w:p w14:paraId="5CAE9C2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Traumás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48" w:type="dxa"/>
          </w:tcPr>
          <w:p w14:paraId="31A8B6E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307E24C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72566E4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54EC9135" w14:textId="77777777" w:rsidTr="008F5A8D">
        <w:trPr>
          <w:trHeight w:val="253"/>
        </w:trPr>
        <w:tc>
          <w:tcPr>
            <w:tcW w:w="2950" w:type="dxa"/>
          </w:tcPr>
          <w:p w14:paraId="0498CBA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Vérzés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bemetszés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helyén</w:t>
            </w:r>
          </w:p>
        </w:tc>
        <w:tc>
          <w:tcPr>
            <w:tcW w:w="2148" w:type="dxa"/>
          </w:tcPr>
          <w:p w14:paraId="74C8634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4696B1A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1649" w:type="dxa"/>
          </w:tcPr>
          <w:p w14:paraId="1E2A397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</w:tr>
      <w:tr w:rsidR="00945359" w14:paraId="5442DA95" w14:textId="77777777" w:rsidTr="008F5A8D">
        <w:trPr>
          <w:trHeight w:val="503"/>
        </w:trPr>
        <w:tc>
          <w:tcPr>
            <w:tcW w:w="2950" w:type="dxa"/>
          </w:tcPr>
          <w:p w14:paraId="128B70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Beavatkozás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utáni</w:t>
            </w:r>
          </w:p>
          <w:p w14:paraId="0A65CF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haematoma</w:t>
            </w:r>
          </w:p>
        </w:tc>
        <w:tc>
          <w:tcPr>
            <w:tcW w:w="2148" w:type="dxa"/>
          </w:tcPr>
          <w:p w14:paraId="7ED95E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74195F6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0C6D32C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</w:tr>
      <w:tr w:rsidR="00945359" w14:paraId="7130A144" w14:textId="77777777" w:rsidTr="008F5A8D">
        <w:trPr>
          <w:trHeight w:val="253"/>
        </w:trPr>
        <w:tc>
          <w:tcPr>
            <w:tcW w:w="2950" w:type="dxa"/>
          </w:tcPr>
          <w:p w14:paraId="23C8667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Beavatkozás</w:t>
            </w:r>
            <w:r>
              <w:rPr>
                <w:spacing w:val="-8"/>
              </w:rPr>
              <w:t xml:space="preserve"> </w:t>
            </w:r>
            <w:r>
              <w:t>utáni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48" w:type="dxa"/>
          </w:tcPr>
          <w:p w14:paraId="5A10938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48F7FB1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6C681D1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01F56F7" w14:textId="77777777" w:rsidTr="008F5A8D">
        <w:trPr>
          <w:trHeight w:val="254"/>
        </w:trPr>
        <w:tc>
          <w:tcPr>
            <w:tcW w:w="2950" w:type="dxa"/>
          </w:tcPr>
          <w:p w14:paraId="71A7AA9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Posztoperatív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anaemia</w:t>
            </w:r>
          </w:p>
        </w:tc>
        <w:tc>
          <w:tcPr>
            <w:tcW w:w="2148" w:type="dxa"/>
          </w:tcPr>
          <w:p w14:paraId="4848F4B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31E10CC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21B461F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</w:tr>
      <w:tr w:rsidR="00945359" w14:paraId="40EE8D33" w14:textId="77777777" w:rsidTr="008F5A8D">
        <w:trPr>
          <w:trHeight w:val="505"/>
        </w:trPr>
        <w:tc>
          <w:tcPr>
            <w:tcW w:w="2950" w:type="dxa"/>
          </w:tcPr>
          <w:p w14:paraId="6D57FC7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>Beavatkozás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utáni</w:t>
            </w:r>
          </w:p>
          <w:p w14:paraId="637D976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váladékozás</w:t>
            </w:r>
          </w:p>
        </w:tc>
        <w:tc>
          <w:tcPr>
            <w:tcW w:w="2148" w:type="dxa"/>
          </w:tcPr>
          <w:p w14:paraId="642553F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0712B12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7323D6A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</w:tr>
      <w:tr w:rsidR="00945359" w14:paraId="20C1CBF8" w14:textId="77777777" w:rsidTr="008F5A8D">
        <w:trPr>
          <w:trHeight w:val="251"/>
        </w:trPr>
        <w:tc>
          <w:tcPr>
            <w:tcW w:w="2950" w:type="dxa"/>
          </w:tcPr>
          <w:p w14:paraId="1AABB0C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Sebváladékozás</w:t>
            </w:r>
          </w:p>
        </w:tc>
        <w:tc>
          <w:tcPr>
            <w:tcW w:w="2148" w:type="dxa"/>
          </w:tcPr>
          <w:p w14:paraId="47A96E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  <w:tc>
          <w:tcPr>
            <w:tcW w:w="2314" w:type="dxa"/>
          </w:tcPr>
          <w:p w14:paraId="49F5854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6B07AE9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</w:tr>
      <w:tr w:rsidR="00945359" w14:paraId="657F32C6" w14:textId="77777777" w:rsidTr="008F5A8D">
        <w:trPr>
          <w:trHeight w:val="253"/>
        </w:trPr>
        <w:tc>
          <w:tcPr>
            <w:tcW w:w="7412" w:type="dxa"/>
            <w:gridSpan w:val="3"/>
          </w:tcPr>
          <w:p w14:paraId="45BABF5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Sebészeti</w:t>
            </w:r>
            <w:r>
              <w:rPr>
                <w:spacing w:val="-7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t>egyéb</w:t>
            </w:r>
            <w:r>
              <w:rPr>
                <w:spacing w:val="-6"/>
              </w:rPr>
              <w:t xml:space="preserve"> </w:t>
            </w:r>
            <w:r>
              <w:t>orvosi</w:t>
            </w:r>
            <w:r>
              <w:rPr>
                <w:spacing w:val="-6"/>
              </w:rPr>
              <w:t xml:space="preserve"> </w:t>
            </w:r>
            <w:r>
              <w:t>beavatkozások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eljárások</w:t>
            </w:r>
          </w:p>
        </w:tc>
        <w:tc>
          <w:tcPr>
            <w:tcW w:w="1649" w:type="dxa"/>
          </w:tcPr>
          <w:p w14:paraId="284B22B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FF97FB3" w14:textId="77777777" w:rsidTr="008F5A8D">
        <w:trPr>
          <w:trHeight w:val="251"/>
        </w:trPr>
        <w:tc>
          <w:tcPr>
            <w:tcW w:w="2950" w:type="dxa"/>
          </w:tcPr>
          <w:p w14:paraId="5BCBB88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Sebváladékozás</w:t>
            </w:r>
          </w:p>
        </w:tc>
        <w:tc>
          <w:tcPr>
            <w:tcW w:w="2148" w:type="dxa"/>
          </w:tcPr>
          <w:p w14:paraId="31733B1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2CAF64C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5FB93A2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</w:tr>
      <w:tr w:rsidR="00945359" w14:paraId="14AFFD83" w14:textId="77777777" w:rsidTr="008F5A8D">
        <w:trPr>
          <w:trHeight w:val="506"/>
        </w:trPr>
        <w:tc>
          <w:tcPr>
            <w:tcW w:w="2950" w:type="dxa"/>
          </w:tcPr>
          <w:p w14:paraId="01A4EE7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Beavatkozás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utáni</w:t>
            </w:r>
          </w:p>
          <w:p w14:paraId="2F5C148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váladékozás</w:t>
            </w:r>
          </w:p>
        </w:tc>
        <w:tc>
          <w:tcPr>
            <w:tcW w:w="2148" w:type="dxa"/>
          </w:tcPr>
          <w:p w14:paraId="7A8D6B9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Ritka</w:t>
            </w:r>
          </w:p>
        </w:tc>
        <w:tc>
          <w:tcPr>
            <w:tcW w:w="2314" w:type="dxa"/>
          </w:tcPr>
          <w:p w14:paraId="1E64992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  <w:tc>
          <w:tcPr>
            <w:tcW w:w="1649" w:type="dxa"/>
          </w:tcPr>
          <w:p w14:paraId="1454CFA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-</w:t>
            </w:r>
          </w:p>
        </w:tc>
      </w:tr>
    </w:tbl>
    <w:p w14:paraId="3E9D4004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31ADA07D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Egyes</w:t>
      </w:r>
      <w:r>
        <w:rPr>
          <w:spacing w:val="-10"/>
          <w:u w:val="single"/>
        </w:rPr>
        <w:t xml:space="preserve"> </w:t>
      </w:r>
      <w:r>
        <w:rPr>
          <w:u w:val="single"/>
        </w:rPr>
        <w:t>kiválasztott</w:t>
      </w:r>
      <w:r>
        <w:rPr>
          <w:spacing w:val="-10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leírása</w:t>
      </w:r>
    </w:p>
    <w:p w14:paraId="6CF29660" w14:textId="77777777" w:rsidR="00945359" w:rsidRDefault="00945359" w:rsidP="008F5A8D">
      <w:pPr>
        <w:pStyle w:val="Szvegtrzs"/>
        <w:tabs>
          <w:tab w:val="left" w:pos="567"/>
        </w:tabs>
      </w:pPr>
    </w:p>
    <w:p w14:paraId="317FDF35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Vérzéses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reakciók</w:t>
      </w:r>
    </w:p>
    <w:p w14:paraId="2979720E" w14:textId="4C76DBF3" w:rsidR="00945359" w:rsidRDefault="00F02D44" w:rsidP="008F5A8D">
      <w:pPr>
        <w:pStyle w:val="Szvegtrzs"/>
        <w:tabs>
          <w:tab w:val="left" w:pos="567"/>
        </w:tabs>
      </w:pPr>
      <w:r>
        <w:t>F</w:t>
      </w:r>
      <w:r w:rsidR="00220A43">
        <w:t>armakológiai hatásmódjának köszönhetően a dabigatrán-etexilát alkalmazása együtt jár a szövetek vagy</w:t>
      </w:r>
      <w:r w:rsidR="00220A43">
        <w:rPr>
          <w:spacing w:val="-3"/>
        </w:rPr>
        <w:t xml:space="preserve"> </w:t>
      </w:r>
      <w:r w:rsidR="00220A43">
        <w:t>szervek</w:t>
      </w:r>
      <w:r w:rsidR="00220A43">
        <w:rPr>
          <w:spacing w:val="-3"/>
        </w:rPr>
        <w:t xml:space="preserve"> </w:t>
      </w:r>
      <w:r w:rsidR="00220A43">
        <w:t>rejtett</w:t>
      </w:r>
      <w:r w:rsidR="00220A43">
        <w:rPr>
          <w:spacing w:val="-3"/>
        </w:rPr>
        <w:t xml:space="preserve"> </w:t>
      </w:r>
      <w:r w:rsidR="00220A43">
        <w:t>vagy</w:t>
      </w:r>
      <w:r w:rsidR="00220A43">
        <w:rPr>
          <w:spacing w:val="-3"/>
        </w:rPr>
        <w:t xml:space="preserve"> </w:t>
      </w:r>
      <w:r w:rsidR="00220A43">
        <w:t>nyílt</w:t>
      </w:r>
      <w:r w:rsidR="00220A43">
        <w:rPr>
          <w:spacing w:val="-3"/>
        </w:rPr>
        <w:t xml:space="preserve"> </w:t>
      </w:r>
      <w:r w:rsidR="00220A43">
        <w:t>vérzésének</w:t>
      </w:r>
      <w:r w:rsidR="00220A43">
        <w:rPr>
          <w:spacing w:val="-3"/>
        </w:rPr>
        <w:t xml:space="preserve"> </w:t>
      </w:r>
      <w:r w:rsidR="00220A43">
        <w:t>kockázatával.</w:t>
      </w:r>
      <w:r w:rsidR="00220A43">
        <w:rPr>
          <w:spacing w:val="-3"/>
        </w:rPr>
        <w:t xml:space="preserve"> </w:t>
      </w:r>
      <w:r w:rsidR="00220A43">
        <w:t>Ennek</w:t>
      </w:r>
      <w:r w:rsidR="00220A43">
        <w:rPr>
          <w:spacing w:val="-3"/>
        </w:rPr>
        <w:t xml:space="preserve"> </w:t>
      </w:r>
      <w:r w:rsidR="00220A43">
        <w:t>jelei,</w:t>
      </w:r>
      <w:r w:rsidR="00220A43">
        <w:rPr>
          <w:spacing w:val="-3"/>
        </w:rPr>
        <w:t xml:space="preserve"> </w:t>
      </w:r>
      <w:r w:rsidR="00220A43">
        <w:t>tünetei</w:t>
      </w:r>
      <w:r w:rsidR="00220A43">
        <w:rPr>
          <w:spacing w:val="-3"/>
        </w:rPr>
        <w:t xml:space="preserve"> </w:t>
      </w:r>
      <w:r w:rsidR="00220A43">
        <w:t>és</w:t>
      </w:r>
      <w:r w:rsidR="00220A43">
        <w:rPr>
          <w:spacing w:val="-3"/>
        </w:rPr>
        <w:t xml:space="preserve"> </w:t>
      </w:r>
      <w:r w:rsidR="00220A43">
        <w:t>súlyossága</w:t>
      </w:r>
      <w:r w:rsidR="00220A43">
        <w:rPr>
          <w:spacing w:val="-3"/>
        </w:rPr>
        <w:t xml:space="preserve"> </w:t>
      </w:r>
      <w:r w:rsidR="00220A43">
        <w:t>(beleértve</w:t>
      </w:r>
      <w:r w:rsidR="00220A43">
        <w:rPr>
          <w:spacing w:val="-3"/>
        </w:rPr>
        <w:t xml:space="preserve"> </w:t>
      </w:r>
      <w:r w:rsidR="00220A43">
        <w:t>a halálos kimenetelt) függ a vérzés és/vagy az anaemia helyétől, mértékétől, illetve kiterjedésétől.</w:t>
      </w:r>
    </w:p>
    <w:p w14:paraId="33193FB4" w14:textId="7B827667" w:rsidR="00945359" w:rsidRDefault="00220A43" w:rsidP="008F5A8D">
      <w:pPr>
        <w:pStyle w:val="Szvegtrzs"/>
        <w:tabs>
          <w:tab w:val="left" w:pos="567"/>
        </w:tabs>
      </w:pPr>
      <w:r>
        <w:t>Klinikai vizsgálatokban nagyobb gyakorisággal figyeltek meg nyálkahártyavérzést (pl. gastrointestinalis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urogenitalis</w:t>
      </w:r>
      <w:r>
        <w:rPr>
          <w:spacing w:val="-4"/>
        </w:rPr>
        <w:t xml:space="preserve"> </w:t>
      </w:r>
      <w:r>
        <w:t>vérzést)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hosszú</w:t>
      </w:r>
      <w:r>
        <w:rPr>
          <w:spacing w:val="-4"/>
        </w:rPr>
        <w:t xml:space="preserve"> </w:t>
      </w:r>
      <w:r>
        <w:t>távú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4"/>
        </w:rPr>
        <w:t xml:space="preserve"> </w:t>
      </w:r>
      <w:r>
        <w:t>során,</w:t>
      </w:r>
      <w:r>
        <w:rPr>
          <w:spacing w:val="-4"/>
        </w:rPr>
        <w:t xml:space="preserve"> </w:t>
      </w:r>
      <w:r>
        <w:t>szemben</w:t>
      </w:r>
      <w:r>
        <w:rPr>
          <w:spacing w:val="-4"/>
        </w:rPr>
        <w:t xml:space="preserve"> </w:t>
      </w:r>
      <w:r>
        <w:t xml:space="preserve">a KVA-kezeléssel. Ezért a megfelelő klinikai megfigyelés mellett a </w:t>
      </w:r>
      <w:r w:rsidR="002E2A7B">
        <w:t>hemogl</w:t>
      </w:r>
      <w:r>
        <w:t>obin/</w:t>
      </w:r>
      <w:r w:rsidR="002E2A7B">
        <w:t>hematokrit</w:t>
      </w:r>
      <w:r>
        <w:t xml:space="preserve"> mérése is fontos a rejtett vérzés megállapításában. A vérzések kockázata </w:t>
      </w:r>
      <w:r w:rsidR="00F02D44">
        <w:t>nagyobb</w:t>
      </w:r>
      <w:r>
        <w:t xml:space="preserve"> lehet egyes betegpopulációkban, pl. közepesen súlyos fokú vesekárosodásban és/vagy a haemostasisra hatást kifejtő egyidejű kezelésben részesülő vagy erős P</w:t>
      </w:r>
      <w:r w:rsidR="00B95CAF">
        <w:t>-gp-in</w:t>
      </w:r>
      <w:r>
        <w:t>hibitor</w:t>
      </w:r>
      <w:r w:rsidR="00B13915">
        <w:t>r</w:t>
      </w:r>
      <w:r>
        <w:t>al kezelt betegek esetében (lásd</w:t>
      </w:r>
    </w:p>
    <w:p w14:paraId="6AADB434" w14:textId="7EB3DEC8" w:rsidR="00945359" w:rsidRDefault="00220A43" w:rsidP="008F5A8D">
      <w:pPr>
        <w:pStyle w:val="Szvegtrzs"/>
        <w:tabs>
          <w:tab w:val="left" w:pos="567"/>
        </w:tabs>
      </w:pPr>
      <w:r>
        <w:t>4.4</w:t>
      </w:r>
      <w:r w:rsidR="00294835">
        <w:rPr>
          <w:spacing w:val="-3"/>
        </w:rPr>
        <w:t> pont</w:t>
      </w:r>
      <w:r>
        <w:t>,</w:t>
      </w:r>
      <w:r>
        <w:rPr>
          <w:spacing w:val="-4"/>
        </w:rPr>
        <w:t xml:space="preserve"> </w:t>
      </w:r>
      <w:r>
        <w:t>Vérzésveszély).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vérzéses</w:t>
      </w:r>
      <w:r>
        <w:rPr>
          <w:spacing w:val="-4"/>
        </w:rPr>
        <w:t xml:space="preserve"> </w:t>
      </w:r>
      <w:r>
        <w:t>szövődmények</w:t>
      </w:r>
      <w:r>
        <w:rPr>
          <w:spacing w:val="-4"/>
        </w:rPr>
        <w:t xml:space="preserve"> </w:t>
      </w:r>
      <w:r>
        <w:t>gyengeség,</w:t>
      </w:r>
      <w:r>
        <w:rPr>
          <w:spacing w:val="-4"/>
        </w:rPr>
        <w:t xml:space="preserve"> </w:t>
      </w:r>
      <w:r>
        <w:t>sápadtság,</w:t>
      </w:r>
      <w:r>
        <w:rPr>
          <w:spacing w:val="-4"/>
        </w:rPr>
        <w:t xml:space="preserve"> </w:t>
      </w:r>
      <w:r>
        <w:t>szédülés,</w:t>
      </w:r>
      <w:r>
        <w:rPr>
          <w:spacing w:val="-4"/>
        </w:rPr>
        <w:t xml:space="preserve"> </w:t>
      </w:r>
      <w:r>
        <w:t>fejfájás</w:t>
      </w:r>
      <w:r>
        <w:rPr>
          <w:spacing w:val="-4"/>
        </w:rPr>
        <w:t xml:space="preserve"> </w:t>
      </w:r>
      <w:r>
        <w:t xml:space="preserve">vagy tisztázatlan eredetű duzzadás, dyspnoe, valamint tisztázatlan eredetű sokk formájában jelenhetnek </w:t>
      </w:r>
      <w:r>
        <w:rPr>
          <w:spacing w:val="-4"/>
        </w:rPr>
        <w:t>meg.</w:t>
      </w:r>
    </w:p>
    <w:p w14:paraId="24E72A99" w14:textId="5576A2AE" w:rsidR="00945359" w:rsidRDefault="00220A43">
      <w:pPr>
        <w:pStyle w:val="Szvegtrzs"/>
        <w:tabs>
          <w:tab w:val="left" w:pos="567"/>
        </w:tabs>
      </w:pPr>
      <w:r>
        <w:t>Ismert vérzéses szövődményeket, pl. kompartment szindrómát, és hypoperfusio okozta akut veseelégtelenséget, valamint a hajlamosító kockázati tényezőkkel rendelkező betegeknél antikoaguláns terápiával összefüggő nephropathiát is jelentettek már dabigatrán-etexiláttal összefüggésben.</w:t>
      </w:r>
      <w:r>
        <w:rPr>
          <w:spacing w:val="-4"/>
        </w:rPr>
        <w:t xml:space="preserve"> </w:t>
      </w:r>
      <w:r>
        <w:t>Ezért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haemorrhagia</w:t>
      </w:r>
      <w:r>
        <w:rPr>
          <w:spacing w:val="-4"/>
        </w:rPr>
        <w:t xml:space="preserve"> </w:t>
      </w:r>
      <w:r>
        <w:t>lehetőségét</w:t>
      </w:r>
      <w:r>
        <w:rPr>
          <w:spacing w:val="-4"/>
        </w:rPr>
        <w:t xml:space="preserve"> </w:t>
      </w:r>
      <w:r>
        <w:t>mérlegelni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antikoagulált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állapotának értékelésekor. Felnőtt betegeknél csillapíthatatlan vérzés esetén rendelkezésre áll a dagibatrán specifikus antagonista szere, az idarucizumab (lásd 4.9</w:t>
      </w:r>
      <w:r w:rsidR="00294835">
        <w:t> pont</w:t>
      </w:r>
      <w:r>
        <w:t>).</w:t>
      </w:r>
    </w:p>
    <w:p w14:paraId="0341F64B" w14:textId="77777777" w:rsidR="00B900F2" w:rsidRDefault="00B900F2" w:rsidP="008F5A8D">
      <w:pPr>
        <w:pStyle w:val="Szvegtrzs"/>
        <w:tabs>
          <w:tab w:val="left" w:pos="567"/>
        </w:tabs>
      </w:pPr>
    </w:p>
    <w:p w14:paraId="3F846D47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VTE</w:t>
      </w:r>
      <w:r>
        <w:rPr>
          <w:i/>
          <w:spacing w:val="-8"/>
        </w:rPr>
        <w:t xml:space="preserve"> </w:t>
      </w:r>
      <w:r>
        <w:rPr>
          <w:i/>
        </w:rPr>
        <w:t>primer</w:t>
      </w:r>
      <w:r>
        <w:rPr>
          <w:i/>
          <w:spacing w:val="-7"/>
        </w:rPr>
        <w:t xml:space="preserve"> </w:t>
      </w:r>
      <w:r>
        <w:rPr>
          <w:i/>
        </w:rPr>
        <w:t>prevenciója</w:t>
      </w:r>
      <w:r>
        <w:rPr>
          <w:i/>
          <w:spacing w:val="-8"/>
        </w:rPr>
        <w:t xml:space="preserve"> </w:t>
      </w:r>
      <w:r>
        <w:rPr>
          <w:i/>
        </w:rPr>
        <w:t>ortopédiai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műtéteknél</w:t>
      </w:r>
    </w:p>
    <w:p w14:paraId="6651EF26" w14:textId="623A0C88" w:rsidR="00945359" w:rsidRDefault="00220A43" w:rsidP="008F5A8D">
      <w:pPr>
        <w:pStyle w:val="Szvegtrzs"/>
        <w:tabs>
          <w:tab w:val="left" w:pos="567"/>
        </w:tabs>
      </w:pPr>
      <w:r>
        <w:t>A 13.</w:t>
      </w:r>
      <w:r w:rsidR="00B95CAF">
        <w:t> táblázat</w:t>
      </w:r>
      <w:r>
        <w:t xml:space="preserve"> azoknak a betegeknek a számát (%) mutatja dózis szerinti megoszlásban, akiknél mellékhatásként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2E2A7B">
        <w:t>VTE-prevenció</w:t>
      </w:r>
      <w:r>
        <w:t>s</w:t>
      </w:r>
      <w:r>
        <w:rPr>
          <w:spacing w:val="-3"/>
        </w:rPr>
        <w:t xml:space="preserve"> </w:t>
      </w:r>
      <w:r>
        <w:t>kezelési</w:t>
      </w:r>
      <w:r>
        <w:rPr>
          <w:spacing w:val="-3"/>
        </w:rPr>
        <w:t xml:space="preserve"> </w:t>
      </w:r>
      <w:r>
        <w:t>időszak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vérzéses</w:t>
      </w:r>
      <w:r>
        <w:rPr>
          <w:spacing w:val="-3"/>
        </w:rPr>
        <w:t xml:space="preserve"> </w:t>
      </w:r>
      <w:r>
        <w:t>esemény</w:t>
      </w:r>
      <w:r>
        <w:rPr>
          <w:spacing w:val="-3"/>
        </w:rPr>
        <w:t xml:space="preserve"> </w:t>
      </w:r>
      <w:r>
        <w:t>történt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két</w:t>
      </w:r>
      <w:r>
        <w:rPr>
          <w:spacing w:val="-3"/>
        </w:rPr>
        <w:t xml:space="preserve"> </w:t>
      </w:r>
      <w:r>
        <w:t>pivotális klinikai vizsgálatban.</w:t>
      </w:r>
    </w:p>
    <w:p w14:paraId="70507FD6" w14:textId="77777777" w:rsidR="00945359" w:rsidRDefault="00945359" w:rsidP="008F5A8D">
      <w:pPr>
        <w:pStyle w:val="Szvegtrzs"/>
        <w:tabs>
          <w:tab w:val="left" w:pos="567"/>
        </w:tabs>
      </w:pPr>
    </w:p>
    <w:p w14:paraId="5B451852" w14:textId="67FF99A4" w:rsidR="00945359" w:rsidRPr="00511F35" w:rsidRDefault="00A9240D" w:rsidP="008F5A8D">
      <w:r w:rsidRPr="00511F35">
        <w:rPr>
          <w:b/>
          <w:spacing w:val="-2"/>
        </w:rPr>
        <w:t>13</w:t>
      </w:r>
      <w:r w:rsidR="00BC10BA" w:rsidRPr="00511F35">
        <w:rPr>
          <w:b/>
          <w:spacing w:val="-2"/>
        </w:rPr>
        <w:t>. táblázat</w:t>
      </w:r>
      <w:r w:rsidR="00220A43"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Betegek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száma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(%),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akiknél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vérzéses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mellékhatást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  <w:spacing w:val="-2"/>
        </w:rPr>
        <w:t>észleltek</w:t>
      </w:r>
    </w:p>
    <w:p w14:paraId="04C2EB11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167"/>
        <w:gridCol w:w="2297"/>
        <w:gridCol w:w="2299"/>
        <w:gridCol w:w="2297"/>
      </w:tblGrid>
      <w:tr w:rsidR="00945359" w14:paraId="1034B43A" w14:textId="77777777" w:rsidTr="008F5A8D">
        <w:trPr>
          <w:trHeight w:val="757"/>
        </w:trPr>
        <w:tc>
          <w:tcPr>
            <w:tcW w:w="2167" w:type="dxa"/>
          </w:tcPr>
          <w:p w14:paraId="44C0A68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297" w:type="dxa"/>
          </w:tcPr>
          <w:p w14:paraId="2DC110C3" w14:textId="21540DF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Dabigatrán-etexilát </w:t>
            </w:r>
            <w:r w:rsidRPr="004F4A3C">
              <w:rPr>
                <w:spacing w:val="-2"/>
              </w:rPr>
              <w:t>150</w:t>
            </w:r>
            <w:r w:rsidR="00294835" w:rsidRPr="004F4A3C">
              <w:rPr>
                <w:spacing w:val="-2"/>
              </w:rPr>
              <w:t> mg nap</w:t>
            </w:r>
            <w:r w:rsidRPr="004F4A3C">
              <w:rPr>
                <w:spacing w:val="-2"/>
              </w:rPr>
              <w:t>i egyszer</w:t>
            </w:r>
          </w:p>
          <w:p w14:paraId="62ACD78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N </w:t>
            </w:r>
            <w:r>
              <w:rPr>
                <w:spacing w:val="-5"/>
              </w:rPr>
              <w:t>(%)</w:t>
            </w:r>
          </w:p>
        </w:tc>
        <w:tc>
          <w:tcPr>
            <w:tcW w:w="2299" w:type="dxa"/>
          </w:tcPr>
          <w:p w14:paraId="1BD4B228" w14:textId="3EE9C49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Dabigatrán-etexilát </w:t>
            </w:r>
            <w:r w:rsidRPr="004F4A3C">
              <w:rPr>
                <w:spacing w:val="-2"/>
              </w:rPr>
              <w:t>220</w:t>
            </w:r>
            <w:r w:rsidR="00294835" w:rsidRPr="004F4A3C">
              <w:rPr>
                <w:spacing w:val="-2"/>
              </w:rPr>
              <w:t> mg nap</w:t>
            </w:r>
            <w:r w:rsidRPr="004F4A3C">
              <w:rPr>
                <w:spacing w:val="-2"/>
              </w:rPr>
              <w:t>i egyszer</w:t>
            </w:r>
          </w:p>
          <w:p w14:paraId="49C35B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N </w:t>
            </w:r>
            <w:r>
              <w:rPr>
                <w:spacing w:val="-5"/>
              </w:rPr>
              <w:t>(%)</w:t>
            </w:r>
          </w:p>
        </w:tc>
        <w:tc>
          <w:tcPr>
            <w:tcW w:w="2297" w:type="dxa"/>
          </w:tcPr>
          <w:p w14:paraId="66A4EAC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Enoxaparin</w:t>
            </w:r>
          </w:p>
          <w:p w14:paraId="5FD006C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b/>
              </w:rPr>
            </w:pPr>
          </w:p>
          <w:p w14:paraId="4AA0A70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N </w:t>
            </w:r>
            <w:r>
              <w:rPr>
                <w:spacing w:val="-5"/>
              </w:rPr>
              <w:t>(%)</w:t>
            </w:r>
          </w:p>
        </w:tc>
      </w:tr>
      <w:tr w:rsidR="00945359" w14:paraId="2D260C3A" w14:textId="77777777" w:rsidTr="008F5A8D">
        <w:trPr>
          <w:trHeight w:val="254"/>
        </w:trPr>
        <w:tc>
          <w:tcPr>
            <w:tcW w:w="2167" w:type="dxa"/>
          </w:tcPr>
          <w:p w14:paraId="50F2D22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Kezelt</w:t>
            </w:r>
          </w:p>
        </w:tc>
        <w:tc>
          <w:tcPr>
            <w:tcW w:w="2297" w:type="dxa"/>
          </w:tcPr>
          <w:p w14:paraId="0E7463F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1866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(100,0)</w:t>
            </w:r>
          </w:p>
        </w:tc>
        <w:tc>
          <w:tcPr>
            <w:tcW w:w="2299" w:type="dxa"/>
          </w:tcPr>
          <w:p w14:paraId="222C50C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1825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(100,0)</w:t>
            </w:r>
          </w:p>
        </w:tc>
        <w:tc>
          <w:tcPr>
            <w:tcW w:w="2297" w:type="dxa"/>
          </w:tcPr>
          <w:p w14:paraId="1924A04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1848 </w:t>
            </w:r>
            <w:r>
              <w:rPr>
                <w:spacing w:val="-2"/>
              </w:rPr>
              <w:t>(100,0)</w:t>
            </w:r>
          </w:p>
        </w:tc>
      </w:tr>
      <w:tr w:rsidR="00945359" w14:paraId="7CA79DE2" w14:textId="77777777" w:rsidTr="008F5A8D">
        <w:trPr>
          <w:trHeight w:val="251"/>
        </w:trPr>
        <w:tc>
          <w:tcPr>
            <w:tcW w:w="2167" w:type="dxa"/>
          </w:tcPr>
          <w:p w14:paraId="27AFE2A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Jelentős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97" w:type="dxa"/>
          </w:tcPr>
          <w:p w14:paraId="219671B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24 </w:t>
            </w:r>
            <w:r>
              <w:rPr>
                <w:spacing w:val="-2"/>
              </w:rPr>
              <w:t>(1,3)</w:t>
            </w:r>
          </w:p>
        </w:tc>
        <w:tc>
          <w:tcPr>
            <w:tcW w:w="2299" w:type="dxa"/>
          </w:tcPr>
          <w:p w14:paraId="23944B0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33 </w:t>
            </w:r>
            <w:r>
              <w:rPr>
                <w:spacing w:val="-2"/>
              </w:rPr>
              <w:t>(1,8)</w:t>
            </w:r>
          </w:p>
        </w:tc>
        <w:tc>
          <w:tcPr>
            <w:tcW w:w="2297" w:type="dxa"/>
          </w:tcPr>
          <w:p w14:paraId="0B0FEA9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27 </w:t>
            </w:r>
            <w:r>
              <w:rPr>
                <w:spacing w:val="-2"/>
              </w:rPr>
              <w:t>(1,5)</w:t>
            </w:r>
          </w:p>
        </w:tc>
      </w:tr>
      <w:tr w:rsidR="00945359" w14:paraId="033B35A1" w14:textId="77777777" w:rsidTr="008F5A8D">
        <w:trPr>
          <w:trHeight w:val="254"/>
        </w:trPr>
        <w:tc>
          <w:tcPr>
            <w:tcW w:w="2167" w:type="dxa"/>
          </w:tcPr>
          <w:p w14:paraId="4560F10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97" w:type="dxa"/>
          </w:tcPr>
          <w:p w14:paraId="330C1C4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258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(13,8)</w:t>
            </w:r>
          </w:p>
        </w:tc>
        <w:tc>
          <w:tcPr>
            <w:tcW w:w="2299" w:type="dxa"/>
          </w:tcPr>
          <w:p w14:paraId="72A564C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251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(13,8)</w:t>
            </w:r>
          </w:p>
        </w:tc>
        <w:tc>
          <w:tcPr>
            <w:tcW w:w="2297" w:type="dxa"/>
          </w:tcPr>
          <w:p w14:paraId="4E17D46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247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(13,4)</w:t>
            </w:r>
          </w:p>
        </w:tc>
      </w:tr>
    </w:tbl>
    <w:p w14:paraId="515B7541" w14:textId="77777777" w:rsidR="002D7C56" w:rsidRDefault="002D7C56" w:rsidP="008F5A8D">
      <w:pPr>
        <w:tabs>
          <w:tab w:val="left" w:pos="567"/>
        </w:tabs>
        <w:rPr>
          <w:i/>
        </w:rPr>
      </w:pPr>
    </w:p>
    <w:p w14:paraId="1185114C" w14:textId="65B1969B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stroke</w:t>
      </w:r>
      <w:r>
        <w:rPr>
          <w:i/>
          <w:spacing w:val="-3"/>
        </w:rPr>
        <w:t xml:space="preserve"> </w:t>
      </w:r>
      <w:r>
        <w:rPr>
          <w:i/>
        </w:rPr>
        <w:t>és</w:t>
      </w:r>
      <w:r>
        <w:rPr>
          <w:i/>
          <w:spacing w:val="-3"/>
        </w:rPr>
        <w:t xml:space="preserve"> </w:t>
      </w:r>
      <w:r>
        <w:rPr>
          <w:i/>
        </w:rPr>
        <w:t>a</w:t>
      </w:r>
      <w:r>
        <w:rPr>
          <w:i/>
          <w:spacing w:val="-3"/>
        </w:rPr>
        <w:t xml:space="preserve"> </w:t>
      </w:r>
      <w:r>
        <w:rPr>
          <w:i/>
        </w:rPr>
        <w:t>szisztémás</w:t>
      </w:r>
      <w:r>
        <w:rPr>
          <w:i/>
          <w:spacing w:val="-3"/>
        </w:rPr>
        <w:t xml:space="preserve"> </w:t>
      </w:r>
      <w:r>
        <w:rPr>
          <w:i/>
        </w:rPr>
        <w:t>embolizáció</w:t>
      </w:r>
      <w:r>
        <w:rPr>
          <w:i/>
          <w:spacing w:val="-3"/>
        </w:rPr>
        <w:t xml:space="preserve"> </w:t>
      </w:r>
      <w:r>
        <w:rPr>
          <w:i/>
        </w:rPr>
        <w:t>prevenciója</w:t>
      </w:r>
      <w:r>
        <w:rPr>
          <w:i/>
          <w:spacing w:val="-3"/>
        </w:rPr>
        <w:t xml:space="preserve"> </w:t>
      </w:r>
      <w:r>
        <w:rPr>
          <w:i/>
        </w:rPr>
        <w:t>nem</w:t>
      </w:r>
      <w:r>
        <w:rPr>
          <w:i/>
          <w:spacing w:val="-3"/>
        </w:rPr>
        <w:t xml:space="preserve"> </w:t>
      </w:r>
      <w:r w:rsidR="00AB32E4">
        <w:rPr>
          <w:i/>
        </w:rPr>
        <w:t>billentyűeredetű</w:t>
      </w:r>
      <w:r>
        <w:rPr>
          <w:i/>
          <w:spacing w:val="-3"/>
        </w:rPr>
        <w:t xml:space="preserve"> </w:t>
      </w:r>
      <w:r>
        <w:rPr>
          <w:i/>
        </w:rPr>
        <w:t>pitvarfibrillációban</w:t>
      </w:r>
      <w:r>
        <w:rPr>
          <w:i/>
          <w:spacing w:val="-3"/>
        </w:rPr>
        <w:t xml:space="preserve"> </w:t>
      </w:r>
      <w:r>
        <w:rPr>
          <w:i/>
        </w:rPr>
        <w:t>szenvedő, egy vagy több rizikótényezővel rendelkező felnőtt betegeknél</w:t>
      </w:r>
    </w:p>
    <w:p w14:paraId="38F53FBE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339B302B" w14:textId="3520D620" w:rsidR="00945359" w:rsidRDefault="00220A43" w:rsidP="008F5A8D">
      <w:pPr>
        <w:pStyle w:val="Szvegtrzs"/>
        <w:tabs>
          <w:tab w:val="left" w:pos="567"/>
        </w:tabs>
      </w:pPr>
      <w:r>
        <w:t>A 14.</w:t>
      </w:r>
      <w:r w:rsidR="00B95CAF">
        <w:t> táblázat</w:t>
      </w:r>
      <w:r>
        <w:t xml:space="preserve"> a vérzéses eseményeket jelentős és bármilyen vérzésre lebontva mutatja pitvarfibrilláló</w:t>
      </w:r>
      <w:r>
        <w:rPr>
          <w:spacing w:val="-4"/>
        </w:rPr>
        <w:t xml:space="preserve"> </w:t>
      </w:r>
      <w:r>
        <w:t>betegek</w:t>
      </w:r>
      <w:r w:rsidR="002D7C56">
        <w:t>nél a</w:t>
      </w:r>
      <w:r>
        <w:rPr>
          <w:spacing w:val="-4"/>
        </w:rPr>
        <w:t xml:space="preserve"> </w:t>
      </w:r>
      <w:r>
        <w:t>thromboemboliás</w:t>
      </w:r>
      <w:r>
        <w:rPr>
          <w:spacing w:val="-4"/>
        </w:rPr>
        <w:t xml:space="preserve"> </w:t>
      </w:r>
      <w:r>
        <w:t>stroke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szisztémás</w:t>
      </w:r>
      <w:r>
        <w:rPr>
          <w:spacing w:val="-4"/>
        </w:rPr>
        <w:t xml:space="preserve"> </w:t>
      </w:r>
      <w:r>
        <w:t>embolizáció</w:t>
      </w:r>
      <w:r>
        <w:rPr>
          <w:spacing w:val="-4"/>
        </w:rPr>
        <w:t xml:space="preserve"> </w:t>
      </w:r>
      <w:r>
        <w:t>prevencióját</w:t>
      </w:r>
      <w:r>
        <w:rPr>
          <w:spacing w:val="-4"/>
        </w:rPr>
        <w:t xml:space="preserve"> </w:t>
      </w:r>
      <w:r>
        <w:t>vizsgáló kulcsfontosságú vizsgálatban.</w:t>
      </w:r>
    </w:p>
    <w:p w14:paraId="6393BAC9" w14:textId="77777777" w:rsidR="00945359" w:rsidRDefault="00945359" w:rsidP="008F5A8D">
      <w:pPr>
        <w:pStyle w:val="Szvegtrzs"/>
        <w:tabs>
          <w:tab w:val="left" w:pos="567"/>
        </w:tabs>
      </w:pPr>
    </w:p>
    <w:p w14:paraId="357190B4" w14:textId="05920625" w:rsidR="00945359" w:rsidRPr="00511F35" w:rsidRDefault="002E05FA" w:rsidP="008F5A8D">
      <w:r w:rsidRPr="00511F35">
        <w:rPr>
          <w:b/>
        </w:rPr>
        <w:t>1</w:t>
      </w:r>
      <w:r w:rsidR="008D4345" w:rsidRPr="00511F35">
        <w:rPr>
          <w:b/>
        </w:rPr>
        <w:t>4</w:t>
      </w:r>
      <w:r w:rsidR="00BC10BA" w:rsidRPr="00511F35">
        <w:rPr>
          <w:b/>
        </w:rPr>
        <w:t>. táblázat</w:t>
      </w:r>
      <w:r w:rsidR="00220A43" w:rsidRPr="00511F35">
        <w:rPr>
          <w:b/>
        </w:rPr>
        <w:t>:</w:t>
      </w:r>
      <w:r w:rsidR="00220A43" w:rsidRPr="00511F35">
        <w:rPr>
          <w:b/>
          <w:spacing w:val="40"/>
        </w:rPr>
        <w:t xml:space="preserve"> </w:t>
      </w:r>
      <w:r w:rsidR="00220A43" w:rsidRPr="00511F35">
        <w:rPr>
          <w:b/>
        </w:rPr>
        <w:t>Vérzéses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események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előfordulása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pitvarfibrilláló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betegek</w:t>
      </w:r>
      <w:r w:rsidR="002D7C56">
        <w:rPr>
          <w:b/>
        </w:rPr>
        <w:t>nél 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thromboemboliás stroke és szisztémás embolizáció prevenciójá</w:t>
      </w:r>
      <w:r w:rsidR="002D7C56">
        <w:rPr>
          <w:b/>
        </w:rPr>
        <w:t>nak</w:t>
      </w:r>
      <w:r w:rsidR="00220A43" w:rsidRPr="00511F35">
        <w:rPr>
          <w:b/>
        </w:rPr>
        <w:t xml:space="preserve"> vizsgálat</w:t>
      </w:r>
      <w:r w:rsidR="002D7C56">
        <w:rPr>
          <w:b/>
        </w:rPr>
        <w:t>á</w:t>
      </w:r>
      <w:r w:rsidR="00220A43" w:rsidRPr="00511F35">
        <w:rPr>
          <w:b/>
        </w:rPr>
        <w:t>ban</w:t>
      </w:r>
    </w:p>
    <w:p w14:paraId="60C92181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846"/>
        <w:gridCol w:w="2167"/>
        <w:gridCol w:w="2167"/>
        <w:gridCol w:w="1891"/>
      </w:tblGrid>
      <w:tr w:rsidR="00945359" w14:paraId="2E66BD04" w14:textId="77777777" w:rsidTr="008F5A8D">
        <w:trPr>
          <w:trHeight w:val="757"/>
        </w:trPr>
        <w:tc>
          <w:tcPr>
            <w:tcW w:w="2846" w:type="dxa"/>
          </w:tcPr>
          <w:p w14:paraId="1F17431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167" w:type="dxa"/>
          </w:tcPr>
          <w:p w14:paraId="5A7541B6" w14:textId="77FF3B5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Dabigatrán-etexilát </w:t>
            </w:r>
            <w:r>
              <w:t>naponta kétszer</w:t>
            </w:r>
          </w:p>
          <w:p w14:paraId="5F66CF16" w14:textId="4E91FF9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t> mg</w:t>
            </w:r>
          </w:p>
        </w:tc>
        <w:tc>
          <w:tcPr>
            <w:tcW w:w="2167" w:type="dxa"/>
          </w:tcPr>
          <w:p w14:paraId="06237562" w14:textId="013A463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Dabigatrán-etexilát </w:t>
            </w:r>
            <w:r>
              <w:t>naponta kétszer</w:t>
            </w:r>
          </w:p>
          <w:p w14:paraId="195AE3C8" w14:textId="15871CB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t> mg</w:t>
            </w:r>
          </w:p>
        </w:tc>
        <w:tc>
          <w:tcPr>
            <w:tcW w:w="1891" w:type="dxa"/>
          </w:tcPr>
          <w:p w14:paraId="4EE125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</w:tr>
      <w:tr w:rsidR="00945359" w14:paraId="0C885B5C" w14:textId="77777777" w:rsidTr="008F5A8D">
        <w:trPr>
          <w:trHeight w:val="251"/>
        </w:trPr>
        <w:tc>
          <w:tcPr>
            <w:tcW w:w="2846" w:type="dxa"/>
          </w:tcPr>
          <w:p w14:paraId="366E0F2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>Randomizált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betegszám</w:t>
            </w:r>
          </w:p>
        </w:tc>
        <w:tc>
          <w:tcPr>
            <w:tcW w:w="2167" w:type="dxa"/>
          </w:tcPr>
          <w:p w14:paraId="3749318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6012</w:t>
            </w:r>
          </w:p>
        </w:tc>
        <w:tc>
          <w:tcPr>
            <w:tcW w:w="2167" w:type="dxa"/>
          </w:tcPr>
          <w:p w14:paraId="0DFEBFE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6076</w:t>
            </w:r>
          </w:p>
        </w:tc>
        <w:tc>
          <w:tcPr>
            <w:tcW w:w="1891" w:type="dxa"/>
          </w:tcPr>
          <w:p w14:paraId="01148D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6022</w:t>
            </w:r>
          </w:p>
        </w:tc>
      </w:tr>
      <w:tr w:rsidR="00945359" w14:paraId="4505C848" w14:textId="77777777" w:rsidTr="008F5A8D">
        <w:trPr>
          <w:trHeight w:val="273"/>
        </w:trPr>
        <w:tc>
          <w:tcPr>
            <w:tcW w:w="2846" w:type="dxa"/>
          </w:tcPr>
          <w:p w14:paraId="66257DC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Jelentős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67" w:type="dxa"/>
          </w:tcPr>
          <w:p w14:paraId="47586C0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347 </w:t>
            </w:r>
            <w:r>
              <w:rPr>
                <w:spacing w:val="-2"/>
              </w:rPr>
              <w:t>(2,92%)</w:t>
            </w:r>
          </w:p>
        </w:tc>
        <w:tc>
          <w:tcPr>
            <w:tcW w:w="2167" w:type="dxa"/>
          </w:tcPr>
          <w:p w14:paraId="2635AB2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409 </w:t>
            </w:r>
            <w:r>
              <w:rPr>
                <w:spacing w:val="-2"/>
              </w:rPr>
              <w:t>(3,40%)</w:t>
            </w:r>
          </w:p>
        </w:tc>
        <w:tc>
          <w:tcPr>
            <w:tcW w:w="1891" w:type="dxa"/>
          </w:tcPr>
          <w:p w14:paraId="73F2CF4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426 </w:t>
            </w:r>
            <w:r>
              <w:rPr>
                <w:spacing w:val="-2"/>
              </w:rPr>
              <w:t>(3,61%)</w:t>
            </w:r>
          </w:p>
        </w:tc>
      </w:tr>
      <w:tr w:rsidR="00945359" w14:paraId="6CE9ACD8" w14:textId="77777777" w:rsidTr="008F5A8D">
        <w:trPr>
          <w:trHeight w:val="253"/>
        </w:trPr>
        <w:tc>
          <w:tcPr>
            <w:tcW w:w="2846" w:type="dxa"/>
          </w:tcPr>
          <w:p w14:paraId="09E139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Intracranialis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67" w:type="dxa"/>
          </w:tcPr>
          <w:p w14:paraId="206FE6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27 </w:t>
            </w:r>
            <w:r>
              <w:rPr>
                <w:spacing w:val="-2"/>
              </w:rPr>
              <w:t>(0,23%)</w:t>
            </w:r>
          </w:p>
        </w:tc>
        <w:tc>
          <w:tcPr>
            <w:tcW w:w="2167" w:type="dxa"/>
          </w:tcPr>
          <w:p w14:paraId="7FF88DC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39 </w:t>
            </w:r>
            <w:r>
              <w:rPr>
                <w:spacing w:val="-2"/>
              </w:rPr>
              <w:t>(0,32%)</w:t>
            </w:r>
          </w:p>
        </w:tc>
        <w:tc>
          <w:tcPr>
            <w:tcW w:w="1891" w:type="dxa"/>
          </w:tcPr>
          <w:p w14:paraId="7D637E1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91 </w:t>
            </w:r>
            <w:r>
              <w:rPr>
                <w:spacing w:val="-2"/>
              </w:rPr>
              <w:t>(0,77%)</w:t>
            </w:r>
          </w:p>
        </w:tc>
      </w:tr>
      <w:tr w:rsidR="00945359" w14:paraId="2CE31BC3" w14:textId="77777777" w:rsidTr="008F5A8D">
        <w:trPr>
          <w:trHeight w:val="254"/>
        </w:trPr>
        <w:tc>
          <w:tcPr>
            <w:tcW w:w="2846" w:type="dxa"/>
          </w:tcPr>
          <w:p w14:paraId="5B98CEF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67" w:type="dxa"/>
          </w:tcPr>
          <w:p w14:paraId="10495E6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134 </w:t>
            </w:r>
            <w:r>
              <w:rPr>
                <w:spacing w:val="-2"/>
              </w:rPr>
              <w:t>(1,13%)</w:t>
            </w:r>
          </w:p>
        </w:tc>
        <w:tc>
          <w:tcPr>
            <w:tcW w:w="2167" w:type="dxa"/>
          </w:tcPr>
          <w:p w14:paraId="69B792D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192 </w:t>
            </w:r>
            <w:r>
              <w:rPr>
                <w:spacing w:val="-2"/>
              </w:rPr>
              <w:t>(1,60%)</w:t>
            </w:r>
          </w:p>
        </w:tc>
        <w:tc>
          <w:tcPr>
            <w:tcW w:w="1891" w:type="dxa"/>
          </w:tcPr>
          <w:p w14:paraId="42896B3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128 </w:t>
            </w:r>
            <w:r>
              <w:rPr>
                <w:spacing w:val="-2"/>
              </w:rPr>
              <w:t>(1,09%)</w:t>
            </w:r>
          </w:p>
        </w:tc>
      </w:tr>
      <w:tr w:rsidR="00945359" w14:paraId="1A67864C" w14:textId="77777777" w:rsidTr="008F5A8D">
        <w:trPr>
          <w:trHeight w:val="251"/>
        </w:trPr>
        <w:tc>
          <w:tcPr>
            <w:tcW w:w="2846" w:type="dxa"/>
          </w:tcPr>
          <w:p w14:paraId="1FACC83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Fatális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67" w:type="dxa"/>
          </w:tcPr>
          <w:p w14:paraId="42894DD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26 </w:t>
            </w:r>
            <w:r>
              <w:rPr>
                <w:spacing w:val="-2"/>
              </w:rPr>
              <w:t>(0,22%)</w:t>
            </w:r>
          </w:p>
        </w:tc>
        <w:tc>
          <w:tcPr>
            <w:tcW w:w="2167" w:type="dxa"/>
          </w:tcPr>
          <w:p w14:paraId="287C91A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30 </w:t>
            </w:r>
            <w:r>
              <w:rPr>
                <w:spacing w:val="-2"/>
              </w:rPr>
              <w:t>(0,25%)</w:t>
            </w:r>
          </w:p>
        </w:tc>
        <w:tc>
          <w:tcPr>
            <w:tcW w:w="1891" w:type="dxa"/>
          </w:tcPr>
          <w:p w14:paraId="4DED0F0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42 </w:t>
            </w:r>
            <w:r>
              <w:rPr>
                <w:spacing w:val="-2"/>
              </w:rPr>
              <w:t>(0,36%)</w:t>
            </w:r>
          </w:p>
        </w:tc>
      </w:tr>
      <w:tr w:rsidR="00945359" w14:paraId="5E9644FF" w14:textId="77777777" w:rsidTr="008F5A8D">
        <w:trPr>
          <w:trHeight w:val="253"/>
        </w:trPr>
        <w:tc>
          <w:tcPr>
            <w:tcW w:w="2846" w:type="dxa"/>
          </w:tcPr>
          <w:p w14:paraId="1097CEE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Kisebb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67" w:type="dxa"/>
          </w:tcPr>
          <w:p w14:paraId="2AE93DB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1566 </w:t>
            </w:r>
            <w:r>
              <w:rPr>
                <w:spacing w:val="-2"/>
              </w:rPr>
              <w:t>(13,16%)</w:t>
            </w:r>
          </w:p>
        </w:tc>
        <w:tc>
          <w:tcPr>
            <w:tcW w:w="2167" w:type="dxa"/>
          </w:tcPr>
          <w:p w14:paraId="50F1B8D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1787 </w:t>
            </w:r>
            <w:r>
              <w:rPr>
                <w:spacing w:val="-2"/>
              </w:rPr>
              <w:t>(14,85%)</w:t>
            </w:r>
          </w:p>
        </w:tc>
        <w:tc>
          <w:tcPr>
            <w:tcW w:w="1891" w:type="dxa"/>
          </w:tcPr>
          <w:p w14:paraId="644C4F9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1931 </w:t>
            </w:r>
            <w:r>
              <w:rPr>
                <w:spacing w:val="-2"/>
              </w:rPr>
              <w:t>(16,37%)</w:t>
            </w:r>
          </w:p>
        </w:tc>
      </w:tr>
      <w:tr w:rsidR="00945359" w14:paraId="6D2A59B0" w14:textId="77777777" w:rsidTr="008F5A8D">
        <w:trPr>
          <w:trHeight w:val="251"/>
        </w:trPr>
        <w:tc>
          <w:tcPr>
            <w:tcW w:w="2846" w:type="dxa"/>
          </w:tcPr>
          <w:p w14:paraId="45E1CF1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167" w:type="dxa"/>
          </w:tcPr>
          <w:p w14:paraId="02D37B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1759 </w:t>
            </w:r>
            <w:r>
              <w:rPr>
                <w:spacing w:val="-2"/>
              </w:rPr>
              <w:t>(14,78%)</w:t>
            </w:r>
          </w:p>
        </w:tc>
        <w:tc>
          <w:tcPr>
            <w:tcW w:w="2167" w:type="dxa"/>
          </w:tcPr>
          <w:p w14:paraId="063A9F2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1997 </w:t>
            </w:r>
            <w:r>
              <w:rPr>
                <w:spacing w:val="-2"/>
              </w:rPr>
              <w:t>(16,60%)</w:t>
            </w:r>
          </w:p>
        </w:tc>
        <w:tc>
          <w:tcPr>
            <w:tcW w:w="1891" w:type="dxa"/>
          </w:tcPr>
          <w:p w14:paraId="11F7DE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2169 </w:t>
            </w:r>
            <w:r>
              <w:rPr>
                <w:spacing w:val="-2"/>
              </w:rPr>
              <w:t>(18,39%)</w:t>
            </w:r>
          </w:p>
        </w:tc>
      </w:tr>
    </w:tbl>
    <w:p w14:paraId="130BFF81" w14:textId="77777777" w:rsidR="002D7C56" w:rsidRDefault="002D7C56" w:rsidP="008F5A8D">
      <w:pPr>
        <w:pStyle w:val="Szvegtrzs"/>
        <w:tabs>
          <w:tab w:val="left" w:pos="567"/>
        </w:tabs>
      </w:pPr>
    </w:p>
    <w:p w14:paraId="0CBFAAFE" w14:textId="52790DBB" w:rsidR="00945359" w:rsidRDefault="00220A43" w:rsidP="008F5A8D">
      <w:pPr>
        <w:pStyle w:val="Szvegtrzs"/>
        <w:tabs>
          <w:tab w:val="left" w:pos="567"/>
        </w:tabs>
      </w:pPr>
      <w:r>
        <w:t>A randomizáció alapján napi kétszer 110</w:t>
      </w:r>
      <w:r w:rsidR="00294835">
        <w:t> mg</w:t>
      </w:r>
      <w:r>
        <w:t xml:space="preserve"> vagy 150</w:t>
      </w:r>
      <w:r w:rsidR="00294835">
        <w:t> mg</w:t>
      </w:r>
      <w:r>
        <w:t xml:space="preserve"> dabigatrán-etexilátot kapó betegeknél szignifikánsan alacsonyabb volt az életveszélyes vérzések és </w:t>
      </w:r>
      <w:r w:rsidR="002D7C56">
        <w:t xml:space="preserve">az </w:t>
      </w:r>
      <w:r>
        <w:t xml:space="preserve">intracranialis vérzés kockázata, mint a warfarin esetében [p </w:t>
      </w:r>
      <w:r w:rsidR="00B95CAF">
        <w:t>&lt;</w:t>
      </w:r>
      <w:r>
        <w:t xml:space="preserve">0,05]. A dabigatrán-etexilát mindkét </w:t>
      </w:r>
      <w:r w:rsidR="002D7C56">
        <w:t>hatás</w:t>
      </w:r>
      <w:r>
        <w:t>erőssége esetében statisztikailag szignifikáns mértékben kisebb volt az összes vérzés aránya is. A randomizáció alapján napi kétszer 110</w:t>
      </w:r>
      <w:r w:rsidR="00294835">
        <w:t> mg</w:t>
      </w:r>
      <w:r>
        <w:t xml:space="preserve"> dabigatrán-etexilátot kapó betegeknél szignifikánsan alacsonyabb volt a jelentős vérzés kockázata,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warfarin</w:t>
      </w:r>
      <w:r>
        <w:rPr>
          <w:spacing w:val="-3"/>
        </w:rPr>
        <w:t xml:space="preserve"> </w:t>
      </w:r>
      <w:r>
        <w:t>esetében</w:t>
      </w:r>
      <w:r>
        <w:rPr>
          <w:spacing w:val="-3"/>
        </w:rPr>
        <w:t xml:space="preserve"> </w:t>
      </w:r>
      <w:r>
        <w:t>(relatív</w:t>
      </w:r>
      <w:r>
        <w:rPr>
          <w:spacing w:val="-3"/>
        </w:rPr>
        <w:t xml:space="preserve"> </w:t>
      </w:r>
      <w:r>
        <w:t>hazárd</w:t>
      </w:r>
      <w:r>
        <w:rPr>
          <w:spacing w:val="-3"/>
        </w:rPr>
        <w:t xml:space="preserve"> </w:t>
      </w:r>
      <w:r>
        <w:t>[hazard</w:t>
      </w:r>
      <w:r>
        <w:rPr>
          <w:spacing w:val="-3"/>
        </w:rPr>
        <w:t xml:space="preserve"> </w:t>
      </w:r>
      <w:r>
        <w:t>ratio]</w:t>
      </w:r>
      <w:r>
        <w:rPr>
          <w:spacing w:val="-3"/>
        </w:rPr>
        <w:t xml:space="preserve"> </w:t>
      </w:r>
      <w:r>
        <w:t>0,81</w:t>
      </w:r>
      <w:r>
        <w:rPr>
          <w:spacing w:val="-3"/>
        </w:rPr>
        <w:t xml:space="preserve"> </w:t>
      </w:r>
      <w:r>
        <w:t>[p</w:t>
      </w:r>
      <w:r w:rsidR="002D7C56">
        <w:rPr>
          <w:spacing w:val="-6"/>
        </w:rPr>
        <w:t> </w:t>
      </w:r>
      <w:r>
        <w:t>=</w:t>
      </w:r>
      <w:r w:rsidR="002D7C56">
        <w:rPr>
          <w:spacing w:val="-2"/>
        </w:rPr>
        <w:t> </w:t>
      </w:r>
      <w:r>
        <w:t>0,0027]).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randomizáció alapján napi kétszer 150</w:t>
      </w:r>
      <w:r w:rsidR="00294835">
        <w:t> mg</w:t>
      </w:r>
      <w:r>
        <w:t xml:space="preserve"> dabigatrán-etexilátot kapó betegeknél szignifikánsan magasabb volt a jelentős gastrointestinalis vérzések kockázata, mint a warfarin esetében (relatív hazárd [hazard ratio] 1,48 [p</w:t>
      </w:r>
      <w:r w:rsidR="002D7C56">
        <w:t> </w:t>
      </w:r>
      <w:r>
        <w:t>=</w:t>
      </w:r>
      <w:r w:rsidR="002D7C56">
        <w:t> </w:t>
      </w:r>
      <w:r>
        <w:t>0,0005]). Ezt a hatást elsősorban 75</w:t>
      </w:r>
      <w:r w:rsidR="00294835">
        <w:t> éves</w:t>
      </w:r>
      <w:r>
        <w:t xml:space="preserve"> vagy annál idősebb betegeknél észlelték.</w:t>
      </w:r>
    </w:p>
    <w:p w14:paraId="300F7950" w14:textId="47CE35CD" w:rsidR="00945359" w:rsidRDefault="00220A43">
      <w:pPr>
        <w:pStyle w:val="Szvegtrzs"/>
        <w:tabs>
          <w:tab w:val="left" w:pos="567"/>
        </w:tabs>
      </w:pPr>
      <w:r>
        <w:t>A dabigatrán klinikai</w:t>
      </w:r>
      <w:r w:rsidR="002D7C56">
        <w:t xml:space="preserve"> előnye</w:t>
      </w:r>
      <w:r>
        <w:t xml:space="preserve"> a stroke és a szisztémás embolizáció prevenciója vonatkozásában, valamint az ICH kisebb kockázata a warfarinnal összehasonlítva megmarad az egyes alcsoportok esetén is, pl. vese</w:t>
      </w:r>
      <w:r w:rsidR="002D7C56">
        <w:t>károsodás</w:t>
      </w:r>
      <w:r>
        <w:t>, életkor, egyidejűleg alkalmazott gyógyszer</w:t>
      </w:r>
      <w:r w:rsidR="002D7C56">
        <w:t>,</w:t>
      </w:r>
      <w:r>
        <w:t xml:space="preserve"> pl. thrombocytaaggregáció-gátlók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P</w:t>
      </w:r>
      <w:r w:rsidR="00B95CAF">
        <w:t>-gp-in</w:t>
      </w:r>
      <w:r>
        <w:t>hibitorok.</w:t>
      </w:r>
      <w:r>
        <w:rPr>
          <w:spacing w:val="-3"/>
        </w:rPr>
        <w:t xml:space="preserve"> </w:t>
      </w:r>
      <w:r>
        <w:t>Míg</w:t>
      </w:r>
      <w:r>
        <w:rPr>
          <w:spacing w:val="-3"/>
        </w:rPr>
        <w:t xml:space="preserve"> </w:t>
      </w:r>
      <w:r>
        <w:t>bizonyos</w:t>
      </w:r>
      <w:r>
        <w:rPr>
          <w:spacing w:val="-3"/>
        </w:rPr>
        <w:t xml:space="preserve"> </w:t>
      </w:r>
      <w:r>
        <w:t>betegcsoportokban</w:t>
      </w:r>
      <w:r>
        <w:rPr>
          <w:spacing w:val="-3"/>
        </w:rPr>
        <w:t xml:space="preserve"> </w:t>
      </w:r>
      <w:r>
        <w:t xml:space="preserve">fokozott a jelentős vérzés kockázata </w:t>
      </w:r>
      <w:r w:rsidR="00AB32E4">
        <w:t>antikoaguláns kezelés</w:t>
      </w:r>
      <w:r>
        <w:t xml:space="preserve"> esetén, dabigatrán esetében a vérzésveszély</w:t>
      </w:r>
      <w:r>
        <w:rPr>
          <w:spacing w:val="40"/>
        </w:rPr>
        <w:t xml:space="preserve"> </w:t>
      </w:r>
      <w:r>
        <w:t>többletét</w:t>
      </w:r>
      <w:r>
        <w:rPr>
          <w:spacing w:val="-3"/>
        </w:rPr>
        <w:t xml:space="preserve"> </w:t>
      </w:r>
      <w:r>
        <w:t>döntően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GI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adja,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jellemzően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elkezdését</w:t>
      </w:r>
      <w:r>
        <w:rPr>
          <w:spacing w:val="-3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első 3-6</w:t>
      </w:r>
      <w:r w:rsidR="002E2A7B">
        <w:t> hónap</w:t>
      </w:r>
      <w:r>
        <w:t>on belül észlelhető.</w:t>
      </w:r>
    </w:p>
    <w:p w14:paraId="2D7DCA73" w14:textId="77777777" w:rsidR="00B900F2" w:rsidRDefault="00B900F2" w:rsidP="008F5A8D">
      <w:pPr>
        <w:pStyle w:val="Szvegtrzs"/>
        <w:tabs>
          <w:tab w:val="left" w:pos="567"/>
        </w:tabs>
      </w:pPr>
    </w:p>
    <w:p w14:paraId="5CADBDE3" w14:textId="4CF2CDFE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MVT</w:t>
      </w:r>
      <w:r>
        <w:rPr>
          <w:i/>
          <w:spacing w:val="-7"/>
        </w:rPr>
        <w:t xml:space="preserve"> </w:t>
      </w:r>
      <w:r>
        <w:rPr>
          <w:i/>
        </w:rPr>
        <w:t>és</w:t>
      </w:r>
      <w:r>
        <w:rPr>
          <w:i/>
          <w:spacing w:val="-5"/>
        </w:rPr>
        <w:t xml:space="preserve"> </w:t>
      </w:r>
      <w:r>
        <w:rPr>
          <w:i/>
        </w:rPr>
        <w:t>PE</w:t>
      </w:r>
      <w:r>
        <w:rPr>
          <w:i/>
          <w:spacing w:val="-4"/>
        </w:rPr>
        <w:t xml:space="preserve"> </w:t>
      </w:r>
      <w:r>
        <w:rPr>
          <w:i/>
        </w:rPr>
        <w:t>kezelése,</w:t>
      </w:r>
      <w:r>
        <w:rPr>
          <w:i/>
          <w:spacing w:val="-5"/>
        </w:rPr>
        <w:t xml:space="preserve"> </w:t>
      </w:r>
      <w:r>
        <w:rPr>
          <w:i/>
        </w:rPr>
        <w:t>és</w:t>
      </w:r>
      <w:r>
        <w:rPr>
          <w:i/>
          <w:spacing w:val="-5"/>
        </w:rPr>
        <w:t xml:space="preserve"> </w:t>
      </w:r>
      <w:r>
        <w:rPr>
          <w:i/>
        </w:rPr>
        <w:t>az</w:t>
      </w:r>
      <w:r>
        <w:rPr>
          <w:i/>
          <w:spacing w:val="-4"/>
        </w:rPr>
        <w:t xml:space="preserve"> </w:t>
      </w:r>
      <w:r>
        <w:rPr>
          <w:i/>
        </w:rPr>
        <w:t>MVT</w:t>
      </w:r>
      <w:r>
        <w:rPr>
          <w:i/>
          <w:spacing w:val="-5"/>
        </w:rPr>
        <w:t xml:space="preserve"> </w:t>
      </w:r>
      <w:r>
        <w:rPr>
          <w:i/>
        </w:rPr>
        <w:t>és</w:t>
      </w:r>
      <w:r>
        <w:rPr>
          <w:i/>
          <w:spacing w:val="-5"/>
        </w:rPr>
        <w:t xml:space="preserve"> </w:t>
      </w:r>
      <w:r>
        <w:rPr>
          <w:i/>
        </w:rPr>
        <w:t>PE</w:t>
      </w:r>
      <w:r>
        <w:rPr>
          <w:i/>
          <w:spacing w:val="-4"/>
        </w:rPr>
        <w:t xml:space="preserve"> </w:t>
      </w:r>
      <w:r>
        <w:rPr>
          <w:i/>
        </w:rPr>
        <w:t>kiújulásának</w:t>
      </w:r>
      <w:r>
        <w:rPr>
          <w:i/>
          <w:spacing w:val="-5"/>
        </w:rPr>
        <w:t xml:space="preserve"> </w:t>
      </w:r>
      <w:r>
        <w:rPr>
          <w:i/>
        </w:rPr>
        <w:t>megelőzése</w:t>
      </w:r>
      <w:r>
        <w:rPr>
          <w:i/>
          <w:spacing w:val="-5"/>
        </w:rPr>
        <w:t xml:space="preserve"> </w:t>
      </w:r>
      <w:r>
        <w:rPr>
          <w:i/>
        </w:rPr>
        <w:t>felnőtt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betegeknél</w:t>
      </w:r>
    </w:p>
    <w:p w14:paraId="78246549" w14:textId="6B569CA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8"/>
        </w:rPr>
        <w:t xml:space="preserve"> </w:t>
      </w:r>
      <w:r>
        <w:t>15.</w:t>
      </w:r>
      <w:r w:rsidR="00B95CAF">
        <w:rPr>
          <w:spacing w:val="-6"/>
        </w:rPr>
        <w:t> táblázat</w:t>
      </w:r>
      <w:r>
        <w:rPr>
          <w:spacing w:val="-7"/>
        </w:rPr>
        <w:t xml:space="preserve"> </w:t>
      </w:r>
      <w:r>
        <w:t>a</w:t>
      </w:r>
      <w:r w:rsidR="007D0E63">
        <w:t>z összesített</w:t>
      </w:r>
      <w:r>
        <w:rPr>
          <w:spacing w:val="-8"/>
        </w:rPr>
        <w:t xml:space="preserve"> </w:t>
      </w:r>
      <w:r>
        <w:t>RE-COVER</w:t>
      </w:r>
      <w:r>
        <w:rPr>
          <w:spacing w:val="-7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RE-COVER</w:t>
      </w:r>
      <w:r>
        <w:rPr>
          <w:spacing w:val="-6"/>
        </w:rPr>
        <w:t xml:space="preserve"> </w:t>
      </w:r>
      <w:r>
        <w:t>II</w:t>
      </w:r>
      <w:r>
        <w:rPr>
          <w:spacing w:val="-7"/>
        </w:rPr>
        <w:t xml:space="preserve"> </w:t>
      </w:r>
      <w:r>
        <w:t>kulcsfontosságú</w:t>
      </w:r>
      <w:r>
        <w:rPr>
          <w:spacing w:val="-7"/>
        </w:rPr>
        <w:t xml:space="preserve"> </w:t>
      </w:r>
      <w:r>
        <w:t>vizsgálat</w:t>
      </w:r>
      <w:r>
        <w:rPr>
          <w:spacing w:val="-7"/>
        </w:rPr>
        <w:t xml:space="preserve"> </w:t>
      </w:r>
      <w:r>
        <w:t>vérzéses eseménye</w:t>
      </w:r>
      <w:r w:rsidR="007D0E63">
        <w:t>i</w:t>
      </w:r>
      <w:r>
        <w:t>t mutatja az MVT és PE kezelése során. A</w:t>
      </w:r>
      <w:r w:rsidR="009465F3">
        <w:t xml:space="preserve"> </w:t>
      </w:r>
      <w:r>
        <w:t>vizsgálatok</w:t>
      </w:r>
      <w:r w:rsidR="009465F3">
        <w:t xml:space="preserve"> összesítésében</w:t>
      </w:r>
      <w:r>
        <w:t xml:space="preserve"> az elsődleges biztonságossági végpontok, mint major vérzés, major vagy klinikailag releváns vérzéses esemény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bármilyen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szignifikánsan</w:t>
      </w:r>
      <w:r>
        <w:rPr>
          <w:spacing w:val="-3"/>
        </w:rPr>
        <w:t xml:space="preserve"> </w:t>
      </w:r>
      <w:r w:rsidR="002D7C56">
        <w:t>kisebb</w:t>
      </w:r>
      <w:r>
        <w:rPr>
          <w:spacing w:val="-3"/>
        </w:rPr>
        <w:t xml:space="preserve"> </w:t>
      </w:r>
      <w:r>
        <w:t>gyakorisággal</w:t>
      </w:r>
      <w:r>
        <w:rPr>
          <w:spacing w:val="-3"/>
        </w:rPr>
        <w:t xml:space="preserve"> </w:t>
      </w:r>
      <w:r>
        <w:t>fordultak</w:t>
      </w:r>
      <w:r>
        <w:rPr>
          <w:spacing w:val="-3"/>
        </w:rPr>
        <w:t xml:space="preserve"> </w:t>
      </w:r>
      <w:r>
        <w:t>elő,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warfarin esetében (névleges alfa-érték 5%).</w:t>
      </w:r>
    </w:p>
    <w:p w14:paraId="274E89D2" w14:textId="77777777" w:rsidR="00945359" w:rsidRDefault="00945359" w:rsidP="008F5A8D">
      <w:pPr>
        <w:pStyle w:val="Szvegtrzs"/>
        <w:tabs>
          <w:tab w:val="left" w:pos="567"/>
        </w:tabs>
      </w:pPr>
    </w:p>
    <w:p w14:paraId="0B0A1123" w14:textId="3873ADBE" w:rsidR="00945359" w:rsidRPr="00511F35" w:rsidRDefault="002E05FA" w:rsidP="008F5A8D">
      <w:r w:rsidRPr="00511F35">
        <w:rPr>
          <w:b/>
        </w:rPr>
        <w:t>15</w:t>
      </w:r>
      <w:r w:rsidR="00BC10BA" w:rsidRPr="00511F35">
        <w:rPr>
          <w:b/>
        </w:rPr>
        <w:t>. táblázat</w:t>
      </w:r>
      <w:r w:rsidR="00220A43" w:rsidRPr="00511F35">
        <w:rPr>
          <w:b/>
        </w:rPr>
        <w:t>:</w:t>
      </w:r>
      <w:r w:rsidR="00220A43" w:rsidRPr="00511F35">
        <w:rPr>
          <w:b/>
          <w:spacing w:val="40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RE-COVER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2"/>
        </w:rPr>
        <w:t xml:space="preserve"> </w:t>
      </w:r>
      <w:r w:rsidR="00220A43" w:rsidRPr="00511F35">
        <w:rPr>
          <w:b/>
        </w:rPr>
        <w:t>RE-COVER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II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vizsgálatban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az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MVT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PE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kezelése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során észlelt vérzéses események</w:t>
      </w:r>
    </w:p>
    <w:p w14:paraId="1C402902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767"/>
        <w:gridCol w:w="2203"/>
        <w:gridCol w:w="1829"/>
        <w:gridCol w:w="2261"/>
      </w:tblGrid>
      <w:tr w:rsidR="00945359" w14:paraId="43813857" w14:textId="77777777" w:rsidTr="008F5A8D">
        <w:trPr>
          <w:trHeight w:val="1264"/>
        </w:trPr>
        <w:tc>
          <w:tcPr>
            <w:tcW w:w="2767" w:type="dxa"/>
          </w:tcPr>
          <w:p w14:paraId="6471FB87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203" w:type="dxa"/>
          </w:tcPr>
          <w:p w14:paraId="03CB6707" w14:textId="48DD2AD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Dabigatrán-etexilát </w:t>
            </w:r>
            <w:r>
              <w:t>naponta kétszer 150</w:t>
            </w:r>
            <w:r w:rsidR="00294835">
              <w:t> mg</w:t>
            </w:r>
          </w:p>
        </w:tc>
        <w:tc>
          <w:tcPr>
            <w:tcW w:w="1829" w:type="dxa"/>
          </w:tcPr>
          <w:p w14:paraId="2D3C2A1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  <w:tc>
          <w:tcPr>
            <w:tcW w:w="2261" w:type="dxa"/>
          </w:tcPr>
          <w:p w14:paraId="7828B20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14"/>
              </w:rPr>
              <w:t xml:space="preserve"> </w:t>
            </w:r>
            <w:r>
              <w:t>hazárd</w:t>
            </w:r>
            <w:r>
              <w:rPr>
                <w:spacing w:val="-14"/>
              </w:rPr>
              <w:t xml:space="preserve"> </w:t>
            </w:r>
            <w:r>
              <w:t xml:space="preserve">(hazard ratio) a warfarinhoz </w:t>
            </w:r>
            <w:r>
              <w:rPr>
                <w:spacing w:val="-2"/>
              </w:rPr>
              <w:t>képest</w:t>
            </w:r>
          </w:p>
          <w:p w14:paraId="4C430E1C" w14:textId="67C050C4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(95%-os</w:t>
            </w:r>
            <w:r>
              <w:rPr>
                <w:spacing w:val="-14"/>
              </w:rPr>
              <w:t xml:space="preserve"> </w:t>
            </w:r>
            <w:r>
              <w:t>konfidencia</w:t>
            </w:r>
            <w:r w:rsidR="002D7C56">
              <w:t>-</w:t>
            </w:r>
            <w:r>
              <w:rPr>
                <w:spacing w:val="-2"/>
              </w:rPr>
              <w:t>intervallum)</w:t>
            </w:r>
          </w:p>
        </w:tc>
      </w:tr>
      <w:tr w:rsidR="00945359" w14:paraId="61554C7F" w14:textId="77777777" w:rsidTr="008F5A8D">
        <w:trPr>
          <w:trHeight w:val="757"/>
        </w:trPr>
        <w:tc>
          <w:tcPr>
            <w:tcW w:w="2767" w:type="dxa"/>
          </w:tcPr>
          <w:p w14:paraId="4F5B383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biztonságossági</w:t>
            </w:r>
          </w:p>
          <w:p w14:paraId="7988BBA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elemzésbe</w:t>
            </w:r>
            <w:r>
              <w:rPr>
                <w:spacing w:val="-14"/>
              </w:rPr>
              <w:t xml:space="preserve"> </w:t>
            </w:r>
            <w:r>
              <w:t>bevont</w:t>
            </w:r>
            <w:r>
              <w:rPr>
                <w:spacing w:val="-14"/>
              </w:rPr>
              <w:t xml:space="preserve"> </w:t>
            </w:r>
            <w:r>
              <w:t xml:space="preserve">betegek </w:t>
            </w:r>
            <w:r>
              <w:rPr>
                <w:spacing w:val="-2"/>
              </w:rPr>
              <w:t>száma</w:t>
            </w:r>
          </w:p>
        </w:tc>
        <w:tc>
          <w:tcPr>
            <w:tcW w:w="2203" w:type="dxa"/>
          </w:tcPr>
          <w:p w14:paraId="0D939A1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2456</w:t>
            </w:r>
          </w:p>
        </w:tc>
        <w:tc>
          <w:tcPr>
            <w:tcW w:w="1829" w:type="dxa"/>
          </w:tcPr>
          <w:p w14:paraId="728AFC4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2462</w:t>
            </w:r>
          </w:p>
        </w:tc>
        <w:tc>
          <w:tcPr>
            <w:tcW w:w="2261" w:type="dxa"/>
          </w:tcPr>
          <w:p w14:paraId="58FC47A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5D77CEFD" w14:textId="77777777" w:rsidTr="008F5A8D">
        <w:trPr>
          <w:trHeight w:val="251"/>
        </w:trPr>
        <w:tc>
          <w:tcPr>
            <w:tcW w:w="2767" w:type="dxa"/>
          </w:tcPr>
          <w:p w14:paraId="20648FE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9"/>
              </w:rPr>
              <w:t xml:space="preserve"> </w:t>
            </w:r>
            <w:r>
              <w:t>vérzéses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esemény</w:t>
            </w:r>
          </w:p>
        </w:tc>
        <w:tc>
          <w:tcPr>
            <w:tcW w:w="2203" w:type="dxa"/>
          </w:tcPr>
          <w:p w14:paraId="4CF0B29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24 </w:t>
            </w:r>
            <w:r>
              <w:rPr>
                <w:spacing w:val="-2"/>
              </w:rPr>
              <w:t>(1,0%)</w:t>
            </w:r>
          </w:p>
        </w:tc>
        <w:tc>
          <w:tcPr>
            <w:tcW w:w="1829" w:type="dxa"/>
          </w:tcPr>
          <w:p w14:paraId="48FFE40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40 </w:t>
            </w:r>
            <w:r>
              <w:rPr>
                <w:spacing w:val="-2"/>
              </w:rPr>
              <w:t>(1,6%)</w:t>
            </w:r>
          </w:p>
        </w:tc>
        <w:tc>
          <w:tcPr>
            <w:tcW w:w="2261" w:type="dxa"/>
          </w:tcPr>
          <w:p w14:paraId="1BDBE1F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0,60</w:t>
            </w:r>
            <w:r>
              <w:rPr>
                <w:spacing w:val="-5"/>
              </w:rPr>
              <w:t xml:space="preserve"> </w:t>
            </w:r>
            <w:r>
              <w:t>(0,36,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0,99)</w:t>
            </w:r>
          </w:p>
        </w:tc>
      </w:tr>
      <w:tr w:rsidR="00945359" w14:paraId="336E2D5F" w14:textId="77777777" w:rsidTr="008F5A8D">
        <w:trPr>
          <w:trHeight w:val="253"/>
        </w:trPr>
        <w:tc>
          <w:tcPr>
            <w:tcW w:w="2767" w:type="dxa"/>
          </w:tcPr>
          <w:p w14:paraId="584CA41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Intracranialis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3" w:type="dxa"/>
          </w:tcPr>
          <w:p w14:paraId="0F3FDA9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(0,1%)</w:t>
            </w:r>
          </w:p>
        </w:tc>
        <w:tc>
          <w:tcPr>
            <w:tcW w:w="1829" w:type="dxa"/>
          </w:tcPr>
          <w:p w14:paraId="1FB1198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 </w:t>
            </w:r>
            <w:r>
              <w:rPr>
                <w:spacing w:val="-2"/>
              </w:rPr>
              <w:t>(0,2%)</w:t>
            </w:r>
          </w:p>
        </w:tc>
        <w:tc>
          <w:tcPr>
            <w:tcW w:w="2261" w:type="dxa"/>
          </w:tcPr>
          <w:p w14:paraId="682D785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0,50</w:t>
            </w:r>
            <w:r>
              <w:rPr>
                <w:spacing w:val="-5"/>
              </w:rPr>
              <w:t xml:space="preserve"> </w:t>
            </w:r>
            <w:r>
              <w:t>(0,09,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2,74)</w:t>
            </w:r>
          </w:p>
        </w:tc>
      </w:tr>
      <w:tr w:rsidR="00945359" w14:paraId="468BA108" w14:textId="77777777" w:rsidTr="008F5A8D">
        <w:trPr>
          <w:trHeight w:val="251"/>
        </w:trPr>
        <w:tc>
          <w:tcPr>
            <w:tcW w:w="2767" w:type="dxa"/>
          </w:tcPr>
          <w:p w14:paraId="24CF5CD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4"/>
              </w:rPr>
              <w:t xml:space="preserve"> </w:t>
            </w:r>
            <w:r>
              <w:t>GI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3" w:type="dxa"/>
          </w:tcPr>
          <w:p w14:paraId="4229A15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10 </w:t>
            </w:r>
            <w:r>
              <w:rPr>
                <w:spacing w:val="-2"/>
              </w:rPr>
              <w:t>(0,4%)</w:t>
            </w:r>
          </w:p>
        </w:tc>
        <w:tc>
          <w:tcPr>
            <w:tcW w:w="1829" w:type="dxa"/>
          </w:tcPr>
          <w:p w14:paraId="521E418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12 </w:t>
            </w:r>
            <w:r>
              <w:rPr>
                <w:spacing w:val="-2"/>
              </w:rPr>
              <w:t>(0,5%)</w:t>
            </w:r>
          </w:p>
        </w:tc>
        <w:tc>
          <w:tcPr>
            <w:tcW w:w="2261" w:type="dxa"/>
          </w:tcPr>
          <w:p w14:paraId="6DC5564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0,83</w:t>
            </w:r>
            <w:r>
              <w:rPr>
                <w:spacing w:val="-5"/>
              </w:rPr>
              <w:t xml:space="preserve"> </w:t>
            </w:r>
            <w:r>
              <w:t>(0,36,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1,93)</w:t>
            </w:r>
          </w:p>
        </w:tc>
      </w:tr>
      <w:tr w:rsidR="00945359" w14:paraId="03E824A5" w14:textId="77777777" w:rsidTr="008F5A8D">
        <w:trPr>
          <w:trHeight w:val="505"/>
        </w:trPr>
        <w:tc>
          <w:tcPr>
            <w:tcW w:w="2767" w:type="dxa"/>
          </w:tcPr>
          <w:p w14:paraId="75AD956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Életet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veszélyeztető</w:t>
            </w:r>
          </w:p>
          <w:p w14:paraId="1F4AA1E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vérzés</w:t>
            </w:r>
          </w:p>
        </w:tc>
        <w:tc>
          <w:tcPr>
            <w:tcW w:w="2203" w:type="dxa"/>
          </w:tcPr>
          <w:p w14:paraId="0D313DE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 </w:t>
            </w:r>
            <w:r>
              <w:rPr>
                <w:spacing w:val="-2"/>
              </w:rPr>
              <w:t>(0,2%)</w:t>
            </w:r>
          </w:p>
        </w:tc>
        <w:tc>
          <w:tcPr>
            <w:tcW w:w="1829" w:type="dxa"/>
          </w:tcPr>
          <w:p w14:paraId="3521C3B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6 </w:t>
            </w:r>
            <w:r>
              <w:rPr>
                <w:spacing w:val="-2"/>
              </w:rPr>
              <w:t>(0,2%)</w:t>
            </w:r>
          </w:p>
        </w:tc>
        <w:tc>
          <w:tcPr>
            <w:tcW w:w="2261" w:type="dxa"/>
          </w:tcPr>
          <w:p w14:paraId="6B5DADF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0,66</w:t>
            </w:r>
            <w:r>
              <w:rPr>
                <w:spacing w:val="-5"/>
              </w:rPr>
              <w:t xml:space="preserve"> </w:t>
            </w:r>
            <w:r>
              <w:t>(0,19,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2,36)</w:t>
            </w:r>
          </w:p>
        </w:tc>
      </w:tr>
      <w:tr w:rsidR="00945359" w14:paraId="504FBFCE" w14:textId="77777777" w:rsidTr="008F5A8D">
        <w:trPr>
          <w:trHeight w:val="506"/>
        </w:trPr>
        <w:tc>
          <w:tcPr>
            <w:tcW w:w="2767" w:type="dxa"/>
          </w:tcPr>
          <w:p w14:paraId="7BD272B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9"/>
              </w:rPr>
              <w:t xml:space="preserve"> </w:t>
            </w:r>
            <w:r>
              <w:t>vérzéses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esemény</w:t>
            </w:r>
          </w:p>
          <w:p w14:paraId="538850E4" w14:textId="6B34347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/</w:t>
            </w:r>
            <w:r w:rsidR="002D7C56">
              <w:t xml:space="preserve"> </w:t>
            </w:r>
            <w:r>
              <w:t>klinikailag</w:t>
            </w:r>
            <w:r>
              <w:rPr>
                <w:spacing w:val="-10"/>
              </w:rPr>
              <w:t xml:space="preserve"> </w:t>
            </w:r>
            <w:r>
              <w:t>releváns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3" w:type="dxa"/>
          </w:tcPr>
          <w:p w14:paraId="2F94167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109 </w:t>
            </w:r>
            <w:r>
              <w:rPr>
                <w:spacing w:val="-2"/>
              </w:rPr>
              <w:t>(4,4%)</w:t>
            </w:r>
          </w:p>
        </w:tc>
        <w:tc>
          <w:tcPr>
            <w:tcW w:w="1829" w:type="dxa"/>
          </w:tcPr>
          <w:p w14:paraId="5F2EB2B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189 </w:t>
            </w:r>
            <w:r>
              <w:rPr>
                <w:spacing w:val="-2"/>
              </w:rPr>
              <w:t>(7,7%)</w:t>
            </w:r>
          </w:p>
        </w:tc>
        <w:tc>
          <w:tcPr>
            <w:tcW w:w="2261" w:type="dxa"/>
          </w:tcPr>
          <w:p w14:paraId="1D89F38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0,56</w:t>
            </w:r>
            <w:r>
              <w:rPr>
                <w:spacing w:val="-5"/>
              </w:rPr>
              <w:t xml:space="preserve"> </w:t>
            </w:r>
            <w:r>
              <w:t>(0,45,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0,71)</w:t>
            </w:r>
          </w:p>
        </w:tc>
      </w:tr>
      <w:tr w:rsidR="00945359" w14:paraId="78C4971D" w14:textId="77777777" w:rsidTr="008F5A8D">
        <w:trPr>
          <w:trHeight w:val="253"/>
        </w:trPr>
        <w:tc>
          <w:tcPr>
            <w:tcW w:w="2767" w:type="dxa"/>
          </w:tcPr>
          <w:p w14:paraId="1E7E2C2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3" w:type="dxa"/>
          </w:tcPr>
          <w:p w14:paraId="6970F11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354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(14,4%)</w:t>
            </w:r>
          </w:p>
        </w:tc>
        <w:tc>
          <w:tcPr>
            <w:tcW w:w="1829" w:type="dxa"/>
          </w:tcPr>
          <w:p w14:paraId="2CDD00A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503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(20,4%)</w:t>
            </w:r>
          </w:p>
        </w:tc>
        <w:tc>
          <w:tcPr>
            <w:tcW w:w="2261" w:type="dxa"/>
          </w:tcPr>
          <w:p w14:paraId="356EDA9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0,67</w:t>
            </w:r>
            <w:r>
              <w:rPr>
                <w:spacing w:val="-5"/>
              </w:rPr>
              <w:t xml:space="preserve"> </w:t>
            </w:r>
            <w:r>
              <w:t>(0,59,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0,77)</w:t>
            </w:r>
          </w:p>
        </w:tc>
      </w:tr>
      <w:tr w:rsidR="00945359" w14:paraId="40CBE925" w14:textId="77777777" w:rsidTr="008F5A8D">
        <w:trPr>
          <w:trHeight w:val="253"/>
        </w:trPr>
        <w:tc>
          <w:tcPr>
            <w:tcW w:w="2767" w:type="dxa"/>
          </w:tcPr>
          <w:p w14:paraId="28E61F9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6"/>
              </w:rPr>
              <w:t xml:space="preserve"> </w:t>
            </w:r>
            <w:r>
              <w:t>GI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3" w:type="dxa"/>
          </w:tcPr>
          <w:p w14:paraId="1F566E4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70 </w:t>
            </w:r>
            <w:r>
              <w:rPr>
                <w:spacing w:val="-2"/>
              </w:rPr>
              <w:t>(2,9%)</w:t>
            </w:r>
          </w:p>
        </w:tc>
        <w:tc>
          <w:tcPr>
            <w:tcW w:w="1829" w:type="dxa"/>
          </w:tcPr>
          <w:p w14:paraId="51D1306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55 </w:t>
            </w:r>
            <w:r>
              <w:rPr>
                <w:spacing w:val="-2"/>
              </w:rPr>
              <w:t>(2,2%)</w:t>
            </w:r>
          </w:p>
        </w:tc>
        <w:tc>
          <w:tcPr>
            <w:tcW w:w="2261" w:type="dxa"/>
          </w:tcPr>
          <w:p w14:paraId="613B738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1,27</w:t>
            </w:r>
            <w:r>
              <w:rPr>
                <w:spacing w:val="-5"/>
              </w:rPr>
              <w:t xml:space="preserve"> </w:t>
            </w:r>
            <w:r>
              <w:t>(0,90,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1,82)</w:t>
            </w:r>
          </w:p>
        </w:tc>
      </w:tr>
    </w:tbl>
    <w:p w14:paraId="7F81C3C9" w14:textId="77777777" w:rsidR="002D7C56" w:rsidRDefault="002D7C56" w:rsidP="008F5A8D">
      <w:pPr>
        <w:pStyle w:val="Szvegtrzs"/>
        <w:tabs>
          <w:tab w:val="left" w:pos="567"/>
        </w:tabs>
      </w:pPr>
    </w:p>
    <w:p w14:paraId="69BC07E1" w14:textId="35F233EA" w:rsidR="00945359" w:rsidRDefault="00220A43" w:rsidP="008F5A8D">
      <w:pPr>
        <w:pStyle w:val="Szvegtrzs"/>
        <w:tabs>
          <w:tab w:val="left" w:pos="567"/>
        </w:tabs>
      </w:pPr>
      <w:r>
        <w:t>A vérzéses eseményeket mindkét kezelés esetében a parenter</w:t>
      </w:r>
      <w:r w:rsidR="003811EA">
        <w:t>a</w:t>
      </w:r>
      <w:r>
        <w:t xml:space="preserve">lis kezelés leállítását követően, a dabigatrán-etexilát, illetve a warfarin első bevételétől számolták (csak </w:t>
      </w:r>
      <w:r w:rsidRPr="004F4A3C">
        <w:rPr>
          <w:i/>
          <w:iCs/>
        </w:rPr>
        <w:t>per os</w:t>
      </w:r>
      <w:r>
        <w:t xml:space="preserve"> kezelési periódus). Ide tartozik minden, a </w:t>
      </w:r>
      <w:r w:rsidR="00067923">
        <w:t>dabigatrán-etexilát-kezelés</w:t>
      </w:r>
      <w:r>
        <w:t xml:space="preserve"> alatt előforduló vérzéses esemény. A warfarin kezelés alatt</w:t>
      </w:r>
      <w:r>
        <w:rPr>
          <w:spacing w:val="-3"/>
        </w:rPr>
        <w:t xml:space="preserve"> </w:t>
      </w:r>
      <w:r>
        <w:t>előforduló</w:t>
      </w:r>
      <w:r>
        <w:rPr>
          <w:spacing w:val="-3"/>
        </w:rPr>
        <w:t xml:space="preserve"> </w:t>
      </w:r>
      <w:r>
        <w:t>összes</w:t>
      </w:r>
      <w:r>
        <w:rPr>
          <w:spacing w:val="-3"/>
        </w:rPr>
        <w:t xml:space="preserve"> </w:t>
      </w:r>
      <w:r>
        <w:t>vérzéses</w:t>
      </w:r>
      <w:r>
        <w:rPr>
          <w:spacing w:val="-3"/>
        </w:rPr>
        <w:t xml:space="preserve"> </w:t>
      </w:r>
      <w:r>
        <w:t>esemény</w:t>
      </w:r>
      <w:r>
        <w:rPr>
          <w:spacing w:val="-3"/>
        </w:rPr>
        <w:t xml:space="preserve"> </w:t>
      </w:r>
      <w:r>
        <w:t>bekerült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összesítésbe,</w:t>
      </w:r>
      <w:r>
        <w:rPr>
          <w:spacing w:val="-3"/>
        </w:rPr>
        <w:t xml:space="preserve"> </w:t>
      </w:r>
      <w:r>
        <w:t>kivéve</w:t>
      </w:r>
      <w:r>
        <w:rPr>
          <w:spacing w:val="-3"/>
        </w:rPr>
        <w:t xml:space="preserve"> </w:t>
      </w:r>
      <w:r>
        <w:t>azokat,</w:t>
      </w:r>
      <w:r>
        <w:rPr>
          <w:spacing w:val="-3"/>
        </w:rPr>
        <w:t xml:space="preserve"> </w:t>
      </w:r>
      <w:r>
        <w:t>amelyek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warfarin </w:t>
      </w:r>
      <w:r>
        <w:lastRenderedPageBreak/>
        <w:t>és parenter</w:t>
      </w:r>
      <w:r w:rsidR="003811EA">
        <w:t>a</w:t>
      </w:r>
      <w:r>
        <w:t>lis kezelés átfedő periódusában jelentkeztek.</w:t>
      </w:r>
    </w:p>
    <w:p w14:paraId="6D8741F7" w14:textId="1B61C8EF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16.</w:t>
      </w:r>
      <w:r w:rsidR="00B95CAF">
        <w:rPr>
          <w:spacing w:val="-3"/>
        </w:rPr>
        <w:t> táblázat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kulcsfontosságú</w:t>
      </w:r>
      <w:r>
        <w:rPr>
          <w:spacing w:val="-3"/>
        </w:rPr>
        <w:t xml:space="preserve"> </w:t>
      </w:r>
      <w:r>
        <w:t>RE-MEDY,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MVT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prevenciós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észlelt</w:t>
      </w:r>
      <w:r>
        <w:rPr>
          <w:spacing w:val="-3"/>
        </w:rPr>
        <w:t xml:space="preserve"> </w:t>
      </w:r>
      <w:r>
        <w:t xml:space="preserve">vérzéses eseményeket mutatja. A vérzéses események (mint a major vérzés, major vagy klinikailag releváns vérzéses esemény és bármilyen vérzés) szignifikánsan </w:t>
      </w:r>
      <w:r w:rsidR="002D7C56">
        <w:t>kise</w:t>
      </w:r>
      <w:r>
        <w:t xml:space="preserve">bb gyakorisággal fordultak elő a </w:t>
      </w:r>
      <w:r w:rsidR="00067923">
        <w:t>dabigatrán-etexilát-kezelés</w:t>
      </w:r>
      <w:r>
        <w:t xml:space="preserve"> mellett, mint a warfarin esetében (névleges alfa-érték 5%).</w:t>
      </w:r>
    </w:p>
    <w:p w14:paraId="78FA8AE7" w14:textId="77777777" w:rsidR="00945359" w:rsidRDefault="00945359" w:rsidP="008F5A8D">
      <w:pPr>
        <w:pStyle w:val="Szvegtrzs"/>
        <w:tabs>
          <w:tab w:val="left" w:pos="567"/>
        </w:tabs>
      </w:pPr>
    </w:p>
    <w:p w14:paraId="3EAFA898" w14:textId="11663166" w:rsidR="00945359" w:rsidRPr="00511F35" w:rsidRDefault="00A9240D" w:rsidP="008F5A8D">
      <w:r w:rsidRPr="00511F35">
        <w:rPr>
          <w:b/>
          <w:spacing w:val="-2"/>
        </w:rPr>
        <w:t>16</w:t>
      </w:r>
      <w:r w:rsidR="00BC10BA" w:rsidRPr="00511F35">
        <w:rPr>
          <w:b/>
          <w:spacing w:val="-2"/>
        </w:rPr>
        <w:t>. táblázat</w:t>
      </w:r>
      <w:r w:rsidR="00220A43"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RE-MEDY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–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MVT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PE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prevenciós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vizsgálatban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észlelt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vérzéses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  <w:spacing w:val="-2"/>
        </w:rPr>
        <w:t>események</w:t>
      </w:r>
    </w:p>
    <w:p w14:paraId="73E39F9D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818"/>
        <w:gridCol w:w="2201"/>
        <w:gridCol w:w="1781"/>
        <w:gridCol w:w="2261"/>
      </w:tblGrid>
      <w:tr w:rsidR="00945359" w14:paraId="2E4B7774" w14:textId="77777777" w:rsidTr="008F5A8D">
        <w:trPr>
          <w:trHeight w:val="1266"/>
        </w:trPr>
        <w:tc>
          <w:tcPr>
            <w:tcW w:w="2818" w:type="dxa"/>
          </w:tcPr>
          <w:p w14:paraId="7E6F466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201" w:type="dxa"/>
          </w:tcPr>
          <w:p w14:paraId="0DED3E6E" w14:textId="1881CED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 xml:space="preserve">Dabigatrán-etexilát </w:t>
            </w:r>
            <w:r>
              <w:t>150</w:t>
            </w:r>
            <w:r w:rsidR="00294835">
              <w:t> mg</w:t>
            </w:r>
            <w:r>
              <w:t xml:space="preserve"> naponta </w:t>
            </w:r>
            <w:r>
              <w:rPr>
                <w:spacing w:val="-2"/>
              </w:rPr>
              <w:t>kétszer</w:t>
            </w:r>
          </w:p>
        </w:tc>
        <w:tc>
          <w:tcPr>
            <w:tcW w:w="1781" w:type="dxa"/>
          </w:tcPr>
          <w:p w14:paraId="6180C76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  <w:tc>
          <w:tcPr>
            <w:tcW w:w="2261" w:type="dxa"/>
          </w:tcPr>
          <w:p w14:paraId="246F3C5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14"/>
              </w:rPr>
              <w:t xml:space="preserve"> </w:t>
            </w:r>
            <w:r>
              <w:t>hazárd</w:t>
            </w:r>
            <w:r>
              <w:rPr>
                <w:spacing w:val="-14"/>
              </w:rPr>
              <w:t xml:space="preserve"> </w:t>
            </w:r>
            <w:r>
              <w:t xml:space="preserve">(hazard ratio) a warfarinhoz </w:t>
            </w:r>
            <w:r>
              <w:rPr>
                <w:spacing w:val="-2"/>
              </w:rPr>
              <w:t>képest</w:t>
            </w:r>
          </w:p>
          <w:p w14:paraId="5A69F792" w14:textId="46E94EE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(95%-os</w:t>
            </w:r>
            <w:r>
              <w:rPr>
                <w:spacing w:val="-14"/>
              </w:rPr>
              <w:t xml:space="preserve"> </w:t>
            </w:r>
            <w:r>
              <w:t>konfidencia</w:t>
            </w:r>
            <w:r w:rsidR="002D7C56">
              <w:t>-</w:t>
            </w:r>
            <w:r>
              <w:rPr>
                <w:spacing w:val="-2"/>
              </w:rPr>
              <w:t>intervallum)</w:t>
            </w:r>
          </w:p>
        </w:tc>
      </w:tr>
      <w:tr w:rsidR="00945359" w14:paraId="541ACF57" w14:textId="77777777" w:rsidTr="008F5A8D">
        <w:trPr>
          <w:trHeight w:val="251"/>
        </w:trPr>
        <w:tc>
          <w:tcPr>
            <w:tcW w:w="2818" w:type="dxa"/>
          </w:tcPr>
          <w:p w14:paraId="203267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201" w:type="dxa"/>
          </w:tcPr>
          <w:p w14:paraId="48C0E73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1430</w:t>
            </w:r>
          </w:p>
        </w:tc>
        <w:tc>
          <w:tcPr>
            <w:tcW w:w="1781" w:type="dxa"/>
          </w:tcPr>
          <w:p w14:paraId="2B73E54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1426</w:t>
            </w:r>
          </w:p>
        </w:tc>
        <w:tc>
          <w:tcPr>
            <w:tcW w:w="2261" w:type="dxa"/>
          </w:tcPr>
          <w:p w14:paraId="182EBD2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6498454" w14:textId="77777777" w:rsidTr="008F5A8D">
        <w:trPr>
          <w:trHeight w:val="253"/>
        </w:trPr>
        <w:tc>
          <w:tcPr>
            <w:tcW w:w="2818" w:type="dxa"/>
          </w:tcPr>
          <w:p w14:paraId="23911E7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9"/>
              </w:rPr>
              <w:t xml:space="preserve"> </w:t>
            </w:r>
            <w:r>
              <w:t>vérzéses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esemény</w:t>
            </w:r>
          </w:p>
        </w:tc>
        <w:tc>
          <w:tcPr>
            <w:tcW w:w="2201" w:type="dxa"/>
          </w:tcPr>
          <w:p w14:paraId="114A774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13 </w:t>
            </w:r>
            <w:r>
              <w:rPr>
                <w:spacing w:val="-2"/>
              </w:rPr>
              <w:t>(0,9%)</w:t>
            </w:r>
          </w:p>
        </w:tc>
        <w:tc>
          <w:tcPr>
            <w:tcW w:w="1781" w:type="dxa"/>
          </w:tcPr>
          <w:p w14:paraId="70CD98A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25 </w:t>
            </w:r>
            <w:r>
              <w:rPr>
                <w:spacing w:val="-2"/>
              </w:rPr>
              <w:t>(1,8%)</w:t>
            </w:r>
          </w:p>
        </w:tc>
        <w:tc>
          <w:tcPr>
            <w:tcW w:w="2261" w:type="dxa"/>
          </w:tcPr>
          <w:p w14:paraId="1A67418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0,54</w:t>
            </w:r>
            <w:r>
              <w:rPr>
                <w:spacing w:val="-3"/>
              </w:rPr>
              <w:t xml:space="preserve"> </w:t>
            </w:r>
            <w:r>
              <w:t>(0,25,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1,16)</w:t>
            </w:r>
          </w:p>
        </w:tc>
      </w:tr>
      <w:tr w:rsidR="00945359" w14:paraId="24F4B41E" w14:textId="77777777" w:rsidTr="008F5A8D">
        <w:trPr>
          <w:trHeight w:val="251"/>
        </w:trPr>
        <w:tc>
          <w:tcPr>
            <w:tcW w:w="2818" w:type="dxa"/>
          </w:tcPr>
          <w:p w14:paraId="4D664B6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Intracranialis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1" w:type="dxa"/>
          </w:tcPr>
          <w:p w14:paraId="686793C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(0,1%)</w:t>
            </w:r>
          </w:p>
        </w:tc>
        <w:tc>
          <w:tcPr>
            <w:tcW w:w="1781" w:type="dxa"/>
          </w:tcPr>
          <w:p w14:paraId="689DC9B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 </w:t>
            </w:r>
            <w:r>
              <w:rPr>
                <w:spacing w:val="-2"/>
              </w:rPr>
              <w:t>(0,3%)</w:t>
            </w:r>
          </w:p>
        </w:tc>
        <w:tc>
          <w:tcPr>
            <w:tcW w:w="2261" w:type="dxa"/>
          </w:tcPr>
          <w:p w14:paraId="0850F5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76F642AA" w14:textId="77777777" w:rsidTr="008F5A8D">
        <w:trPr>
          <w:trHeight w:val="253"/>
        </w:trPr>
        <w:tc>
          <w:tcPr>
            <w:tcW w:w="2818" w:type="dxa"/>
          </w:tcPr>
          <w:p w14:paraId="5AAEA96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4"/>
              </w:rPr>
              <w:t xml:space="preserve"> </w:t>
            </w:r>
            <w:r>
              <w:t>GI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1" w:type="dxa"/>
          </w:tcPr>
          <w:p w14:paraId="79A5D1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 </w:t>
            </w:r>
            <w:r>
              <w:rPr>
                <w:spacing w:val="-2"/>
              </w:rPr>
              <w:t>(0,3%)</w:t>
            </w:r>
          </w:p>
        </w:tc>
        <w:tc>
          <w:tcPr>
            <w:tcW w:w="1781" w:type="dxa"/>
          </w:tcPr>
          <w:p w14:paraId="696A8E7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 </w:t>
            </w:r>
            <w:r>
              <w:rPr>
                <w:spacing w:val="-2"/>
              </w:rPr>
              <w:t>(0,5%)</w:t>
            </w:r>
          </w:p>
        </w:tc>
        <w:tc>
          <w:tcPr>
            <w:tcW w:w="2261" w:type="dxa"/>
          </w:tcPr>
          <w:p w14:paraId="37E8BF0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669EEC10" w14:textId="77777777" w:rsidTr="008F5A8D">
        <w:trPr>
          <w:trHeight w:val="506"/>
        </w:trPr>
        <w:tc>
          <w:tcPr>
            <w:tcW w:w="2818" w:type="dxa"/>
          </w:tcPr>
          <w:p w14:paraId="606878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Életet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veszélyeztető</w:t>
            </w:r>
          </w:p>
          <w:p w14:paraId="22D0AF2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vérzés</w:t>
            </w:r>
          </w:p>
        </w:tc>
        <w:tc>
          <w:tcPr>
            <w:tcW w:w="2201" w:type="dxa"/>
          </w:tcPr>
          <w:p w14:paraId="3ADB6C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 </w:t>
            </w:r>
            <w:r>
              <w:rPr>
                <w:spacing w:val="-2"/>
              </w:rPr>
              <w:t>(0,1%)</w:t>
            </w:r>
          </w:p>
        </w:tc>
        <w:tc>
          <w:tcPr>
            <w:tcW w:w="1781" w:type="dxa"/>
          </w:tcPr>
          <w:p w14:paraId="0EF1044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 </w:t>
            </w:r>
            <w:r>
              <w:rPr>
                <w:spacing w:val="-2"/>
              </w:rPr>
              <w:t>(0,2%)</w:t>
            </w:r>
          </w:p>
        </w:tc>
        <w:tc>
          <w:tcPr>
            <w:tcW w:w="2261" w:type="dxa"/>
          </w:tcPr>
          <w:p w14:paraId="4F3CB2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0E37C840" w14:textId="77777777" w:rsidTr="008F5A8D">
        <w:trPr>
          <w:trHeight w:val="506"/>
        </w:trPr>
        <w:tc>
          <w:tcPr>
            <w:tcW w:w="2818" w:type="dxa"/>
          </w:tcPr>
          <w:p w14:paraId="79D3068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9"/>
              </w:rPr>
              <w:t xml:space="preserve"> </w:t>
            </w:r>
            <w:r>
              <w:t>vérzéses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esemény</w:t>
            </w:r>
          </w:p>
          <w:p w14:paraId="2FADD497" w14:textId="1DFE784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/</w:t>
            </w:r>
            <w:r w:rsidR="002D7C56">
              <w:t xml:space="preserve"> </w:t>
            </w:r>
            <w:r>
              <w:t>klinikailag</w:t>
            </w:r>
            <w:r>
              <w:rPr>
                <w:spacing w:val="-10"/>
              </w:rPr>
              <w:t xml:space="preserve"> </w:t>
            </w:r>
            <w:r>
              <w:t>releváns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1" w:type="dxa"/>
          </w:tcPr>
          <w:p w14:paraId="3AC1683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80 </w:t>
            </w:r>
            <w:r>
              <w:rPr>
                <w:spacing w:val="-2"/>
              </w:rPr>
              <w:t>(5,6%)</w:t>
            </w:r>
          </w:p>
        </w:tc>
        <w:tc>
          <w:tcPr>
            <w:tcW w:w="1781" w:type="dxa"/>
          </w:tcPr>
          <w:p w14:paraId="28C7EB2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145 </w:t>
            </w:r>
            <w:r>
              <w:rPr>
                <w:spacing w:val="-2"/>
              </w:rPr>
              <w:t>(10,2%)</w:t>
            </w:r>
          </w:p>
        </w:tc>
        <w:tc>
          <w:tcPr>
            <w:tcW w:w="2261" w:type="dxa"/>
          </w:tcPr>
          <w:p w14:paraId="189459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0,55</w:t>
            </w:r>
            <w:r>
              <w:rPr>
                <w:spacing w:val="-5"/>
              </w:rPr>
              <w:t xml:space="preserve"> </w:t>
            </w:r>
            <w:r>
              <w:t>(0,41,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0,72)</w:t>
            </w:r>
          </w:p>
        </w:tc>
      </w:tr>
      <w:tr w:rsidR="00945359" w14:paraId="31A65706" w14:textId="77777777" w:rsidTr="008F5A8D">
        <w:trPr>
          <w:trHeight w:val="258"/>
        </w:trPr>
        <w:tc>
          <w:tcPr>
            <w:tcW w:w="2818" w:type="dxa"/>
          </w:tcPr>
          <w:p w14:paraId="0D09F95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1" w:type="dxa"/>
          </w:tcPr>
          <w:p w14:paraId="52AE8F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278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(19,4%)</w:t>
            </w:r>
          </w:p>
        </w:tc>
        <w:tc>
          <w:tcPr>
            <w:tcW w:w="1781" w:type="dxa"/>
          </w:tcPr>
          <w:p w14:paraId="0DD1D94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373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(26,2%)</w:t>
            </w:r>
          </w:p>
        </w:tc>
        <w:tc>
          <w:tcPr>
            <w:tcW w:w="2261" w:type="dxa"/>
          </w:tcPr>
          <w:p w14:paraId="4689DB1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0,71</w:t>
            </w:r>
            <w:r>
              <w:rPr>
                <w:spacing w:val="-5"/>
              </w:rPr>
              <w:t xml:space="preserve"> </w:t>
            </w:r>
            <w:r>
              <w:t>(0,61,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0,83)</w:t>
            </w:r>
          </w:p>
        </w:tc>
      </w:tr>
      <w:tr w:rsidR="00945359" w14:paraId="2B249369" w14:textId="77777777" w:rsidTr="008F5A8D">
        <w:trPr>
          <w:trHeight w:val="258"/>
        </w:trPr>
        <w:tc>
          <w:tcPr>
            <w:tcW w:w="2818" w:type="dxa"/>
          </w:tcPr>
          <w:p w14:paraId="556542F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6"/>
              </w:rPr>
              <w:t xml:space="preserve"> </w:t>
            </w:r>
            <w:r>
              <w:t>GI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2201" w:type="dxa"/>
          </w:tcPr>
          <w:p w14:paraId="28C6EA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45 </w:t>
            </w:r>
            <w:r>
              <w:rPr>
                <w:spacing w:val="-2"/>
              </w:rPr>
              <w:t>(3,1%)</w:t>
            </w:r>
          </w:p>
        </w:tc>
        <w:tc>
          <w:tcPr>
            <w:tcW w:w="1781" w:type="dxa"/>
          </w:tcPr>
          <w:p w14:paraId="720BEDE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32 </w:t>
            </w:r>
            <w:r>
              <w:rPr>
                <w:spacing w:val="-2"/>
              </w:rPr>
              <w:t>(2,2%)</w:t>
            </w:r>
          </w:p>
        </w:tc>
        <w:tc>
          <w:tcPr>
            <w:tcW w:w="2261" w:type="dxa"/>
          </w:tcPr>
          <w:p w14:paraId="4EB2599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1,39</w:t>
            </w:r>
            <w:r>
              <w:rPr>
                <w:spacing w:val="-5"/>
              </w:rPr>
              <w:t xml:space="preserve"> </w:t>
            </w:r>
            <w:r>
              <w:t>(0,87,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2,20)</w:t>
            </w:r>
          </w:p>
        </w:tc>
      </w:tr>
    </w:tbl>
    <w:p w14:paraId="3537DF8A" w14:textId="77777777" w:rsidR="00945359" w:rsidRDefault="00220A43" w:rsidP="008F5A8D">
      <w:pPr>
        <w:pStyle w:val="Szvegtrzs"/>
        <w:tabs>
          <w:tab w:val="left" w:pos="567"/>
        </w:tabs>
      </w:pPr>
      <w:r>
        <w:t>*A</w:t>
      </w:r>
      <w:r>
        <w:rPr>
          <w:spacing w:val="-7"/>
        </w:rPr>
        <w:t xml:space="preserve"> </w:t>
      </w:r>
      <w:r>
        <w:t>relatív</w:t>
      </w:r>
      <w:r>
        <w:rPr>
          <w:spacing w:val="-6"/>
        </w:rPr>
        <w:t xml:space="preserve"> </w:t>
      </w:r>
      <w:r>
        <w:t>hazárd</w:t>
      </w:r>
      <w:r>
        <w:rPr>
          <w:spacing w:val="-6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becsülhető</w:t>
      </w:r>
      <w:r>
        <w:rPr>
          <w:spacing w:val="-6"/>
        </w:rPr>
        <w:t xml:space="preserve"> </w:t>
      </w:r>
      <w:r>
        <w:t>meg,</w:t>
      </w:r>
      <w:r>
        <w:rPr>
          <w:spacing w:val="-6"/>
        </w:rPr>
        <w:t xml:space="preserve"> </w:t>
      </w:r>
      <w:r>
        <w:t>mert</w:t>
      </w:r>
      <w:r>
        <w:rPr>
          <w:spacing w:val="-6"/>
        </w:rPr>
        <w:t xml:space="preserve"> </w:t>
      </w:r>
      <w:r>
        <w:t>egyik</w:t>
      </w:r>
      <w:r>
        <w:rPr>
          <w:spacing w:val="-7"/>
        </w:rPr>
        <w:t xml:space="preserve"> </w:t>
      </w:r>
      <w:r>
        <w:t>csoportban/kezelésnél</w:t>
      </w:r>
      <w:r>
        <w:rPr>
          <w:spacing w:val="-6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volt</w:t>
      </w:r>
      <w:r>
        <w:rPr>
          <w:spacing w:val="-6"/>
        </w:rPr>
        <w:t xml:space="preserve"> </w:t>
      </w:r>
      <w:r>
        <w:rPr>
          <w:spacing w:val="-2"/>
        </w:rPr>
        <w:t>esemény</w:t>
      </w:r>
    </w:p>
    <w:p w14:paraId="46BC99D5" w14:textId="77777777" w:rsidR="002D7C56" w:rsidRDefault="002D7C56" w:rsidP="008F5A8D">
      <w:pPr>
        <w:pStyle w:val="Szvegtrzs"/>
        <w:tabs>
          <w:tab w:val="left" w:pos="567"/>
        </w:tabs>
      </w:pPr>
    </w:p>
    <w:p w14:paraId="567BABB4" w14:textId="28EDEB6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17.</w:t>
      </w:r>
      <w:r w:rsidR="00B95CAF">
        <w:rPr>
          <w:spacing w:val="-2"/>
        </w:rPr>
        <w:t> táblázat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MVT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prevencióját</w:t>
      </w:r>
      <w:r>
        <w:rPr>
          <w:spacing w:val="-3"/>
        </w:rPr>
        <w:t xml:space="preserve"> </w:t>
      </w:r>
      <w:r>
        <w:t>vizsgáló</w:t>
      </w:r>
      <w:r>
        <w:rPr>
          <w:spacing w:val="-3"/>
        </w:rPr>
        <w:t xml:space="preserve"> </w:t>
      </w:r>
      <w:r>
        <w:t>kulcsfontosságú</w:t>
      </w:r>
      <w:r>
        <w:rPr>
          <w:spacing w:val="-4"/>
        </w:rPr>
        <w:t xml:space="preserve"> </w:t>
      </w:r>
      <w:r>
        <w:t>RE-SONATE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 xml:space="preserve">észlelt vérzéses eseményeket mutatja. A major vagy klinikailag releváns vérzéses esemény és bármilyen vérzés szignifikánsan </w:t>
      </w:r>
      <w:r w:rsidR="002D7C56">
        <w:t>kise</w:t>
      </w:r>
      <w:r>
        <w:t xml:space="preserve">bb gyakorisággal fordult elő a </w:t>
      </w:r>
      <w:r w:rsidR="00067923">
        <w:t>dabigatrán-etexilát-kezelés</w:t>
      </w:r>
      <w:r>
        <w:t xml:space="preserve"> mellett, mint a placebo esetén (névleges alfa-érték 5%).</w:t>
      </w:r>
    </w:p>
    <w:p w14:paraId="6176ECD5" w14:textId="77777777" w:rsidR="00945359" w:rsidRDefault="00945359" w:rsidP="008F5A8D">
      <w:pPr>
        <w:pStyle w:val="Szvegtrzs"/>
        <w:tabs>
          <w:tab w:val="left" w:pos="567"/>
        </w:tabs>
      </w:pPr>
    </w:p>
    <w:p w14:paraId="2A689C6B" w14:textId="55959541" w:rsidR="00945359" w:rsidRPr="00511F35" w:rsidRDefault="00A9240D" w:rsidP="008F5A8D">
      <w:r w:rsidRPr="00511F35">
        <w:rPr>
          <w:b/>
          <w:spacing w:val="-2"/>
        </w:rPr>
        <w:t>17</w:t>
      </w:r>
      <w:r w:rsidR="00BC10BA" w:rsidRPr="00511F35">
        <w:rPr>
          <w:b/>
          <w:spacing w:val="-2"/>
        </w:rPr>
        <w:t>. táblázat</w:t>
      </w:r>
      <w:r w:rsidR="00220A43" w:rsidRPr="00511F35">
        <w:rPr>
          <w:b/>
          <w:spacing w:val="-2"/>
        </w:rPr>
        <w:t>:</w:t>
      </w:r>
      <w:r w:rsidR="00220A43" w:rsidRPr="00511F35">
        <w:rPr>
          <w:b/>
        </w:rPr>
        <w:t>A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RE-SONATE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–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MVT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PE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prevenciós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vizsgálatban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észlelt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</w:rPr>
        <w:t>vérzéses</w:t>
      </w:r>
      <w:r w:rsidR="00220A43" w:rsidRPr="00511F35">
        <w:rPr>
          <w:b/>
          <w:spacing w:val="-5"/>
        </w:rPr>
        <w:t xml:space="preserve"> </w:t>
      </w:r>
      <w:r w:rsidR="00220A43" w:rsidRPr="00511F35">
        <w:rPr>
          <w:b/>
          <w:spacing w:val="-2"/>
        </w:rPr>
        <w:t>események</w:t>
      </w:r>
    </w:p>
    <w:p w14:paraId="0A458413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312"/>
        <w:gridCol w:w="1704"/>
        <w:gridCol w:w="1894"/>
        <w:gridCol w:w="2151"/>
      </w:tblGrid>
      <w:tr w:rsidR="00945359" w14:paraId="06FD2143" w14:textId="77777777" w:rsidTr="008F5A8D">
        <w:trPr>
          <w:trHeight w:val="1012"/>
        </w:trPr>
        <w:tc>
          <w:tcPr>
            <w:tcW w:w="3312" w:type="dxa"/>
          </w:tcPr>
          <w:p w14:paraId="27E88028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1704" w:type="dxa"/>
          </w:tcPr>
          <w:p w14:paraId="1D893B4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 etexilát</w:t>
            </w:r>
          </w:p>
          <w:p w14:paraId="34B4B85D" w14:textId="2A64B5D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14"/>
              </w:rPr>
              <w:t> mg</w:t>
            </w:r>
            <w:r>
              <w:rPr>
                <w:spacing w:val="-14"/>
              </w:rPr>
              <w:t xml:space="preserve"> </w:t>
            </w:r>
            <w:r>
              <w:t xml:space="preserve">naponta </w:t>
            </w:r>
            <w:r>
              <w:rPr>
                <w:spacing w:val="-2"/>
              </w:rPr>
              <w:t>kétszer</w:t>
            </w:r>
          </w:p>
        </w:tc>
        <w:tc>
          <w:tcPr>
            <w:tcW w:w="1894" w:type="dxa"/>
          </w:tcPr>
          <w:p w14:paraId="141194E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Placebo</w:t>
            </w:r>
          </w:p>
        </w:tc>
        <w:tc>
          <w:tcPr>
            <w:tcW w:w="2151" w:type="dxa"/>
          </w:tcPr>
          <w:p w14:paraId="01899EC9" w14:textId="576F3C5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14"/>
              </w:rPr>
              <w:t xml:space="preserve"> </w:t>
            </w:r>
            <w:r>
              <w:t>hazárd</w:t>
            </w:r>
            <w:r>
              <w:rPr>
                <w:spacing w:val="-14"/>
              </w:rPr>
              <w:t xml:space="preserve"> </w:t>
            </w:r>
            <w:r w:rsidRPr="004F4A3C">
              <w:rPr>
                <w:i/>
                <w:iCs/>
              </w:rPr>
              <w:t>vs</w:t>
            </w:r>
            <w:r w:rsidR="002D7C56">
              <w:rPr>
                <w:i/>
                <w:iCs/>
              </w:rPr>
              <w:t>.</w:t>
            </w:r>
            <w:r w:rsidRPr="004F4A3C">
              <w:rPr>
                <w:i/>
                <w:iCs/>
              </w:rPr>
              <w:t xml:space="preserve"> </w:t>
            </w:r>
            <w:r>
              <w:rPr>
                <w:spacing w:val="-2"/>
              </w:rPr>
              <w:t>placebo</w:t>
            </w:r>
          </w:p>
          <w:p w14:paraId="179D4217" w14:textId="74A0DEA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(95%-os</w:t>
            </w:r>
            <w:r>
              <w:rPr>
                <w:spacing w:val="-14"/>
              </w:rPr>
              <w:t xml:space="preserve"> </w:t>
            </w:r>
            <w:r>
              <w:t>konfidencia</w:t>
            </w:r>
            <w:r w:rsidR="002D7C56">
              <w:t>-</w:t>
            </w:r>
            <w:r>
              <w:rPr>
                <w:spacing w:val="-2"/>
              </w:rPr>
              <w:t>intervallum)</w:t>
            </w:r>
          </w:p>
        </w:tc>
      </w:tr>
      <w:tr w:rsidR="00945359" w14:paraId="12BDBE9E" w14:textId="77777777" w:rsidTr="008F5A8D">
        <w:trPr>
          <w:trHeight w:val="252"/>
        </w:trPr>
        <w:tc>
          <w:tcPr>
            <w:tcW w:w="3312" w:type="dxa"/>
          </w:tcPr>
          <w:p w14:paraId="37F1A91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1704" w:type="dxa"/>
          </w:tcPr>
          <w:p w14:paraId="4CF0E42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684</w:t>
            </w:r>
          </w:p>
        </w:tc>
        <w:tc>
          <w:tcPr>
            <w:tcW w:w="1894" w:type="dxa"/>
          </w:tcPr>
          <w:p w14:paraId="506EB4C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659</w:t>
            </w:r>
          </w:p>
        </w:tc>
        <w:tc>
          <w:tcPr>
            <w:tcW w:w="2151" w:type="dxa"/>
          </w:tcPr>
          <w:p w14:paraId="421AA1CB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6CBA47B3" w14:textId="77777777" w:rsidTr="008F5A8D">
        <w:trPr>
          <w:trHeight w:val="251"/>
        </w:trPr>
        <w:tc>
          <w:tcPr>
            <w:tcW w:w="3312" w:type="dxa"/>
          </w:tcPr>
          <w:p w14:paraId="14466D0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9"/>
              </w:rPr>
              <w:t xml:space="preserve"> </w:t>
            </w:r>
            <w:r>
              <w:t>vérzéses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esemény</w:t>
            </w:r>
          </w:p>
        </w:tc>
        <w:tc>
          <w:tcPr>
            <w:tcW w:w="1704" w:type="dxa"/>
          </w:tcPr>
          <w:p w14:paraId="6CD1267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(0,3%)</w:t>
            </w:r>
          </w:p>
        </w:tc>
        <w:tc>
          <w:tcPr>
            <w:tcW w:w="1894" w:type="dxa"/>
          </w:tcPr>
          <w:p w14:paraId="2EBC9DC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0</w:t>
            </w:r>
          </w:p>
        </w:tc>
        <w:tc>
          <w:tcPr>
            <w:tcW w:w="2151" w:type="dxa"/>
          </w:tcPr>
          <w:p w14:paraId="14FDEEA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4FFC1F64" w14:textId="77777777" w:rsidTr="008F5A8D">
        <w:trPr>
          <w:trHeight w:val="254"/>
        </w:trPr>
        <w:tc>
          <w:tcPr>
            <w:tcW w:w="3312" w:type="dxa"/>
          </w:tcPr>
          <w:p w14:paraId="415D8A9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Intracranialis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704" w:type="dxa"/>
          </w:tcPr>
          <w:p w14:paraId="3C9AF11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0</w:t>
            </w:r>
          </w:p>
        </w:tc>
        <w:tc>
          <w:tcPr>
            <w:tcW w:w="1894" w:type="dxa"/>
          </w:tcPr>
          <w:p w14:paraId="1F1ED8B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0</w:t>
            </w:r>
          </w:p>
        </w:tc>
        <w:tc>
          <w:tcPr>
            <w:tcW w:w="2151" w:type="dxa"/>
          </w:tcPr>
          <w:p w14:paraId="7D6CBF8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3D3BEF77" w14:textId="77777777" w:rsidTr="008F5A8D">
        <w:trPr>
          <w:trHeight w:val="251"/>
        </w:trPr>
        <w:tc>
          <w:tcPr>
            <w:tcW w:w="3312" w:type="dxa"/>
          </w:tcPr>
          <w:p w14:paraId="164D23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4"/>
              </w:rPr>
              <w:t xml:space="preserve"> </w:t>
            </w:r>
            <w:r>
              <w:t>GI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704" w:type="dxa"/>
          </w:tcPr>
          <w:p w14:paraId="285DC63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(0,3%)</w:t>
            </w:r>
          </w:p>
        </w:tc>
        <w:tc>
          <w:tcPr>
            <w:tcW w:w="1894" w:type="dxa"/>
          </w:tcPr>
          <w:p w14:paraId="3088F75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0</w:t>
            </w:r>
          </w:p>
        </w:tc>
        <w:tc>
          <w:tcPr>
            <w:tcW w:w="2151" w:type="dxa"/>
          </w:tcPr>
          <w:p w14:paraId="11852DD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7D01F94D" w14:textId="77777777" w:rsidTr="008F5A8D">
        <w:trPr>
          <w:trHeight w:val="253"/>
        </w:trPr>
        <w:tc>
          <w:tcPr>
            <w:tcW w:w="3312" w:type="dxa"/>
          </w:tcPr>
          <w:p w14:paraId="3F5E6C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Életet</w:t>
            </w:r>
            <w:r>
              <w:rPr>
                <w:spacing w:val="-10"/>
              </w:rPr>
              <w:t xml:space="preserve"> </w:t>
            </w:r>
            <w:r>
              <w:t>veszélyeztető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704" w:type="dxa"/>
          </w:tcPr>
          <w:p w14:paraId="247D831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0</w:t>
            </w:r>
          </w:p>
        </w:tc>
        <w:tc>
          <w:tcPr>
            <w:tcW w:w="1894" w:type="dxa"/>
          </w:tcPr>
          <w:p w14:paraId="7E1A142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0</w:t>
            </w:r>
          </w:p>
        </w:tc>
        <w:tc>
          <w:tcPr>
            <w:tcW w:w="2151" w:type="dxa"/>
          </w:tcPr>
          <w:p w14:paraId="49848C2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7"/>
              </w:rPr>
              <w:t xml:space="preserve"> </w:t>
            </w:r>
            <w:r>
              <w:t>számítható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*</w:t>
            </w:r>
          </w:p>
        </w:tc>
      </w:tr>
      <w:tr w:rsidR="00945359" w14:paraId="6946E624" w14:textId="77777777" w:rsidTr="008F5A8D">
        <w:trPr>
          <w:trHeight w:val="506"/>
        </w:trPr>
        <w:tc>
          <w:tcPr>
            <w:tcW w:w="3312" w:type="dxa"/>
          </w:tcPr>
          <w:p w14:paraId="4FC5FB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Major</w:t>
            </w:r>
            <w:r>
              <w:rPr>
                <w:spacing w:val="-4"/>
              </w:rPr>
              <w:t xml:space="preserve"> </w:t>
            </w:r>
            <w:r>
              <w:t>vérzéses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esemény</w:t>
            </w:r>
          </w:p>
          <w:p w14:paraId="7942DA05" w14:textId="4659C96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/</w:t>
            </w:r>
            <w:r w:rsidR="002D7C56">
              <w:t xml:space="preserve"> </w:t>
            </w:r>
            <w:r>
              <w:t>klinikailag</w:t>
            </w:r>
            <w:r>
              <w:rPr>
                <w:spacing w:val="-10"/>
              </w:rPr>
              <w:t xml:space="preserve"> </w:t>
            </w:r>
            <w:r>
              <w:t>releváns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704" w:type="dxa"/>
          </w:tcPr>
          <w:p w14:paraId="14B2F3B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36 </w:t>
            </w:r>
            <w:r>
              <w:rPr>
                <w:spacing w:val="-2"/>
              </w:rPr>
              <w:t>(5,3%)</w:t>
            </w:r>
          </w:p>
        </w:tc>
        <w:tc>
          <w:tcPr>
            <w:tcW w:w="1894" w:type="dxa"/>
          </w:tcPr>
          <w:p w14:paraId="303D98A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13 </w:t>
            </w:r>
            <w:r>
              <w:rPr>
                <w:spacing w:val="-2"/>
              </w:rPr>
              <w:t>(2,0%)</w:t>
            </w:r>
          </w:p>
        </w:tc>
        <w:tc>
          <w:tcPr>
            <w:tcW w:w="2151" w:type="dxa"/>
          </w:tcPr>
          <w:p w14:paraId="4616870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2,69</w:t>
            </w:r>
            <w:r>
              <w:rPr>
                <w:spacing w:val="-5"/>
              </w:rPr>
              <w:t xml:space="preserve"> </w:t>
            </w:r>
            <w:r>
              <w:t>(1,43,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5,07)</w:t>
            </w:r>
          </w:p>
        </w:tc>
      </w:tr>
      <w:tr w:rsidR="00945359" w14:paraId="73FE30D6" w14:textId="77777777" w:rsidTr="008F5A8D">
        <w:trPr>
          <w:trHeight w:val="253"/>
        </w:trPr>
        <w:tc>
          <w:tcPr>
            <w:tcW w:w="3312" w:type="dxa"/>
          </w:tcPr>
          <w:p w14:paraId="5FF7E1A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704" w:type="dxa"/>
          </w:tcPr>
          <w:p w14:paraId="4399613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72 </w:t>
            </w:r>
            <w:r>
              <w:rPr>
                <w:spacing w:val="-2"/>
              </w:rPr>
              <w:t>(10,5%)</w:t>
            </w:r>
          </w:p>
        </w:tc>
        <w:tc>
          <w:tcPr>
            <w:tcW w:w="1894" w:type="dxa"/>
          </w:tcPr>
          <w:p w14:paraId="6E33841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40 </w:t>
            </w:r>
            <w:r>
              <w:rPr>
                <w:spacing w:val="-2"/>
              </w:rPr>
              <w:t>(6,1%)</w:t>
            </w:r>
          </w:p>
        </w:tc>
        <w:tc>
          <w:tcPr>
            <w:tcW w:w="2151" w:type="dxa"/>
          </w:tcPr>
          <w:p w14:paraId="495F9C5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1,77</w:t>
            </w:r>
            <w:r>
              <w:rPr>
                <w:spacing w:val="-5"/>
              </w:rPr>
              <w:t xml:space="preserve"> </w:t>
            </w:r>
            <w:r>
              <w:t>(1,20,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2,61)</w:t>
            </w:r>
          </w:p>
        </w:tc>
      </w:tr>
      <w:tr w:rsidR="00945359" w14:paraId="00A2D7E9" w14:textId="77777777" w:rsidTr="008F5A8D">
        <w:trPr>
          <w:trHeight w:val="251"/>
        </w:trPr>
        <w:tc>
          <w:tcPr>
            <w:tcW w:w="3312" w:type="dxa"/>
          </w:tcPr>
          <w:p w14:paraId="79A4838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Bármilyen</w:t>
            </w:r>
            <w:r>
              <w:rPr>
                <w:spacing w:val="-6"/>
              </w:rPr>
              <w:t xml:space="preserve"> </w:t>
            </w:r>
            <w:r>
              <w:t>GI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1704" w:type="dxa"/>
          </w:tcPr>
          <w:p w14:paraId="37564FD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5 </w:t>
            </w:r>
            <w:r>
              <w:rPr>
                <w:spacing w:val="-2"/>
              </w:rPr>
              <w:t>(0,7%)</w:t>
            </w:r>
          </w:p>
        </w:tc>
        <w:tc>
          <w:tcPr>
            <w:tcW w:w="1894" w:type="dxa"/>
          </w:tcPr>
          <w:p w14:paraId="0542EDA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(0,3%)</w:t>
            </w:r>
          </w:p>
        </w:tc>
        <w:tc>
          <w:tcPr>
            <w:tcW w:w="2151" w:type="dxa"/>
          </w:tcPr>
          <w:p w14:paraId="73A449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2,38</w:t>
            </w:r>
            <w:r>
              <w:rPr>
                <w:spacing w:val="-5"/>
              </w:rPr>
              <w:t xml:space="preserve"> </w:t>
            </w:r>
            <w:r>
              <w:t>(0,46,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12,27)</w:t>
            </w:r>
          </w:p>
        </w:tc>
      </w:tr>
    </w:tbl>
    <w:p w14:paraId="0241C75C" w14:textId="77777777" w:rsidR="00945359" w:rsidRDefault="00220A43" w:rsidP="008F5A8D">
      <w:pPr>
        <w:pStyle w:val="Szvegtrzs"/>
        <w:tabs>
          <w:tab w:val="left" w:pos="567"/>
        </w:tabs>
      </w:pPr>
      <w:r>
        <w:t>*A</w:t>
      </w:r>
      <w:r>
        <w:rPr>
          <w:spacing w:val="-8"/>
        </w:rPr>
        <w:t xml:space="preserve"> </w:t>
      </w:r>
      <w:r>
        <w:t>relatív</w:t>
      </w:r>
      <w:r>
        <w:rPr>
          <w:spacing w:val="-5"/>
        </w:rPr>
        <w:t xml:space="preserve"> </w:t>
      </w:r>
      <w:r>
        <w:t>hazárd</w:t>
      </w:r>
      <w:r>
        <w:rPr>
          <w:spacing w:val="-6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becsülhető</w:t>
      </w:r>
      <w:r>
        <w:rPr>
          <w:spacing w:val="-6"/>
        </w:rPr>
        <w:t xml:space="preserve"> </w:t>
      </w:r>
      <w:r>
        <w:t>meg,</w:t>
      </w:r>
      <w:r>
        <w:rPr>
          <w:spacing w:val="-5"/>
        </w:rPr>
        <w:t xml:space="preserve"> </w:t>
      </w:r>
      <w:r>
        <w:t>mert</w:t>
      </w:r>
      <w:r>
        <w:rPr>
          <w:spacing w:val="-6"/>
        </w:rPr>
        <w:t xml:space="preserve"> </w:t>
      </w:r>
      <w:r>
        <w:t>egyik</w:t>
      </w:r>
      <w:r>
        <w:rPr>
          <w:spacing w:val="-4"/>
        </w:rPr>
        <w:t xml:space="preserve"> </w:t>
      </w:r>
      <w:r>
        <w:t>kezelési</w:t>
      </w:r>
      <w:r>
        <w:rPr>
          <w:spacing w:val="-5"/>
        </w:rPr>
        <w:t xml:space="preserve"> </w:t>
      </w:r>
      <w:r>
        <w:t>csoportban</w:t>
      </w:r>
      <w:r>
        <w:rPr>
          <w:spacing w:val="-6"/>
        </w:rPr>
        <w:t xml:space="preserve"> </w:t>
      </w:r>
      <w:r>
        <w:t>sem</w:t>
      </w:r>
      <w:r>
        <w:rPr>
          <w:spacing w:val="-5"/>
        </w:rPr>
        <w:t xml:space="preserve"> </w:t>
      </w:r>
      <w:r>
        <w:t>volt</w:t>
      </w:r>
      <w:r>
        <w:rPr>
          <w:spacing w:val="-5"/>
        </w:rPr>
        <w:t xml:space="preserve"> </w:t>
      </w:r>
      <w:r>
        <w:rPr>
          <w:spacing w:val="-2"/>
        </w:rPr>
        <w:t>esemény</w:t>
      </w:r>
    </w:p>
    <w:p w14:paraId="3089D35D" w14:textId="77777777" w:rsidR="00945359" w:rsidRDefault="00945359" w:rsidP="008F5A8D">
      <w:pPr>
        <w:pStyle w:val="Szvegtrzs"/>
        <w:tabs>
          <w:tab w:val="left" w:pos="567"/>
        </w:tabs>
      </w:pPr>
    </w:p>
    <w:p w14:paraId="327E6BF1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Agranulocytosis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neutropenia</w:t>
      </w:r>
    </w:p>
    <w:p w14:paraId="0BFDC80A" w14:textId="151CBC71" w:rsidR="00945359" w:rsidRDefault="00220A43" w:rsidP="008F5A8D">
      <w:pPr>
        <w:pStyle w:val="Szvegtrzs"/>
        <w:tabs>
          <w:tab w:val="left" w:pos="567"/>
        </w:tabs>
      </w:pPr>
      <w:r>
        <w:t>Agranulocytosist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neutropeniát</w:t>
      </w:r>
      <w:r>
        <w:rPr>
          <w:spacing w:val="-4"/>
        </w:rPr>
        <w:t xml:space="preserve"> </w:t>
      </w:r>
      <w:r>
        <w:t>nagyon</w:t>
      </w:r>
      <w:r>
        <w:rPr>
          <w:spacing w:val="-4"/>
        </w:rPr>
        <w:t xml:space="preserve"> </w:t>
      </w:r>
      <w:r>
        <w:t>ritkán</w:t>
      </w:r>
      <w:r>
        <w:rPr>
          <w:spacing w:val="-4"/>
        </w:rPr>
        <w:t xml:space="preserve"> </w:t>
      </w:r>
      <w:r>
        <w:t>jelentettek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engedélyezését</w:t>
      </w:r>
      <w:r>
        <w:rPr>
          <w:spacing w:val="-4"/>
        </w:rPr>
        <w:t xml:space="preserve"> </w:t>
      </w:r>
      <w:r>
        <w:t>követő alkalmazás során. Mivel a forgalomba hozatalt követő megfigyelések során a mellékhatásokat meghatározatlan nagyságú populációból jelentették, nem lehetséges ezek gyakoriságát megbízhatóan értékelni. A becsült jelentési arány az agranulocytosis esetében 7</w:t>
      </w:r>
      <w:r w:rsidR="002D7C56">
        <w:t> </w:t>
      </w:r>
      <w:r>
        <w:t>esemény/1</w:t>
      </w:r>
      <w:r w:rsidR="002D7C56">
        <w:t> </w:t>
      </w:r>
      <w:r>
        <w:t>millió</w:t>
      </w:r>
      <w:r w:rsidR="00557363">
        <w:t> betegév</w:t>
      </w:r>
      <w:r>
        <w:t>, és a neutropenia esetén 5</w:t>
      </w:r>
      <w:r w:rsidR="002D7C56">
        <w:t> </w:t>
      </w:r>
      <w:r>
        <w:t>esemény/1</w:t>
      </w:r>
      <w:r w:rsidR="002D7C56">
        <w:t> </w:t>
      </w:r>
      <w:r>
        <w:t>millió</w:t>
      </w:r>
      <w:r w:rsidR="00557363">
        <w:t> betegév</w:t>
      </w:r>
      <w:r>
        <w:t xml:space="preserve"> volt.</w:t>
      </w:r>
    </w:p>
    <w:p w14:paraId="21EFDD95" w14:textId="77777777" w:rsidR="00945359" w:rsidRDefault="00945359" w:rsidP="008F5A8D">
      <w:pPr>
        <w:pStyle w:val="Szvegtrzs"/>
        <w:tabs>
          <w:tab w:val="left" w:pos="567"/>
        </w:tabs>
      </w:pPr>
    </w:p>
    <w:p w14:paraId="0A146E94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Gyermekek</w:t>
      </w:r>
      <w:r>
        <w:rPr>
          <w:spacing w:val="-6"/>
          <w:u w:val="single"/>
        </w:rPr>
        <w:t xml:space="preserve"> </w:t>
      </w:r>
      <w:r>
        <w:rPr>
          <w:u w:val="single"/>
        </w:rPr>
        <w:t>és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serdülők</w:t>
      </w:r>
    </w:p>
    <w:p w14:paraId="4CE2E840" w14:textId="0A75F93F" w:rsidR="00945359" w:rsidRDefault="00220A43" w:rsidP="008F5A8D">
      <w:pPr>
        <w:pStyle w:val="Szvegtrzs"/>
        <w:tabs>
          <w:tab w:val="left" w:pos="567"/>
        </w:tabs>
      </w:pPr>
      <w:r>
        <w:t xml:space="preserve">A dabigatrán-etexilát biztonságosságát gyermekeknél és serdülőknél VTE kezelésében és VTE </w:t>
      </w:r>
      <w:r>
        <w:lastRenderedPageBreak/>
        <w:t>kiújulásának megelőzésében két III.</w:t>
      </w:r>
      <w:r w:rsidR="00294835">
        <w:t> fázis</w:t>
      </w:r>
      <w:r>
        <w:t>ú vizsgálatban tanulmányozták (DIVERSITY és 1160.108). Összesen 328 gyermekgyógyászati beteget kezeltek dabigatrán-etexiláttal. A betegek az életkorral és testtömeggel</w:t>
      </w:r>
      <w:r>
        <w:rPr>
          <w:spacing w:val="-4"/>
        </w:rPr>
        <w:t xml:space="preserve"> </w:t>
      </w:r>
      <w:r>
        <w:t>korrigált</w:t>
      </w:r>
      <w:r>
        <w:rPr>
          <w:spacing w:val="-4"/>
        </w:rPr>
        <w:t xml:space="preserve"> </w:t>
      </w:r>
      <w:r>
        <w:t>dózist</w:t>
      </w:r>
      <w:r>
        <w:rPr>
          <w:spacing w:val="-4"/>
        </w:rPr>
        <w:t xml:space="preserve"> </w:t>
      </w:r>
      <w:r>
        <w:t>kaptak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életkornak</w:t>
      </w:r>
      <w:r>
        <w:rPr>
          <w:spacing w:val="-4"/>
        </w:rPr>
        <w:t xml:space="preserve"> </w:t>
      </w:r>
      <w:r>
        <w:t>megfelelő</w:t>
      </w:r>
      <w:r>
        <w:rPr>
          <w:spacing w:val="-4"/>
        </w:rPr>
        <w:t xml:space="preserve"> </w:t>
      </w:r>
      <w:r>
        <w:t>gyógyszerformájú</w:t>
      </w:r>
      <w:r>
        <w:rPr>
          <w:spacing w:val="-5"/>
        </w:rPr>
        <w:t xml:space="preserve"> </w:t>
      </w:r>
      <w:r>
        <w:t>dabigatrán-etexilátból.</w:t>
      </w:r>
    </w:p>
    <w:p w14:paraId="37F4B9D7" w14:textId="77777777" w:rsidR="00945359" w:rsidRDefault="00945359" w:rsidP="008F5A8D">
      <w:pPr>
        <w:pStyle w:val="Szvegtrzs"/>
        <w:tabs>
          <w:tab w:val="left" w:pos="567"/>
        </w:tabs>
      </w:pPr>
    </w:p>
    <w:p w14:paraId="428A37BC" w14:textId="77777777" w:rsidR="00945359" w:rsidRDefault="00220A43" w:rsidP="008F5A8D">
      <w:pPr>
        <w:pStyle w:val="Szvegtrzs"/>
        <w:tabs>
          <w:tab w:val="left" w:pos="567"/>
        </w:tabs>
      </w:pPr>
      <w:r>
        <w:t>Összességében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gyermekeknél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serdülőknél</w:t>
      </w:r>
      <w:r>
        <w:rPr>
          <w:spacing w:val="-3"/>
        </w:rPr>
        <w:t xml:space="preserve"> </w:t>
      </w:r>
      <w:r>
        <w:t>várható</w:t>
      </w:r>
      <w:r>
        <w:rPr>
          <w:spacing w:val="-3"/>
        </w:rPr>
        <w:t xml:space="preserve"> </w:t>
      </w:r>
      <w:r>
        <w:t>biztonságossági</w:t>
      </w:r>
      <w:r>
        <w:rPr>
          <w:spacing w:val="-3"/>
        </w:rPr>
        <w:t xml:space="preserve"> </w:t>
      </w:r>
      <w:r>
        <w:t>profil</w:t>
      </w:r>
      <w:r>
        <w:rPr>
          <w:spacing w:val="-3"/>
        </w:rPr>
        <w:t xml:space="preserve"> </w:t>
      </w:r>
      <w:r>
        <w:t>megegyezik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felnőttek esetén jellemzővel.</w:t>
      </w:r>
    </w:p>
    <w:p w14:paraId="4B88FDD7" w14:textId="77777777" w:rsidR="00945359" w:rsidRDefault="00945359" w:rsidP="008F5A8D">
      <w:pPr>
        <w:pStyle w:val="Szvegtrzs"/>
        <w:tabs>
          <w:tab w:val="left" w:pos="567"/>
        </w:tabs>
      </w:pPr>
    </w:p>
    <w:p w14:paraId="617EF313" w14:textId="77777777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kapó,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kiújulásának</w:t>
      </w:r>
      <w:r>
        <w:rPr>
          <w:spacing w:val="-3"/>
        </w:rPr>
        <w:t xml:space="preserve"> </w:t>
      </w:r>
      <w:r>
        <w:t>megelőzése</w:t>
      </w:r>
      <w:r>
        <w:rPr>
          <w:spacing w:val="-3"/>
        </w:rPr>
        <w:t xml:space="preserve"> </w:t>
      </w:r>
      <w:r>
        <w:t>érdekében</w:t>
      </w:r>
      <w:r>
        <w:rPr>
          <w:spacing w:val="-3"/>
        </w:rPr>
        <w:t xml:space="preserve"> </w:t>
      </w:r>
      <w:r>
        <w:t>kezelt gyermekeknek és serdülőknek összesen 26%-a tapasztalt mellékhatásokat.</w:t>
      </w:r>
    </w:p>
    <w:p w14:paraId="3EDA0C33" w14:textId="77777777" w:rsidR="00B900F2" w:rsidRDefault="00B900F2" w:rsidP="008F5A8D">
      <w:pPr>
        <w:pStyle w:val="Szvegtrzs"/>
        <w:tabs>
          <w:tab w:val="left" w:pos="567"/>
        </w:tabs>
      </w:pPr>
    </w:p>
    <w:p w14:paraId="5E40152A" w14:textId="3BADDB3F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mellékhatások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táblázatos</w:t>
      </w:r>
      <w:r>
        <w:rPr>
          <w:i/>
          <w:spacing w:val="-8"/>
          <w:u w:val="single"/>
        </w:rPr>
        <w:t xml:space="preserve"> </w:t>
      </w:r>
      <w:r>
        <w:rPr>
          <w:i/>
          <w:spacing w:val="-2"/>
          <w:u w:val="single"/>
        </w:rPr>
        <w:t>felsorolása</w:t>
      </w:r>
    </w:p>
    <w:p w14:paraId="44DE4D09" w14:textId="74F6AF18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18.</w:t>
      </w:r>
      <w:r w:rsidR="00B95CAF">
        <w:rPr>
          <w:spacing w:val="-2"/>
        </w:rPr>
        <w:t> táblázat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kiújulásának</w:t>
      </w:r>
      <w:r>
        <w:rPr>
          <w:spacing w:val="-3"/>
        </w:rPr>
        <w:t xml:space="preserve"> </w:t>
      </w:r>
      <w:r>
        <w:t>megelőzése</w:t>
      </w:r>
      <w:r>
        <w:rPr>
          <w:spacing w:val="-3"/>
        </w:rPr>
        <w:t xml:space="preserve"> </w:t>
      </w:r>
      <w:r>
        <w:t>érdekében</w:t>
      </w:r>
      <w:r>
        <w:rPr>
          <w:spacing w:val="-3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gyermekek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 vizsgálataiban azonosított mellékhatásokat mutatja be. A mellékhatásokat szervrendszerek és gyakoriság szerinti felosztásban, a következő gyakorisági kategóriák szerint ismertetjük: nagyon gyakori (</w:t>
      </w:r>
      <w:r w:rsidR="00294835">
        <w:t>≥</w:t>
      </w:r>
      <w:r>
        <w:t>1/10); gyakori (</w:t>
      </w:r>
      <w:r w:rsidR="00294835">
        <w:t>≥</w:t>
      </w:r>
      <w:r>
        <w:t xml:space="preserve">1/100 </w:t>
      </w:r>
      <w:r w:rsidR="00440155">
        <w:t>–</w:t>
      </w:r>
      <w:r>
        <w:t xml:space="preserve"> </w:t>
      </w:r>
      <w:r w:rsidR="00B95CAF">
        <w:t>&lt;</w:t>
      </w:r>
      <w:r>
        <w:t>1/10); nem gyakori (</w:t>
      </w:r>
      <w:r w:rsidR="00294835">
        <w:t>≥</w:t>
      </w:r>
      <w:r>
        <w:t xml:space="preserve">1/1000 </w:t>
      </w:r>
      <w:r w:rsidR="00440155">
        <w:t>–</w:t>
      </w:r>
      <w:r>
        <w:t xml:space="preserve"> </w:t>
      </w:r>
      <w:r w:rsidR="00B95CAF">
        <w:t>&lt;</w:t>
      </w:r>
      <w:r>
        <w:t>1/100); ritka</w:t>
      </w:r>
    </w:p>
    <w:p w14:paraId="1F3E3687" w14:textId="6225B8AB" w:rsidR="00945359" w:rsidRDefault="00220A43">
      <w:pPr>
        <w:pStyle w:val="Szvegtrzs"/>
        <w:tabs>
          <w:tab w:val="left" w:pos="567"/>
        </w:tabs>
      </w:pPr>
      <w:r>
        <w:t>(</w:t>
      </w:r>
      <w:r w:rsidR="00294835">
        <w:t>≥</w:t>
      </w:r>
      <w:r>
        <w:t>1/10</w:t>
      </w:r>
      <w:r w:rsidR="00B95CAF">
        <w:rPr>
          <w:spacing w:val="-4"/>
        </w:rPr>
        <w:t> 000</w:t>
      </w:r>
      <w:r>
        <w:rPr>
          <w:spacing w:val="-1"/>
        </w:rPr>
        <w:t xml:space="preserve"> </w:t>
      </w:r>
      <w:r w:rsidR="00440155">
        <w:t xml:space="preserve">– </w:t>
      </w:r>
      <w:r w:rsidR="00B95CAF">
        <w:t>&lt;</w:t>
      </w:r>
      <w:r>
        <w:t>1/1000);</w:t>
      </w:r>
      <w:r>
        <w:rPr>
          <w:spacing w:val="-2"/>
        </w:rPr>
        <w:t xml:space="preserve"> </w:t>
      </w:r>
      <w:r>
        <w:t>nagyon</w:t>
      </w:r>
      <w:r>
        <w:rPr>
          <w:spacing w:val="-2"/>
        </w:rPr>
        <w:t xml:space="preserve"> </w:t>
      </w:r>
      <w:r>
        <w:t>ritka</w:t>
      </w:r>
      <w:r>
        <w:rPr>
          <w:spacing w:val="-2"/>
        </w:rPr>
        <w:t xml:space="preserve"> </w:t>
      </w:r>
      <w:r>
        <w:t>(</w:t>
      </w:r>
      <w:r w:rsidR="00B95CAF">
        <w:t>&lt;</w:t>
      </w:r>
      <w:r>
        <w:t>1/10</w:t>
      </w:r>
      <w:r w:rsidR="00B95CAF">
        <w:rPr>
          <w:spacing w:val="-1"/>
        </w:rPr>
        <w:t> 000</w:t>
      </w:r>
      <w:r>
        <w:t>),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ismert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gyakoriság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rendelkezésre</w:t>
      </w:r>
      <w:r>
        <w:rPr>
          <w:spacing w:val="-2"/>
        </w:rPr>
        <w:t xml:space="preserve"> </w:t>
      </w:r>
      <w:r>
        <w:t>álló adatokból nem állapítható meg).</w:t>
      </w:r>
    </w:p>
    <w:p w14:paraId="2FB9CC2A" w14:textId="77777777" w:rsidR="00BC10BA" w:rsidRDefault="00BC10BA" w:rsidP="008F5A8D">
      <w:pPr>
        <w:pStyle w:val="Szvegtrzs"/>
        <w:tabs>
          <w:tab w:val="left" w:pos="567"/>
        </w:tabs>
      </w:pPr>
    </w:p>
    <w:p w14:paraId="195559AA" w14:textId="2E94B0BA" w:rsidR="00945359" w:rsidRPr="00511F35" w:rsidRDefault="00A9240D" w:rsidP="008F5A8D">
      <w:r w:rsidRPr="00511F35">
        <w:rPr>
          <w:b/>
        </w:rPr>
        <w:t>18.</w:t>
      </w:r>
      <w:r w:rsidR="00333EE9">
        <w:rPr>
          <w:b/>
        </w:rPr>
        <w:t> </w:t>
      </w:r>
      <w:r w:rsidR="00220A43" w:rsidRPr="008F5A8D">
        <w:rPr>
          <w:b/>
          <w:spacing w:val="-2"/>
        </w:rPr>
        <w:t>táblázat</w:t>
      </w:r>
      <w:r w:rsidRPr="008F5A8D">
        <w:rPr>
          <w:b/>
        </w:rPr>
        <w:t xml:space="preserve">: </w:t>
      </w:r>
      <w:r w:rsidR="00220A43" w:rsidRPr="008F5A8D">
        <w:rPr>
          <w:b/>
          <w:spacing w:val="-2"/>
        </w:rPr>
        <w:t>Mellékhatások</w:t>
      </w:r>
    </w:p>
    <w:p w14:paraId="7A5D8454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906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977"/>
        <w:gridCol w:w="5083"/>
      </w:tblGrid>
      <w:tr w:rsidR="00945359" w14:paraId="4B922C44" w14:textId="77777777" w:rsidTr="004F4A3C">
        <w:trPr>
          <w:trHeight w:val="254"/>
        </w:trPr>
        <w:tc>
          <w:tcPr>
            <w:tcW w:w="3977" w:type="dxa"/>
          </w:tcPr>
          <w:p w14:paraId="70AA85D8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5083" w:type="dxa"/>
          </w:tcPr>
          <w:p w14:paraId="58DDAF1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Gyakoriság</w:t>
            </w:r>
          </w:p>
        </w:tc>
      </w:tr>
      <w:tr w:rsidR="00945359" w14:paraId="3C5131B7" w14:textId="77777777" w:rsidTr="004F4A3C">
        <w:trPr>
          <w:trHeight w:val="505"/>
        </w:trPr>
        <w:tc>
          <w:tcPr>
            <w:tcW w:w="3977" w:type="dxa"/>
          </w:tcPr>
          <w:p w14:paraId="41B907A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Szervrendszeri</w:t>
            </w:r>
            <w:r>
              <w:rPr>
                <w:spacing w:val="14"/>
              </w:rPr>
              <w:t xml:space="preserve"> </w:t>
            </w:r>
            <w:r>
              <w:rPr>
                <w:spacing w:val="-2"/>
              </w:rPr>
              <w:t>kategória/Preferált</w:t>
            </w:r>
          </w:p>
          <w:p w14:paraId="7267F23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kifejezés</w:t>
            </w:r>
          </w:p>
        </w:tc>
        <w:tc>
          <w:tcPr>
            <w:tcW w:w="5083" w:type="dxa"/>
          </w:tcPr>
          <w:p w14:paraId="18C4836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VTE</w:t>
            </w:r>
            <w:r>
              <w:rPr>
                <w:spacing w:val="-6"/>
              </w:rPr>
              <w:t xml:space="preserve"> </w:t>
            </w:r>
            <w:r>
              <w:t>kezelése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VTE</w:t>
            </w:r>
            <w:r>
              <w:rPr>
                <w:spacing w:val="-6"/>
              </w:rPr>
              <w:t xml:space="preserve"> </w:t>
            </w:r>
            <w:r>
              <w:t>kiújulásának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megelőzése</w:t>
            </w:r>
          </w:p>
          <w:p w14:paraId="45F0A75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gyermekeknél</w:t>
            </w:r>
            <w:r>
              <w:rPr>
                <w:spacing w:val="-7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serdülőknél</w:t>
            </w:r>
          </w:p>
        </w:tc>
      </w:tr>
      <w:tr w:rsidR="00945359" w14:paraId="4CA3DE23" w14:textId="77777777" w:rsidTr="004F4A3C">
        <w:trPr>
          <w:trHeight w:val="251"/>
        </w:trPr>
        <w:tc>
          <w:tcPr>
            <w:tcW w:w="9060" w:type="dxa"/>
            <w:gridSpan w:val="2"/>
          </w:tcPr>
          <w:p w14:paraId="11ED034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Vérképzőszervi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9"/>
              </w:rPr>
              <w:t xml:space="preserve"> </w:t>
            </w:r>
            <w:r>
              <w:t>nyirokrendszeri</w:t>
            </w:r>
            <w:r>
              <w:rPr>
                <w:spacing w:val="-8"/>
              </w:rPr>
              <w:t xml:space="preserve"> </w:t>
            </w:r>
            <w:r>
              <w:t>betegségek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5E7309AD" w14:textId="77777777" w:rsidTr="004F4A3C">
        <w:trPr>
          <w:trHeight w:val="254"/>
        </w:trPr>
        <w:tc>
          <w:tcPr>
            <w:tcW w:w="3977" w:type="dxa"/>
          </w:tcPr>
          <w:p w14:paraId="458DBDA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Anaemia</w:t>
            </w:r>
          </w:p>
        </w:tc>
        <w:tc>
          <w:tcPr>
            <w:tcW w:w="5083" w:type="dxa"/>
          </w:tcPr>
          <w:p w14:paraId="69B1A0C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073E83AB" w14:textId="77777777" w:rsidTr="004F4A3C">
        <w:trPr>
          <w:trHeight w:val="253"/>
        </w:trPr>
        <w:tc>
          <w:tcPr>
            <w:tcW w:w="3977" w:type="dxa"/>
          </w:tcPr>
          <w:p w14:paraId="7E4721F0" w14:textId="5C2A615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Csökkent</w:t>
            </w:r>
            <w:r>
              <w:rPr>
                <w:spacing w:val="-8"/>
              </w:rPr>
              <w:t xml:space="preserve"> </w:t>
            </w:r>
            <w:r w:rsidR="002E2A7B">
              <w:rPr>
                <w:spacing w:val="-2"/>
              </w:rPr>
              <w:t>hemogl</w:t>
            </w:r>
            <w:r>
              <w:rPr>
                <w:spacing w:val="-2"/>
              </w:rPr>
              <w:t>obinszint</w:t>
            </w:r>
          </w:p>
        </w:tc>
        <w:tc>
          <w:tcPr>
            <w:tcW w:w="5083" w:type="dxa"/>
          </w:tcPr>
          <w:p w14:paraId="09EDEA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1546F65C" w14:textId="77777777" w:rsidTr="004F4A3C">
        <w:trPr>
          <w:trHeight w:val="251"/>
        </w:trPr>
        <w:tc>
          <w:tcPr>
            <w:tcW w:w="3977" w:type="dxa"/>
          </w:tcPr>
          <w:p w14:paraId="044DE22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Thrombocytopenia</w:t>
            </w:r>
          </w:p>
        </w:tc>
        <w:tc>
          <w:tcPr>
            <w:tcW w:w="5083" w:type="dxa"/>
          </w:tcPr>
          <w:p w14:paraId="3AE8EF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69A0F838" w14:textId="77777777" w:rsidTr="004F4A3C">
        <w:trPr>
          <w:trHeight w:val="253"/>
        </w:trPr>
        <w:tc>
          <w:tcPr>
            <w:tcW w:w="3977" w:type="dxa"/>
          </w:tcPr>
          <w:p w14:paraId="5E65F1AD" w14:textId="60E4618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Csökkent</w:t>
            </w:r>
            <w:r>
              <w:rPr>
                <w:spacing w:val="-8"/>
              </w:rPr>
              <w:t xml:space="preserve"> </w:t>
            </w:r>
            <w:r w:rsidR="002E2A7B">
              <w:rPr>
                <w:spacing w:val="-2"/>
              </w:rPr>
              <w:t>hematokrit</w:t>
            </w:r>
          </w:p>
        </w:tc>
        <w:tc>
          <w:tcPr>
            <w:tcW w:w="5083" w:type="dxa"/>
          </w:tcPr>
          <w:p w14:paraId="07F553E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362BF77E" w14:textId="77777777" w:rsidTr="004F4A3C">
        <w:trPr>
          <w:trHeight w:val="251"/>
        </w:trPr>
        <w:tc>
          <w:tcPr>
            <w:tcW w:w="3977" w:type="dxa"/>
          </w:tcPr>
          <w:p w14:paraId="5F5F6FB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Neutropenia</w:t>
            </w:r>
          </w:p>
        </w:tc>
        <w:tc>
          <w:tcPr>
            <w:tcW w:w="5083" w:type="dxa"/>
          </w:tcPr>
          <w:p w14:paraId="6B4E4EA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7B9F3564" w14:textId="77777777" w:rsidTr="004F4A3C">
        <w:trPr>
          <w:trHeight w:val="254"/>
        </w:trPr>
        <w:tc>
          <w:tcPr>
            <w:tcW w:w="3977" w:type="dxa"/>
          </w:tcPr>
          <w:p w14:paraId="4FC277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Agranulocytosis</w:t>
            </w:r>
          </w:p>
        </w:tc>
        <w:tc>
          <w:tcPr>
            <w:tcW w:w="5083" w:type="dxa"/>
          </w:tcPr>
          <w:p w14:paraId="727B34A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4000A5B9" w14:textId="77777777" w:rsidTr="004F4A3C">
        <w:trPr>
          <w:trHeight w:val="251"/>
        </w:trPr>
        <w:tc>
          <w:tcPr>
            <w:tcW w:w="9060" w:type="dxa"/>
            <w:gridSpan w:val="2"/>
          </w:tcPr>
          <w:p w14:paraId="25D037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Immunrendszeri</w:t>
            </w:r>
            <w:r>
              <w:rPr>
                <w:spacing w:val="-9"/>
              </w:rPr>
              <w:t xml:space="preserve"> </w:t>
            </w:r>
            <w:r>
              <w:t>betegségek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15E651B4" w14:textId="77777777" w:rsidTr="004F4A3C">
        <w:trPr>
          <w:trHeight w:val="254"/>
        </w:trPr>
        <w:tc>
          <w:tcPr>
            <w:tcW w:w="3977" w:type="dxa"/>
          </w:tcPr>
          <w:p w14:paraId="73E2889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Gyógyszer-túlérzékenység</w:t>
            </w:r>
          </w:p>
        </w:tc>
        <w:tc>
          <w:tcPr>
            <w:tcW w:w="5083" w:type="dxa"/>
          </w:tcPr>
          <w:p w14:paraId="549FEA2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0EDB459D" w14:textId="77777777" w:rsidTr="004F4A3C">
        <w:trPr>
          <w:trHeight w:val="253"/>
        </w:trPr>
        <w:tc>
          <w:tcPr>
            <w:tcW w:w="3977" w:type="dxa"/>
          </w:tcPr>
          <w:p w14:paraId="3FD92C1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Bőrkiütés</w:t>
            </w:r>
          </w:p>
        </w:tc>
        <w:tc>
          <w:tcPr>
            <w:tcW w:w="5083" w:type="dxa"/>
          </w:tcPr>
          <w:p w14:paraId="097CABE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144D71CC" w14:textId="77777777" w:rsidTr="004F4A3C">
        <w:trPr>
          <w:trHeight w:val="251"/>
        </w:trPr>
        <w:tc>
          <w:tcPr>
            <w:tcW w:w="3977" w:type="dxa"/>
          </w:tcPr>
          <w:p w14:paraId="0D0A4E3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Viszketés</w:t>
            </w:r>
          </w:p>
        </w:tc>
        <w:tc>
          <w:tcPr>
            <w:tcW w:w="5083" w:type="dxa"/>
          </w:tcPr>
          <w:p w14:paraId="5F672D9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3C379FD" w14:textId="77777777" w:rsidTr="004F4A3C">
        <w:trPr>
          <w:trHeight w:val="254"/>
        </w:trPr>
        <w:tc>
          <w:tcPr>
            <w:tcW w:w="3977" w:type="dxa"/>
          </w:tcPr>
          <w:p w14:paraId="7A13547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Anafilaxiás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reakció</w:t>
            </w:r>
          </w:p>
        </w:tc>
        <w:tc>
          <w:tcPr>
            <w:tcW w:w="5083" w:type="dxa"/>
          </w:tcPr>
          <w:p w14:paraId="529BF2E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5F226ABC" w14:textId="77777777" w:rsidTr="004F4A3C">
        <w:trPr>
          <w:trHeight w:val="251"/>
        </w:trPr>
        <w:tc>
          <w:tcPr>
            <w:tcW w:w="3977" w:type="dxa"/>
          </w:tcPr>
          <w:p w14:paraId="3D2BBD7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Angiooedema</w:t>
            </w:r>
          </w:p>
        </w:tc>
        <w:tc>
          <w:tcPr>
            <w:tcW w:w="5083" w:type="dxa"/>
          </w:tcPr>
          <w:p w14:paraId="5210874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3E2D75DC" w14:textId="77777777" w:rsidTr="004F4A3C">
        <w:trPr>
          <w:trHeight w:val="254"/>
        </w:trPr>
        <w:tc>
          <w:tcPr>
            <w:tcW w:w="3977" w:type="dxa"/>
          </w:tcPr>
          <w:p w14:paraId="4665942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Csalánkiütés</w:t>
            </w:r>
          </w:p>
        </w:tc>
        <w:tc>
          <w:tcPr>
            <w:tcW w:w="5083" w:type="dxa"/>
          </w:tcPr>
          <w:p w14:paraId="41F063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44088283" w14:textId="77777777" w:rsidTr="004F4A3C">
        <w:trPr>
          <w:trHeight w:val="251"/>
        </w:trPr>
        <w:tc>
          <w:tcPr>
            <w:tcW w:w="3977" w:type="dxa"/>
          </w:tcPr>
          <w:p w14:paraId="710F5CB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Hörgőgörcs</w:t>
            </w:r>
          </w:p>
        </w:tc>
        <w:tc>
          <w:tcPr>
            <w:tcW w:w="5083" w:type="dxa"/>
          </w:tcPr>
          <w:p w14:paraId="7565234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79DC82BB" w14:textId="77777777" w:rsidTr="004F4A3C">
        <w:trPr>
          <w:trHeight w:val="253"/>
        </w:trPr>
        <w:tc>
          <w:tcPr>
            <w:tcW w:w="9060" w:type="dxa"/>
            <w:gridSpan w:val="2"/>
          </w:tcPr>
          <w:p w14:paraId="1583BC5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Idegrendszeri</w:t>
            </w:r>
            <w:r>
              <w:rPr>
                <w:spacing w:val="-9"/>
              </w:rPr>
              <w:t xml:space="preserve"> </w:t>
            </w:r>
            <w:r>
              <w:t>betegségek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456AF552" w14:textId="77777777" w:rsidTr="004F4A3C">
        <w:trPr>
          <w:trHeight w:val="254"/>
        </w:trPr>
        <w:tc>
          <w:tcPr>
            <w:tcW w:w="3977" w:type="dxa"/>
          </w:tcPr>
          <w:p w14:paraId="1B90442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Koponyaűri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5083" w:type="dxa"/>
          </w:tcPr>
          <w:p w14:paraId="0894897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72007E66" w14:textId="77777777" w:rsidTr="004F4A3C">
        <w:trPr>
          <w:trHeight w:val="251"/>
        </w:trPr>
        <w:tc>
          <w:tcPr>
            <w:tcW w:w="9060" w:type="dxa"/>
            <w:gridSpan w:val="2"/>
          </w:tcPr>
          <w:p w14:paraId="3352292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Érbetegségek</w:t>
            </w:r>
            <w:r>
              <w:rPr>
                <w:spacing w:val="-7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1D765727" w14:textId="77777777" w:rsidTr="004F4A3C">
        <w:trPr>
          <w:trHeight w:val="253"/>
        </w:trPr>
        <w:tc>
          <w:tcPr>
            <w:tcW w:w="3977" w:type="dxa"/>
          </w:tcPr>
          <w:p w14:paraId="17FDFDB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Haematoma</w:t>
            </w:r>
          </w:p>
        </w:tc>
        <w:tc>
          <w:tcPr>
            <w:tcW w:w="5083" w:type="dxa"/>
          </w:tcPr>
          <w:p w14:paraId="05FB86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20C83C5F" w14:textId="77777777" w:rsidTr="004F4A3C">
        <w:trPr>
          <w:trHeight w:val="251"/>
        </w:trPr>
        <w:tc>
          <w:tcPr>
            <w:tcW w:w="3977" w:type="dxa"/>
          </w:tcPr>
          <w:p w14:paraId="5FFA325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Vérzés</w:t>
            </w:r>
          </w:p>
        </w:tc>
        <w:tc>
          <w:tcPr>
            <w:tcW w:w="5083" w:type="dxa"/>
          </w:tcPr>
          <w:p w14:paraId="1C69C57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4A3D7BF8" w14:textId="77777777" w:rsidTr="004F4A3C">
        <w:trPr>
          <w:trHeight w:val="253"/>
        </w:trPr>
        <w:tc>
          <w:tcPr>
            <w:tcW w:w="9060" w:type="dxa"/>
            <w:gridSpan w:val="2"/>
          </w:tcPr>
          <w:p w14:paraId="3CC0C4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Légzőrendszeri,</w:t>
            </w:r>
            <w:r>
              <w:rPr>
                <w:spacing w:val="-9"/>
              </w:rPr>
              <w:t xml:space="preserve"> </w:t>
            </w:r>
            <w:r>
              <w:t>mellkasi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t>mediastinalis</w:t>
            </w:r>
            <w:r>
              <w:rPr>
                <w:spacing w:val="-9"/>
              </w:rPr>
              <w:t xml:space="preserve"> </w:t>
            </w:r>
            <w:r>
              <w:t>betegségek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686FA3F1" w14:textId="77777777" w:rsidTr="004F4A3C">
        <w:trPr>
          <w:trHeight w:val="254"/>
        </w:trPr>
        <w:tc>
          <w:tcPr>
            <w:tcW w:w="3977" w:type="dxa"/>
          </w:tcPr>
          <w:p w14:paraId="33C9AD2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Orrvérzés</w:t>
            </w:r>
          </w:p>
        </w:tc>
        <w:tc>
          <w:tcPr>
            <w:tcW w:w="5083" w:type="dxa"/>
          </w:tcPr>
          <w:p w14:paraId="5B04F6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752E0078" w14:textId="77777777" w:rsidTr="004F4A3C">
        <w:trPr>
          <w:trHeight w:val="251"/>
        </w:trPr>
        <w:tc>
          <w:tcPr>
            <w:tcW w:w="3977" w:type="dxa"/>
          </w:tcPr>
          <w:p w14:paraId="1DF152A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Haemoptoe</w:t>
            </w:r>
          </w:p>
        </w:tc>
        <w:tc>
          <w:tcPr>
            <w:tcW w:w="5083" w:type="dxa"/>
          </w:tcPr>
          <w:p w14:paraId="4DFCC56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027C98F0" w14:textId="77777777" w:rsidTr="004F4A3C">
        <w:trPr>
          <w:trHeight w:val="253"/>
        </w:trPr>
        <w:tc>
          <w:tcPr>
            <w:tcW w:w="9060" w:type="dxa"/>
            <w:gridSpan w:val="2"/>
          </w:tcPr>
          <w:p w14:paraId="00D4E5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Emésztőrendszeri</w:t>
            </w:r>
            <w:r>
              <w:rPr>
                <w:spacing w:val="-12"/>
              </w:rPr>
              <w:t xml:space="preserve"> </w:t>
            </w:r>
            <w:r>
              <w:t>betegségek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5D65EB8B" w14:textId="77777777" w:rsidTr="004F4A3C">
        <w:trPr>
          <w:trHeight w:val="251"/>
        </w:trPr>
        <w:tc>
          <w:tcPr>
            <w:tcW w:w="3977" w:type="dxa"/>
          </w:tcPr>
          <w:p w14:paraId="0103D64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Emésztőrendszeri</w:t>
            </w:r>
            <w:r>
              <w:rPr>
                <w:spacing w:val="16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5083" w:type="dxa"/>
          </w:tcPr>
          <w:p w14:paraId="0B41264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E2A298A" w14:textId="77777777" w:rsidTr="004F4A3C">
        <w:trPr>
          <w:trHeight w:val="254"/>
        </w:trPr>
        <w:tc>
          <w:tcPr>
            <w:tcW w:w="3977" w:type="dxa"/>
          </w:tcPr>
          <w:p w14:paraId="2A0A1D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Hasi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fájdalom</w:t>
            </w:r>
          </w:p>
        </w:tc>
        <w:tc>
          <w:tcPr>
            <w:tcW w:w="5083" w:type="dxa"/>
          </w:tcPr>
          <w:p w14:paraId="61289D5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353C83AD" w14:textId="77777777" w:rsidTr="004F4A3C">
        <w:trPr>
          <w:trHeight w:val="251"/>
        </w:trPr>
        <w:tc>
          <w:tcPr>
            <w:tcW w:w="3977" w:type="dxa"/>
          </w:tcPr>
          <w:p w14:paraId="62887FC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Hasmenés</w:t>
            </w:r>
          </w:p>
        </w:tc>
        <w:tc>
          <w:tcPr>
            <w:tcW w:w="5083" w:type="dxa"/>
          </w:tcPr>
          <w:p w14:paraId="299ADDD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1972FBC8" w14:textId="77777777" w:rsidTr="004F4A3C">
        <w:trPr>
          <w:trHeight w:val="253"/>
        </w:trPr>
        <w:tc>
          <w:tcPr>
            <w:tcW w:w="3977" w:type="dxa"/>
          </w:tcPr>
          <w:p w14:paraId="6D945B2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Dyspepsia</w:t>
            </w:r>
          </w:p>
        </w:tc>
        <w:tc>
          <w:tcPr>
            <w:tcW w:w="5083" w:type="dxa"/>
          </w:tcPr>
          <w:p w14:paraId="6F793F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72D57829" w14:textId="77777777" w:rsidTr="004F4A3C">
        <w:trPr>
          <w:trHeight w:val="253"/>
        </w:trPr>
        <w:tc>
          <w:tcPr>
            <w:tcW w:w="3977" w:type="dxa"/>
          </w:tcPr>
          <w:p w14:paraId="6B31E93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Hányinger</w:t>
            </w:r>
          </w:p>
        </w:tc>
        <w:tc>
          <w:tcPr>
            <w:tcW w:w="5083" w:type="dxa"/>
          </w:tcPr>
          <w:p w14:paraId="74CCE0B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6A87D80F" w14:textId="77777777" w:rsidTr="004F4A3C">
        <w:trPr>
          <w:trHeight w:val="251"/>
        </w:trPr>
        <w:tc>
          <w:tcPr>
            <w:tcW w:w="3977" w:type="dxa"/>
          </w:tcPr>
          <w:p w14:paraId="026FB9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Rectalis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5083" w:type="dxa"/>
          </w:tcPr>
          <w:p w14:paraId="1320C08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1DF69DE5" w14:textId="77777777" w:rsidTr="004F4A3C">
        <w:trPr>
          <w:trHeight w:val="253"/>
        </w:trPr>
        <w:tc>
          <w:tcPr>
            <w:tcW w:w="3977" w:type="dxa"/>
          </w:tcPr>
          <w:p w14:paraId="7878AB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Aranyérvérzés</w:t>
            </w:r>
          </w:p>
        </w:tc>
        <w:tc>
          <w:tcPr>
            <w:tcW w:w="5083" w:type="dxa"/>
          </w:tcPr>
          <w:p w14:paraId="4855C86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2B0225C0" w14:textId="77777777" w:rsidTr="004F4A3C">
        <w:trPr>
          <w:trHeight w:val="506"/>
        </w:trPr>
        <w:tc>
          <w:tcPr>
            <w:tcW w:w="3977" w:type="dxa"/>
          </w:tcPr>
          <w:p w14:paraId="191418A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Gastrointestinalis</w:t>
            </w:r>
            <w:r>
              <w:rPr>
                <w:spacing w:val="-13"/>
              </w:rPr>
              <w:t xml:space="preserve"> </w:t>
            </w:r>
            <w:r>
              <w:t>fekély,</w:t>
            </w:r>
            <w:r>
              <w:rPr>
                <w:spacing w:val="-12"/>
              </w:rPr>
              <w:t xml:space="preserve"> </w:t>
            </w:r>
            <w:r>
              <w:rPr>
                <w:spacing w:val="-10"/>
              </w:rPr>
              <w:t>a</w:t>
            </w:r>
          </w:p>
          <w:p w14:paraId="3303B7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nyelőcsőfekélyt</w:t>
            </w:r>
            <w:r>
              <w:rPr>
                <w:spacing w:val="-9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beleértve</w:t>
            </w:r>
          </w:p>
        </w:tc>
        <w:tc>
          <w:tcPr>
            <w:tcW w:w="5083" w:type="dxa"/>
          </w:tcPr>
          <w:p w14:paraId="30AE551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74A4A4A6" w14:textId="77777777" w:rsidTr="004F4A3C">
        <w:trPr>
          <w:trHeight w:val="251"/>
        </w:trPr>
        <w:tc>
          <w:tcPr>
            <w:tcW w:w="3977" w:type="dxa"/>
          </w:tcPr>
          <w:p w14:paraId="0C6EEF8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lastRenderedPageBreak/>
              <w:t>Gastrooesophagitis</w:t>
            </w:r>
          </w:p>
        </w:tc>
        <w:tc>
          <w:tcPr>
            <w:tcW w:w="5083" w:type="dxa"/>
          </w:tcPr>
          <w:p w14:paraId="16E89B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55D8D300" w14:textId="77777777" w:rsidTr="004F4A3C">
        <w:trPr>
          <w:trHeight w:val="253"/>
        </w:trPr>
        <w:tc>
          <w:tcPr>
            <w:tcW w:w="3977" w:type="dxa"/>
          </w:tcPr>
          <w:p w14:paraId="6B4D5D2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Gastrooesophagealis</w:t>
            </w:r>
            <w:r>
              <w:rPr>
                <w:spacing w:val="19"/>
              </w:rPr>
              <w:t xml:space="preserve"> </w:t>
            </w:r>
            <w:r>
              <w:rPr>
                <w:spacing w:val="-2"/>
              </w:rPr>
              <w:t>refluxbetegség</w:t>
            </w:r>
          </w:p>
        </w:tc>
        <w:tc>
          <w:tcPr>
            <w:tcW w:w="5083" w:type="dxa"/>
          </w:tcPr>
          <w:p w14:paraId="11FA995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1547E632" w14:textId="77777777" w:rsidTr="004F4A3C">
        <w:trPr>
          <w:trHeight w:val="251"/>
        </w:trPr>
        <w:tc>
          <w:tcPr>
            <w:tcW w:w="3977" w:type="dxa"/>
          </w:tcPr>
          <w:p w14:paraId="7A239C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Hányás</w:t>
            </w:r>
          </w:p>
        </w:tc>
        <w:tc>
          <w:tcPr>
            <w:tcW w:w="5083" w:type="dxa"/>
          </w:tcPr>
          <w:p w14:paraId="433CF9C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1B79668B" w14:textId="77777777" w:rsidTr="004F4A3C">
        <w:trPr>
          <w:trHeight w:val="253"/>
        </w:trPr>
        <w:tc>
          <w:tcPr>
            <w:tcW w:w="3977" w:type="dxa"/>
          </w:tcPr>
          <w:p w14:paraId="0256D2E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Dysphagia</w:t>
            </w:r>
          </w:p>
        </w:tc>
        <w:tc>
          <w:tcPr>
            <w:tcW w:w="5083" w:type="dxa"/>
          </w:tcPr>
          <w:p w14:paraId="57E5870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1AC6DB8" w14:textId="77777777" w:rsidTr="004F4A3C">
        <w:trPr>
          <w:trHeight w:val="254"/>
        </w:trPr>
        <w:tc>
          <w:tcPr>
            <w:tcW w:w="9060" w:type="dxa"/>
            <w:gridSpan w:val="2"/>
          </w:tcPr>
          <w:p w14:paraId="1B5FB4E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Máj-</w:t>
            </w:r>
            <w:r>
              <w:rPr>
                <w:spacing w:val="-9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t>epebetegségek,</w:t>
            </w:r>
            <w:r>
              <w:rPr>
                <w:spacing w:val="-6"/>
              </w:rPr>
              <w:t xml:space="preserve"> </w:t>
            </w:r>
            <w:r>
              <w:t>illetve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5C3498E2" w14:textId="77777777" w:rsidTr="004F4A3C">
        <w:trPr>
          <w:trHeight w:val="505"/>
        </w:trPr>
        <w:tc>
          <w:tcPr>
            <w:tcW w:w="3977" w:type="dxa"/>
          </w:tcPr>
          <w:p w14:paraId="0EF9F73A" w14:textId="5523F91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Kóros</w:t>
            </w:r>
            <w:r>
              <w:rPr>
                <w:spacing w:val="-11"/>
              </w:rPr>
              <w:t xml:space="preserve"> </w:t>
            </w:r>
            <w:r>
              <w:t>májfunkció</w:t>
            </w:r>
            <w:r w:rsidR="00440155">
              <w:t xml:space="preserve"> </w:t>
            </w:r>
            <w:r>
              <w:t>/</w:t>
            </w:r>
            <w:r w:rsidR="00440155">
              <w:t xml:space="preserve"> </w:t>
            </w:r>
            <w:r>
              <w:t>Kóros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májfunkciós</w:t>
            </w:r>
          </w:p>
          <w:p w14:paraId="268E153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vizsgálati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eredmények</w:t>
            </w:r>
          </w:p>
        </w:tc>
        <w:tc>
          <w:tcPr>
            <w:tcW w:w="5083" w:type="dxa"/>
          </w:tcPr>
          <w:p w14:paraId="33D0616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03E2479B" w14:textId="77777777" w:rsidTr="004F4A3C">
        <w:trPr>
          <w:trHeight w:val="503"/>
        </w:trPr>
        <w:tc>
          <w:tcPr>
            <w:tcW w:w="3977" w:type="dxa"/>
          </w:tcPr>
          <w:p w14:paraId="68D9FD5A" w14:textId="3C7D4DE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Glutamát-piruvát-transzamináz</w:t>
            </w:r>
            <w:r w:rsidR="00440155">
              <w:rPr>
                <w:spacing w:val="-2"/>
              </w:rPr>
              <w:t>-szint</w:t>
            </w:r>
          </w:p>
          <w:p w14:paraId="0DD94B14" w14:textId="7BBE247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emelkedés</w:t>
            </w:r>
            <w:r w:rsidR="00440155">
              <w:rPr>
                <w:spacing w:val="-2"/>
              </w:rPr>
              <w:t>e</w:t>
            </w:r>
          </w:p>
        </w:tc>
        <w:tc>
          <w:tcPr>
            <w:tcW w:w="5083" w:type="dxa"/>
          </w:tcPr>
          <w:p w14:paraId="6421E88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2522469" w14:textId="77777777" w:rsidTr="004F4A3C">
        <w:trPr>
          <w:trHeight w:val="506"/>
        </w:trPr>
        <w:tc>
          <w:tcPr>
            <w:tcW w:w="3977" w:type="dxa"/>
          </w:tcPr>
          <w:p w14:paraId="1AE1C081" w14:textId="44D6B03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Glutamát-oxálacetát-transzamináz</w:t>
            </w:r>
            <w:r w:rsidR="00440155">
              <w:rPr>
                <w:spacing w:val="-2"/>
              </w:rPr>
              <w:t>-szint</w:t>
            </w:r>
          </w:p>
          <w:p w14:paraId="61A2DB5E" w14:textId="0BAF243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emelkedés</w:t>
            </w:r>
            <w:r w:rsidR="00440155">
              <w:rPr>
                <w:spacing w:val="-2"/>
              </w:rPr>
              <w:t>e</w:t>
            </w:r>
          </w:p>
        </w:tc>
        <w:tc>
          <w:tcPr>
            <w:tcW w:w="5083" w:type="dxa"/>
          </w:tcPr>
          <w:p w14:paraId="3FC6A26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3C7B3C8" w14:textId="77777777" w:rsidTr="004F4A3C">
        <w:trPr>
          <w:trHeight w:val="253"/>
        </w:trPr>
        <w:tc>
          <w:tcPr>
            <w:tcW w:w="3977" w:type="dxa"/>
          </w:tcPr>
          <w:p w14:paraId="644BB0C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Májenzimszint-emelkedés</w:t>
            </w:r>
          </w:p>
        </w:tc>
        <w:tc>
          <w:tcPr>
            <w:tcW w:w="5083" w:type="dxa"/>
          </w:tcPr>
          <w:p w14:paraId="46CA8E7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09DF2BF1" w14:textId="77777777" w:rsidTr="004F4A3C">
        <w:trPr>
          <w:trHeight w:val="254"/>
        </w:trPr>
        <w:tc>
          <w:tcPr>
            <w:tcW w:w="3977" w:type="dxa"/>
          </w:tcPr>
          <w:p w14:paraId="7F48EFF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Hyperbilirubinaemia</w:t>
            </w:r>
          </w:p>
        </w:tc>
        <w:tc>
          <w:tcPr>
            <w:tcW w:w="5083" w:type="dxa"/>
          </w:tcPr>
          <w:p w14:paraId="2C2B080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52B92EDC" w14:textId="77777777" w:rsidTr="004F4A3C">
        <w:trPr>
          <w:trHeight w:val="251"/>
        </w:trPr>
        <w:tc>
          <w:tcPr>
            <w:tcW w:w="9060" w:type="dxa"/>
            <w:gridSpan w:val="2"/>
          </w:tcPr>
          <w:p w14:paraId="51A56FA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bőr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bőr</w:t>
            </w:r>
            <w:r>
              <w:rPr>
                <w:spacing w:val="-3"/>
              </w:rPr>
              <w:t xml:space="preserve"> </w:t>
            </w:r>
            <w:r>
              <w:t>alatti</w:t>
            </w:r>
            <w:r>
              <w:rPr>
                <w:spacing w:val="-4"/>
              </w:rPr>
              <w:t xml:space="preserve"> </w:t>
            </w:r>
            <w:r>
              <w:t>szövet</w:t>
            </w:r>
            <w:r>
              <w:rPr>
                <w:spacing w:val="-4"/>
              </w:rPr>
              <w:t xml:space="preserve"> </w:t>
            </w:r>
            <w:r>
              <w:t>betegségei</w:t>
            </w:r>
            <w:r>
              <w:rPr>
                <w:spacing w:val="-4"/>
              </w:rPr>
              <w:t xml:space="preserve"> </w:t>
            </w:r>
            <w:r>
              <w:t>és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tünetei</w:t>
            </w:r>
          </w:p>
        </w:tc>
      </w:tr>
      <w:tr w:rsidR="00945359" w14:paraId="63B36091" w14:textId="77777777" w:rsidTr="004F4A3C">
        <w:trPr>
          <w:trHeight w:val="253"/>
        </w:trPr>
        <w:tc>
          <w:tcPr>
            <w:tcW w:w="3977" w:type="dxa"/>
          </w:tcPr>
          <w:p w14:paraId="25479BE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Bőrvérzés</w:t>
            </w:r>
          </w:p>
        </w:tc>
        <w:tc>
          <w:tcPr>
            <w:tcW w:w="5083" w:type="dxa"/>
          </w:tcPr>
          <w:p w14:paraId="473552B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546265D" w14:textId="77777777" w:rsidTr="004F4A3C">
        <w:trPr>
          <w:trHeight w:val="251"/>
        </w:trPr>
        <w:tc>
          <w:tcPr>
            <w:tcW w:w="3977" w:type="dxa"/>
          </w:tcPr>
          <w:p w14:paraId="738C80F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Alopecia</w:t>
            </w:r>
          </w:p>
        </w:tc>
        <w:tc>
          <w:tcPr>
            <w:tcW w:w="5083" w:type="dxa"/>
          </w:tcPr>
          <w:p w14:paraId="703BE82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Gyakori</w:t>
            </w:r>
          </w:p>
        </w:tc>
      </w:tr>
      <w:tr w:rsidR="00945359" w14:paraId="77AF1196" w14:textId="77777777" w:rsidTr="004F4A3C">
        <w:trPr>
          <w:trHeight w:val="253"/>
        </w:trPr>
        <w:tc>
          <w:tcPr>
            <w:tcW w:w="9060" w:type="dxa"/>
            <w:gridSpan w:val="2"/>
          </w:tcPr>
          <w:p w14:paraId="2F3AA3E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csont-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izomrendszer,</w:t>
            </w:r>
            <w:r>
              <w:rPr>
                <w:spacing w:val="-6"/>
              </w:rPr>
              <w:t xml:space="preserve"> </w:t>
            </w:r>
            <w:r>
              <w:t>valamint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kötőszövet</w:t>
            </w:r>
            <w:r>
              <w:rPr>
                <w:spacing w:val="-6"/>
              </w:rPr>
              <w:t xml:space="preserve"> </w:t>
            </w:r>
            <w:r>
              <w:t>betegségei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tünetei</w:t>
            </w:r>
          </w:p>
        </w:tc>
      </w:tr>
      <w:tr w:rsidR="00945359" w14:paraId="1C7D1AAE" w14:textId="77777777" w:rsidTr="008F5A8D">
        <w:trPr>
          <w:trHeight w:val="253"/>
        </w:trPr>
        <w:tc>
          <w:tcPr>
            <w:tcW w:w="3977" w:type="dxa"/>
          </w:tcPr>
          <w:p w14:paraId="1E8A930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Haemarthros</w:t>
            </w:r>
          </w:p>
        </w:tc>
        <w:tc>
          <w:tcPr>
            <w:tcW w:w="5083" w:type="dxa"/>
          </w:tcPr>
          <w:p w14:paraId="453850B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5B349C4A" w14:textId="77777777" w:rsidTr="008F5A8D">
        <w:trPr>
          <w:trHeight w:val="254"/>
        </w:trPr>
        <w:tc>
          <w:tcPr>
            <w:tcW w:w="9060" w:type="dxa"/>
            <w:gridSpan w:val="2"/>
          </w:tcPr>
          <w:p w14:paraId="0675406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Vese-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t>húgyúti</w:t>
            </w:r>
            <w:r>
              <w:rPr>
                <w:spacing w:val="-5"/>
              </w:rPr>
              <w:t xml:space="preserve"> </w:t>
            </w:r>
            <w:r>
              <w:t>betegségek</w:t>
            </w:r>
            <w:r>
              <w:rPr>
                <w:spacing w:val="-5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tünetek</w:t>
            </w:r>
          </w:p>
        </w:tc>
      </w:tr>
      <w:tr w:rsidR="00945359" w14:paraId="46479B4E" w14:textId="77777777" w:rsidTr="008F5A8D">
        <w:trPr>
          <w:trHeight w:val="505"/>
        </w:trPr>
        <w:tc>
          <w:tcPr>
            <w:tcW w:w="3977" w:type="dxa"/>
          </w:tcPr>
          <w:p w14:paraId="0C5C99C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Urogenitális</w:t>
            </w:r>
            <w:r>
              <w:rPr>
                <w:spacing w:val="-8"/>
              </w:rPr>
              <w:t xml:space="preserve"> </w:t>
            </w:r>
            <w:r>
              <w:t>vérzés,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haematuriát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is</w:t>
            </w:r>
          </w:p>
          <w:p w14:paraId="57851B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beleértve</w:t>
            </w:r>
          </w:p>
        </w:tc>
        <w:tc>
          <w:tcPr>
            <w:tcW w:w="5083" w:type="dxa"/>
          </w:tcPr>
          <w:p w14:paraId="288D0D6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495AB6EC" w14:textId="77777777" w:rsidTr="008F5A8D">
        <w:trPr>
          <w:trHeight w:val="251"/>
        </w:trPr>
        <w:tc>
          <w:tcPr>
            <w:tcW w:w="9060" w:type="dxa"/>
            <w:gridSpan w:val="2"/>
          </w:tcPr>
          <w:p w14:paraId="441DE15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Általános</w:t>
            </w:r>
            <w:r>
              <w:rPr>
                <w:spacing w:val="-9"/>
              </w:rPr>
              <w:t xml:space="preserve"> </w:t>
            </w:r>
            <w:r>
              <w:t>tünetek,</w:t>
            </w:r>
            <w:r>
              <w:rPr>
                <w:spacing w:val="-7"/>
              </w:rPr>
              <w:t xml:space="preserve"> </w:t>
            </w:r>
            <w:r>
              <w:t>az</w:t>
            </w:r>
            <w:r>
              <w:rPr>
                <w:spacing w:val="-7"/>
              </w:rPr>
              <w:t xml:space="preserve"> </w:t>
            </w:r>
            <w:r>
              <w:t>alkalmazás</w:t>
            </w:r>
            <w:r>
              <w:rPr>
                <w:spacing w:val="-7"/>
              </w:rPr>
              <w:t xml:space="preserve"> </w:t>
            </w:r>
            <w:r>
              <w:t>helyén</w:t>
            </w:r>
            <w:r>
              <w:rPr>
                <w:spacing w:val="-7"/>
              </w:rPr>
              <w:t xml:space="preserve"> </w:t>
            </w:r>
            <w:r>
              <w:t>fellépő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reakciók</w:t>
            </w:r>
          </w:p>
        </w:tc>
      </w:tr>
      <w:tr w:rsidR="00945359" w14:paraId="05AF6AA9" w14:textId="77777777" w:rsidTr="008F5A8D">
        <w:trPr>
          <w:trHeight w:val="254"/>
        </w:trPr>
        <w:tc>
          <w:tcPr>
            <w:tcW w:w="3977" w:type="dxa"/>
          </w:tcPr>
          <w:p w14:paraId="3828604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Vérzés</w:t>
            </w:r>
            <w:r>
              <w:rPr>
                <w:spacing w:val="-7"/>
              </w:rPr>
              <w:t xml:space="preserve"> </w:t>
            </w:r>
            <w:r>
              <w:t>az</w:t>
            </w:r>
            <w:r>
              <w:rPr>
                <w:spacing w:val="-6"/>
              </w:rPr>
              <w:t xml:space="preserve"> </w:t>
            </w:r>
            <w:r>
              <w:t>injekció</w:t>
            </w:r>
            <w:r>
              <w:rPr>
                <w:spacing w:val="-7"/>
              </w:rPr>
              <w:t xml:space="preserve"> </w:t>
            </w:r>
            <w:r>
              <w:t>beadásának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helyén</w:t>
            </w:r>
          </w:p>
        </w:tc>
        <w:tc>
          <w:tcPr>
            <w:tcW w:w="5083" w:type="dxa"/>
          </w:tcPr>
          <w:p w14:paraId="0002C7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69A735D4" w14:textId="77777777" w:rsidTr="008F5A8D">
        <w:trPr>
          <w:trHeight w:val="251"/>
        </w:trPr>
        <w:tc>
          <w:tcPr>
            <w:tcW w:w="3977" w:type="dxa"/>
          </w:tcPr>
          <w:p w14:paraId="359B8C7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Vérzés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kanül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helyén</w:t>
            </w:r>
          </w:p>
        </w:tc>
        <w:tc>
          <w:tcPr>
            <w:tcW w:w="5083" w:type="dxa"/>
          </w:tcPr>
          <w:p w14:paraId="2B68AC5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  <w:tr w:rsidR="00945359" w14:paraId="0D09B1AC" w14:textId="77777777" w:rsidTr="008F5A8D">
        <w:trPr>
          <w:trHeight w:val="254"/>
        </w:trPr>
        <w:tc>
          <w:tcPr>
            <w:tcW w:w="9060" w:type="dxa"/>
            <w:gridSpan w:val="2"/>
          </w:tcPr>
          <w:p w14:paraId="4EC8EBC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Sérülés,</w:t>
            </w:r>
            <w:r>
              <w:rPr>
                <w:spacing w:val="-8"/>
              </w:rPr>
              <w:t xml:space="preserve"> </w:t>
            </w:r>
            <w:r>
              <w:t>mérgezés</w:t>
            </w:r>
            <w:r>
              <w:rPr>
                <w:spacing w:val="-7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beavatkozással</w:t>
            </w:r>
            <w:r>
              <w:rPr>
                <w:spacing w:val="-7"/>
              </w:rPr>
              <w:t xml:space="preserve"> </w:t>
            </w:r>
            <w:r>
              <w:t>kapcsolatos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szövődmények</w:t>
            </w:r>
          </w:p>
        </w:tc>
      </w:tr>
      <w:tr w:rsidR="00945359" w14:paraId="5329F129" w14:textId="77777777" w:rsidTr="008F5A8D">
        <w:trPr>
          <w:trHeight w:val="253"/>
        </w:trPr>
        <w:tc>
          <w:tcPr>
            <w:tcW w:w="3977" w:type="dxa"/>
          </w:tcPr>
          <w:p w14:paraId="47F1C37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Traumás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vérzés</w:t>
            </w:r>
          </w:p>
        </w:tc>
        <w:tc>
          <w:tcPr>
            <w:tcW w:w="5083" w:type="dxa"/>
          </w:tcPr>
          <w:p w14:paraId="20E3831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gyakori</w:t>
            </w:r>
          </w:p>
        </w:tc>
      </w:tr>
      <w:tr w:rsidR="00945359" w14:paraId="6CBB8624" w14:textId="77777777" w:rsidTr="008F5A8D">
        <w:trPr>
          <w:trHeight w:val="251"/>
        </w:trPr>
        <w:tc>
          <w:tcPr>
            <w:tcW w:w="3977" w:type="dxa"/>
          </w:tcPr>
          <w:p w14:paraId="0B1594E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Vérzés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bemetszés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helyén</w:t>
            </w:r>
          </w:p>
        </w:tc>
        <w:tc>
          <w:tcPr>
            <w:tcW w:w="5083" w:type="dxa"/>
          </w:tcPr>
          <w:p w14:paraId="55FD2D3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Nem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ismert</w:t>
            </w:r>
          </w:p>
        </w:tc>
      </w:tr>
    </w:tbl>
    <w:p w14:paraId="71160F02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764AAA59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Vérzéses</w:t>
      </w:r>
      <w:r>
        <w:rPr>
          <w:i/>
          <w:spacing w:val="-10"/>
          <w:u w:val="single"/>
        </w:rPr>
        <w:t xml:space="preserve"> </w:t>
      </w:r>
      <w:r>
        <w:rPr>
          <w:i/>
          <w:spacing w:val="-2"/>
          <w:u w:val="single"/>
        </w:rPr>
        <w:t>reakciók</w:t>
      </w:r>
    </w:p>
    <w:p w14:paraId="29760475" w14:textId="3A3A38EC" w:rsidR="00945359" w:rsidRDefault="00220A43" w:rsidP="008F5A8D">
      <w:pPr>
        <w:pStyle w:val="Szvegtrzs"/>
        <w:tabs>
          <w:tab w:val="left" w:pos="567"/>
        </w:tabs>
      </w:pPr>
      <w:r>
        <w:t>A két III.</w:t>
      </w:r>
      <w:r w:rsidR="00294835">
        <w:t> fázis</w:t>
      </w:r>
      <w:r>
        <w:t>ú vizsgálatban, VTE kezelése és VTE kiújulásának megelőzése gyermekeknél és serdülőknél indikációban</w:t>
      </w:r>
      <w:r w:rsidR="00440155">
        <w:t>,</w:t>
      </w:r>
      <w:r>
        <w:t xml:space="preserve"> összesen 7</w:t>
      </w:r>
      <w:r w:rsidR="00440155">
        <w:rPr>
          <w:spacing w:val="-2"/>
        </w:rPr>
        <w:t> </w:t>
      </w:r>
      <w:r>
        <w:t>beteg (2,1%) tapasztalt egy major vérzéses eseményt, 5</w:t>
      </w:r>
      <w:r w:rsidR="00440155">
        <w:t> </w:t>
      </w:r>
      <w:r>
        <w:t>beteg (1,5%) egy klinikailag jelentős, nem major vérzéses eseményt és 75</w:t>
      </w:r>
      <w:r w:rsidR="00440155">
        <w:t> </w:t>
      </w:r>
      <w:r>
        <w:t xml:space="preserve">beteg (22,9%) egy kisebb vérzéses eseményt. A vérzéses események gyakorisága összességében </w:t>
      </w:r>
      <w:r w:rsidR="00440155">
        <w:t>nagyo</w:t>
      </w:r>
      <w:r>
        <w:t>bb volt az idősebb korcsoportban</w:t>
      </w:r>
      <w:r>
        <w:rPr>
          <w:spacing w:val="-3"/>
        </w:rPr>
        <w:t xml:space="preserve"> </w:t>
      </w:r>
      <w:r>
        <w:t>(12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 w:rsidR="00B95CAF">
        <w:t>&lt;</w:t>
      </w:r>
      <w:r>
        <w:t>18</w:t>
      </w:r>
      <w:r w:rsidR="00294835">
        <w:rPr>
          <w:spacing w:val="-5"/>
        </w:rPr>
        <w:t> éves</w:t>
      </w:r>
      <w:r>
        <w:t>ek:</w:t>
      </w:r>
      <w:r>
        <w:rPr>
          <w:spacing w:val="-3"/>
        </w:rPr>
        <w:t xml:space="preserve"> </w:t>
      </w:r>
      <w:r>
        <w:t>28,6%),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fiatalabb</w:t>
      </w:r>
      <w:r>
        <w:rPr>
          <w:spacing w:val="-3"/>
        </w:rPr>
        <w:t xml:space="preserve"> </w:t>
      </w:r>
      <w:r>
        <w:t>korcsoportokban</w:t>
      </w:r>
      <w:r>
        <w:rPr>
          <w:spacing w:val="-3"/>
        </w:rPr>
        <w:t xml:space="preserve"> </w:t>
      </w:r>
      <w:r>
        <w:t>(születés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 w:rsidR="00B95CAF">
        <w:t>&lt;</w:t>
      </w:r>
      <w:r>
        <w:t>2</w:t>
      </w:r>
      <w:r w:rsidR="00294835">
        <w:rPr>
          <w:spacing w:val="-2"/>
        </w:rPr>
        <w:t> éves</w:t>
      </w:r>
      <w:r>
        <w:t xml:space="preserve">ek: 23,3%; 2 – </w:t>
      </w:r>
      <w:r w:rsidR="00B95CAF">
        <w:t>&lt;</w:t>
      </w:r>
      <w:r>
        <w:t>12</w:t>
      </w:r>
      <w:r w:rsidR="00294835">
        <w:t> éves</w:t>
      </w:r>
      <w:r>
        <w:t xml:space="preserve">ek: 16,2%). A major vagy súlyos vérzések lokalizációjuktól függetlenül </w:t>
      </w:r>
      <w:r w:rsidR="00B95CAF">
        <w:t>egészségkárosodás</w:t>
      </w:r>
      <w:r>
        <w:t>hoz, életet veszélyeztető állapothoz vagy akár halálos kimenetelhez vezethetnek.</w:t>
      </w:r>
    </w:p>
    <w:p w14:paraId="2F95B42D" w14:textId="77777777" w:rsidR="00945359" w:rsidRDefault="00945359" w:rsidP="008F5A8D">
      <w:pPr>
        <w:pStyle w:val="Szvegtrzs"/>
        <w:tabs>
          <w:tab w:val="left" w:pos="567"/>
        </w:tabs>
      </w:pPr>
    </w:p>
    <w:p w14:paraId="1D2DFA9E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Feltételezett</w:t>
      </w:r>
      <w:r>
        <w:rPr>
          <w:spacing w:val="-13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13"/>
          <w:u w:val="single"/>
        </w:rPr>
        <w:t xml:space="preserve"> </w:t>
      </w:r>
      <w:r>
        <w:rPr>
          <w:spacing w:val="-2"/>
          <w:u w:val="single"/>
        </w:rPr>
        <w:t>bejelentése</w:t>
      </w:r>
    </w:p>
    <w:p w14:paraId="13C62DCC" w14:textId="3BB00248" w:rsidR="00DA2E67" w:rsidRDefault="00DA2E67" w:rsidP="008F5A8D">
      <w:pPr>
        <w:pStyle w:val="Szvegtrzs"/>
        <w:tabs>
          <w:tab w:val="left" w:pos="567"/>
        </w:tabs>
      </w:pPr>
      <w:r>
        <w:t>A gyógyszer engedélyezését követően lényeges a feltételezett mellékhatások bejelentése, mert ez fontos</w:t>
      </w:r>
      <w:r>
        <w:rPr>
          <w:spacing w:val="-3"/>
        </w:rPr>
        <w:t xml:space="preserve"> </w:t>
      </w:r>
      <w:r>
        <w:t>eszköze</w:t>
      </w:r>
      <w:r>
        <w:rPr>
          <w:spacing w:val="-3"/>
        </w:rPr>
        <w:t xml:space="preserve"> </w:t>
      </w:r>
      <w:r>
        <w:t>annak,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előny/kockázat</w:t>
      </w:r>
      <w:r>
        <w:rPr>
          <w:spacing w:val="-3"/>
        </w:rPr>
        <w:t xml:space="preserve"> </w:t>
      </w:r>
      <w:r>
        <w:t>profilját</w:t>
      </w:r>
      <w:r>
        <w:rPr>
          <w:spacing w:val="-3"/>
        </w:rPr>
        <w:t xml:space="preserve"> </w:t>
      </w:r>
      <w:r>
        <w:t>folyamatosan</w:t>
      </w:r>
      <w:r>
        <w:rPr>
          <w:spacing w:val="-3"/>
        </w:rPr>
        <w:t xml:space="preserve"> </w:t>
      </w:r>
      <w:r>
        <w:t>figyelemmel</w:t>
      </w:r>
      <w:r>
        <w:rPr>
          <w:spacing w:val="-3"/>
        </w:rPr>
        <w:t xml:space="preserve"> </w:t>
      </w:r>
      <w:r>
        <w:t xml:space="preserve">lehessen kísérni. </w:t>
      </w:r>
      <w:r w:rsidR="00B900F2" w:rsidRPr="00B900F2">
        <w:t xml:space="preserve">Az egészségügyi szakembereket kérjük, hogy jelentsék be a feltételezett mellékhatásokat a hatóság részére az </w:t>
      </w:r>
      <w:hyperlink r:id="rId7" w:history="1">
        <w:r w:rsidR="00B900F2" w:rsidRPr="00B900F2">
          <w:rPr>
            <w:color w:val="0000FF"/>
            <w:highlight w:val="lightGray"/>
            <w:u w:val="single"/>
          </w:rPr>
          <w:t>V. függelékben</w:t>
        </w:r>
      </w:hyperlink>
      <w:r w:rsidR="00B900F2" w:rsidRPr="00B900F2">
        <w:rPr>
          <w:highlight w:val="lightGray"/>
        </w:rPr>
        <w:t xml:space="preserve"> található elérhetőségek valamelyikén keresztül</w:t>
      </w:r>
    </w:p>
    <w:p w14:paraId="2B661448" w14:textId="77777777" w:rsidR="00945359" w:rsidRDefault="00945359" w:rsidP="008F5A8D">
      <w:pPr>
        <w:pStyle w:val="Szvegtrzs"/>
        <w:tabs>
          <w:tab w:val="left" w:pos="567"/>
        </w:tabs>
      </w:pPr>
    </w:p>
    <w:p w14:paraId="0624D724" w14:textId="5D9A5192" w:rsidR="00945359" w:rsidRPr="00511F35" w:rsidRDefault="00002AA2" w:rsidP="00511F35">
      <w:r w:rsidRPr="00511F35">
        <w:rPr>
          <w:b/>
          <w:spacing w:val="-2"/>
        </w:rPr>
        <w:t>4.9</w:t>
      </w:r>
      <w:r w:rsidRPr="00511F35">
        <w:rPr>
          <w:b/>
          <w:spacing w:val="-2"/>
        </w:rPr>
        <w:tab/>
      </w:r>
      <w:r w:rsidR="00220A43" w:rsidRPr="00511F35">
        <w:rPr>
          <w:b/>
          <w:spacing w:val="-2"/>
        </w:rPr>
        <w:t>Túladagolás</w:t>
      </w:r>
    </w:p>
    <w:p w14:paraId="49D8B292" w14:textId="77777777" w:rsidR="00002AA2" w:rsidRPr="00511F35" w:rsidRDefault="00002AA2" w:rsidP="008F5A8D"/>
    <w:p w14:paraId="4E5E3068" w14:textId="7777777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11"/>
        </w:rPr>
        <w:t xml:space="preserve"> </w:t>
      </w:r>
      <w:r>
        <w:t>javasoltnál</w:t>
      </w:r>
      <w:r>
        <w:rPr>
          <w:spacing w:val="-9"/>
        </w:rPr>
        <w:t xml:space="preserve"> </w:t>
      </w:r>
      <w:r>
        <w:t>nagyobb</w:t>
      </w:r>
      <w:r>
        <w:rPr>
          <w:spacing w:val="-8"/>
        </w:rPr>
        <w:t xml:space="preserve"> </w:t>
      </w:r>
      <w:r>
        <w:t>dabigatrán-etexilát</w:t>
      </w:r>
      <w:r>
        <w:rPr>
          <w:spacing w:val="-8"/>
        </w:rPr>
        <w:t xml:space="preserve"> </w:t>
      </w:r>
      <w:r>
        <w:t>dózisok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beteget</w:t>
      </w:r>
      <w:r>
        <w:rPr>
          <w:spacing w:val="-9"/>
        </w:rPr>
        <w:t xml:space="preserve"> </w:t>
      </w:r>
      <w:r>
        <w:t>fokozott</w:t>
      </w:r>
      <w:r>
        <w:rPr>
          <w:spacing w:val="-8"/>
        </w:rPr>
        <w:t xml:space="preserve"> </w:t>
      </w:r>
      <w:r>
        <w:t>vérzésveszélynek</w:t>
      </w:r>
      <w:r>
        <w:rPr>
          <w:spacing w:val="-9"/>
        </w:rPr>
        <w:t xml:space="preserve"> </w:t>
      </w:r>
      <w:r>
        <w:t>teszik</w:t>
      </w:r>
      <w:r>
        <w:rPr>
          <w:spacing w:val="-8"/>
        </w:rPr>
        <w:t xml:space="preserve"> </w:t>
      </w:r>
      <w:r>
        <w:rPr>
          <w:spacing w:val="-5"/>
        </w:rPr>
        <w:t>ki.</w:t>
      </w:r>
    </w:p>
    <w:p w14:paraId="0E73E5B1" w14:textId="77777777" w:rsidR="00945359" w:rsidRDefault="00945359" w:rsidP="008F5A8D">
      <w:pPr>
        <w:pStyle w:val="Szvegtrzs"/>
        <w:tabs>
          <w:tab w:val="left" w:pos="567"/>
        </w:tabs>
      </w:pPr>
    </w:p>
    <w:p w14:paraId="0F3F7DF6" w14:textId="058C2457" w:rsidR="00945359" w:rsidRDefault="00220A43" w:rsidP="008F5A8D">
      <w:pPr>
        <w:pStyle w:val="Szvegtrzs"/>
        <w:tabs>
          <w:tab w:val="left" w:pos="567"/>
        </w:tabs>
      </w:pPr>
      <w:r>
        <w:t>Túladagolás gyanúja esetén alvadási vizsgálat segíthet meghatározni a vérzés kockázatát (lásd 4.4 és 5.1</w:t>
      </w:r>
      <w:r w:rsidR="00294835">
        <w:rPr>
          <w:spacing w:val="-2"/>
        </w:rPr>
        <w:t> pont</w:t>
      </w:r>
      <w:r>
        <w:t>).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kalibrált</w:t>
      </w:r>
      <w:r>
        <w:rPr>
          <w:spacing w:val="-3"/>
        </w:rPr>
        <w:t xml:space="preserve"> </w:t>
      </w:r>
      <w:r>
        <w:t>kvantitatív</w:t>
      </w:r>
      <w:r>
        <w:rPr>
          <w:spacing w:val="-3"/>
        </w:rPr>
        <w:t xml:space="preserve"> </w:t>
      </w:r>
      <w:r w:rsidR="002E2A7B">
        <w:t>DTT</w:t>
      </w:r>
      <w:r w:rsidR="00440155">
        <w:rPr>
          <w:spacing w:val="-2"/>
        </w:rPr>
        <w:t>-</w:t>
      </w:r>
      <w:r>
        <w:t>vizsgálat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ismételt</w:t>
      </w:r>
      <w:r>
        <w:rPr>
          <w:spacing w:val="-3"/>
        </w:rPr>
        <w:t xml:space="preserve"> </w:t>
      </w:r>
      <w:r w:rsidR="002E2A7B">
        <w:t>DTT</w:t>
      </w:r>
      <w:r w:rsidR="00440155">
        <w:rPr>
          <w:spacing w:val="-3"/>
        </w:rPr>
        <w:t>-</w:t>
      </w:r>
      <w:r>
        <w:t>mérések</w:t>
      </w:r>
      <w:r>
        <w:rPr>
          <w:spacing w:val="-3"/>
        </w:rPr>
        <w:t xml:space="preserve"> </w:t>
      </w:r>
      <w:r>
        <w:t>lehetővé</w:t>
      </w:r>
      <w:r>
        <w:rPr>
          <w:spacing w:val="-3"/>
        </w:rPr>
        <w:t xml:space="preserve"> </w:t>
      </w:r>
      <w:r>
        <w:t>teszik egy bizonyos dabigatrán-szint kialakulási idejének elő</w:t>
      </w:r>
      <w:r w:rsidR="00440155">
        <w:t>re</w:t>
      </w:r>
      <w:r>
        <w:t>jelzését (lásd 5.1</w:t>
      </w:r>
      <w:r w:rsidR="00294835">
        <w:t> pont</w:t>
      </w:r>
      <w:r>
        <w:t>) abban az esetben is, ha kiegészítő beavatkozást, pl. dialízist kezdtek.</w:t>
      </w:r>
    </w:p>
    <w:p w14:paraId="11D004DC" w14:textId="3382F850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túlzott</w:t>
      </w:r>
      <w:r>
        <w:rPr>
          <w:spacing w:val="-3"/>
        </w:rPr>
        <w:t xml:space="preserve"> </w:t>
      </w:r>
      <w:r>
        <w:t>alvadásgátlás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megszakítását</w:t>
      </w:r>
      <w:r>
        <w:rPr>
          <w:spacing w:val="-3"/>
        </w:rPr>
        <w:t xml:space="preserve"> </w:t>
      </w:r>
      <w:r>
        <w:t>teheti</w:t>
      </w:r>
      <w:r>
        <w:rPr>
          <w:spacing w:val="-3"/>
        </w:rPr>
        <w:t xml:space="preserve"> </w:t>
      </w:r>
      <w:r>
        <w:t>szükségessé.</w:t>
      </w:r>
      <w:r>
        <w:rPr>
          <w:spacing w:val="-3"/>
        </w:rPr>
        <w:t xml:space="preserve"> </w:t>
      </w:r>
      <w:r>
        <w:t>Mivel</w:t>
      </w:r>
      <w:r>
        <w:rPr>
          <w:spacing w:val="-3"/>
        </w:rPr>
        <w:t xml:space="preserve"> </w:t>
      </w:r>
      <w:r>
        <w:t>a dabigatrán</w:t>
      </w:r>
      <w:r>
        <w:rPr>
          <w:spacing w:val="-3"/>
        </w:rPr>
        <w:t xml:space="preserve"> </w:t>
      </w:r>
      <w:r>
        <w:t>főleg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vesén</w:t>
      </w:r>
      <w:r>
        <w:rPr>
          <w:spacing w:val="-3"/>
        </w:rPr>
        <w:t xml:space="preserve"> </w:t>
      </w:r>
      <w:r>
        <w:t>keresztül</w:t>
      </w:r>
      <w:r>
        <w:rPr>
          <w:spacing w:val="-3"/>
        </w:rPr>
        <w:t xml:space="preserve"> </w:t>
      </w:r>
      <w:r>
        <w:t>választódik</w:t>
      </w:r>
      <w:r>
        <w:rPr>
          <w:spacing w:val="-3"/>
        </w:rPr>
        <w:t xml:space="preserve"> </w:t>
      </w:r>
      <w:r>
        <w:t>ki,</w:t>
      </w:r>
      <w:r>
        <w:rPr>
          <w:spacing w:val="-3"/>
        </w:rPr>
        <w:t xml:space="preserve"> </w:t>
      </w:r>
      <w:r>
        <w:t>fenn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tartani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megfelelő</w:t>
      </w:r>
      <w:r>
        <w:rPr>
          <w:spacing w:val="-3"/>
        </w:rPr>
        <w:t xml:space="preserve"> </w:t>
      </w:r>
      <w:r>
        <w:t>diuresist.</w:t>
      </w:r>
      <w:r>
        <w:rPr>
          <w:spacing w:val="-3"/>
        </w:rPr>
        <w:t xml:space="preserve"> </w:t>
      </w:r>
      <w:r>
        <w:t>Mivel fehérjekötődése alacsony, a dabigatrán dializálható. Csak korlátozott klinikai tapasztalat áll rendelkezésre e lehetőség használhatóságával kapcsolatban (lásd 5.2</w:t>
      </w:r>
      <w:r w:rsidR="00294835">
        <w:t> pont</w:t>
      </w:r>
      <w:r>
        <w:t>).</w:t>
      </w:r>
    </w:p>
    <w:p w14:paraId="2B6E3B8C" w14:textId="77777777" w:rsidR="00304920" w:rsidRDefault="00304920" w:rsidP="008F5A8D">
      <w:pPr>
        <w:pStyle w:val="Szvegtrzs"/>
        <w:tabs>
          <w:tab w:val="left" w:pos="567"/>
        </w:tabs>
      </w:pPr>
    </w:p>
    <w:p w14:paraId="74573220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lastRenderedPageBreak/>
        <w:t>A</w:t>
      </w:r>
      <w:r>
        <w:rPr>
          <w:spacing w:val="-9"/>
          <w:u w:val="single"/>
        </w:rPr>
        <w:t xml:space="preserve"> </w:t>
      </w:r>
      <w:r>
        <w:rPr>
          <w:u w:val="single"/>
        </w:rPr>
        <w:t>vérzéses</w:t>
      </w:r>
      <w:r>
        <w:rPr>
          <w:spacing w:val="-7"/>
          <w:u w:val="single"/>
        </w:rPr>
        <w:t xml:space="preserve"> </w:t>
      </w:r>
      <w:r>
        <w:rPr>
          <w:u w:val="single"/>
        </w:rPr>
        <w:t>szövődmények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kezelése</w:t>
      </w:r>
    </w:p>
    <w:p w14:paraId="1C47EAA1" w14:textId="5F277A7A" w:rsidR="00945359" w:rsidRDefault="00220A43" w:rsidP="008F5A8D">
      <w:pPr>
        <w:pStyle w:val="Szvegtrzs"/>
        <w:tabs>
          <w:tab w:val="left" w:pos="567"/>
        </w:tabs>
      </w:pPr>
      <w:r>
        <w:t>Vérzéses</w:t>
      </w:r>
      <w:r>
        <w:rPr>
          <w:spacing w:val="-3"/>
        </w:rPr>
        <w:t xml:space="preserve"> </w:t>
      </w:r>
      <w:r>
        <w:t>szövődmény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 w:rsidR="00067923">
        <w:t>dabigatrán-etexilát-kezelés</w:t>
      </w:r>
      <w:r>
        <w:t>t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állítani,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vérzésforrást</w:t>
      </w:r>
      <w:r>
        <w:rPr>
          <w:spacing w:val="-3"/>
        </w:rPr>
        <w:t xml:space="preserve"> </w:t>
      </w:r>
      <w:r>
        <w:t>ki</w:t>
      </w:r>
      <w:r>
        <w:rPr>
          <w:spacing w:val="-3"/>
        </w:rPr>
        <w:t xml:space="preserve"> </w:t>
      </w:r>
      <w:r>
        <w:t>kell deríteni.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klinikai</w:t>
      </w:r>
      <w:r>
        <w:rPr>
          <w:spacing w:val="-1"/>
        </w:rPr>
        <w:t xml:space="preserve"> </w:t>
      </w:r>
      <w:r>
        <w:t>szituációtól</w:t>
      </w:r>
      <w:r>
        <w:rPr>
          <w:spacing w:val="-1"/>
        </w:rPr>
        <w:t xml:space="preserve"> </w:t>
      </w:r>
      <w:r>
        <w:t>függően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rendelő</w:t>
      </w:r>
      <w:r>
        <w:rPr>
          <w:spacing w:val="-1"/>
        </w:rPr>
        <w:t xml:space="preserve"> </w:t>
      </w:r>
      <w:r>
        <w:t>orvos</w:t>
      </w:r>
      <w:r>
        <w:rPr>
          <w:spacing w:val="-1"/>
        </w:rPr>
        <w:t xml:space="preserve"> </w:t>
      </w:r>
      <w:r>
        <w:t>megítélése</w:t>
      </w:r>
      <w:r>
        <w:rPr>
          <w:spacing w:val="-1"/>
        </w:rPr>
        <w:t xml:space="preserve"> </w:t>
      </w:r>
      <w:r>
        <w:t>szerint</w:t>
      </w:r>
      <w:r>
        <w:rPr>
          <w:spacing w:val="-1"/>
        </w:rPr>
        <w:t xml:space="preserve"> </w:t>
      </w:r>
      <w:r>
        <w:t>megfelelő szupportív kezelést, pl. sebészi vérzéscsillapítást és vérpótlást kell végezni.</w:t>
      </w:r>
    </w:p>
    <w:p w14:paraId="0E00DB4A" w14:textId="77777777" w:rsidR="00945359" w:rsidRDefault="00945359" w:rsidP="008F5A8D">
      <w:pPr>
        <w:pStyle w:val="Szvegtrzs"/>
        <w:tabs>
          <w:tab w:val="left" w:pos="567"/>
        </w:tabs>
      </w:pPr>
    </w:p>
    <w:p w14:paraId="51E94D38" w14:textId="709AEB3E" w:rsidR="00945359" w:rsidRDefault="00220A43" w:rsidP="008F5A8D">
      <w:pPr>
        <w:pStyle w:val="Szvegtrzs"/>
        <w:tabs>
          <w:tab w:val="left" w:pos="567"/>
        </w:tabs>
      </w:pPr>
      <w:r>
        <w:t>Azokban a helyzetekben, amikor felnőtt betegeknél a dabigatrán antikoaguláns hatásának gyors felfüggesztése</w:t>
      </w:r>
      <w:r>
        <w:rPr>
          <w:spacing w:val="-4"/>
        </w:rPr>
        <w:t xml:space="preserve"> </w:t>
      </w:r>
      <w:r>
        <w:t>szükséges,</w:t>
      </w:r>
      <w:r>
        <w:rPr>
          <w:spacing w:val="-4"/>
        </w:rPr>
        <w:t xml:space="preserve"> </w:t>
      </w:r>
      <w:r>
        <w:t>specifikus</w:t>
      </w:r>
      <w:r>
        <w:rPr>
          <w:spacing w:val="-4"/>
        </w:rPr>
        <w:t xml:space="preserve"> </w:t>
      </w:r>
      <w:r w:rsidR="00072EAE">
        <w:t>antidotum</w:t>
      </w:r>
      <w:r>
        <w:rPr>
          <w:spacing w:val="-4"/>
        </w:rPr>
        <w:t xml:space="preserve"> </w:t>
      </w:r>
      <w:r>
        <w:t>(idarucizumab)</w:t>
      </w:r>
      <w:r>
        <w:rPr>
          <w:spacing w:val="-4"/>
        </w:rPr>
        <w:t xml:space="preserve"> </w:t>
      </w:r>
      <w:r>
        <w:t>áll</w:t>
      </w:r>
      <w:r>
        <w:rPr>
          <w:spacing w:val="-4"/>
        </w:rPr>
        <w:t xml:space="preserve"> </w:t>
      </w:r>
      <w:r>
        <w:t>rendelkezésre,</w:t>
      </w:r>
      <w:r>
        <w:rPr>
          <w:spacing w:val="-4"/>
        </w:rPr>
        <w:t xml:space="preserve"> </w:t>
      </w:r>
      <w:r>
        <w:t>mely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 farmakodinámiás hatását antagonizálja. Az idarucizumab hatásosságát és biztonságosságát nem határozták meg gyermekeknél és serdülőknél (lásd 4.4</w:t>
      </w:r>
      <w:r w:rsidR="00294835">
        <w:t> pont</w:t>
      </w:r>
      <w:r>
        <w:t>).</w:t>
      </w:r>
    </w:p>
    <w:p w14:paraId="7E44450B" w14:textId="77777777" w:rsidR="00945359" w:rsidRDefault="00945359" w:rsidP="008F5A8D">
      <w:pPr>
        <w:pStyle w:val="Szvegtrzs"/>
        <w:tabs>
          <w:tab w:val="left" w:pos="567"/>
        </w:tabs>
      </w:pPr>
    </w:p>
    <w:p w14:paraId="2A84DCE7" w14:textId="18ED25EC" w:rsidR="00945359" w:rsidRDefault="00220A43" w:rsidP="008F5A8D">
      <w:pPr>
        <w:pStyle w:val="Szvegtrzs"/>
        <w:tabs>
          <w:tab w:val="left" w:pos="567"/>
        </w:tabs>
      </w:pPr>
      <w:r>
        <w:t>Mérlegelni lehet alvadásifaktor</w:t>
      </w:r>
      <w:r w:rsidR="00440155">
        <w:t>-</w:t>
      </w:r>
      <w:r>
        <w:t>koncentrátum (aktivált vagy nem aktivált) vagy rekombináns VIIa faktor adását is. Van olyan kísérletes bizonyíték, ami alátámasztja ezen gyógyszerek szerepét a dabigatrán</w:t>
      </w:r>
      <w:r>
        <w:rPr>
          <w:spacing w:val="-4"/>
        </w:rPr>
        <w:t xml:space="preserve"> </w:t>
      </w:r>
      <w:r>
        <w:t>antikoaguláns</w:t>
      </w:r>
      <w:r>
        <w:rPr>
          <w:spacing w:val="-4"/>
        </w:rPr>
        <w:t xml:space="preserve"> </w:t>
      </w:r>
      <w:r>
        <w:t>hatásának</w:t>
      </w:r>
      <w:r>
        <w:rPr>
          <w:spacing w:val="-4"/>
        </w:rPr>
        <w:t xml:space="preserve"> </w:t>
      </w:r>
      <w:r>
        <w:t>felfüggesztésében.</w:t>
      </w:r>
      <w:r>
        <w:rPr>
          <w:spacing w:val="-4"/>
        </w:rPr>
        <w:t xml:space="preserve"> </w:t>
      </w:r>
      <w:r>
        <w:t>Ezek</w:t>
      </w:r>
      <w:r>
        <w:rPr>
          <w:spacing w:val="-4"/>
        </w:rPr>
        <w:t xml:space="preserve"> </w:t>
      </w:r>
      <w:r>
        <w:t>klinikai</w:t>
      </w:r>
      <w:r>
        <w:rPr>
          <w:spacing w:val="-4"/>
        </w:rPr>
        <w:t xml:space="preserve"> </w:t>
      </w:r>
      <w:r>
        <w:t>használhatóságára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 xml:space="preserve">esetleges </w:t>
      </w:r>
      <w:r w:rsidRPr="004F4A3C">
        <w:rPr>
          <w:i/>
          <w:iCs/>
        </w:rPr>
        <w:t>rebound thromboembolia</w:t>
      </w:r>
      <w:r>
        <w:t xml:space="preserve"> kialakulásának kockázatára vonatkozóan csak nagyon korlátozott</w:t>
      </w:r>
      <w:r w:rsidR="00184036">
        <w:t xml:space="preserve"> </w:t>
      </w:r>
      <w:r>
        <w:t>mennyiségű</w:t>
      </w:r>
      <w:r>
        <w:rPr>
          <w:spacing w:val="-4"/>
        </w:rPr>
        <w:t xml:space="preserve"> </w:t>
      </w:r>
      <w:r>
        <w:t>adat</w:t>
      </w:r>
      <w:r>
        <w:rPr>
          <w:spacing w:val="-4"/>
        </w:rPr>
        <w:t xml:space="preserve"> </w:t>
      </w:r>
      <w:r>
        <w:t>áll</w:t>
      </w:r>
      <w:r>
        <w:rPr>
          <w:spacing w:val="-4"/>
        </w:rPr>
        <w:t xml:space="preserve"> </w:t>
      </w:r>
      <w:r>
        <w:t>rendelkezésre.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alvadási</w:t>
      </w:r>
      <w:r>
        <w:rPr>
          <w:spacing w:val="-4"/>
        </w:rPr>
        <w:t xml:space="preserve"> </w:t>
      </w:r>
      <w:r>
        <w:t>vizsgálatok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alvadásifaktor</w:t>
      </w:r>
      <w:r w:rsidR="00440155">
        <w:rPr>
          <w:spacing w:val="-4"/>
        </w:rPr>
        <w:t>-</w:t>
      </w:r>
      <w:r>
        <w:t>koncentrátum adását követően megbízhatatlanná válhatnak. Fokozott elővigyázatossággal kell eljárni ezen vizsgálatok eredményének értékelésekor. Megfontolandó a thrombocytakoncentrátum adása thrombocytopenia, illetve hosszú hatású thrombocytaellenes gyógyszerek alkalmazását követően. A tüneti kezelést a kezelőorvos döntése alapján kell végezni.</w:t>
      </w:r>
    </w:p>
    <w:p w14:paraId="461B5239" w14:textId="77777777" w:rsidR="00945359" w:rsidRDefault="00945359" w:rsidP="008F5A8D">
      <w:pPr>
        <w:pStyle w:val="Szvegtrzs"/>
        <w:tabs>
          <w:tab w:val="left" w:pos="567"/>
        </w:tabs>
      </w:pPr>
    </w:p>
    <w:p w14:paraId="212E396A" w14:textId="5CD48D39" w:rsidR="00945359" w:rsidRDefault="00220A43" w:rsidP="008F5A8D">
      <w:pPr>
        <w:pStyle w:val="Szvegtrzs"/>
        <w:tabs>
          <w:tab w:val="left" w:pos="567"/>
        </w:tabs>
      </w:pPr>
      <w:r>
        <w:t>Major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megfontolandó</w:t>
      </w:r>
      <w:r>
        <w:rPr>
          <w:spacing w:val="-3"/>
        </w:rPr>
        <w:t xml:space="preserve"> </w:t>
      </w:r>
      <w:r>
        <w:t>egy,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véralvadásban</w:t>
      </w:r>
      <w:r>
        <w:rPr>
          <w:spacing w:val="-3"/>
        </w:rPr>
        <w:t xml:space="preserve"> </w:t>
      </w:r>
      <w:r>
        <w:t>jártas</w:t>
      </w:r>
      <w:r>
        <w:rPr>
          <w:spacing w:val="-3"/>
        </w:rPr>
        <w:t xml:space="preserve"> </w:t>
      </w:r>
      <w:r>
        <w:t>szakemberrel</w:t>
      </w:r>
      <w:r>
        <w:rPr>
          <w:spacing w:val="-3"/>
        </w:rPr>
        <w:t xml:space="preserve"> </w:t>
      </w:r>
      <w:r>
        <w:t>való</w:t>
      </w:r>
      <w:r>
        <w:rPr>
          <w:spacing w:val="-3"/>
        </w:rPr>
        <w:t xml:space="preserve"> </w:t>
      </w:r>
      <w:r>
        <w:t>konzultáció,</w:t>
      </w:r>
      <w:r>
        <w:rPr>
          <w:spacing w:val="-3"/>
        </w:rPr>
        <w:t xml:space="preserve"> </w:t>
      </w:r>
      <w:r>
        <w:t>ha van ilyen az intézményben.</w:t>
      </w:r>
    </w:p>
    <w:p w14:paraId="055D4FC8" w14:textId="77777777" w:rsidR="00945359" w:rsidRDefault="00945359" w:rsidP="008F5A8D">
      <w:pPr>
        <w:pStyle w:val="Szvegtrzs"/>
        <w:tabs>
          <w:tab w:val="left" w:pos="567"/>
        </w:tabs>
      </w:pPr>
    </w:p>
    <w:p w14:paraId="67CA6EF1" w14:textId="77777777" w:rsidR="00945359" w:rsidRDefault="00945359" w:rsidP="008F5A8D">
      <w:pPr>
        <w:pStyle w:val="Szvegtrzs"/>
        <w:tabs>
          <w:tab w:val="left" w:pos="567"/>
        </w:tabs>
      </w:pPr>
    </w:p>
    <w:p w14:paraId="5C0EF1BC" w14:textId="5920A4B4" w:rsidR="00945359" w:rsidRPr="00BC10BA" w:rsidRDefault="00002AA2" w:rsidP="00BC10BA">
      <w:r w:rsidRPr="00BC10BA">
        <w:rPr>
          <w:b/>
        </w:rPr>
        <w:t>5.</w:t>
      </w:r>
      <w:r w:rsidRPr="00BC10BA">
        <w:rPr>
          <w:b/>
        </w:rPr>
        <w:tab/>
      </w:r>
      <w:r w:rsidR="00220A43" w:rsidRPr="00BC10BA">
        <w:rPr>
          <w:b/>
        </w:rPr>
        <w:t>FARMAKOLÓGIAI</w:t>
      </w:r>
      <w:r w:rsidR="00220A43" w:rsidRPr="00BC10BA">
        <w:rPr>
          <w:b/>
          <w:spacing w:val="-13"/>
        </w:rPr>
        <w:t xml:space="preserve"> </w:t>
      </w:r>
      <w:r w:rsidR="00220A43" w:rsidRPr="00BC10BA">
        <w:rPr>
          <w:b/>
          <w:spacing w:val="-2"/>
        </w:rPr>
        <w:t>TULAJDONSÁGOK</w:t>
      </w:r>
    </w:p>
    <w:p w14:paraId="4EE72709" w14:textId="77777777" w:rsidR="00002AA2" w:rsidRPr="00BC10BA" w:rsidRDefault="00002AA2" w:rsidP="00BC10BA"/>
    <w:p w14:paraId="445C9F80" w14:textId="58B7E8D6" w:rsidR="00945359" w:rsidRPr="00511F35" w:rsidRDefault="00002AA2" w:rsidP="00511F35">
      <w:r w:rsidRPr="00511F35">
        <w:rPr>
          <w:b/>
          <w:spacing w:val="-2"/>
        </w:rPr>
        <w:t>5.1</w:t>
      </w:r>
      <w:r w:rsidRPr="00511F35">
        <w:rPr>
          <w:b/>
          <w:spacing w:val="-2"/>
        </w:rPr>
        <w:tab/>
      </w:r>
      <w:r w:rsidR="00220A43" w:rsidRPr="00511F35">
        <w:rPr>
          <w:b/>
          <w:spacing w:val="-2"/>
        </w:rPr>
        <w:t>Farmakodinámiás</w:t>
      </w:r>
      <w:r w:rsidR="00220A43" w:rsidRPr="00511F35">
        <w:rPr>
          <w:b/>
          <w:spacing w:val="15"/>
        </w:rPr>
        <w:t xml:space="preserve"> </w:t>
      </w:r>
      <w:r w:rsidR="00220A43" w:rsidRPr="00511F35">
        <w:rPr>
          <w:b/>
          <w:spacing w:val="-2"/>
        </w:rPr>
        <w:t>tulajdonságok</w:t>
      </w:r>
    </w:p>
    <w:p w14:paraId="32868983" w14:textId="77777777" w:rsidR="00002AA2" w:rsidRPr="00511F35" w:rsidRDefault="00002AA2" w:rsidP="008F5A8D"/>
    <w:p w14:paraId="305FC20D" w14:textId="2A520207" w:rsidR="00945359" w:rsidRDefault="00220A43" w:rsidP="008F5A8D">
      <w:pPr>
        <w:pStyle w:val="Szvegtrzs"/>
        <w:tabs>
          <w:tab w:val="left" w:pos="567"/>
        </w:tabs>
      </w:pPr>
      <w:r>
        <w:t>Farmakoterápiás</w:t>
      </w:r>
      <w:r>
        <w:rPr>
          <w:spacing w:val="-4"/>
        </w:rPr>
        <w:t xml:space="preserve"> </w:t>
      </w:r>
      <w:r>
        <w:t>csoport:</w:t>
      </w:r>
      <w:r>
        <w:rPr>
          <w:spacing w:val="-4"/>
        </w:rPr>
        <w:t xml:space="preserve"> </w:t>
      </w:r>
      <w:r w:rsidR="00294835">
        <w:t>antithromboticus</w:t>
      </w:r>
      <w:r>
        <w:rPr>
          <w:spacing w:val="-4"/>
        </w:rPr>
        <w:t xml:space="preserve"> </w:t>
      </w:r>
      <w:r>
        <w:t>gyógyszerek,</w:t>
      </w:r>
      <w:r>
        <w:rPr>
          <w:spacing w:val="-4"/>
        </w:rPr>
        <w:t xml:space="preserve"> </w:t>
      </w:r>
      <w:r>
        <w:t>direkt</w:t>
      </w:r>
      <w:r>
        <w:rPr>
          <w:spacing w:val="-4"/>
        </w:rPr>
        <w:t xml:space="preserve"> </w:t>
      </w:r>
      <w:r>
        <w:t>trombininhibitorok,</w:t>
      </w:r>
      <w:r>
        <w:rPr>
          <w:spacing w:val="-4"/>
        </w:rPr>
        <w:t xml:space="preserve"> </w:t>
      </w:r>
      <w:r>
        <w:t>ATC</w:t>
      </w:r>
      <w:r w:rsidR="00DD1173">
        <w:rPr>
          <w:spacing w:val="-4"/>
        </w:rPr>
        <w:t>-</w:t>
      </w:r>
      <w:r>
        <w:t xml:space="preserve">kód: </w:t>
      </w:r>
      <w:r>
        <w:rPr>
          <w:spacing w:val="-2"/>
        </w:rPr>
        <w:t>B01AE07.</w:t>
      </w:r>
    </w:p>
    <w:p w14:paraId="04694ECF" w14:textId="77777777" w:rsidR="00304920" w:rsidRDefault="00304920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64A42A50" w14:textId="434D37FA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Hatásmechanizmus</w:t>
      </w:r>
    </w:p>
    <w:p w14:paraId="32A65328" w14:textId="415DB5F7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kis</w:t>
      </w:r>
      <w:r w:rsidR="00DD1173">
        <w:t xml:space="preserve"> </w:t>
      </w:r>
      <w:r>
        <w:t>molekulájú</w:t>
      </w:r>
      <w:r>
        <w:rPr>
          <w:spacing w:val="-3"/>
        </w:rPr>
        <w:t xml:space="preserve"> </w:t>
      </w:r>
      <w:r>
        <w:t>prodrug,</w:t>
      </w:r>
      <w:r>
        <w:rPr>
          <w:spacing w:val="-3"/>
        </w:rPr>
        <w:t xml:space="preserve"> </w:t>
      </w:r>
      <w:r>
        <w:t>amelynek</w:t>
      </w:r>
      <w:r>
        <w:rPr>
          <w:spacing w:val="-3"/>
        </w:rPr>
        <w:t xml:space="preserve"> </w:t>
      </w:r>
      <w:r>
        <w:t>nincs</w:t>
      </w:r>
      <w:r>
        <w:rPr>
          <w:spacing w:val="-4"/>
        </w:rPr>
        <w:t xml:space="preserve"> </w:t>
      </w:r>
      <w:r>
        <w:t>farmakológiai</w:t>
      </w:r>
      <w:r>
        <w:rPr>
          <w:spacing w:val="-3"/>
        </w:rPr>
        <w:t xml:space="preserve"> </w:t>
      </w:r>
      <w:r>
        <w:t>aktivitása.</w:t>
      </w:r>
      <w:r>
        <w:rPr>
          <w:spacing w:val="-4"/>
        </w:rPr>
        <w:t xml:space="preserve"> </w:t>
      </w:r>
      <w:r>
        <w:t>Szájon</w:t>
      </w:r>
      <w:r>
        <w:rPr>
          <w:spacing w:val="-3"/>
        </w:rPr>
        <w:t xml:space="preserve"> </w:t>
      </w:r>
      <w:r>
        <w:t>át történő alkalmazást követően a dabigatrán-etexilát gyorsan felszívódik és dabigatránná alakul a plazmában és a májban egy észteráz által katalizált hidrolízisen keresztül. A dabigatrán egy erős, kompetitív, reverzibilis direkt trombininhibitor, és a legfontosabb aktív forma a plazmában.</w:t>
      </w:r>
    </w:p>
    <w:p w14:paraId="31D0FFF9" w14:textId="3F64BAF5" w:rsidR="00945359" w:rsidRDefault="00220A43" w:rsidP="008F5A8D">
      <w:pPr>
        <w:pStyle w:val="Szvegtrzs"/>
        <w:tabs>
          <w:tab w:val="left" w:pos="567"/>
        </w:tabs>
      </w:pPr>
      <w:r>
        <w:t>Mivel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trombin</w:t>
      </w:r>
      <w:r>
        <w:rPr>
          <w:spacing w:val="-3"/>
        </w:rPr>
        <w:t xml:space="preserve"> </w:t>
      </w:r>
      <w:r>
        <w:t>(szerin</w:t>
      </w:r>
      <w:r w:rsidR="00DD1173">
        <w:rPr>
          <w:spacing w:val="-3"/>
        </w:rPr>
        <w:t>-</w:t>
      </w:r>
      <w:r>
        <w:t>proteáz)</w:t>
      </w:r>
      <w:r>
        <w:rPr>
          <w:spacing w:val="-3"/>
        </w:rPr>
        <w:t xml:space="preserve"> </w:t>
      </w:r>
      <w:r>
        <w:t>teszi</w:t>
      </w:r>
      <w:r>
        <w:rPr>
          <w:spacing w:val="-3"/>
        </w:rPr>
        <w:t xml:space="preserve"> </w:t>
      </w:r>
      <w:r>
        <w:t>lehetővé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fibrinogén</w:t>
      </w:r>
      <w:r>
        <w:rPr>
          <w:spacing w:val="-3"/>
        </w:rPr>
        <w:t xml:space="preserve"> </w:t>
      </w:r>
      <w:r w:rsidR="00DD1173">
        <w:t xml:space="preserve">átalakulását </w:t>
      </w:r>
      <w:r>
        <w:t>fibrinné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alvadási kaszkád során, annak gátlása megelőzi a thrombus kialakulását. A dabigatrán gátolja a szabad trombint, a fibrinhez kötött trombint és a trombin által kiváltott thrombocytaaggregációt.</w:t>
      </w:r>
    </w:p>
    <w:p w14:paraId="39F8B026" w14:textId="77777777" w:rsidR="00945359" w:rsidRDefault="00945359" w:rsidP="008F5A8D">
      <w:pPr>
        <w:pStyle w:val="Szvegtrzs"/>
        <w:tabs>
          <w:tab w:val="left" w:pos="567"/>
        </w:tabs>
      </w:pPr>
    </w:p>
    <w:p w14:paraId="148A8098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Farmakodinámiás</w:t>
      </w:r>
      <w:r>
        <w:rPr>
          <w:spacing w:val="15"/>
          <w:u w:val="single"/>
        </w:rPr>
        <w:t xml:space="preserve"> </w:t>
      </w:r>
      <w:r>
        <w:rPr>
          <w:spacing w:val="-2"/>
          <w:u w:val="single"/>
        </w:rPr>
        <w:t>hatások</w:t>
      </w:r>
    </w:p>
    <w:p w14:paraId="2073F214" w14:textId="166514E9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4"/>
        </w:rPr>
        <w:t xml:space="preserve"> </w:t>
      </w:r>
      <w:r>
        <w:rPr>
          <w:i/>
        </w:rPr>
        <w:t>in</w:t>
      </w:r>
      <w:r>
        <w:rPr>
          <w:i/>
          <w:spacing w:val="-2"/>
        </w:rPr>
        <w:t xml:space="preserve"> </w:t>
      </w:r>
      <w:r>
        <w:rPr>
          <w:i/>
        </w:rPr>
        <w:t>vivo</w:t>
      </w:r>
      <w:r>
        <w:rPr>
          <w:i/>
          <w:spacing w:val="-5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rPr>
          <w:i/>
        </w:rPr>
        <w:t>ex</w:t>
      </w:r>
      <w:r>
        <w:rPr>
          <w:i/>
          <w:spacing w:val="-2"/>
        </w:rPr>
        <w:t xml:space="preserve"> </w:t>
      </w:r>
      <w:r>
        <w:rPr>
          <w:i/>
        </w:rPr>
        <w:t>vivo</w:t>
      </w:r>
      <w:r>
        <w:rPr>
          <w:i/>
          <w:spacing w:val="-2"/>
        </w:rPr>
        <w:t xml:space="preserve"> </w:t>
      </w:r>
      <w:r>
        <w:t>állatkísérletekben</w:t>
      </w:r>
      <w:r>
        <w:rPr>
          <w:spacing w:val="-3"/>
        </w:rPr>
        <w:t xml:space="preserve"> </w:t>
      </w:r>
      <w:r w:rsidR="00294835">
        <w:t>antithromboticus</w:t>
      </w:r>
      <w:r>
        <w:rPr>
          <w:spacing w:val="-3"/>
        </w:rPr>
        <w:t xml:space="preserve"> </w:t>
      </w:r>
      <w:r>
        <w:t>hatást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antikoaguláns</w:t>
      </w:r>
      <w:r>
        <w:rPr>
          <w:spacing w:val="-3"/>
        </w:rPr>
        <w:t xml:space="preserve"> </w:t>
      </w:r>
      <w:r>
        <w:t>aktivitást</w:t>
      </w:r>
      <w:r>
        <w:rPr>
          <w:spacing w:val="-3"/>
        </w:rPr>
        <w:t xml:space="preserve"> </w:t>
      </w:r>
      <w:r>
        <w:t>mutattak</w:t>
      </w:r>
      <w:r>
        <w:rPr>
          <w:spacing w:val="-3"/>
        </w:rPr>
        <w:t xml:space="preserve"> </w:t>
      </w:r>
      <w:r>
        <w:t>ki a dabigatrán intravénás és a dabigatrán-etexilát szájon át történő alkalmazását követően, számos thrombosisos állatmodellben.</w:t>
      </w:r>
    </w:p>
    <w:p w14:paraId="1B1ABF36" w14:textId="77777777" w:rsidR="00945359" w:rsidRDefault="00945359" w:rsidP="008F5A8D">
      <w:pPr>
        <w:pStyle w:val="Szvegtrzs"/>
        <w:tabs>
          <w:tab w:val="left" w:pos="567"/>
        </w:tabs>
      </w:pPr>
    </w:p>
    <w:p w14:paraId="6C263B34" w14:textId="5527529C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II.</w:t>
      </w:r>
      <w:r w:rsidR="00294835">
        <w:rPr>
          <w:spacing w:val="-2"/>
        </w:rPr>
        <w:t> fázis</w:t>
      </w:r>
      <w:r>
        <w:t>ú</w:t>
      </w:r>
      <w:r>
        <w:rPr>
          <w:spacing w:val="-3"/>
        </w:rPr>
        <w:t xml:space="preserve"> </w:t>
      </w:r>
      <w:r>
        <w:t>vizsgálatok</w:t>
      </w:r>
      <w:r>
        <w:rPr>
          <w:spacing w:val="-3"/>
        </w:rPr>
        <w:t xml:space="preserve"> </w:t>
      </w:r>
      <w:r>
        <w:t>alapján</w:t>
      </w:r>
      <w:r>
        <w:rPr>
          <w:spacing w:val="-3"/>
        </w:rPr>
        <w:t xml:space="preserve"> </w:t>
      </w:r>
      <w:r>
        <w:t>egyértelmű</w:t>
      </w:r>
      <w:r>
        <w:rPr>
          <w:spacing w:val="-3"/>
        </w:rPr>
        <w:t xml:space="preserve"> </w:t>
      </w:r>
      <w:r>
        <w:t>összefüggés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plazma</w:t>
      </w:r>
      <w:r>
        <w:rPr>
          <w:spacing w:val="-3"/>
        </w:rPr>
        <w:t xml:space="preserve"> </w:t>
      </w:r>
      <w:r>
        <w:t>dabigatrán</w:t>
      </w:r>
      <w:r w:rsidR="00DD1173">
        <w:rPr>
          <w:spacing w:val="-3"/>
        </w:rPr>
        <w:t>-</w:t>
      </w:r>
      <w:r>
        <w:t>koncentrációja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 xml:space="preserve">az antikoaguláns hatás mértéke között. A dabigatrán megnyújtja a trombinidőt (TT), az ECT-t és az </w:t>
      </w:r>
      <w:r w:rsidR="002E2A7B">
        <w:rPr>
          <w:spacing w:val="-2"/>
        </w:rPr>
        <w:t>aPTI</w:t>
      </w:r>
      <w:r>
        <w:rPr>
          <w:spacing w:val="-2"/>
        </w:rPr>
        <w:t>-t.</w:t>
      </w:r>
    </w:p>
    <w:p w14:paraId="11BA29C3" w14:textId="77777777" w:rsidR="00945359" w:rsidRDefault="00945359" w:rsidP="008F5A8D">
      <w:pPr>
        <w:pStyle w:val="Szvegtrzs"/>
        <w:tabs>
          <w:tab w:val="left" w:pos="567"/>
        </w:tabs>
      </w:pPr>
    </w:p>
    <w:p w14:paraId="2DE0D8A9" w14:textId="5034AAE5" w:rsidR="00945359" w:rsidRDefault="00220A43" w:rsidP="008F5A8D">
      <w:pPr>
        <w:pStyle w:val="Szvegtrzs"/>
        <w:tabs>
          <w:tab w:val="left" w:pos="567"/>
        </w:tabs>
      </w:pPr>
      <w:r>
        <w:t xml:space="preserve">A kalibrált kvantitatív hígított TT </w:t>
      </w:r>
      <w:r w:rsidR="00DD1173">
        <w:t>(</w:t>
      </w:r>
      <w:r w:rsidR="002E2A7B">
        <w:t>DTT</w:t>
      </w:r>
      <w:r w:rsidR="00DD1173">
        <w:t>-</w:t>
      </w:r>
      <w:r>
        <w:t>) vizsgálattal megbecsülhető a dabigatrán plazmakoncentrációja,</w:t>
      </w:r>
      <w:r>
        <w:rPr>
          <w:spacing w:val="-4"/>
        </w:rPr>
        <w:t xml:space="preserve"> </w:t>
      </w:r>
      <w:r>
        <w:t>amit</w:t>
      </w:r>
      <w:r>
        <w:rPr>
          <w:spacing w:val="-4"/>
        </w:rPr>
        <w:t xml:space="preserve"> </w:t>
      </w:r>
      <w:r>
        <w:t>össze</w:t>
      </w:r>
      <w:r>
        <w:rPr>
          <w:spacing w:val="-4"/>
        </w:rPr>
        <w:t xml:space="preserve"> </w:t>
      </w:r>
      <w:r>
        <w:t>lehet</w:t>
      </w:r>
      <w:r>
        <w:rPr>
          <w:spacing w:val="-4"/>
        </w:rPr>
        <w:t xml:space="preserve"> </w:t>
      </w:r>
      <w:r>
        <w:t>hasonlítani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várt</w:t>
      </w:r>
      <w:r>
        <w:rPr>
          <w:spacing w:val="-4"/>
        </w:rPr>
        <w:t xml:space="preserve"> </w:t>
      </w:r>
      <w:r>
        <w:t>dabigatrán</w:t>
      </w:r>
      <w:r w:rsidR="00DD1173">
        <w:rPr>
          <w:spacing w:val="-4"/>
        </w:rPr>
        <w:t>-</w:t>
      </w:r>
      <w:r>
        <w:t>plazmakoncentráció</w:t>
      </w:r>
      <w:r w:rsidR="00DD1173">
        <w:t>v</w:t>
      </w:r>
      <w:r>
        <w:t>al.</w:t>
      </w:r>
      <w:r>
        <w:rPr>
          <w:spacing w:val="-4"/>
        </w:rPr>
        <w:t xml:space="preserve"> </w:t>
      </w:r>
      <w:r>
        <w:t>Amikor a kalibrált hígított</w:t>
      </w:r>
      <w:r w:rsidR="005568D3">
        <w:t>-</w:t>
      </w:r>
      <w:r w:rsidR="00F532DD">
        <w:t>trombin</w:t>
      </w:r>
      <w:r w:rsidR="005568D3">
        <w:t>-</w:t>
      </w:r>
      <w:r w:rsidR="00F532DD">
        <w:t>idő</w:t>
      </w:r>
      <w:r w:rsidR="005568D3">
        <w:t>-</w:t>
      </w:r>
      <w:r w:rsidR="00F532DD">
        <w:t xml:space="preserve"> </w:t>
      </w:r>
      <w:r w:rsidR="00DD1173">
        <w:t>(</w:t>
      </w:r>
      <w:r w:rsidR="002E2A7B">
        <w:t>DT</w:t>
      </w:r>
      <w:r w:rsidR="00DD1173">
        <w:t>T-</w:t>
      </w:r>
      <w:r>
        <w:t>) teszttel mért dabigatrán</w:t>
      </w:r>
      <w:r w:rsidR="00DD1173">
        <w:t>-</w:t>
      </w:r>
      <w:r>
        <w:t xml:space="preserve">plazmakoncentráció a mennyiségi meghatározás határértékénél vagy az alatt van, megfontolandó további véralvadási próbák, pl. </w:t>
      </w:r>
      <w:r w:rsidR="00F532DD">
        <w:t xml:space="preserve">trombinidő </w:t>
      </w:r>
      <w:r>
        <w:t>(TT), e</w:t>
      </w:r>
      <w:r w:rsidR="00DD1173">
        <w:t>k</w:t>
      </w:r>
      <w:r>
        <w:t xml:space="preserve">arin alvadási idő (ECT), aktivált parciális </w:t>
      </w:r>
      <w:r w:rsidR="00072EAE">
        <w:t>tromboplasztinidő</w:t>
      </w:r>
      <w:r>
        <w:t xml:space="preserve"> (</w:t>
      </w:r>
      <w:r w:rsidR="002E2A7B">
        <w:t>aPTI</w:t>
      </w:r>
      <w:r>
        <w:t>) elvégzése.</w:t>
      </w:r>
    </w:p>
    <w:p w14:paraId="25E4956D" w14:textId="2DCCCDCD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7"/>
        </w:rPr>
        <w:t xml:space="preserve"> </w:t>
      </w:r>
      <w:r>
        <w:t>ECT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direkt</w:t>
      </w:r>
      <w:r>
        <w:rPr>
          <w:spacing w:val="-6"/>
        </w:rPr>
        <w:t xml:space="preserve"> </w:t>
      </w:r>
      <w:r>
        <w:t>trombininhibitorok</w:t>
      </w:r>
      <w:r>
        <w:rPr>
          <w:spacing w:val="-6"/>
        </w:rPr>
        <w:t xml:space="preserve"> </w:t>
      </w:r>
      <w:r>
        <w:t>aktivitásának</w:t>
      </w:r>
      <w:r>
        <w:rPr>
          <w:spacing w:val="-7"/>
        </w:rPr>
        <w:t xml:space="preserve"> </w:t>
      </w:r>
      <w:r>
        <w:t>közvetlen</w:t>
      </w:r>
      <w:r>
        <w:rPr>
          <w:spacing w:val="-6"/>
        </w:rPr>
        <w:t xml:space="preserve"> </w:t>
      </w:r>
      <w:r>
        <w:t>mérését</w:t>
      </w:r>
      <w:r>
        <w:rPr>
          <w:spacing w:val="-7"/>
        </w:rPr>
        <w:t xml:space="preserve"> </w:t>
      </w:r>
      <w:r>
        <w:t>teszi</w:t>
      </w:r>
      <w:r>
        <w:rPr>
          <w:spacing w:val="-6"/>
        </w:rPr>
        <w:t xml:space="preserve"> </w:t>
      </w:r>
      <w:r>
        <w:rPr>
          <w:spacing w:val="-2"/>
        </w:rPr>
        <w:t>lehetővé.</w:t>
      </w:r>
    </w:p>
    <w:p w14:paraId="4D453BC2" w14:textId="77777777" w:rsidR="00945359" w:rsidRDefault="00945359" w:rsidP="008F5A8D">
      <w:pPr>
        <w:pStyle w:val="Szvegtrzs"/>
        <w:tabs>
          <w:tab w:val="left" w:pos="567"/>
        </w:tabs>
      </w:pPr>
    </w:p>
    <w:p w14:paraId="74124E0D" w14:textId="5E3840DE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 w:rsidR="002E2A7B">
        <w:t>aPTI</w:t>
      </w:r>
      <w:r w:rsidR="001940BD">
        <w:rPr>
          <w:spacing w:val="-3"/>
        </w:rPr>
        <w:t>-</w:t>
      </w:r>
      <w:r>
        <w:t>vizsgálat</w:t>
      </w:r>
      <w:r>
        <w:rPr>
          <w:spacing w:val="-3"/>
        </w:rPr>
        <w:t xml:space="preserve"> </w:t>
      </w:r>
      <w:r>
        <w:t>széles</w:t>
      </w:r>
      <w:r>
        <w:rPr>
          <w:spacing w:val="-3"/>
        </w:rPr>
        <w:t xml:space="preserve"> </w:t>
      </w:r>
      <w:r>
        <w:t>körben</w:t>
      </w:r>
      <w:r>
        <w:rPr>
          <w:spacing w:val="-3"/>
        </w:rPr>
        <w:t xml:space="preserve"> </w:t>
      </w:r>
      <w:r>
        <w:t>elérhető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megközelítően</w:t>
      </w:r>
      <w:r>
        <w:rPr>
          <w:spacing w:val="-3"/>
        </w:rPr>
        <w:t xml:space="preserve"> </w:t>
      </w:r>
      <w:r>
        <w:t>jelzi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dabigatránnal</w:t>
      </w:r>
      <w:r>
        <w:rPr>
          <w:spacing w:val="-3"/>
        </w:rPr>
        <w:t xml:space="preserve"> </w:t>
      </w:r>
      <w:r>
        <w:t>elért</w:t>
      </w:r>
      <w:r>
        <w:rPr>
          <w:spacing w:val="-3"/>
        </w:rPr>
        <w:t xml:space="preserve"> </w:t>
      </w:r>
      <w:r>
        <w:t xml:space="preserve">alvadásgátlás </w:t>
      </w:r>
      <w:r>
        <w:lastRenderedPageBreak/>
        <w:t xml:space="preserve">intenzitását. Az </w:t>
      </w:r>
      <w:r w:rsidR="002E2A7B">
        <w:t>aPTI</w:t>
      </w:r>
      <w:r>
        <w:t xml:space="preserve"> érzékenysége azonban korlátozott és nem alkalmas az antikoaguláns hatás precíz mérésére, különösen magas dabigatrán</w:t>
      </w:r>
      <w:r w:rsidR="001940BD">
        <w:t>-</w:t>
      </w:r>
      <w:r>
        <w:t>plazmakoncentráció esetén. Jóllehet a magas</w:t>
      </w:r>
    </w:p>
    <w:p w14:paraId="7D493AFC" w14:textId="46C24395" w:rsidR="00945359" w:rsidRDefault="002E2A7B" w:rsidP="008F5A8D">
      <w:pPr>
        <w:pStyle w:val="Szvegtrzs"/>
        <w:tabs>
          <w:tab w:val="left" w:pos="567"/>
        </w:tabs>
      </w:pPr>
      <w:r>
        <w:t>aPTI</w:t>
      </w:r>
      <w:r w:rsidR="00220A43">
        <w:t>-értéket</w:t>
      </w:r>
      <w:r w:rsidR="00220A43">
        <w:rPr>
          <w:spacing w:val="-3"/>
        </w:rPr>
        <w:t xml:space="preserve"> </w:t>
      </w:r>
      <w:r w:rsidR="00220A43">
        <w:t>körültekintően</w:t>
      </w:r>
      <w:r w:rsidR="00220A43">
        <w:rPr>
          <w:spacing w:val="-3"/>
        </w:rPr>
        <w:t xml:space="preserve"> </w:t>
      </w:r>
      <w:r w:rsidR="00220A43">
        <w:t>kell</w:t>
      </w:r>
      <w:r w:rsidR="00220A43">
        <w:rPr>
          <w:spacing w:val="-3"/>
        </w:rPr>
        <w:t xml:space="preserve"> </w:t>
      </w:r>
      <w:r w:rsidR="00220A43">
        <w:t>értelmezni,</w:t>
      </w:r>
      <w:r w:rsidR="00220A43">
        <w:rPr>
          <w:spacing w:val="-3"/>
        </w:rPr>
        <w:t xml:space="preserve"> 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magas</w:t>
      </w:r>
      <w:r w:rsidR="00220A43">
        <w:rPr>
          <w:spacing w:val="-3"/>
        </w:rPr>
        <w:t xml:space="preserve"> </w:t>
      </w:r>
      <w:r>
        <w:t>aPTI</w:t>
      </w:r>
      <w:r w:rsidR="00220A43">
        <w:t>-érték</w:t>
      </w:r>
      <w:r w:rsidR="00220A43">
        <w:rPr>
          <w:spacing w:val="-3"/>
        </w:rPr>
        <w:t xml:space="preserve"> </w:t>
      </w:r>
      <w:r w:rsidR="00220A43">
        <w:t>azt</w:t>
      </w:r>
      <w:r w:rsidR="00220A43">
        <w:rPr>
          <w:spacing w:val="-3"/>
        </w:rPr>
        <w:t xml:space="preserve"> </w:t>
      </w:r>
      <w:r w:rsidR="00220A43">
        <w:t>jelzi,</w:t>
      </w:r>
      <w:r w:rsidR="00220A43">
        <w:rPr>
          <w:spacing w:val="-3"/>
        </w:rPr>
        <w:t xml:space="preserve"> </w:t>
      </w:r>
      <w:r w:rsidR="00220A43">
        <w:t>hogy</w:t>
      </w:r>
      <w:r w:rsidR="00220A43">
        <w:rPr>
          <w:spacing w:val="-3"/>
        </w:rPr>
        <w:t xml:space="preserve"> </w:t>
      </w:r>
      <w:r w:rsidR="00220A43">
        <w:t>a</w:t>
      </w:r>
      <w:r w:rsidR="00220A43">
        <w:rPr>
          <w:spacing w:val="-3"/>
        </w:rPr>
        <w:t xml:space="preserve"> </w:t>
      </w:r>
      <w:r w:rsidR="00220A43">
        <w:t>beteg antikoagulált állapotban van.</w:t>
      </w:r>
    </w:p>
    <w:p w14:paraId="39E2B83D" w14:textId="4EC73AC0" w:rsidR="00945359" w:rsidRDefault="00220A43" w:rsidP="008F5A8D">
      <w:pPr>
        <w:pStyle w:val="Szvegtrzs"/>
        <w:tabs>
          <w:tab w:val="left" w:pos="567"/>
        </w:tabs>
      </w:pPr>
      <w:r>
        <w:t>Általánosságban feltételezhető, hogy az antikoaguláns aktivitás ezen mérései tükrözik a dabigatrán-szintet és iránymutatók lehetnek a vérzésveszély megbecslésekor, pl. a dabigatrán mélyponti koncentrációjának 90.</w:t>
      </w:r>
      <w:r w:rsidR="001940BD">
        <w:t> </w:t>
      </w:r>
      <w:r>
        <w:t xml:space="preserve">percentilisét meghaladó érték, vagy az </w:t>
      </w:r>
      <w:r w:rsidR="002E2A7B">
        <w:t>aPTI</w:t>
      </w:r>
      <w:r>
        <w:t>-h</w:t>
      </w:r>
      <w:r w:rsidR="001940BD">
        <w:t>o</w:t>
      </w:r>
      <w:r>
        <w:t>z hasonló koagulációs</w:t>
      </w:r>
      <w:r>
        <w:rPr>
          <w:spacing w:val="-3"/>
        </w:rPr>
        <w:t xml:space="preserve"> </w:t>
      </w:r>
      <w:r>
        <w:t>vizsgálatok</w:t>
      </w:r>
      <w:r>
        <w:rPr>
          <w:spacing w:val="-3"/>
        </w:rPr>
        <w:t xml:space="preserve"> </w:t>
      </w:r>
      <w:r>
        <w:t>mélyponton</w:t>
      </w:r>
      <w:r>
        <w:rPr>
          <w:spacing w:val="-3"/>
        </w:rPr>
        <w:t xml:space="preserve"> </w:t>
      </w:r>
      <w:r>
        <w:t>mért</w:t>
      </w:r>
      <w:r>
        <w:rPr>
          <w:spacing w:val="-3"/>
        </w:rPr>
        <w:t xml:space="preserve"> </w:t>
      </w:r>
      <w:r>
        <w:t>értéke</w:t>
      </w:r>
      <w:r>
        <w:rPr>
          <w:spacing w:val="-3"/>
        </w:rPr>
        <w:t xml:space="preserve"> </w:t>
      </w:r>
      <w:r>
        <w:t>(az</w:t>
      </w:r>
      <w:r>
        <w:rPr>
          <w:spacing w:val="-3"/>
        </w:rPr>
        <w:t xml:space="preserve"> </w:t>
      </w:r>
      <w:r w:rsidR="002E2A7B">
        <w:t>aPTI</w:t>
      </w:r>
      <w:r w:rsidR="001940BD">
        <w:rPr>
          <w:spacing w:val="-3"/>
        </w:rPr>
        <w:t>-</w:t>
      </w:r>
      <w:r>
        <w:t>küszöbértékeket</w:t>
      </w:r>
      <w:r>
        <w:rPr>
          <w:spacing w:val="-3"/>
        </w:rPr>
        <w:t xml:space="preserve"> </w:t>
      </w:r>
      <w:r>
        <w:t>lásd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4.4</w:t>
      </w:r>
      <w:r w:rsidR="00294835">
        <w:rPr>
          <w:spacing w:val="-3"/>
        </w:rPr>
        <w:t> pont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a</w:t>
      </w:r>
      <w:r w:rsidR="00333EE9">
        <w:t xml:space="preserve"> 6.</w:t>
      </w:r>
      <w:r w:rsidR="00B95CAF">
        <w:t> táblázat</w:t>
      </w:r>
      <w:r>
        <w:t>ban),</w:t>
      </w:r>
      <w:r>
        <w:rPr>
          <w:spacing w:val="-12"/>
        </w:rPr>
        <w:t xml:space="preserve"> </w:t>
      </w:r>
      <w:r>
        <w:t>melyeket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fokozott</w:t>
      </w:r>
      <w:r>
        <w:rPr>
          <w:spacing w:val="-9"/>
        </w:rPr>
        <w:t xml:space="preserve"> </w:t>
      </w:r>
      <w:r>
        <w:t>vérzésveszéllyel</w:t>
      </w:r>
      <w:r>
        <w:rPr>
          <w:spacing w:val="-9"/>
        </w:rPr>
        <w:t xml:space="preserve"> </w:t>
      </w:r>
      <w:r>
        <w:t>összefüggő</w:t>
      </w:r>
      <w:r>
        <w:rPr>
          <w:spacing w:val="-9"/>
        </w:rPr>
        <w:t xml:space="preserve"> </w:t>
      </w:r>
      <w:r>
        <w:t>tényezőként</w:t>
      </w:r>
      <w:r>
        <w:rPr>
          <w:spacing w:val="-9"/>
        </w:rPr>
        <w:t xml:space="preserve"> </w:t>
      </w:r>
      <w:r>
        <w:t>kell</w:t>
      </w:r>
      <w:r>
        <w:rPr>
          <w:spacing w:val="-9"/>
        </w:rPr>
        <w:t xml:space="preserve"> </w:t>
      </w:r>
      <w:r>
        <w:t>figyelembe</w:t>
      </w:r>
      <w:r>
        <w:rPr>
          <w:spacing w:val="-9"/>
        </w:rPr>
        <w:t xml:space="preserve"> </w:t>
      </w:r>
      <w:r>
        <w:rPr>
          <w:spacing w:val="-2"/>
        </w:rPr>
        <w:t>venni.</w:t>
      </w:r>
    </w:p>
    <w:p w14:paraId="7E402F1D" w14:textId="77777777" w:rsidR="00184036" w:rsidRDefault="00184036" w:rsidP="008F5A8D">
      <w:pPr>
        <w:tabs>
          <w:tab w:val="left" w:pos="567"/>
        </w:tabs>
        <w:rPr>
          <w:i/>
          <w:u w:val="single"/>
        </w:rPr>
      </w:pPr>
    </w:p>
    <w:p w14:paraId="52595284" w14:textId="57F8C8E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VTE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primer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prevenciója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ortopédiai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műtéteknél</w:t>
      </w:r>
    </w:p>
    <w:p w14:paraId="179C8524" w14:textId="51922978" w:rsidR="00945359" w:rsidRDefault="00220A43" w:rsidP="008F5A8D">
      <w:pPr>
        <w:pStyle w:val="Szvegtrzs"/>
        <w:tabs>
          <w:tab w:val="left" w:pos="567"/>
        </w:tabs>
      </w:pPr>
      <w:r>
        <w:t>A dabigatrán dinamikus egyensúlyi állapotban (3</w:t>
      </w:r>
      <w:r w:rsidR="00294835">
        <w:t> nap</w:t>
      </w:r>
      <w:r>
        <w:t xml:space="preserve"> elteltével), 220</w:t>
      </w:r>
      <w:r w:rsidR="00294835">
        <w:t> mg</w:t>
      </w:r>
      <w:r>
        <w:t xml:space="preserve"> dabigatrán-etexilát adása után nagyjából 2</w:t>
      </w:r>
      <w:r w:rsidR="002E2A7B">
        <w:t> órá</w:t>
      </w:r>
      <w:r>
        <w:t xml:space="preserve">val mért maximális plazmakoncentrációjának </w:t>
      </w:r>
      <w:r w:rsidR="00CF7BFA">
        <w:t>mértani</w:t>
      </w:r>
      <w:r>
        <w:t xml:space="preserve"> átlaga 70,8</w:t>
      </w:r>
      <w:r w:rsidR="00294835">
        <w:t> ng</w:t>
      </w:r>
      <w:r>
        <w:t>/ml, tartománya</w:t>
      </w:r>
      <w:r>
        <w:rPr>
          <w:spacing w:val="-3"/>
        </w:rPr>
        <w:t xml:space="preserve"> </w:t>
      </w:r>
      <w:r>
        <w:t>35,2</w:t>
      </w:r>
      <w:r w:rsidR="001940BD">
        <w:t>–</w:t>
      </w:r>
      <w:r>
        <w:t>162</w:t>
      </w:r>
      <w:r w:rsidR="00294835">
        <w:rPr>
          <w:spacing w:val="-2"/>
        </w:rPr>
        <w:t> ng</w:t>
      </w:r>
      <w:r>
        <w:t>/ml</w:t>
      </w:r>
      <w:r>
        <w:rPr>
          <w:spacing w:val="-3"/>
        </w:rPr>
        <w:t xml:space="preserve"> </w:t>
      </w:r>
      <w:r>
        <w:t>(25-ös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75-ös</w:t>
      </w:r>
      <w:r>
        <w:rPr>
          <w:spacing w:val="-3"/>
        </w:rPr>
        <w:t xml:space="preserve"> </w:t>
      </w:r>
      <w:r>
        <w:t>közötti</w:t>
      </w:r>
      <w:r>
        <w:rPr>
          <w:spacing w:val="-3"/>
        </w:rPr>
        <w:t xml:space="preserve"> </w:t>
      </w:r>
      <w:r>
        <w:t>percentilis</w:t>
      </w:r>
      <w:r>
        <w:rPr>
          <w:spacing w:val="-3"/>
        </w:rPr>
        <w:t xml:space="preserve"> </w:t>
      </w:r>
      <w:r>
        <w:t>tartomány)</w:t>
      </w:r>
      <w:r>
        <w:rPr>
          <w:spacing w:val="-3"/>
        </w:rPr>
        <w:t xml:space="preserve"> </w:t>
      </w:r>
      <w:r>
        <w:t>volt.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adagolási intervallum</w:t>
      </w:r>
      <w:r w:rsidR="001940BD">
        <w:t>ának</w:t>
      </w:r>
      <w:r>
        <w:t xml:space="preserve"> végén (azaz 220</w:t>
      </w:r>
      <w:r w:rsidR="00294835">
        <w:t> mg</w:t>
      </w:r>
      <w:r>
        <w:t>-os dabigatrán</w:t>
      </w:r>
      <w:r w:rsidR="001940BD">
        <w:t>-</w:t>
      </w:r>
      <w:r>
        <w:t>dózis adása után 24</w:t>
      </w:r>
      <w:r w:rsidR="002E2A7B">
        <w:t> órá</w:t>
      </w:r>
      <w:r>
        <w:t xml:space="preserve">val) mért </w:t>
      </w:r>
      <w:r w:rsidRPr="004E17CD">
        <w:t>m</w:t>
      </w:r>
      <w:r w:rsidR="004E17CD">
        <w:t>élyponti</w:t>
      </w:r>
      <w:r>
        <w:t xml:space="preserve"> koncentrációjának </w:t>
      </w:r>
      <w:r w:rsidR="00CF7BFA">
        <w:t>mértani</w:t>
      </w:r>
      <w:r>
        <w:t xml:space="preserve"> átlaga 22,0</w:t>
      </w:r>
      <w:r w:rsidR="00294835">
        <w:t> ng</w:t>
      </w:r>
      <w:r>
        <w:t>/ml, tartománya 13,0</w:t>
      </w:r>
      <w:r w:rsidR="001940BD">
        <w:t>–</w:t>
      </w:r>
      <w:r>
        <w:t>35,7</w:t>
      </w:r>
      <w:r w:rsidR="00294835">
        <w:t> ng</w:t>
      </w:r>
      <w:r>
        <w:t>/ml (25‑ös és 75‑ös közötti percentilis tartomány) volt.</w:t>
      </w:r>
    </w:p>
    <w:p w14:paraId="6AAC8294" w14:textId="77777777" w:rsidR="00945359" w:rsidRDefault="00945359" w:rsidP="008F5A8D">
      <w:pPr>
        <w:pStyle w:val="Szvegtrzs"/>
        <w:tabs>
          <w:tab w:val="left" w:pos="567"/>
        </w:tabs>
      </w:pPr>
    </w:p>
    <w:p w14:paraId="771A530F" w14:textId="77777777" w:rsidR="00945359" w:rsidRDefault="00220A43" w:rsidP="008F5A8D">
      <w:pPr>
        <w:pStyle w:val="Szvegtrzs"/>
        <w:tabs>
          <w:tab w:val="left" w:pos="567"/>
        </w:tabs>
      </w:pPr>
      <w:r>
        <w:t>Egy</w:t>
      </w:r>
      <w:r>
        <w:rPr>
          <w:spacing w:val="-10"/>
        </w:rPr>
        <w:t xml:space="preserve"> </w:t>
      </w:r>
      <w:r>
        <w:t>célzott,</w:t>
      </w:r>
      <w:r>
        <w:rPr>
          <w:spacing w:val="-10"/>
        </w:rPr>
        <w:t xml:space="preserve"> </w:t>
      </w:r>
      <w:r>
        <w:t>kizárólag</w:t>
      </w:r>
      <w:r>
        <w:rPr>
          <w:spacing w:val="-9"/>
        </w:rPr>
        <w:t xml:space="preserve"> </w:t>
      </w:r>
      <w:r>
        <w:t>közepesen</w:t>
      </w:r>
      <w:r>
        <w:rPr>
          <w:spacing w:val="-10"/>
        </w:rPr>
        <w:t xml:space="preserve"> </w:t>
      </w:r>
      <w:r>
        <w:t>súlyos</w:t>
      </w:r>
      <w:r>
        <w:rPr>
          <w:spacing w:val="-10"/>
        </w:rPr>
        <w:t xml:space="preserve"> </w:t>
      </w:r>
      <w:r>
        <w:t>fokú</w:t>
      </w:r>
      <w:r>
        <w:rPr>
          <w:spacing w:val="-9"/>
        </w:rPr>
        <w:t xml:space="preserve"> </w:t>
      </w:r>
      <w:r>
        <w:t>vesekárosodásban</w:t>
      </w:r>
      <w:r>
        <w:rPr>
          <w:spacing w:val="-10"/>
        </w:rPr>
        <w:t xml:space="preserve"> </w:t>
      </w:r>
      <w:r>
        <w:t>(kreatinin-clearance</w:t>
      </w:r>
      <w:r>
        <w:rPr>
          <w:spacing w:val="-8"/>
        </w:rPr>
        <w:t xml:space="preserve"> </w:t>
      </w:r>
      <w:r>
        <w:rPr>
          <w:spacing w:val="-2"/>
        </w:rPr>
        <w:t>[CrCl]</w:t>
      </w:r>
    </w:p>
    <w:p w14:paraId="47F16AD9" w14:textId="61FD2565" w:rsidR="00945359" w:rsidRDefault="00220A43" w:rsidP="008F5A8D">
      <w:pPr>
        <w:pStyle w:val="Szvegtrzs"/>
        <w:tabs>
          <w:tab w:val="left" w:pos="567"/>
        </w:tabs>
      </w:pPr>
      <w:r>
        <w:t>30-50</w:t>
      </w:r>
      <w:r w:rsidR="00294835">
        <w:rPr>
          <w:spacing w:val="-1"/>
        </w:rPr>
        <w:t> ml</w:t>
      </w:r>
      <w:r>
        <w:t>/perc)</w:t>
      </w:r>
      <w:r>
        <w:rPr>
          <w:spacing w:val="-4"/>
        </w:rPr>
        <w:t xml:space="preserve"> </w:t>
      </w:r>
      <w:r>
        <w:t>szenvedő,</w:t>
      </w:r>
      <w:r>
        <w:rPr>
          <w:spacing w:val="-4"/>
        </w:rPr>
        <w:t xml:space="preserve"> </w:t>
      </w:r>
      <w:r>
        <w:t>150</w:t>
      </w:r>
      <w:r w:rsidR="00294835">
        <w:rPr>
          <w:spacing w:val="-4"/>
        </w:rPr>
        <w:t> mg</w:t>
      </w:r>
      <w:r>
        <w:t>/nap</w:t>
      </w:r>
      <w:r>
        <w:rPr>
          <w:spacing w:val="-4"/>
        </w:rPr>
        <w:t xml:space="preserve"> </w:t>
      </w:r>
      <w:r>
        <w:t>dabigatrán-etexiláttal</w:t>
      </w:r>
      <w:r>
        <w:rPr>
          <w:spacing w:val="-4"/>
        </w:rPr>
        <w:t xml:space="preserve"> </w:t>
      </w:r>
      <w:r>
        <w:t>kezelt</w:t>
      </w:r>
      <w:r>
        <w:rPr>
          <w:spacing w:val="-4"/>
        </w:rPr>
        <w:t xml:space="preserve"> </w:t>
      </w:r>
      <w:r>
        <w:t>betegek</w:t>
      </w:r>
      <w:r w:rsidR="001940BD">
        <w:t>kel</w:t>
      </w:r>
      <w:r>
        <w:rPr>
          <w:spacing w:val="-4"/>
        </w:rPr>
        <w:t xml:space="preserve"> </w:t>
      </w:r>
      <w:r>
        <w:t>elvégzett</w:t>
      </w:r>
      <w:r>
        <w:rPr>
          <w:spacing w:val="-4"/>
        </w:rPr>
        <w:t xml:space="preserve"> </w:t>
      </w:r>
      <w:r>
        <w:t xml:space="preserve">vizsgálatban, az adagolási intervallum végén mért mélyponti koncentráció </w:t>
      </w:r>
      <w:r w:rsidR="00CF7BFA">
        <w:t>mértani</w:t>
      </w:r>
      <w:r>
        <w:rPr>
          <w:spacing w:val="-2"/>
        </w:rPr>
        <w:t xml:space="preserve"> </w:t>
      </w:r>
      <w:r>
        <w:t>átlaga átlagosan 47,5</w:t>
      </w:r>
      <w:r w:rsidR="00294835">
        <w:t> ng</w:t>
      </w:r>
      <w:r>
        <w:t>/ml volt (tartomány: 29,6</w:t>
      </w:r>
      <w:r w:rsidR="001940BD">
        <w:t>–</w:t>
      </w:r>
      <w:r>
        <w:t>72,2</w:t>
      </w:r>
      <w:r w:rsidR="00294835">
        <w:t> ng</w:t>
      </w:r>
      <w:r>
        <w:t>/ml [25</w:t>
      </w:r>
      <w:r w:rsidR="001940BD">
        <w:t>–</w:t>
      </w:r>
      <w:r>
        <w:t>75 percentilis tartomány]).</w:t>
      </w:r>
    </w:p>
    <w:p w14:paraId="139CDF2D" w14:textId="6805D9E8" w:rsidR="00945359" w:rsidRDefault="00220A43" w:rsidP="008F5A8D">
      <w:pPr>
        <w:pStyle w:val="Szvegtrzs"/>
        <w:tabs>
          <w:tab w:val="left" w:pos="567"/>
        </w:tabs>
      </w:pPr>
      <w:r>
        <w:t>Csípő-</w:t>
      </w:r>
      <w:r>
        <w:rPr>
          <w:spacing w:val="-6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térdprotézis</w:t>
      </w:r>
      <w:r>
        <w:rPr>
          <w:spacing w:val="-3"/>
        </w:rPr>
        <w:t xml:space="preserve"> </w:t>
      </w:r>
      <w:r>
        <w:t>beültetés</w:t>
      </w:r>
      <w:r w:rsidR="001940BD">
        <w:t>é</w:t>
      </w:r>
      <w:r>
        <w:t>t</w:t>
      </w:r>
      <w:r>
        <w:rPr>
          <w:spacing w:val="-3"/>
        </w:rPr>
        <w:t xml:space="preserve"> </w:t>
      </w:r>
      <w:r>
        <w:t>követően</w:t>
      </w:r>
      <w:r>
        <w:rPr>
          <w:spacing w:val="-3"/>
        </w:rPr>
        <w:t xml:space="preserve"> </w:t>
      </w:r>
      <w:r w:rsidR="002E2A7B">
        <w:t>VTE-prevenció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egyszer</w:t>
      </w:r>
      <w:r>
        <w:rPr>
          <w:spacing w:val="-3"/>
        </w:rPr>
        <w:t xml:space="preserve"> </w:t>
      </w:r>
      <w:r>
        <w:t>220</w:t>
      </w:r>
      <w:r w:rsidR="00294835">
        <w:rPr>
          <w:spacing w:val="-3"/>
        </w:rPr>
        <w:t> mg</w:t>
      </w:r>
      <w:r>
        <w:t xml:space="preserve"> dabigatrán-etexiláttal kezelt betegeknél</w:t>
      </w:r>
    </w:p>
    <w:p w14:paraId="042A7ABF" w14:textId="614DC0D2" w:rsidR="00945359" w:rsidRDefault="00220A43" w:rsidP="008F5A8D">
      <w:pPr>
        <w:pStyle w:val="Listaszerbekezds"/>
        <w:numPr>
          <w:ilvl w:val="0"/>
          <w:numId w:val="28"/>
        </w:numPr>
        <w:tabs>
          <w:tab w:val="left" w:pos="567"/>
          <w:tab w:val="left" w:pos="824"/>
        </w:tabs>
        <w:ind w:left="567"/>
      </w:pPr>
      <w:r>
        <w:t>a</w:t>
      </w:r>
      <w:r>
        <w:rPr>
          <w:spacing w:val="-4"/>
        </w:rPr>
        <w:t xml:space="preserve"> </w:t>
      </w:r>
      <w:r>
        <w:t>dabigatrán-koncentráció</w:t>
      </w:r>
      <w:r>
        <w:rPr>
          <w:spacing w:val="-4"/>
        </w:rPr>
        <w:t xml:space="preserve"> </w:t>
      </w:r>
      <w:r>
        <w:t>90</w:t>
      </w:r>
      <w:r w:rsidR="001940BD">
        <w:rPr>
          <w:spacing w:val="-4"/>
        </w:rPr>
        <w:t> </w:t>
      </w:r>
      <w:r>
        <w:t>percentilis</w:t>
      </w:r>
      <w:r>
        <w:rPr>
          <w:spacing w:val="-4"/>
        </w:rPr>
        <w:t xml:space="preserve"> </w:t>
      </w:r>
      <w:r>
        <w:t>értéke</w:t>
      </w:r>
      <w:r>
        <w:rPr>
          <w:spacing w:val="-4"/>
        </w:rPr>
        <w:t xml:space="preserve"> </w:t>
      </w:r>
      <w:r>
        <w:t>67</w:t>
      </w:r>
      <w:r w:rsidR="00294835">
        <w:rPr>
          <w:spacing w:val="-3"/>
        </w:rPr>
        <w:t> ng</w:t>
      </w:r>
      <w:r>
        <w:t>/ml</w:t>
      </w:r>
      <w:r>
        <w:rPr>
          <w:spacing w:val="-4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mélyponton</w:t>
      </w:r>
      <w:r>
        <w:rPr>
          <w:spacing w:val="-4"/>
        </w:rPr>
        <w:t xml:space="preserve"> </w:t>
      </w:r>
      <w:r>
        <w:t>mérve (20-28</w:t>
      </w:r>
      <w:r w:rsidR="002E2A7B">
        <w:t> órá</w:t>
      </w:r>
      <w:r>
        <w:t>val a megelőző dózis után) (lásd 4.4 és 4.9</w:t>
      </w:r>
      <w:r w:rsidR="00294835">
        <w:t> pont</w:t>
      </w:r>
      <w:r>
        <w:t>),</w:t>
      </w:r>
    </w:p>
    <w:p w14:paraId="6990B3B5" w14:textId="6E18FDA1" w:rsidR="00A76255" w:rsidRDefault="00220A43" w:rsidP="008F5A8D">
      <w:pPr>
        <w:pStyle w:val="Listaszerbekezds"/>
        <w:numPr>
          <w:ilvl w:val="0"/>
          <w:numId w:val="28"/>
        </w:numPr>
        <w:tabs>
          <w:tab w:val="left" w:pos="567"/>
          <w:tab w:val="left" w:pos="824"/>
        </w:tabs>
        <w:ind w:left="567"/>
      </w:pPr>
      <w:r>
        <w:t>az</w:t>
      </w:r>
      <w:r>
        <w:rPr>
          <w:spacing w:val="-1"/>
        </w:rPr>
        <w:t xml:space="preserve"> </w:t>
      </w:r>
      <w:r w:rsidR="002E2A7B">
        <w:t>aPTI</w:t>
      </w:r>
      <w:r>
        <w:rPr>
          <w:spacing w:val="-1"/>
        </w:rPr>
        <w:t xml:space="preserve"> </w:t>
      </w:r>
      <w:r>
        <w:t>90</w:t>
      </w:r>
      <w:r w:rsidR="001940BD">
        <w:rPr>
          <w:spacing w:val="-4"/>
        </w:rPr>
        <w:t> </w:t>
      </w:r>
      <w:r>
        <w:t>percentilis</w:t>
      </w:r>
      <w:r>
        <w:rPr>
          <w:spacing w:val="-2"/>
        </w:rPr>
        <w:t xml:space="preserve"> </w:t>
      </w:r>
      <w:r>
        <w:t>értéke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mélyponton</w:t>
      </w:r>
      <w:r>
        <w:rPr>
          <w:spacing w:val="-2"/>
        </w:rPr>
        <w:t xml:space="preserve"> </w:t>
      </w:r>
      <w:r>
        <w:t>(20-28</w:t>
      </w:r>
      <w:r w:rsidR="002E2A7B">
        <w:rPr>
          <w:spacing w:val="-1"/>
        </w:rPr>
        <w:t> órá</w:t>
      </w:r>
      <w:r>
        <w:t>val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megelőző</w:t>
      </w:r>
      <w:r>
        <w:rPr>
          <w:spacing w:val="-2"/>
        </w:rPr>
        <w:t xml:space="preserve"> </w:t>
      </w:r>
      <w:r>
        <w:t>dózis</w:t>
      </w:r>
      <w:r>
        <w:rPr>
          <w:spacing w:val="-2"/>
        </w:rPr>
        <w:t xml:space="preserve"> </w:t>
      </w:r>
      <w:r>
        <w:t>után)</w:t>
      </w:r>
      <w:r>
        <w:rPr>
          <w:spacing w:val="-2"/>
        </w:rPr>
        <w:t xml:space="preserve"> </w:t>
      </w:r>
      <w:r>
        <w:t>51</w:t>
      </w:r>
      <w:r w:rsidR="001940BD">
        <w:rPr>
          <w:spacing w:val="-2"/>
        </w:rPr>
        <w:t> </w:t>
      </w:r>
      <w:r>
        <w:t>másodperc volt, ami a normálérték felső határának 1,3-szerese.</w:t>
      </w:r>
    </w:p>
    <w:p w14:paraId="4391BAE7" w14:textId="02D9AF87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2"/>
        </w:rPr>
        <w:t xml:space="preserve"> </w:t>
      </w:r>
      <w:r>
        <w:t>ECT</w:t>
      </w:r>
      <w:r>
        <w:rPr>
          <w:spacing w:val="-2"/>
        </w:rPr>
        <w:t xml:space="preserve"> </w:t>
      </w:r>
      <w:r>
        <w:t>értékét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mérték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csípő-</w:t>
      </w:r>
      <w:r>
        <w:rPr>
          <w:spacing w:val="-5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térdprotézis</w:t>
      </w:r>
      <w:r>
        <w:rPr>
          <w:spacing w:val="-2"/>
        </w:rPr>
        <w:t xml:space="preserve"> </w:t>
      </w:r>
      <w:r>
        <w:t>beültetés</w:t>
      </w:r>
      <w:r w:rsidR="001940BD">
        <w:t>é</w:t>
      </w:r>
      <w:r>
        <w:t>t</w:t>
      </w:r>
      <w:r>
        <w:rPr>
          <w:spacing w:val="-2"/>
        </w:rPr>
        <w:t xml:space="preserve"> </w:t>
      </w:r>
      <w:r>
        <w:t>követően</w:t>
      </w:r>
      <w:r>
        <w:rPr>
          <w:spacing w:val="-2"/>
        </w:rPr>
        <w:t xml:space="preserve"> </w:t>
      </w:r>
      <w:r w:rsidR="002E2A7B">
        <w:t>VTE-prevenció</w:t>
      </w:r>
      <w:r>
        <w:rPr>
          <w:spacing w:val="-2"/>
        </w:rPr>
        <w:t xml:space="preserve"> </w:t>
      </w:r>
      <w:r>
        <w:t>miatt naponta egyszer 220</w:t>
      </w:r>
      <w:r w:rsidR="00294835">
        <w:t> mg</w:t>
      </w:r>
      <w:r>
        <w:t xml:space="preserve"> dabigatrán-etexiláttal kezelt betegeknél.</w:t>
      </w:r>
    </w:p>
    <w:p w14:paraId="48BC1BBD" w14:textId="77777777" w:rsidR="00945359" w:rsidRDefault="00945359" w:rsidP="008F5A8D">
      <w:pPr>
        <w:pStyle w:val="Szvegtrzs"/>
        <w:tabs>
          <w:tab w:val="left" w:pos="567"/>
        </w:tabs>
      </w:pPr>
    </w:p>
    <w:p w14:paraId="73810A1B" w14:textId="0BD80AFC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stroke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szisztémás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embolizáció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prevenciója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nem</w:t>
      </w:r>
      <w:r>
        <w:rPr>
          <w:i/>
          <w:spacing w:val="-3"/>
          <w:u w:val="single"/>
        </w:rPr>
        <w:t xml:space="preserve"> </w:t>
      </w:r>
      <w:r w:rsidR="00AB32E4">
        <w:rPr>
          <w:i/>
          <w:u w:val="single"/>
        </w:rPr>
        <w:t>billentyűeredetű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pitvarfibrillációban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szenvedő,</w:t>
      </w:r>
      <w:r>
        <w:rPr>
          <w:i/>
        </w:rPr>
        <w:t xml:space="preserve"> </w:t>
      </w:r>
      <w:r>
        <w:rPr>
          <w:i/>
          <w:u w:val="single"/>
        </w:rPr>
        <w:t>egy vagy több rizikótényezővel rendelkező felnőtt betegeknél (SPAF)</w:t>
      </w:r>
    </w:p>
    <w:p w14:paraId="386DB5F4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63EA2D20" w14:textId="38518D7E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plazma</w:t>
      </w:r>
      <w:r w:rsidR="001940BD">
        <w:rPr>
          <w:spacing w:val="-3"/>
        </w:rPr>
        <w:t>-</w:t>
      </w:r>
      <w:r>
        <w:t>csúcskoncentráció</w:t>
      </w:r>
      <w:r w:rsidR="0067328B">
        <w:t>já</w:t>
      </w:r>
      <w:r>
        <w:t>nak</w:t>
      </w:r>
      <w:r>
        <w:rPr>
          <w:spacing w:val="-3"/>
        </w:rPr>
        <w:t xml:space="preserve"> </w:t>
      </w:r>
      <w:r w:rsidR="001940BD" w:rsidRPr="004E17CD">
        <w:rPr>
          <w:spacing w:val="-3"/>
        </w:rPr>
        <w:t>dinamikus</w:t>
      </w:r>
      <w:r w:rsidR="001940BD">
        <w:rPr>
          <w:spacing w:val="-3"/>
        </w:rPr>
        <w:t xml:space="preserve"> </w:t>
      </w:r>
      <w:r>
        <w:t>egyensúlyi</w:t>
      </w:r>
      <w:r>
        <w:rPr>
          <w:spacing w:val="-3"/>
        </w:rPr>
        <w:t xml:space="preserve"> </w:t>
      </w:r>
      <w:r w:rsidR="00CF7BFA">
        <w:t>mértani</w:t>
      </w:r>
      <w:r>
        <w:rPr>
          <w:spacing w:val="-3"/>
        </w:rPr>
        <w:t xml:space="preserve"> </w:t>
      </w:r>
      <w:r>
        <w:t>átlagértéke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adott 150</w:t>
      </w:r>
      <w:r w:rsidR="00294835">
        <w:t> mg</w:t>
      </w:r>
      <w:r>
        <w:t xml:space="preserve"> dabigatrán adását követően 2</w:t>
      </w:r>
      <w:r w:rsidR="002E2A7B">
        <w:t> órá</w:t>
      </w:r>
      <w:r>
        <w:t>val mérve 175</w:t>
      </w:r>
      <w:r w:rsidR="00294835">
        <w:t> ng</w:t>
      </w:r>
      <w:r>
        <w:t>/ml volt, 117</w:t>
      </w:r>
      <w:r w:rsidR="001940BD">
        <w:t>–</w:t>
      </w:r>
      <w:r>
        <w:t>275</w:t>
      </w:r>
      <w:r w:rsidR="00294835">
        <w:t> ng</w:t>
      </w:r>
      <w:r>
        <w:t xml:space="preserve">/ml tartománnyal (25 és 75 percentilis tartomány). A dabigatrán mélyponti koncentrációjának </w:t>
      </w:r>
      <w:r w:rsidR="00CF7BFA">
        <w:t>mértani</w:t>
      </w:r>
      <w:r>
        <w:t xml:space="preserve"> átlagértéke a mélyponton, reggel, az adagolási intervallum végén mérve (azaz 12</w:t>
      </w:r>
      <w:r w:rsidR="002E2A7B">
        <w:t> órá</w:t>
      </w:r>
      <w:r>
        <w:t>val a 150</w:t>
      </w:r>
      <w:r w:rsidR="00294835">
        <w:t> mg</w:t>
      </w:r>
      <w:r>
        <w:t>-os dabigatrán esti dózis</w:t>
      </w:r>
      <w:r w:rsidR="001940BD">
        <w:t>a</w:t>
      </w:r>
      <w:r>
        <w:t xml:space="preserve"> után) átlagosan 91,0</w:t>
      </w:r>
      <w:r w:rsidR="00294835">
        <w:t> ng</w:t>
      </w:r>
      <w:r>
        <w:t>/ml volt, 61,0</w:t>
      </w:r>
      <w:r w:rsidR="001940BD">
        <w:t>–</w:t>
      </w:r>
      <w:r>
        <w:t>143</w:t>
      </w:r>
      <w:r w:rsidR="00294835">
        <w:t> ng</w:t>
      </w:r>
      <w:r>
        <w:t>/ml tartománnyal (25 és</w:t>
      </w:r>
    </w:p>
    <w:p w14:paraId="29D21C83" w14:textId="77777777" w:rsidR="00945359" w:rsidRDefault="00220A43" w:rsidP="008F5A8D">
      <w:pPr>
        <w:pStyle w:val="Szvegtrzs"/>
        <w:tabs>
          <w:tab w:val="left" w:pos="567"/>
        </w:tabs>
      </w:pPr>
      <w:r>
        <w:t>75</w:t>
      </w:r>
      <w:r>
        <w:rPr>
          <w:spacing w:val="-6"/>
        </w:rPr>
        <w:t xml:space="preserve"> </w:t>
      </w:r>
      <w:r>
        <w:t>percentilis</w:t>
      </w:r>
      <w:r>
        <w:rPr>
          <w:spacing w:val="-5"/>
        </w:rPr>
        <w:t xml:space="preserve"> </w:t>
      </w:r>
      <w:r>
        <w:rPr>
          <w:spacing w:val="-2"/>
        </w:rPr>
        <w:t>tartomány).</w:t>
      </w:r>
    </w:p>
    <w:p w14:paraId="7C9C990A" w14:textId="77777777" w:rsidR="00945359" w:rsidRDefault="00945359" w:rsidP="008F5A8D">
      <w:pPr>
        <w:pStyle w:val="Szvegtrzs"/>
        <w:tabs>
          <w:tab w:val="left" w:pos="567"/>
        </w:tabs>
      </w:pPr>
    </w:p>
    <w:p w14:paraId="1EA81177" w14:textId="5DE68890" w:rsidR="00945359" w:rsidRDefault="00220A43" w:rsidP="008F5A8D">
      <w:pPr>
        <w:pStyle w:val="Szvegtrzs"/>
        <w:tabs>
          <w:tab w:val="left" w:pos="567"/>
        </w:tabs>
      </w:pPr>
      <w:r>
        <w:t>Nem</w:t>
      </w:r>
      <w:r>
        <w:rPr>
          <w:spacing w:val="-3"/>
        </w:rPr>
        <w:t xml:space="preserve"> </w:t>
      </w:r>
      <w:r w:rsidR="00AB32E4">
        <w:t>billentyűeredetű</w:t>
      </w:r>
      <w:r>
        <w:rPr>
          <w:spacing w:val="-3"/>
        </w:rPr>
        <w:t xml:space="preserve"> </w:t>
      </w:r>
      <w:r>
        <w:t>pitvarfibrillációban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stroke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embolizáció prevenciójára adott napi kétszer 150</w:t>
      </w:r>
      <w:r w:rsidR="00294835">
        <w:t> mg</w:t>
      </w:r>
      <w:r>
        <w:t xml:space="preserve"> dabigatrán-etexilát esetén</w:t>
      </w:r>
    </w:p>
    <w:p w14:paraId="30B2CD63" w14:textId="342150F1" w:rsidR="00945359" w:rsidRDefault="00220A43" w:rsidP="008F5A8D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>
        <w:t>a</w:t>
      </w:r>
      <w:r w:rsidRPr="008F5A8D">
        <w:t xml:space="preserve"> </w:t>
      </w:r>
      <w:r>
        <w:t>dabigatrán-koncentráció</w:t>
      </w:r>
      <w:r w:rsidRPr="008F5A8D">
        <w:t xml:space="preserve"> </w:t>
      </w:r>
      <w:r>
        <w:t>90</w:t>
      </w:r>
      <w:r w:rsidR="001940BD">
        <w:t> </w:t>
      </w:r>
      <w:r>
        <w:t>percentilis</w:t>
      </w:r>
      <w:r w:rsidRPr="008F5A8D">
        <w:t xml:space="preserve"> </w:t>
      </w:r>
      <w:r>
        <w:t>értéke</w:t>
      </w:r>
      <w:r w:rsidRPr="008F5A8D">
        <w:t xml:space="preserve"> </w:t>
      </w:r>
      <w:r>
        <w:t>a</w:t>
      </w:r>
      <w:r w:rsidRPr="008F5A8D">
        <w:t xml:space="preserve"> </w:t>
      </w:r>
      <w:r>
        <w:t>mélyponton</w:t>
      </w:r>
      <w:r w:rsidRPr="008F5A8D">
        <w:t xml:space="preserve"> </w:t>
      </w:r>
      <w:r>
        <w:t>mérve</w:t>
      </w:r>
      <w:r w:rsidRPr="008F5A8D">
        <w:t xml:space="preserve"> </w:t>
      </w:r>
      <w:r>
        <w:t>(10-16</w:t>
      </w:r>
      <w:r w:rsidR="002E2A7B">
        <w:t> órá</w:t>
      </w:r>
      <w:r>
        <w:t>val</w:t>
      </w:r>
      <w:r w:rsidRPr="008F5A8D">
        <w:t xml:space="preserve"> </w:t>
      </w:r>
      <w:r>
        <w:t>a</w:t>
      </w:r>
      <w:r w:rsidRPr="008F5A8D">
        <w:t xml:space="preserve"> </w:t>
      </w:r>
      <w:r>
        <w:t>megelőző dózis után) 200</w:t>
      </w:r>
      <w:r w:rsidR="00294835">
        <w:t> ng</w:t>
      </w:r>
      <w:r>
        <w:t>/ml volt,</w:t>
      </w:r>
    </w:p>
    <w:p w14:paraId="567E098F" w14:textId="725CA03A" w:rsidR="00945359" w:rsidRDefault="00220A43" w:rsidP="008F5A8D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>
        <w:t>az</w:t>
      </w:r>
      <w:r w:rsidRPr="008F5A8D">
        <w:t xml:space="preserve"> </w:t>
      </w:r>
      <w:r>
        <w:t>ECT</w:t>
      </w:r>
      <w:r w:rsidRPr="008F5A8D">
        <w:t xml:space="preserve"> </w:t>
      </w:r>
      <w:r>
        <w:t>esetében</w:t>
      </w:r>
      <w:r w:rsidRPr="008F5A8D">
        <w:t xml:space="preserve"> </w:t>
      </w:r>
      <w:r>
        <w:t>a</w:t>
      </w:r>
      <w:r w:rsidRPr="008F5A8D">
        <w:t xml:space="preserve"> </w:t>
      </w:r>
      <w:r>
        <w:t>mélyponton</w:t>
      </w:r>
      <w:r w:rsidRPr="008F5A8D">
        <w:t xml:space="preserve"> </w:t>
      </w:r>
      <w:r>
        <w:t>(10-16</w:t>
      </w:r>
      <w:r w:rsidR="002E2A7B">
        <w:t> órá</w:t>
      </w:r>
      <w:r>
        <w:t>val</w:t>
      </w:r>
      <w:r w:rsidRPr="008F5A8D">
        <w:t xml:space="preserve"> </w:t>
      </w:r>
      <w:r>
        <w:t>a</w:t>
      </w:r>
      <w:r w:rsidRPr="008F5A8D">
        <w:t xml:space="preserve"> </w:t>
      </w:r>
      <w:r>
        <w:t>megelőző</w:t>
      </w:r>
      <w:r w:rsidRPr="008F5A8D">
        <w:t xml:space="preserve"> </w:t>
      </w:r>
      <w:r>
        <w:t>dózis</w:t>
      </w:r>
      <w:r w:rsidRPr="008F5A8D">
        <w:t xml:space="preserve"> </w:t>
      </w:r>
      <w:r>
        <w:t>után),</w:t>
      </w:r>
      <w:r w:rsidRPr="008F5A8D">
        <w:t xml:space="preserve"> </w:t>
      </w:r>
      <w:r>
        <w:t>a</w:t>
      </w:r>
      <w:r w:rsidRPr="008F5A8D">
        <w:t xml:space="preserve"> </w:t>
      </w:r>
      <w:r>
        <w:t>normálérték</w:t>
      </w:r>
      <w:r w:rsidRPr="008F5A8D">
        <w:t xml:space="preserve"> </w:t>
      </w:r>
      <w:r>
        <w:t>felső határának</w:t>
      </w:r>
      <w:r w:rsidRPr="008F5A8D">
        <w:t xml:space="preserve"> </w:t>
      </w:r>
      <w:r>
        <w:t>háromszorosára</w:t>
      </w:r>
      <w:r w:rsidRPr="008F5A8D">
        <w:t xml:space="preserve"> </w:t>
      </w:r>
      <w:r>
        <w:t>emelkedett</w:t>
      </w:r>
      <w:r w:rsidRPr="008F5A8D">
        <w:t xml:space="preserve"> </w:t>
      </w:r>
      <w:r>
        <w:t>érték</w:t>
      </w:r>
      <w:r w:rsidRPr="008F5A8D">
        <w:t xml:space="preserve"> </w:t>
      </w:r>
      <w:r>
        <w:t>felelt</w:t>
      </w:r>
      <w:r w:rsidRPr="008F5A8D">
        <w:t xml:space="preserve"> </w:t>
      </w:r>
      <w:r>
        <w:t>meg</w:t>
      </w:r>
      <w:r w:rsidRPr="008F5A8D">
        <w:t xml:space="preserve"> </w:t>
      </w:r>
      <w:r>
        <w:t>az</w:t>
      </w:r>
      <w:r w:rsidRPr="008F5A8D">
        <w:t xml:space="preserve"> </w:t>
      </w:r>
      <w:r>
        <w:t>ECT</w:t>
      </w:r>
      <w:r w:rsidR="001940BD">
        <w:t>-</w:t>
      </w:r>
      <w:r>
        <w:t>megnyúlás</w:t>
      </w:r>
      <w:r w:rsidRPr="008F5A8D">
        <w:t xml:space="preserve"> </w:t>
      </w:r>
      <w:r>
        <w:t>90</w:t>
      </w:r>
      <w:r w:rsidR="001940BD">
        <w:t> </w:t>
      </w:r>
      <w:r>
        <w:t>percentilisét jelentő 103</w:t>
      </w:r>
      <w:r w:rsidR="001940BD">
        <w:t> </w:t>
      </w:r>
      <w:r>
        <w:t>másodpercnek,</w:t>
      </w:r>
    </w:p>
    <w:p w14:paraId="65A619D4" w14:textId="27739333" w:rsidR="00304920" w:rsidRDefault="00220A43" w:rsidP="00304920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>
        <w:t xml:space="preserve">az </w:t>
      </w:r>
      <w:r w:rsidR="002E2A7B">
        <w:t>aPTI</w:t>
      </w:r>
      <w:r>
        <w:t xml:space="preserve"> a normálérték felső határának kétszeresére történő megnyúlása (</w:t>
      </w:r>
      <w:r w:rsidR="002E2A7B">
        <w:t>aPTI</w:t>
      </w:r>
      <w:r w:rsidR="001940BD">
        <w:t>-</w:t>
      </w:r>
      <w:r>
        <w:t>megnyúlás körülbelül</w:t>
      </w:r>
      <w:r w:rsidRPr="008F5A8D">
        <w:t xml:space="preserve"> </w:t>
      </w:r>
      <w:r>
        <w:t>80</w:t>
      </w:r>
      <w:r w:rsidR="001940BD">
        <w:t> </w:t>
      </w:r>
      <w:r>
        <w:t>másodperc),</w:t>
      </w:r>
      <w:r w:rsidRPr="008F5A8D">
        <w:t xml:space="preserve"> </w:t>
      </w:r>
      <w:r>
        <w:t>a</w:t>
      </w:r>
      <w:r w:rsidRPr="008F5A8D">
        <w:t xml:space="preserve"> </w:t>
      </w:r>
      <w:r>
        <w:t>mélyponton</w:t>
      </w:r>
      <w:r w:rsidRPr="008F5A8D">
        <w:t xml:space="preserve"> </w:t>
      </w:r>
      <w:r>
        <w:t>(10-16</w:t>
      </w:r>
      <w:r w:rsidR="002E2A7B">
        <w:t> órá</w:t>
      </w:r>
      <w:r>
        <w:t>val</w:t>
      </w:r>
      <w:r w:rsidRPr="008F5A8D">
        <w:t xml:space="preserve"> </w:t>
      </w:r>
      <w:r>
        <w:t>a</w:t>
      </w:r>
      <w:r w:rsidRPr="008F5A8D">
        <w:t xml:space="preserve"> </w:t>
      </w:r>
      <w:r>
        <w:t>megelőző</w:t>
      </w:r>
      <w:r w:rsidRPr="008F5A8D">
        <w:t xml:space="preserve"> </w:t>
      </w:r>
      <w:r>
        <w:t>dózis</w:t>
      </w:r>
      <w:r w:rsidRPr="008F5A8D">
        <w:t xml:space="preserve"> </w:t>
      </w:r>
      <w:r>
        <w:t>után)</w:t>
      </w:r>
      <w:r w:rsidRPr="008F5A8D">
        <w:t xml:space="preserve"> </w:t>
      </w:r>
      <w:r>
        <w:t>felelt</w:t>
      </w:r>
      <w:r w:rsidRPr="008F5A8D">
        <w:t xml:space="preserve"> </w:t>
      </w:r>
      <w:r>
        <w:t>meg</w:t>
      </w:r>
      <w:r w:rsidRPr="008F5A8D">
        <w:t xml:space="preserve"> </w:t>
      </w:r>
      <w:r>
        <w:t>a megfigyelt 90</w:t>
      </w:r>
      <w:r w:rsidR="001940BD">
        <w:t> </w:t>
      </w:r>
      <w:r>
        <w:t>percentilis értéknek.</w:t>
      </w:r>
    </w:p>
    <w:p w14:paraId="0073F3B7" w14:textId="77777777" w:rsidR="00304920" w:rsidRDefault="00304920" w:rsidP="008F5A8D">
      <w:pPr>
        <w:pStyle w:val="Listaszerbekezds"/>
        <w:tabs>
          <w:tab w:val="left" w:pos="567"/>
        </w:tabs>
        <w:ind w:left="567" w:firstLine="0"/>
      </w:pPr>
    </w:p>
    <w:p w14:paraId="3A023036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Az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MVT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kezelése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az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MVT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4"/>
          <w:u w:val="single"/>
        </w:rPr>
        <w:t xml:space="preserve"> </w:t>
      </w:r>
      <w:r>
        <w:rPr>
          <w:i/>
          <w:u w:val="single"/>
        </w:rPr>
        <w:t>kiújulásának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megelőzése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felnőtt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betegeknél</w:t>
      </w:r>
      <w:r>
        <w:rPr>
          <w:i/>
          <w:spacing w:val="-4"/>
          <w:u w:val="single"/>
        </w:rPr>
        <w:t xml:space="preserve"> </w:t>
      </w:r>
      <w:r>
        <w:rPr>
          <w:i/>
          <w:spacing w:val="-2"/>
          <w:u w:val="single"/>
        </w:rPr>
        <w:t>(MVT/PE)</w:t>
      </w:r>
    </w:p>
    <w:p w14:paraId="047FB003" w14:textId="26C255A7" w:rsidR="00945359" w:rsidRDefault="00220A43" w:rsidP="008F5A8D">
      <w:pPr>
        <w:pStyle w:val="Szvegtrzs"/>
        <w:tabs>
          <w:tab w:val="left" w:pos="567"/>
        </w:tabs>
      </w:pPr>
      <w:r>
        <w:t>MVT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miatt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150</w:t>
      </w:r>
      <w:r w:rsidR="00294835">
        <w:rPr>
          <w:spacing w:val="-2"/>
        </w:rPr>
        <w:t> mg</w:t>
      </w:r>
      <w:r>
        <w:rPr>
          <w:spacing w:val="-4"/>
        </w:rPr>
        <w:t xml:space="preserve"> </w:t>
      </w:r>
      <w:r>
        <w:t>dabigatrán-etexiláttal</w:t>
      </w:r>
      <w:r>
        <w:rPr>
          <w:spacing w:val="-2"/>
        </w:rPr>
        <w:t xml:space="preserve"> </w:t>
      </w:r>
      <w:r>
        <w:t>kezelt</w:t>
      </w:r>
      <w:r>
        <w:rPr>
          <w:spacing w:val="-2"/>
        </w:rPr>
        <w:t xml:space="preserve"> </w:t>
      </w:r>
      <w:r>
        <w:t>betegeknél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dabigatrán</w:t>
      </w:r>
      <w:r>
        <w:rPr>
          <w:spacing w:val="-2"/>
        </w:rPr>
        <w:t xml:space="preserve"> </w:t>
      </w:r>
      <w:r>
        <w:t>adagolás</w:t>
      </w:r>
      <w:r w:rsidR="001940BD">
        <w:t>a</w:t>
      </w:r>
      <w:r>
        <w:t xml:space="preserve"> után 10</w:t>
      </w:r>
      <w:r w:rsidR="001940BD">
        <w:t>-</w:t>
      </w:r>
      <w:r>
        <w:t>16</w:t>
      </w:r>
      <w:r w:rsidR="002E2A7B">
        <w:t> órá</w:t>
      </w:r>
      <w:r>
        <w:t>val, az adagolási intervallum végén mért (azaz 12</w:t>
      </w:r>
      <w:r w:rsidR="002E2A7B">
        <w:t> órá</w:t>
      </w:r>
      <w:r>
        <w:t>val a 150</w:t>
      </w:r>
      <w:r w:rsidR="00294835">
        <w:t> mg</w:t>
      </w:r>
      <w:r>
        <w:t xml:space="preserve">-os dabigatrán esti dózisa után) mélyponti koncentráció </w:t>
      </w:r>
      <w:r w:rsidR="00CF7BFA">
        <w:t>mértani</w:t>
      </w:r>
      <w:r>
        <w:t xml:space="preserve"> átlaga 59,7</w:t>
      </w:r>
      <w:r w:rsidR="00294835">
        <w:t> ng</w:t>
      </w:r>
      <w:r>
        <w:t>/ml volt, a mért értékek 38,6 és</w:t>
      </w:r>
    </w:p>
    <w:p w14:paraId="319007BB" w14:textId="7952E23A" w:rsidR="00945359" w:rsidRDefault="00220A43" w:rsidP="008F5A8D">
      <w:pPr>
        <w:pStyle w:val="Szvegtrzs"/>
        <w:tabs>
          <w:tab w:val="left" w:pos="567"/>
        </w:tabs>
      </w:pPr>
      <w:r>
        <w:t>94,5</w:t>
      </w:r>
      <w:r w:rsidR="00294835">
        <w:rPr>
          <w:spacing w:val="-1"/>
        </w:rPr>
        <w:t> ng</w:t>
      </w:r>
      <w:r>
        <w:t>/ml</w:t>
      </w:r>
      <w:r>
        <w:rPr>
          <w:spacing w:val="-2"/>
        </w:rPr>
        <w:t xml:space="preserve"> </w:t>
      </w:r>
      <w:r>
        <w:t>között</w:t>
      </w:r>
      <w:r>
        <w:rPr>
          <w:spacing w:val="-2"/>
        </w:rPr>
        <w:t xml:space="preserve"> </w:t>
      </w:r>
      <w:r>
        <w:t>voltak</w:t>
      </w:r>
      <w:r>
        <w:rPr>
          <w:spacing w:val="-2"/>
        </w:rPr>
        <w:t xml:space="preserve"> </w:t>
      </w:r>
      <w:r>
        <w:t>(25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75</w:t>
      </w:r>
      <w:r>
        <w:rPr>
          <w:spacing w:val="-4"/>
        </w:rPr>
        <w:t xml:space="preserve"> </w:t>
      </w:r>
      <w:r>
        <w:t>percentilis</w:t>
      </w:r>
      <w:r>
        <w:rPr>
          <w:spacing w:val="-2"/>
        </w:rPr>
        <w:t xml:space="preserve"> </w:t>
      </w:r>
      <w:r>
        <w:t>tartomány).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MVT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PE</w:t>
      </w:r>
      <w:r>
        <w:rPr>
          <w:spacing w:val="-2"/>
        </w:rPr>
        <w:t xml:space="preserve"> </w:t>
      </w:r>
      <w:r>
        <w:t>kezelése</w:t>
      </w:r>
      <w:r>
        <w:rPr>
          <w:spacing w:val="-2"/>
        </w:rPr>
        <w:t xml:space="preserve"> </w:t>
      </w:r>
      <w:r>
        <w:t>során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 xml:space="preserve">napi kétszer </w:t>
      </w:r>
      <w:r>
        <w:lastRenderedPageBreak/>
        <w:t>150</w:t>
      </w:r>
      <w:r w:rsidR="00294835">
        <w:t> mg</w:t>
      </w:r>
      <w:r>
        <w:t xml:space="preserve"> dabigatrán-etexilát adása esetén,</w:t>
      </w:r>
    </w:p>
    <w:p w14:paraId="7D856F73" w14:textId="75DFC99C" w:rsidR="00945359" w:rsidRDefault="00220A43" w:rsidP="008F5A8D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>
        <w:t>a</w:t>
      </w:r>
      <w:r w:rsidRPr="008F5A8D">
        <w:t xml:space="preserve"> </w:t>
      </w:r>
      <w:r>
        <w:t>dabigatrán-koncentráció</w:t>
      </w:r>
      <w:r w:rsidRPr="008F5A8D">
        <w:t xml:space="preserve"> </w:t>
      </w:r>
      <w:r>
        <w:t>90</w:t>
      </w:r>
      <w:r w:rsidR="001940BD">
        <w:t> </w:t>
      </w:r>
      <w:r>
        <w:t>percentilis</w:t>
      </w:r>
      <w:r w:rsidRPr="008F5A8D">
        <w:t xml:space="preserve"> </w:t>
      </w:r>
      <w:r>
        <w:t>értéke</w:t>
      </w:r>
      <w:r w:rsidRPr="008F5A8D">
        <w:t xml:space="preserve"> </w:t>
      </w:r>
      <w:r>
        <w:t>a</w:t>
      </w:r>
      <w:r w:rsidRPr="008F5A8D">
        <w:t xml:space="preserve"> </w:t>
      </w:r>
      <w:r>
        <w:t>mélyponton</w:t>
      </w:r>
      <w:r w:rsidRPr="008F5A8D">
        <w:t xml:space="preserve"> </w:t>
      </w:r>
      <w:r>
        <w:t>mérve</w:t>
      </w:r>
      <w:r w:rsidRPr="008F5A8D">
        <w:t xml:space="preserve"> </w:t>
      </w:r>
      <w:r>
        <w:t>(10-16</w:t>
      </w:r>
      <w:r w:rsidR="002E2A7B">
        <w:t> órá</w:t>
      </w:r>
      <w:r>
        <w:t>val</w:t>
      </w:r>
      <w:r w:rsidRPr="008F5A8D">
        <w:t xml:space="preserve"> </w:t>
      </w:r>
      <w:r>
        <w:t>a</w:t>
      </w:r>
      <w:r w:rsidRPr="008F5A8D">
        <w:t xml:space="preserve"> </w:t>
      </w:r>
      <w:r>
        <w:t>megelőző dózis után) 146</w:t>
      </w:r>
      <w:r w:rsidR="00294835">
        <w:t> ng</w:t>
      </w:r>
      <w:r>
        <w:t>/ml volt,</w:t>
      </w:r>
    </w:p>
    <w:p w14:paraId="5FA8ED14" w14:textId="40944F3F" w:rsidR="00945359" w:rsidRDefault="00220A43" w:rsidP="008F5A8D">
      <w:pPr>
        <w:pStyle w:val="Listaszerbekezds"/>
        <w:numPr>
          <w:ilvl w:val="0"/>
          <w:numId w:val="28"/>
        </w:numPr>
        <w:tabs>
          <w:tab w:val="left" w:pos="567"/>
        </w:tabs>
        <w:ind w:left="567"/>
      </w:pPr>
      <w:r>
        <w:t>az ECT esetében a mélyponton (10-16</w:t>
      </w:r>
      <w:r w:rsidR="002E2A7B">
        <w:t> órá</w:t>
      </w:r>
      <w:r>
        <w:t>val a megelőző dózis után), a normálérték felső határának</w:t>
      </w:r>
      <w:r w:rsidRPr="008F5A8D">
        <w:t xml:space="preserve"> </w:t>
      </w:r>
      <w:r>
        <w:t>2,3-szorosára</w:t>
      </w:r>
      <w:r w:rsidRPr="008F5A8D">
        <w:t xml:space="preserve"> </w:t>
      </w:r>
      <w:r>
        <w:t>emelkedett</w:t>
      </w:r>
      <w:r w:rsidRPr="008F5A8D">
        <w:t xml:space="preserve"> </w:t>
      </w:r>
      <w:r>
        <w:t>érték</w:t>
      </w:r>
      <w:r w:rsidRPr="008F5A8D">
        <w:t xml:space="preserve"> </w:t>
      </w:r>
      <w:r>
        <w:t>felelt</w:t>
      </w:r>
      <w:r w:rsidRPr="008F5A8D">
        <w:t xml:space="preserve"> </w:t>
      </w:r>
      <w:r>
        <w:t>meg</w:t>
      </w:r>
      <w:r w:rsidRPr="008F5A8D">
        <w:t xml:space="preserve"> </w:t>
      </w:r>
      <w:r>
        <w:t>az</w:t>
      </w:r>
      <w:r w:rsidRPr="008F5A8D">
        <w:t xml:space="preserve"> </w:t>
      </w:r>
      <w:r>
        <w:t>ECT</w:t>
      </w:r>
      <w:r w:rsidR="001940BD">
        <w:t>-</w:t>
      </w:r>
      <w:r>
        <w:t>megnyúlás</w:t>
      </w:r>
      <w:r w:rsidRPr="008F5A8D">
        <w:t xml:space="preserve"> </w:t>
      </w:r>
      <w:r>
        <w:t>90</w:t>
      </w:r>
      <w:r w:rsidR="001940BD">
        <w:t> </w:t>
      </w:r>
      <w:r>
        <w:t>percentilisét</w:t>
      </w:r>
      <w:r w:rsidRPr="008F5A8D">
        <w:t xml:space="preserve"> </w:t>
      </w:r>
      <w:r>
        <w:t>jelentő 74</w:t>
      </w:r>
      <w:r w:rsidR="001940BD">
        <w:t> </w:t>
      </w:r>
      <w:r>
        <w:t>másodpercnek,</w:t>
      </w:r>
      <w:r w:rsidR="00184036">
        <w:t xml:space="preserve"> </w:t>
      </w:r>
      <w:r>
        <w:t>az</w:t>
      </w:r>
      <w:r w:rsidRPr="008F5A8D">
        <w:t xml:space="preserve"> </w:t>
      </w:r>
      <w:r w:rsidR="002E2A7B">
        <w:t>aPTI</w:t>
      </w:r>
      <w:r w:rsidRPr="008F5A8D">
        <w:t xml:space="preserve"> </w:t>
      </w:r>
      <w:r>
        <w:t>a</w:t>
      </w:r>
      <w:r w:rsidRPr="008F5A8D">
        <w:t xml:space="preserve"> </w:t>
      </w:r>
      <w:r>
        <w:t>mélyponton</w:t>
      </w:r>
      <w:r w:rsidRPr="008F5A8D">
        <w:t xml:space="preserve"> </w:t>
      </w:r>
      <w:r>
        <w:t>(10-16</w:t>
      </w:r>
      <w:r w:rsidR="002E2A7B">
        <w:t> órá</w:t>
      </w:r>
      <w:r>
        <w:t>val</w:t>
      </w:r>
      <w:r w:rsidRPr="008F5A8D">
        <w:t xml:space="preserve"> </w:t>
      </w:r>
      <w:r>
        <w:t>a</w:t>
      </w:r>
      <w:r w:rsidRPr="008F5A8D">
        <w:t xml:space="preserve"> </w:t>
      </w:r>
      <w:r>
        <w:t>megelőző</w:t>
      </w:r>
      <w:r w:rsidRPr="008F5A8D">
        <w:t xml:space="preserve"> </w:t>
      </w:r>
      <w:r>
        <w:t>dózis</w:t>
      </w:r>
      <w:r w:rsidRPr="008F5A8D">
        <w:t xml:space="preserve"> </w:t>
      </w:r>
      <w:r>
        <w:t>után)</w:t>
      </w:r>
      <w:r w:rsidRPr="008F5A8D">
        <w:t xml:space="preserve"> </w:t>
      </w:r>
      <w:r>
        <w:t>mért</w:t>
      </w:r>
      <w:r w:rsidRPr="008F5A8D">
        <w:t xml:space="preserve"> </w:t>
      </w:r>
      <w:r>
        <w:t>90</w:t>
      </w:r>
      <w:r w:rsidR="001940BD">
        <w:t> </w:t>
      </w:r>
      <w:r>
        <w:t>percentilis</w:t>
      </w:r>
      <w:r w:rsidRPr="008F5A8D">
        <w:t xml:space="preserve"> </w:t>
      </w:r>
      <w:r>
        <w:t>értéke 62</w:t>
      </w:r>
      <w:r w:rsidR="001940BD">
        <w:t> </w:t>
      </w:r>
      <w:r>
        <w:t>másodperc volt, ami a kiindulási érték 1,8-</w:t>
      </w:r>
      <w:r w:rsidR="001940BD">
        <w:t>szorosa</w:t>
      </w:r>
      <w:r>
        <w:t>.</w:t>
      </w:r>
    </w:p>
    <w:p w14:paraId="6E9C123F" w14:textId="6553169E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MVT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kiújulásának</w:t>
      </w:r>
      <w:r>
        <w:rPr>
          <w:spacing w:val="-3"/>
        </w:rPr>
        <w:t xml:space="preserve"> </w:t>
      </w:r>
      <w:r>
        <w:t>prevenciója</w:t>
      </w:r>
      <w:r>
        <w:rPr>
          <w:spacing w:val="-3"/>
        </w:rPr>
        <w:t xml:space="preserve"> </w:t>
      </w:r>
      <w:r>
        <w:t>miatt</w:t>
      </w:r>
      <w:r>
        <w:rPr>
          <w:spacing w:val="-3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150</w:t>
      </w:r>
      <w:r w:rsidR="00294835">
        <w:rPr>
          <w:spacing w:val="-3"/>
        </w:rPr>
        <w:t> mg</w:t>
      </w:r>
      <w:r>
        <w:rPr>
          <w:spacing w:val="-3"/>
        </w:rPr>
        <w:t xml:space="preserve"> </w:t>
      </w:r>
      <w:r>
        <w:t>dabigatránnal</w:t>
      </w:r>
      <w:r>
        <w:rPr>
          <w:spacing w:val="-3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betegekre vonatkozó farmakokinetikai adatok nem állnak rendelkezésre.</w:t>
      </w:r>
    </w:p>
    <w:p w14:paraId="7474EFFF" w14:textId="77777777" w:rsidR="00945359" w:rsidRDefault="00945359" w:rsidP="008F5A8D">
      <w:pPr>
        <w:pStyle w:val="Szvegtrzs"/>
        <w:tabs>
          <w:tab w:val="left" w:pos="567"/>
        </w:tabs>
      </w:pPr>
    </w:p>
    <w:p w14:paraId="4528063E" w14:textId="77777777" w:rsidR="00945359" w:rsidRDefault="00220A43">
      <w:pPr>
        <w:pStyle w:val="Szvegtrzs"/>
        <w:tabs>
          <w:tab w:val="left" w:pos="567"/>
        </w:tabs>
        <w:rPr>
          <w:spacing w:val="-2"/>
          <w:u w:val="single"/>
        </w:rPr>
      </w:pPr>
      <w:r>
        <w:rPr>
          <w:u w:val="single"/>
        </w:rPr>
        <w:t>Klinikai</w:t>
      </w:r>
      <w:r>
        <w:rPr>
          <w:spacing w:val="-7"/>
          <w:u w:val="single"/>
        </w:rPr>
        <w:t xml:space="preserve"> </w:t>
      </w:r>
      <w:r>
        <w:rPr>
          <w:u w:val="single"/>
        </w:rPr>
        <w:t>hatásosság</w:t>
      </w:r>
      <w:r>
        <w:rPr>
          <w:spacing w:val="-7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biztonságosság</w:t>
      </w:r>
    </w:p>
    <w:p w14:paraId="5B7AEC49" w14:textId="77777777" w:rsidR="00304920" w:rsidRDefault="00304920" w:rsidP="008F5A8D">
      <w:pPr>
        <w:pStyle w:val="Szvegtrzs"/>
        <w:tabs>
          <w:tab w:val="left" w:pos="567"/>
        </w:tabs>
      </w:pPr>
    </w:p>
    <w:p w14:paraId="2B845510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Etnikai</w:t>
      </w:r>
      <w:r>
        <w:rPr>
          <w:i/>
          <w:spacing w:val="-7"/>
        </w:rPr>
        <w:t xml:space="preserve"> </w:t>
      </w:r>
      <w:r>
        <w:rPr>
          <w:i/>
          <w:spacing w:val="-2"/>
        </w:rPr>
        <w:t>származás:</w:t>
      </w:r>
    </w:p>
    <w:p w14:paraId="77D1C4F4" w14:textId="3F97AADA" w:rsidR="00945359" w:rsidRDefault="00220A43" w:rsidP="008F5A8D">
      <w:pPr>
        <w:pStyle w:val="Szvegtrzs"/>
        <w:tabs>
          <w:tab w:val="left" w:pos="567"/>
        </w:tabs>
      </w:pPr>
      <w:r>
        <w:t>Nem</w:t>
      </w:r>
      <w:r>
        <w:rPr>
          <w:spacing w:val="-3"/>
        </w:rPr>
        <w:t xml:space="preserve"> </w:t>
      </w:r>
      <w:r>
        <w:t>figyeltek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klinikailag</w:t>
      </w:r>
      <w:r>
        <w:rPr>
          <w:spacing w:val="-3"/>
        </w:rPr>
        <w:t xml:space="preserve"> </w:t>
      </w:r>
      <w:r>
        <w:t>releváns</w:t>
      </w:r>
      <w:r>
        <w:rPr>
          <w:spacing w:val="-3"/>
        </w:rPr>
        <w:t xml:space="preserve"> </w:t>
      </w:r>
      <w:r>
        <w:t>különbséget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fehér</w:t>
      </w:r>
      <w:r w:rsidR="001940BD">
        <w:t xml:space="preserve"> bőrű</w:t>
      </w:r>
      <w:r>
        <w:t>,</w:t>
      </w:r>
      <w:r>
        <w:rPr>
          <w:spacing w:val="-6"/>
        </w:rPr>
        <w:t xml:space="preserve"> </w:t>
      </w:r>
      <w:r w:rsidR="001940BD">
        <w:rPr>
          <w:spacing w:val="-6"/>
        </w:rPr>
        <w:t xml:space="preserve">az </w:t>
      </w:r>
      <w:r>
        <w:t>afroamerikai,</w:t>
      </w:r>
      <w:r>
        <w:rPr>
          <w:spacing w:val="-3"/>
        </w:rPr>
        <w:t xml:space="preserve"> </w:t>
      </w:r>
      <w:r w:rsidR="001940BD">
        <w:rPr>
          <w:spacing w:val="-3"/>
        </w:rPr>
        <w:t xml:space="preserve">a </w:t>
      </w:r>
      <w:r>
        <w:t>hispán,</w:t>
      </w:r>
      <w:r>
        <w:rPr>
          <w:spacing w:val="-3"/>
        </w:rPr>
        <w:t xml:space="preserve"> </w:t>
      </w:r>
      <w:r w:rsidR="001940BD">
        <w:rPr>
          <w:spacing w:val="-3"/>
        </w:rPr>
        <w:t xml:space="preserve">a </w:t>
      </w:r>
      <w:r>
        <w:t>japán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 w:rsidR="001940BD">
        <w:rPr>
          <w:spacing w:val="-3"/>
        </w:rPr>
        <w:t xml:space="preserve">a </w:t>
      </w:r>
      <w:r>
        <w:t>kínai betegek között.</w:t>
      </w:r>
    </w:p>
    <w:p w14:paraId="457DC6B7" w14:textId="77777777" w:rsidR="00945359" w:rsidRDefault="00945359" w:rsidP="008F5A8D">
      <w:pPr>
        <w:pStyle w:val="Szvegtrzs"/>
        <w:tabs>
          <w:tab w:val="left" w:pos="567"/>
        </w:tabs>
      </w:pPr>
    </w:p>
    <w:p w14:paraId="053D40E9" w14:textId="388245E9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Klinikai</w:t>
      </w:r>
      <w:r>
        <w:rPr>
          <w:i/>
          <w:spacing w:val="-12"/>
          <w:u w:val="single"/>
        </w:rPr>
        <w:t xml:space="preserve"> </w:t>
      </w:r>
      <w:r>
        <w:rPr>
          <w:i/>
          <w:u w:val="single"/>
        </w:rPr>
        <w:t>vizsgálatok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nagyízületi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endoprotézis-műtétet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követő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VTE</w:t>
      </w:r>
      <w:r>
        <w:rPr>
          <w:i/>
          <w:spacing w:val="-9"/>
          <w:u w:val="single"/>
        </w:rPr>
        <w:t xml:space="preserve"> </w:t>
      </w:r>
      <w:r>
        <w:rPr>
          <w:i/>
          <w:spacing w:val="-2"/>
          <w:u w:val="single"/>
        </w:rPr>
        <w:t>megelőzésére</w:t>
      </w:r>
    </w:p>
    <w:p w14:paraId="23E6A8E4" w14:textId="6E5765F4" w:rsidR="00945359" w:rsidRDefault="00220A43" w:rsidP="008F5A8D">
      <w:pPr>
        <w:pStyle w:val="Szvegtrzs"/>
        <w:tabs>
          <w:tab w:val="left" w:pos="567"/>
        </w:tabs>
      </w:pPr>
      <w:r>
        <w:t>2 nagy, randomizált, parallel csoportos, kettős vak, dózismeghatározó vizsgálatban az elektív ortopédiai nagyműtétre kerülő betegek (az egyikben térd-, a másikban csípőízületi endoprotézis</w:t>
      </w:r>
      <w:r w:rsidR="008B2815">
        <w:t>-</w:t>
      </w:r>
      <w:r>
        <w:t>beültetés történt) – miután haemostasisuk biztosítottá vált – 75 vagy 110</w:t>
      </w:r>
      <w:r w:rsidR="00294835">
        <w:t> mg</w:t>
      </w:r>
      <w:r>
        <w:t xml:space="preserve"> dabigatrán-etexilátot kaptak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1-4</w:t>
      </w:r>
      <w:r w:rsidR="002E2A7B">
        <w:rPr>
          <w:spacing w:val="-2"/>
        </w:rPr>
        <w:t> órá</w:t>
      </w:r>
      <w:r>
        <w:t>val,</w:t>
      </w:r>
      <w:r>
        <w:rPr>
          <w:spacing w:val="-3"/>
        </w:rPr>
        <w:t xml:space="preserve"> </w:t>
      </w:r>
      <w:r>
        <w:t>majd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követően</w:t>
      </w:r>
      <w:r>
        <w:rPr>
          <w:spacing w:val="-3"/>
        </w:rPr>
        <w:t xml:space="preserve"> </w:t>
      </w:r>
      <w:r>
        <w:t>150</w:t>
      </w:r>
      <w:r>
        <w:rPr>
          <w:spacing w:val="-5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220</w:t>
      </w:r>
      <w:r w:rsidR="00294835">
        <w:t> mg</w:t>
      </w:r>
      <w:r>
        <w:t>-ot</w:t>
      </w:r>
      <w:r>
        <w:rPr>
          <w:spacing w:val="-2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egyszer,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40</w:t>
      </w:r>
      <w:r w:rsidR="00294835">
        <w:t> mg</w:t>
      </w:r>
      <w:r>
        <w:t xml:space="preserve"> enoxaparint a műtét előtti napon, majd azt követően naponta.</w:t>
      </w:r>
    </w:p>
    <w:p w14:paraId="62E9F344" w14:textId="323B85A9" w:rsidR="00945359" w:rsidRDefault="00220A43" w:rsidP="008F5A8D">
      <w:pPr>
        <w:pStyle w:val="Szvegtrzs"/>
        <w:tabs>
          <w:tab w:val="left" w:pos="567"/>
        </w:tabs>
      </w:pPr>
      <w:r>
        <w:t>A RE-MODEL vizsgálatban (térdprotézis</w:t>
      </w:r>
      <w:r w:rsidR="008B2815">
        <w:t>-</w:t>
      </w:r>
      <w:r>
        <w:t>beültetés) a kezelés 6-10</w:t>
      </w:r>
      <w:r w:rsidR="00294835">
        <w:t> nap</w:t>
      </w:r>
      <w:r>
        <w:t>ig, a RE-NOVATE vizsgálatban</w:t>
      </w:r>
      <w:r>
        <w:rPr>
          <w:spacing w:val="-4"/>
        </w:rPr>
        <w:t xml:space="preserve"> </w:t>
      </w:r>
      <w:r>
        <w:t>(csípőprotézis</w:t>
      </w:r>
      <w:r w:rsidR="008B2815">
        <w:rPr>
          <w:spacing w:val="-4"/>
        </w:rPr>
        <w:t>-</w:t>
      </w:r>
      <w:r>
        <w:t>beültetés)</w:t>
      </w:r>
      <w:r>
        <w:rPr>
          <w:spacing w:val="-4"/>
        </w:rPr>
        <w:t xml:space="preserve"> </w:t>
      </w:r>
      <w:r>
        <w:t>pedig</w:t>
      </w:r>
      <w:r>
        <w:rPr>
          <w:spacing w:val="-4"/>
        </w:rPr>
        <w:t xml:space="preserve"> </w:t>
      </w:r>
      <w:r>
        <w:t>28-35</w:t>
      </w:r>
      <w:r w:rsidR="00294835">
        <w:rPr>
          <w:spacing w:val="-3"/>
        </w:rPr>
        <w:t> nap</w:t>
      </w:r>
      <w:r>
        <w:t>ig</w:t>
      </w:r>
      <w:r>
        <w:rPr>
          <w:spacing w:val="-4"/>
        </w:rPr>
        <w:t xml:space="preserve"> </w:t>
      </w:r>
      <w:r>
        <w:t>tartott.</w:t>
      </w:r>
      <w:r>
        <w:rPr>
          <w:spacing w:val="-4"/>
        </w:rPr>
        <w:t xml:space="preserve"> </w:t>
      </w:r>
      <w:r>
        <w:t>Összesen</w:t>
      </w:r>
      <w:r>
        <w:rPr>
          <w:spacing w:val="-4"/>
        </w:rPr>
        <w:t xml:space="preserve"> </w:t>
      </w:r>
      <w:r>
        <w:t>2076</w:t>
      </w:r>
      <w:r w:rsidR="008B2815">
        <w:rPr>
          <w:spacing w:val="-3"/>
        </w:rPr>
        <w:t> </w:t>
      </w:r>
      <w:r>
        <w:t>beteget</w:t>
      </w:r>
      <w:r>
        <w:rPr>
          <w:spacing w:val="-4"/>
        </w:rPr>
        <w:t xml:space="preserve"> </w:t>
      </w:r>
      <w:r>
        <w:t>kezeltek</w:t>
      </w:r>
      <w:r>
        <w:rPr>
          <w:spacing w:val="-4"/>
        </w:rPr>
        <w:t xml:space="preserve"> </w:t>
      </w:r>
      <w:r>
        <w:t>térd-, és 3494-et csípőprotézis</w:t>
      </w:r>
      <w:r w:rsidR="008B2815">
        <w:t>-</w:t>
      </w:r>
      <w:r>
        <w:t>beültetést követően.</w:t>
      </w:r>
    </w:p>
    <w:p w14:paraId="442659A2" w14:textId="77777777" w:rsidR="00945359" w:rsidRDefault="00945359" w:rsidP="008F5A8D">
      <w:pPr>
        <w:pStyle w:val="Szvegtrzs"/>
        <w:tabs>
          <w:tab w:val="left" w:pos="567"/>
        </w:tabs>
      </w:pPr>
    </w:p>
    <w:p w14:paraId="0E498534" w14:textId="0DFC8EF8" w:rsidR="00945359" w:rsidRDefault="00220A43" w:rsidP="008F5A8D">
      <w:pPr>
        <w:pStyle w:val="Szvegtrzs"/>
        <w:tabs>
          <w:tab w:val="left" w:pos="567"/>
        </w:tabs>
      </w:pPr>
      <w:r>
        <w:t xml:space="preserve">Mindkét vizsgálat elsődleges </w:t>
      </w:r>
      <w:r w:rsidR="004E17CD">
        <w:t xml:space="preserve">kompozit </w:t>
      </w:r>
      <w:r>
        <w:t>végpontja az összes VTE (beleértve a pulmon</w:t>
      </w:r>
      <w:r w:rsidR="00600279">
        <w:t>a</w:t>
      </w:r>
      <w:r>
        <w:t xml:space="preserve">lis embóliát [PE] és a rutin </w:t>
      </w:r>
      <w:r w:rsidR="002E2A7B">
        <w:t>venográfi</w:t>
      </w:r>
      <w:r>
        <w:t>ával kimutatott, akár tünetet okozó, akár tünetmentes, proxim</w:t>
      </w:r>
      <w:r w:rsidR="00600279">
        <w:t>a</w:t>
      </w:r>
      <w:r>
        <w:t>lis és dis</w:t>
      </w:r>
      <w:r w:rsidR="00600279">
        <w:t>ta</w:t>
      </w:r>
      <w:r>
        <w:t xml:space="preserve">lis mélyvénás thrombosist [MVT] is) és az összes mortalitás volt. A másodlagos </w:t>
      </w:r>
      <w:r w:rsidR="004E17CD">
        <w:t xml:space="preserve">kompozit </w:t>
      </w:r>
      <w:r>
        <w:t>végpont a jelentős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(beleértve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pulmon</w:t>
      </w:r>
      <w:r w:rsidR="0099084B">
        <w:t>a</w:t>
      </w:r>
      <w:r>
        <w:t>lis</w:t>
      </w:r>
      <w:r>
        <w:rPr>
          <w:spacing w:val="-3"/>
        </w:rPr>
        <w:t xml:space="preserve"> </w:t>
      </w:r>
      <w:r>
        <w:t>embóliát</w:t>
      </w:r>
      <w:r>
        <w:rPr>
          <w:spacing w:val="-3"/>
        </w:rPr>
        <w:t xml:space="preserve"> </w:t>
      </w:r>
      <w:r>
        <w:t>[PE]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rutin</w:t>
      </w:r>
      <w:r>
        <w:rPr>
          <w:spacing w:val="-3"/>
        </w:rPr>
        <w:t xml:space="preserve"> </w:t>
      </w:r>
      <w:r w:rsidR="002E2A7B">
        <w:t>venográfi</w:t>
      </w:r>
      <w:r>
        <w:t>ával</w:t>
      </w:r>
      <w:r>
        <w:rPr>
          <w:spacing w:val="-3"/>
        </w:rPr>
        <w:t xml:space="preserve"> </w:t>
      </w:r>
      <w:r>
        <w:t>kimutatott,</w:t>
      </w:r>
      <w:r>
        <w:rPr>
          <w:spacing w:val="-3"/>
        </w:rPr>
        <w:t xml:space="preserve"> </w:t>
      </w:r>
      <w:r>
        <w:t>akár</w:t>
      </w:r>
      <w:r>
        <w:rPr>
          <w:spacing w:val="-3"/>
        </w:rPr>
        <w:t xml:space="preserve"> </w:t>
      </w:r>
      <w:r>
        <w:t>tünetet okozó, akár tünetmentes, proxim</w:t>
      </w:r>
      <w:r w:rsidR="0099084B">
        <w:t>a</w:t>
      </w:r>
      <w:r>
        <w:t>lis MVT-t is) és a VTE-vel kapcsolatos mortalitás volt, és ezt tartják klinikailag relevánsabbnak.</w:t>
      </w:r>
    </w:p>
    <w:p w14:paraId="3587DE34" w14:textId="413B2F28" w:rsidR="00945359" w:rsidRDefault="00220A43" w:rsidP="008F5A8D">
      <w:pPr>
        <w:pStyle w:val="Szvegtrzs"/>
        <w:tabs>
          <w:tab w:val="left" w:pos="567"/>
        </w:tabs>
      </w:pPr>
      <w:r>
        <w:t>Mindkét vizsgálat eredménye azt mutatta, hogy a 220</w:t>
      </w:r>
      <w:r w:rsidR="00294835">
        <w:t> mg</w:t>
      </w:r>
      <w:r>
        <w:t xml:space="preserve"> és a 150</w:t>
      </w:r>
      <w:r w:rsidR="00294835">
        <w:t> mg</w:t>
      </w:r>
      <w:r>
        <w:t xml:space="preserve"> dabigatrán-etexilát </w:t>
      </w:r>
      <w:r w:rsidR="00294835">
        <w:t>antithromboticus</w:t>
      </w:r>
      <w:r>
        <w:rPr>
          <w:spacing w:val="-3"/>
        </w:rPr>
        <w:t xml:space="preserve"> </w:t>
      </w:r>
      <w:r>
        <w:t>hatása</w:t>
      </w:r>
      <w:r>
        <w:rPr>
          <w:spacing w:val="-3"/>
        </w:rPr>
        <w:t xml:space="preserve"> </w:t>
      </w:r>
      <w:r>
        <w:t>statisztikailag</w:t>
      </w:r>
      <w:r>
        <w:rPr>
          <w:spacing w:val="-3"/>
        </w:rPr>
        <w:t xml:space="preserve"> </w:t>
      </w:r>
      <w:r w:rsidRPr="004E17CD">
        <w:t>n</w:t>
      </w:r>
      <w:r w:rsidR="00600279" w:rsidRPr="004E17CD">
        <w:t>oninferior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enoxaparinn</w:t>
      </w:r>
      <w:r w:rsidR="00600279">
        <w:t>al szemben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összes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összes mortalitás tekintetében. A jelentős VTE incidenciájának és a VTE-vel kapcsolatos mortalitás pontbecslésének értéke a 150</w:t>
      </w:r>
      <w:r w:rsidR="00294835">
        <w:t> mg</w:t>
      </w:r>
      <w:r>
        <w:t>-os dózis esetében valamivel rosszabb volt, mint az enoxaparin esetében (19.</w:t>
      </w:r>
      <w:r w:rsidR="00B95CAF">
        <w:t> táblázat</w:t>
      </w:r>
      <w:r>
        <w:t>). Jobbak voltak az eredmények a 220</w:t>
      </w:r>
      <w:r w:rsidR="00294835">
        <w:t> mg</w:t>
      </w:r>
      <w:r>
        <w:t>-os dózissal, ahol a jelentős VTE incidenciájának pontbecslésértéke valamivel jobb volt az enoxaparinénál (19.</w:t>
      </w:r>
      <w:r w:rsidR="00B95CAF">
        <w:t> táblázat</w:t>
      </w:r>
      <w:r>
        <w:t>).</w:t>
      </w:r>
    </w:p>
    <w:p w14:paraId="38644137" w14:textId="34C3CA4D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8"/>
        </w:rPr>
        <w:t xml:space="preserve"> </w:t>
      </w:r>
      <w:r>
        <w:t>klinikai</w:t>
      </w:r>
      <w:r>
        <w:rPr>
          <w:spacing w:val="-8"/>
        </w:rPr>
        <w:t xml:space="preserve"> </w:t>
      </w:r>
      <w:r>
        <w:t>vizsgálatokat</w:t>
      </w:r>
      <w:r>
        <w:rPr>
          <w:spacing w:val="-8"/>
        </w:rPr>
        <w:t xml:space="preserve"> </w:t>
      </w:r>
      <w:r>
        <w:t>65</w:t>
      </w:r>
      <w:r w:rsidR="00294835">
        <w:rPr>
          <w:spacing w:val="-10"/>
        </w:rPr>
        <w:t> év</w:t>
      </w:r>
      <w:r>
        <w:rPr>
          <w:spacing w:val="-7"/>
        </w:rPr>
        <w:t xml:space="preserve"> </w:t>
      </w:r>
      <w:r>
        <w:t>feletti</w:t>
      </w:r>
      <w:r>
        <w:rPr>
          <w:spacing w:val="-8"/>
        </w:rPr>
        <w:t xml:space="preserve"> </w:t>
      </w:r>
      <w:r>
        <w:t>átlagéletkorú</w:t>
      </w:r>
      <w:r>
        <w:rPr>
          <w:spacing w:val="-8"/>
        </w:rPr>
        <w:t xml:space="preserve"> </w:t>
      </w:r>
      <w:r>
        <w:t>betegpopuláció</w:t>
      </w:r>
      <w:r w:rsidR="00600279">
        <w:t>val</w:t>
      </w:r>
      <w:r>
        <w:rPr>
          <w:spacing w:val="-7"/>
        </w:rPr>
        <w:t xml:space="preserve"> </w:t>
      </w:r>
      <w:r>
        <w:rPr>
          <w:spacing w:val="-2"/>
        </w:rPr>
        <w:t>végezték.</w:t>
      </w:r>
    </w:p>
    <w:p w14:paraId="7926AA07" w14:textId="77777777" w:rsidR="00945359" w:rsidRDefault="00945359" w:rsidP="008F5A8D">
      <w:pPr>
        <w:pStyle w:val="Szvegtrzs"/>
        <w:tabs>
          <w:tab w:val="left" w:pos="567"/>
        </w:tabs>
      </w:pPr>
    </w:p>
    <w:p w14:paraId="5B55C095" w14:textId="42B2216E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III.</w:t>
      </w:r>
      <w:r w:rsidR="00294835">
        <w:rPr>
          <w:spacing w:val="-1"/>
        </w:rPr>
        <w:t> fázis</w:t>
      </w:r>
      <w:r>
        <w:t>ú</w:t>
      </w:r>
      <w:r>
        <w:rPr>
          <w:spacing w:val="-2"/>
        </w:rPr>
        <w:t xml:space="preserve"> </w:t>
      </w:r>
      <w:r>
        <w:t>klinikai</w:t>
      </w:r>
      <w:r>
        <w:rPr>
          <w:spacing w:val="-2"/>
        </w:rPr>
        <w:t xml:space="preserve"> </w:t>
      </w:r>
      <w:r>
        <w:t>vizsgálatok</w:t>
      </w:r>
      <w:r>
        <w:rPr>
          <w:spacing w:val="-2"/>
        </w:rPr>
        <w:t xml:space="preserve"> </w:t>
      </w:r>
      <w:r>
        <w:t>során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nők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férfiak</w:t>
      </w:r>
      <w:r>
        <w:rPr>
          <w:spacing w:val="-2"/>
        </w:rPr>
        <w:t xml:space="preserve"> </w:t>
      </w:r>
      <w:r>
        <w:t>között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különbség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hatásosságra</w:t>
      </w:r>
      <w:r>
        <w:rPr>
          <w:spacing w:val="-2"/>
        </w:rPr>
        <w:t xml:space="preserve"> </w:t>
      </w:r>
      <w:r>
        <w:t>és biztonságosságra vonatkozó adatok tekintetében.</w:t>
      </w:r>
    </w:p>
    <w:p w14:paraId="03C9FFA8" w14:textId="6F33C70A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RE-MODEL</w:t>
      </w:r>
      <w:r>
        <w:rPr>
          <w:spacing w:val="-2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RE-NOVATE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betegek</w:t>
      </w:r>
      <w:r>
        <w:rPr>
          <w:spacing w:val="-3"/>
        </w:rPr>
        <w:t xml:space="preserve"> </w:t>
      </w:r>
      <w:r>
        <w:t>(5539</w:t>
      </w:r>
      <w:r>
        <w:rPr>
          <w:spacing w:val="-3"/>
        </w:rPr>
        <w:t xml:space="preserve"> </w:t>
      </w:r>
      <w:r>
        <w:t>kezelt</w:t>
      </w:r>
      <w:r>
        <w:rPr>
          <w:spacing w:val="-3"/>
        </w:rPr>
        <w:t xml:space="preserve"> </w:t>
      </w:r>
      <w:r>
        <w:t>beteg)</w:t>
      </w:r>
      <w:r>
        <w:rPr>
          <w:spacing w:val="-3"/>
        </w:rPr>
        <w:t xml:space="preserve"> </w:t>
      </w:r>
      <w:r>
        <w:t>51%-a</w:t>
      </w:r>
      <w:r>
        <w:rPr>
          <w:spacing w:val="-2"/>
        </w:rPr>
        <w:t xml:space="preserve"> </w:t>
      </w:r>
      <w:r>
        <w:t>szenvedett egyidejűleg hipertóniában, 9%-a diabetesben, 9%-a egyidejű koszorúér</w:t>
      </w:r>
      <w:r w:rsidR="00600279">
        <w:t>-</w:t>
      </w:r>
      <w:r>
        <w:t xml:space="preserve">betegségben, és 20%-uk anamnézisében szerepelt vénás elégtelenség. A felsorolt betegségek egyike sem befolyásolta a dabigatrán </w:t>
      </w:r>
      <w:r w:rsidR="002E2A7B">
        <w:t>VTE-prevenció</w:t>
      </w:r>
      <w:r>
        <w:t>ra kifejtett hatását vagy a vérzés gyakoriságát.</w:t>
      </w:r>
    </w:p>
    <w:p w14:paraId="7761763E" w14:textId="77777777" w:rsidR="00945359" w:rsidRDefault="00945359" w:rsidP="008F5A8D">
      <w:pPr>
        <w:pStyle w:val="Szvegtrzs"/>
        <w:tabs>
          <w:tab w:val="left" w:pos="567"/>
        </w:tabs>
      </w:pPr>
    </w:p>
    <w:p w14:paraId="71021AC9" w14:textId="15C9A8ED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VTE-re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VTE-vel</w:t>
      </w:r>
      <w:r>
        <w:rPr>
          <w:spacing w:val="-4"/>
        </w:rPr>
        <w:t xml:space="preserve"> </w:t>
      </w:r>
      <w:r>
        <w:t>kapcsolatos</w:t>
      </w:r>
      <w:r>
        <w:rPr>
          <w:spacing w:val="-4"/>
        </w:rPr>
        <w:t xml:space="preserve"> </w:t>
      </w:r>
      <w:r>
        <w:t>mortalitási</w:t>
      </w:r>
      <w:r>
        <w:rPr>
          <w:spacing w:val="-4"/>
        </w:rPr>
        <w:t xml:space="preserve"> </w:t>
      </w:r>
      <w:r>
        <w:t>végpontra</w:t>
      </w:r>
      <w:r>
        <w:rPr>
          <w:spacing w:val="-4"/>
        </w:rPr>
        <w:t xml:space="preserve"> </w:t>
      </w:r>
      <w:r>
        <w:t>vonatkozó</w:t>
      </w:r>
      <w:r>
        <w:rPr>
          <w:spacing w:val="-4"/>
        </w:rPr>
        <w:t xml:space="preserve"> </w:t>
      </w:r>
      <w:r>
        <w:t>adatok</w:t>
      </w:r>
      <w:r>
        <w:rPr>
          <w:spacing w:val="-4"/>
        </w:rPr>
        <w:t xml:space="preserve"> </w:t>
      </w:r>
      <w:r>
        <w:t>homogének</w:t>
      </w:r>
      <w:r>
        <w:rPr>
          <w:spacing w:val="-4"/>
        </w:rPr>
        <w:t xml:space="preserve"> </w:t>
      </w:r>
      <w:r>
        <w:t xml:space="preserve">voltak az elsődleges </w:t>
      </w:r>
      <w:r w:rsidR="002E2A7B">
        <w:t>hatásos</w:t>
      </w:r>
      <w:r>
        <w:t>sági végpont tekintetében, és az adatok a 19.</w:t>
      </w:r>
      <w:r w:rsidR="00B95CAF">
        <w:t> táblázat</w:t>
      </w:r>
      <w:r>
        <w:t>ban láthatók.</w:t>
      </w:r>
    </w:p>
    <w:p w14:paraId="78CA915E" w14:textId="7BA5F41C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6"/>
        </w:rPr>
        <w:t xml:space="preserve"> </w:t>
      </w:r>
      <w:r>
        <w:t>összes</w:t>
      </w:r>
      <w:r>
        <w:rPr>
          <w:spacing w:val="-5"/>
        </w:rPr>
        <w:t xml:space="preserve"> </w:t>
      </w:r>
      <w:r>
        <w:t>VTE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összes</w:t>
      </w:r>
      <w:r>
        <w:rPr>
          <w:spacing w:val="-6"/>
        </w:rPr>
        <w:t xml:space="preserve"> </w:t>
      </w:r>
      <w:r>
        <w:t>mortalitás</w:t>
      </w:r>
      <w:r>
        <w:rPr>
          <w:spacing w:val="-5"/>
        </w:rPr>
        <w:t xml:space="preserve"> </w:t>
      </w:r>
      <w:r>
        <w:t>végpontra</w:t>
      </w:r>
      <w:r>
        <w:rPr>
          <w:spacing w:val="-6"/>
        </w:rPr>
        <w:t xml:space="preserve"> </w:t>
      </w:r>
      <w:r>
        <w:t>vonatkozó</w:t>
      </w:r>
      <w:r>
        <w:rPr>
          <w:spacing w:val="-5"/>
        </w:rPr>
        <w:t xml:space="preserve"> </w:t>
      </w:r>
      <w:r>
        <w:t>adatok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20.</w:t>
      </w:r>
      <w:r w:rsidR="00B95CAF">
        <w:rPr>
          <w:spacing w:val="-6"/>
        </w:rPr>
        <w:t> táblázat</w:t>
      </w:r>
      <w:r>
        <w:t>ban</w:t>
      </w:r>
      <w:r>
        <w:rPr>
          <w:spacing w:val="-5"/>
        </w:rPr>
        <w:t xml:space="preserve"> </w:t>
      </w:r>
      <w:r>
        <w:rPr>
          <w:spacing w:val="-2"/>
        </w:rPr>
        <w:t>láthatók.</w:t>
      </w:r>
    </w:p>
    <w:p w14:paraId="0E37C933" w14:textId="77777777" w:rsidR="00945359" w:rsidRDefault="00945359" w:rsidP="008F5A8D">
      <w:pPr>
        <w:pStyle w:val="Szvegtrzs"/>
        <w:tabs>
          <w:tab w:val="left" w:pos="567"/>
        </w:tabs>
      </w:pPr>
    </w:p>
    <w:p w14:paraId="0D2E5B5C" w14:textId="230C0013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A</w:t>
      </w:r>
      <w:r>
        <w:rPr>
          <w:spacing w:val="-8"/>
        </w:rPr>
        <w:t xml:space="preserve"> </w:t>
      </w:r>
      <w:r>
        <w:t>megállapított</w:t>
      </w:r>
      <w:r>
        <w:rPr>
          <w:spacing w:val="-7"/>
        </w:rPr>
        <w:t xml:space="preserve"> </w:t>
      </w:r>
      <w:r>
        <w:t>jelentős</w:t>
      </w:r>
      <w:r>
        <w:rPr>
          <w:spacing w:val="-7"/>
        </w:rPr>
        <w:t xml:space="preserve"> </w:t>
      </w:r>
      <w:r>
        <w:t>vérzéses</w:t>
      </w:r>
      <w:r>
        <w:rPr>
          <w:spacing w:val="-7"/>
        </w:rPr>
        <w:t xml:space="preserve"> </w:t>
      </w:r>
      <w:r>
        <w:t>végpontokra</w:t>
      </w:r>
      <w:r>
        <w:rPr>
          <w:spacing w:val="-7"/>
        </w:rPr>
        <w:t xml:space="preserve"> </w:t>
      </w:r>
      <w:r>
        <w:t>vonatkozó</w:t>
      </w:r>
      <w:r>
        <w:rPr>
          <w:spacing w:val="-7"/>
        </w:rPr>
        <w:t xml:space="preserve"> </w:t>
      </w:r>
      <w:r>
        <w:t>adatok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21.</w:t>
      </w:r>
      <w:r w:rsidR="00B95CAF">
        <w:rPr>
          <w:spacing w:val="-8"/>
        </w:rPr>
        <w:t> táblázat</w:t>
      </w:r>
      <w:r>
        <w:t>ban,</w:t>
      </w:r>
      <w:r>
        <w:rPr>
          <w:spacing w:val="-7"/>
        </w:rPr>
        <w:t xml:space="preserve"> </w:t>
      </w:r>
      <w:r>
        <w:t>alább</w:t>
      </w:r>
      <w:r>
        <w:rPr>
          <w:spacing w:val="-7"/>
        </w:rPr>
        <w:t xml:space="preserve"> </w:t>
      </w:r>
      <w:r>
        <w:rPr>
          <w:spacing w:val="-2"/>
        </w:rPr>
        <w:t>találhatók.</w:t>
      </w:r>
    </w:p>
    <w:p w14:paraId="6823466D" w14:textId="77777777" w:rsidR="00511F35" w:rsidRDefault="00511F35" w:rsidP="008F5A8D">
      <w:pPr>
        <w:pStyle w:val="Szvegtrzs"/>
        <w:tabs>
          <w:tab w:val="left" w:pos="567"/>
        </w:tabs>
      </w:pPr>
    </w:p>
    <w:p w14:paraId="58973610" w14:textId="751094FA" w:rsidR="00945359" w:rsidRDefault="00A9240D" w:rsidP="008F5A8D">
      <w:pPr>
        <w:pStyle w:val="Listaszerbekezds"/>
        <w:tabs>
          <w:tab w:val="left" w:pos="589"/>
          <w:tab w:val="left" w:pos="1535"/>
        </w:tabs>
        <w:ind w:left="0" w:firstLine="0"/>
        <w:rPr>
          <w:b/>
        </w:rPr>
      </w:pPr>
      <w:r w:rsidRPr="008F5A8D">
        <w:rPr>
          <w:b/>
          <w:bCs/>
        </w:rPr>
        <w:t>19</w:t>
      </w:r>
      <w:r w:rsidR="00B95CAF">
        <w:rPr>
          <w:b/>
          <w:bCs/>
        </w:rPr>
        <w:t> táblázat</w:t>
      </w:r>
      <w:r w:rsidR="00220A43">
        <w:rPr>
          <w:b/>
        </w:rPr>
        <w:t>:</w:t>
      </w:r>
      <w:r w:rsidR="00220A43">
        <w:rPr>
          <w:b/>
          <w:spacing w:val="40"/>
        </w:rPr>
        <w:t xml:space="preserve"> </w:t>
      </w:r>
      <w:r w:rsidR="00220A43">
        <w:rPr>
          <w:b/>
        </w:rPr>
        <w:t>A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súlyos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VTE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és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VTE-vel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kapcsolatos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mortalitás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elemzése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a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RE-MODEL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és RE-NOVATE ortopédiai műtéti vizsgálat kezelési periódusa alatt</w:t>
      </w:r>
    </w:p>
    <w:p w14:paraId="3C01F029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664"/>
        <w:gridCol w:w="2131"/>
        <w:gridCol w:w="2133"/>
        <w:gridCol w:w="2131"/>
      </w:tblGrid>
      <w:tr w:rsidR="00945359" w14:paraId="76333467" w14:textId="77777777" w:rsidTr="008F5A8D">
        <w:trPr>
          <w:trHeight w:val="505"/>
        </w:trPr>
        <w:tc>
          <w:tcPr>
            <w:tcW w:w="2664" w:type="dxa"/>
          </w:tcPr>
          <w:p w14:paraId="3167216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lastRenderedPageBreak/>
              <w:t>Vizsgálat</w:t>
            </w:r>
          </w:p>
        </w:tc>
        <w:tc>
          <w:tcPr>
            <w:tcW w:w="2131" w:type="dxa"/>
          </w:tcPr>
          <w:p w14:paraId="5C790A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2AA769F2" w14:textId="0AD9E39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220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egyszer</w:t>
            </w:r>
          </w:p>
        </w:tc>
        <w:tc>
          <w:tcPr>
            <w:tcW w:w="2133" w:type="dxa"/>
          </w:tcPr>
          <w:p w14:paraId="7398412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33095A81" w14:textId="6ED8A9A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egyszer</w:t>
            </w:r>
          </w:p>
        </w:tc>
        <w:tc>
          <w:tcPr>
            <w:tcW w:w="2131" w:type="dxa"/>
          </w:tcPr>
          <w:p w14:paraId="08E1C3C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Enoxaparin</w:t>
            </w:r>
          </w:p>
          <w:p w14:paraId="58209CFB" w14:textId="5E68EDF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40</w:t>
            </w:r>
            <w:r w:rsidR="00294835">
              <w:t> mg</w:t>
            </w:r>
          </w:p>
        </w:tc>
      </w:tr>
      <w:tr w:rsidR="00945359" w14:paraId="1420715F" w14:textId="77777777" w:rsidTr="008F5A8D">
        <w:trPr>
          <w:trHeight w:val="251"/>
        </w:trPr>
        <w:tc>
          <w:tcPr>
            <w:tcW w:w="9059" w:type="dxa"/>
            <w:gridSpan w:val="4"/>
          </w:tcPr>
          <w:p w14:paraId="256E50D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RE-NOVATE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(csípő)</w:t>
            </w:r>
          </w:p>
        </w:tc>
      </w:tr>
      <w:tr w:rsidR="00945359" w14:paraId="63F222DE" w14:textId="77777777" w:rsidTr="008F5A8D">
        <w:trPr>
          <w:trHeight w:val="254"/>
        </w:trPr>
        <w:tc>
          <w:tcPr>
            <w:tcW w:w="2664" w:type="dxa"/>
          </w:tcPr>
          <w:p w14:paraId="3BAA098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N</w:t>
            </w:r>
          </w:p>
        </w:tc>
        <w:tc>
          <w:tcPr>
            <w:tcW w:w="2131" w:type="dxa"/>
          </w:tcPr>
          <w:p w14:paraId="053B51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909</w:t>
            </w:r>
          </w:p>
        </w:tc>
        <w:tc>
          <w:tcPr>
            <w:tcW w:w="2133" w:type="dxa"/>
          </w:tcPr>
          <w:p w14:paraId="4FC50C4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888</w:t>
            </w:r>
          </w:p>
        </w:tc>
        <w:tc>
          <w:tcPr>
            <w:tcW w:w="2131" w:type="dxa"/>
          </w:tcPr>
          <w:p w14:paraId="5574266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917</w:t>
            </w:r>
          </w:p>
        </w:tc>
      </w:tr>
      <w:tr w:rsidR="00945359" w14:paraId="1459577A" w14:textId="77777777" w:rsidTr="008F5A8D">
        <w:trPr>
          <w:trHeight w:val="251"/>
        </w:trPr>
        <w:tc>
          <w:tcPr>
            <w:tcW w:w="2664" w:type="dxa"/>
          </w:tcPr>
          <w:p w14:paraId="5B309C9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131" w:type="dxa"/>
          </w:tcPr>
          <w:p w14:paraId="72F4A6B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28</w:t>
            </w:r>
            <w:r>
              <w:rPr>
                <w:spacing w:val="-2"/>
              </w:rPr>
              <w:t xml:space="preserve"> (3,1)</w:t>
            </w:r>
          </w:p>
        </w:tc>
        <w:tc>
          <w:tcPr>
            <w:tcW w:w="2133" w:type="dxa"/>
          </w:tcPr>
          <w:p w14:paraId="2EADCF5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38</w:t>
            </w:r>
            <w:r>
              <w:rPr>
                <w:spacing w:val="-2"/>
              </w:rPr>
              <w:t xml:space="preserve"> (4,3)</w:t>
            </w:r>
          </w:p>
        </w:tc>
        <w:tc>
          <w:tcPr>
            <w:tcW w:w="2131" w:type="dxa"/>
          </w:tcPr>
          <w:p w14:paraId="5CF73FD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36</w:t>
            </w:r>
            <w:r>
              <w:rPr>
                <w:spacing w:val="-2"/>
              </w:rPr>
              <w:t xml:space="preserve"> (3,9)</w:t>
            </w:r>
          </w:p>
        </w:tc>
      </w:tr>
      <w:tr w:rsidR="00945359" w14:paraId="44D89EFD" w14:textId="77777777" w:rsidTr="008F5A8D">
        <w:trPr>
          <w:trHeight w:val="506"/>
        </w:trPr>
        <w:tc>
          <w:tcPr>
            <w:tcW w:w="2664" w:type="dxa"/>
          </w:tcPr>
          <w:p w14:paraId="427DAF8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7"/>
              </w:rPr>
              <w:t xml:space="preserve"> </w:t>
            </w:r>
            <w:r>
              <w:t>hazárd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az</w:t>
            </w:r>
          </w:p>
          <w:p w14:paraId="6AC3771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enoxaparinnal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szemben</w:t>
            </w:r>
          </w:p>
        </w:tc>
        <w:tc>
          <w:tcPr>
            <w:tcW w:w="2131" w:type="dxa"/>
          </w:tcPr>
          <w:p w14:paraId="67BD0EF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0,78</w:t>
            </w:r>
          </w:p>
        </w:tc>
        <w:tc>
          <w:tcPr>
            <w:tcW w:w="2133" w:type="dxa"/>
          </w:tcPr>
          <w:p w14:paraId="5AF3F07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1,09</w:t>
            </w:r>
          </w:p>
        </w:tc>
        <w:tc>
          <w:tcPr>
            <w:tcW w:w="2131" w:type="dxa"/>
          </w:tcPr>
          <w:p w14:paraId="5B5E1F0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3D9A8489" w14:textId="77777777" w:rsidTr="008F5A8D">
        <w:trPr>
          <w:trHeight w:val="253"/>
        </w:trPr>
        <w:tc>
          <w:tcPr>
            <w:tcW w:w="2664" w:type="dxa"/>
          </w:tcPr>
          <w:p w14:paraId="4558352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CI</w:t>
            </w:r>
          </w:p>
        </w:tc>
        <w:tc>
          <w:tcPr>
            <w:tcW w:w="2131" w:type="dxa"/>
          </w:tcPr>
          <w:p w14:paraId="63FB68C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0,48, </w:t>
            </w:r>
            <w:r>
              <w:rPr>
                <w:spacing w:val="-4"/>
              </w:rPr>
              <w:t>1,27</w:t>
            </w:r>
          </w:p>
        </w:tc>
        <w:tc>
          <w:tcPr>
            <w:tcW w:w="2133" w:type="dxa"/>
          </w:tcPr>
          <w:p w14:paraId="3EEEF4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0,70, </w:t>
            </w:r>
            <w:r>
              <w:rPr>
                <w:spacing w:val="-4"/>
              </w:rPr>
              <w:t>1,70</w:t>
            </w:r>
          </w:p>
        </w:tc>
        <w:tc>
          <w:tcPr>
            <w:tcW w:w="2131" w:type="dxa"/>
          </w:tcPr>
          <w:p w14:paraId="7013AB2B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8701358" w14:textId="77777777" w:rsidTr="008F5A8D">
        <w:trPr>
          <w:trHeight w:val="254"/>
        </w:trPr>
        <w:tc>
          <w:tcPr>
            <w:tcW w:w="9059" w:type="dxa"/>
            <w:gridSpan w:val="4"/>
          </w:tcPr>
          <w:p w14:paraId="6BDB559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RE-MODEL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(térd)</w:t>
            </w:r>
          </w:p>
        </w:tc>
      </w:tr>
      <w:tr w:rsidR="00945359" w14:paraId="411AD338" w14:textId="77777777" w:rsidTr="008F5A8D">
        <w:trPr>
          <w:trHeight w:val="251"/>
        </w:trPr>
        <w:tc>
          <w:tcPr>
            <w:tcW w:w="2664" w:type="dxa"/>
          </w:tcPr>
          <w:p w14:paraId="5EA2F0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N</w:t>
            </w:r>
          </w:p>
        </w:tc>
        <w:tc>
          <w:tcPr>
            <w:tcW w:w="2131" w:type="dxa"/>
          </w:tcPr>
          <w:p w14:paraId="2BF1876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506</w:t>
            </w:r>
          </w:p>
        </w:tc>
        <w:tc>
          <w:tcPr>
            <w:tcW w:w="2133" w:type="dxa"/>
          </w:tcPr>
          <w:p w14:paraId="6BE3CAD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527</w:t>
            </w:r>
          </w:p>
        </w:tc>
        <w:tc>
          <w:tcPr>
            <w:tcW w:w="2131" w:type="dxa"/>
          </w:tcPr>
          <w:p w14:paraId="1CE966D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511</w:t>
            </w:r>
          </w:p>
        </w:tc>
      </w:tr>
      <w:tr w:rsidR="00945359" w14:paraId="1E5E9FDA" w14:textId="77777777" w:rsidTr="008F5A8D">
        <w:trPr>
          <w:trHeight w:val="253"/>
        </w:trPr>
        <w:tc>
          <w:tcPr>
            <w:tcW w:w="2664" w:type="dxa"/>
          </w:tcPr>
          <w:p w14:paraId="3D25DD0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131" w:type="dxa"/>
          </w:tcPr>
          <w:p w14:paraId="709CBB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13</w:t>
            </w:r>
            <w:r>
              <w:rPr>
                <w:spacing w:val="-2"/>
              </w:rPr>
              <w:t xml:space="preserve"> (2,6)</w:t>
            </w:r>
          </w:p>
        </w:tc>
        <w:tc>
          <w:tcPr>
            <w:tcW w:w="2133" w:type="dxa"/>
          </w:tcPr>
          <w:p w14:paraId="47DF1B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20</w:t>
            </w:r>
            <w:r>
              <w:rPr>
                <w:spacing w:val="-2"/>
              </w:rPr>
              <w:t xml:space="preserve"> (3,8)</w:t>
            </w:r>
          </w:p>
        </w:tc>
        <w:tc>
          <w:tcPr>
            <w:tcW w:w="2131" w:type="dxa"/>
          </w:tcPr>
          <w:p w14:paraId="553647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</w:t>
            </w:r>
            <w:r>
              <w:rPr>
                <w:spacing w:val="-2"/>
              </w:rPr>
              <w:t xml:space="preserve"> (3,5)</w:t>
            </w:r>
          </w:p>
        </w:tc>
      </w:tr>
      <w:tr w:rsidR="00945359" w14:paraId="65C50271" w14:textId="77777777" w:rsidTr="008F5A8D">
        <w:trPr>
          <w:trHeight w:val="506"/>
        </w:trPr>
        <w:tc>
          <w:tcPr>
            <w:tcW w:w="2664" w:type="dxa"/>
          </w:tcPr>
          <w:p w14:paraId="2F2728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7"/>
              </w:rPr>
              <w:t xml:space="preserve"> </w:t>
            </w:r>
            <w:r>
              <w:t>hazárd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az</w:t>
            </w:r>
          </w:p>
          <w:p w14:paraId="0C51C9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enoxaparinnal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szemben</w:t>
            </w:r>
          </w:p>
        </w:tc>
        <w:tc>
          <w:tcPr>
            <w:tcW w:w="2131" w:type="dxa"/>
          </w:tcPr>
          <w:p w14:paraId="3898DAA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0,73</w:t>
            </w:r>
          </w:p>
        </w:tc>
        <w:tc>
          <w:tcPr>
            <w:tcW w:w="2133" w:type="dxa"/>
          </w:tcPr>
          <w:p w14:paraId="5B08B70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1,08</w:t>
            </w:r>
          </w:p>
        </w:tc>
        <w:tc>
          <w:tcPr>
            <w:tcW w:w="2131" w:type="dxa"/>
          </w:tcPr>
          <w:p w14:paraId="786214CD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2FA10CF6" w14:textId="77777777" w:rsidTr="008F5A8D">
        <w:trPr>
          <w:trHeight w:val="251"/>
        </w:trPr>
        <w:tc>
          <w:tcPr>
            <w:tcW w:w="2664" w:type="dxa"/>
          </w:tcPr>
          <w:p w14:paraId="51FBA0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CI</w:t>
            </w:r>
          </w:p>
        </w:tc>
        <w:tc>
          <w:tcPr>
            <w:tcW w:w="2131" w:type="dxa"/>
          </w:tcPr>
          <w:p w14:paraId="3D4B834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0,36, </w:t>
            </w:r>
            <w:r>
              <w:rPr>
                <w:spacing w:val="-4"/>
              </w:rPr>
              <w:t>1,47</w:t>
            </w:r>
          </w:p>
        </w:tc>
        <w:tc>
          <w:tcPr>
            <w:tcW w:w="2133" w:type="dxa"/>
          </w:tcPr>
          <w:p w14:paraId="14F8729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0,58, </w:t>
            </w:r>
            <w:r>
              <w:rPr>
                <w:spacing w:val="-4"/>
              </w:rPr>
              <w:t>2,01</w:t>
            </w:r>
          </w:p>
        </w:tc>
        <w:tc>
          <w:tcPr>
            <w:tcW w:w="2131" w:type="dxa"/>
          </w:tcPr>
          <w:p w14:paraId="1A50FA5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</w:tbl>
    <w:p w14:paraId="507B1108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1C494DAE" w14:textId="7A7E4F82" w:rsidR="00945359" w:rsidRDefault="00A9240D" w:rsidP="008F5A8D">
      <w:pPr>
        <w:pStyle w:val="Listaszerbekezds"/>
        <w:tabs>
          <w:tab w:val="left" w:pos="589"/>
          <w:tab w:val="left" w:pos="1535"/>
        </w:tabs>
        <w:ind w:left="0" w:firstLine="0"/>
        <w:rPr>
          <w:b/>
        </w:rPr>
      </w:pPr>
      <w:r>
        <w:rPr>
          <w:b/>
        </w:rPr>
        <w:t>20</w:t>
      </w:r>
      <w:r w:rsidR="00BC10BA">
        <w:rPr>
          <w:b/>
        </w:rPr>
        <w:t>. táblázat</w:t>
      </w:r>
      <w:r w:rsidR="00220A43">
        <w:rPr>
          <w:b/>
        </w:rPr>
        <w:t>:</w:t>
      </w:r>
      <w:r w:rsidR="00220A43">
        <w:rPr>
          <w:b/>
          <w:spacing w:val="40"/>
        </w:rPr>
        <w:t xml:space="preserve"> </w:t>
      </w:r>
      <w:r w:rsidR="00220A43">
        <w:rPr>
          <w:b/>
        </w:rPr>
        <w:t>Az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összes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VTE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és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az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összes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mortalitás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elemzése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a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RE-NOVATE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és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a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RE-MODEL ortopéd sebészeti vizsgálat kezelési időszaka alatt</w:t>
      </w:r>
    </w:p>
    <w:p w14:paraId="4335C3A8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659"/>
        <w:gridCol w:w="2133"/>
        <w:gridCol w:w="2131"/>
        <w:gridCol w:w="2136"/>
      </w:tblGrid>
      <w:tr w:rsidR="00945359" w14:paraId="3C94BD7C" w14:textId="77777777" w:rsidTr="008F5A8D">
        <w:trPr>
          <w:trHeight w:val="506"/>
        </w:trPr>
        <w:tc>
          <w:tcPr>
            <w:tcW w:w="2659" w:type="dxa"/>
          </w:tcPr>
          <w:p w14:paraId="009FEDC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Vizsgálat</w:t>
            </w:r>
          </w:p>
        </w:tc>
        <w:tc>
          <w:tcPr>
            <w:tcW w:w="2133" w:type="dxa"/>
          </w:tcPr>
          <w:p w14:paraId="1270EA4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10D814CA" w14:textId="232FEBC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220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egyszer</w:t>
            </w:r>
          </w:p>
        </w:tc>
        <w:tc>
          <w:tcPr>
            <w:tcW w:w="2131" w:type="dxa"/>
          </w:tcPr>
          <w:p w14:paraId="4CA23F7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0768C123" w14:textId="44AC5EC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egyszer</w:t>
            </w:r>
          </w:p>
        </w:tc>
        <w:tc>
          <w:tcPr>
            <w:tcW w:w="2136" w:type="dxa"/>
          </w:tcPr>
          <w:p w14:paraId="58C606D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Enoxaparin</w:t>
            </w:r>
          </w:p>
          <w:p w14:paraId="40028AD4" w14:textId="242896A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40</w:t>
            </w:r>
            <w:r w:rsidR="00294835">
              <w:t> mg</w:t>
            </w:r>
          </w:p>
        </w:tc>
      </w:tr>
      <w:tr w:rsidR="00945359" w14:paraId="01060ABF" w14:textId="77777777" w:rsidTr="008F5A8D">
        <w:trPr>
          <w:trHeight w:val="253"/>
        </w:trPr>
        <w:tc>
          <w:tcPr>
            <w:tcW w:w="9059" w:type="dxa"/>
            <w:gridSpan w:val="4"/>
          </w:tcPr>
          <w:p w14:paraId="3136090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RE-NOVATE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(csípő)</w:t>
            </w:r>
          </w:p>
        </w:tc>
      </w:tr>
      <w:tr w:rsidR="00945359" w14:paraId="707B781A" w14:textId="77777777" w:rsidTr="008F5A8D">
        <w:trPr>
          <w:trHeight w:val="251"/>
        </w:trPr>
        <w:tc>
          <w:tcPr>
            <w:tcW w:w="2659" w:type="dxa"/>
          </w:tcPr>
          <w:p w14:paraId="5FD6FEC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N</w:t>
            </w:r>
          </w:p>
        </w:tc>
        <w:tc>
          <w:tcPr>
            <w:tcW w:w="2133" w:type="dxa"/>
          </w:tcPr>
          <w:p w14:paraId="55F802E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880</w:t>
            </w:r>
          </w:p>
        </w:tc>
        <w:tc>
          <w:tcPr>
            <w:tcW w:w="2131" w:type="dxa"/>
          </w:tcPr>
          <w:p w14:paraId="26939C6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874</w:t>
            </w:r>
          </w:p>
        </w:tc>
        <w:tc>
          <w:tcPr>
            <w:tcW w:w="2136" w:type="dxa"/>
          </w:tcPr>
          <w:p w14:paraId="07E4D2E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897</w:t>
            </w:r>
          </w:p>
        </w:tc>
      </w:tr>
      <w:tr w:rsidR="00945359" w14:paraId="58BBF485" w14:textId="77777777" w:rsidTr="008F5A8D">
        <w:trPr>
          <w:trHeight w:val="253"/>
        </w:trPr>
        <w:tc>
          <w:tcPr>
            <w:tcW w:w="2659" w:type="dxa"/>
          </w:tcPr>
          <w:p w14:paraId="4BBB604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133" w:type="dxa"/>
          </w:tcPr>
          <w:p w14:paraId="6E694DB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53</w:t>
            </w:r>
            <w:r>
              <w:rPr>
                <w:spacing w:val="-2"/>
              </w:rPr>
              <w:t xml:space="preserve"> (6,0)</w:t>
            </w:r>
          </w:p>
        </w:tc>
        <w:tc>
          <w:tcPr>
            <w:tcW w:w="2131" w:type="dxa"/>
          </w:tcPr>
          <w:p w14:paraId="58D87CF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75</w:t>
            </w:r>
            <w:r>
              <w:rPr>
                <w:spacing w:val="-2"/>
              </w:rPr>
              <w:t xml:space="preserve"> (8,6)</w:t>
            </w:r>
          </w:p>
        </w:tc>
        <w:tc>
          <w:tcPr>
            <w:tcW w:w="2136" w:type="dxa"/>
          </w:tcPr>
          <w:p w14:paraId="043DFA6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60</w:t>
            </w:r>
            <w:r>
              <w:rPr>
                <w:spacing w:val="-2"/>
              </w:rPr>
              <w:t xml:space="preserve"> (6,7)</w:t>
            </w:r>
          </w:p>
        </w:tc>
      </w:tr>
      <w:tr w:rsidR="00945359" w14:paraId="5CBF0194" w14:textId="77777777" w:rsidTr="008F5A8D">
        <w:trPr>
          <w:trHeight w:val="506"/>
        </w:trPr>
        <w:tc>
          <w:tcPr>
            <w:tcW w:w="2659" w:type="dxa"/>
          </w:tcPr>
          <w:p w14:paraId="3DA0678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7"/>
              </w:rPr>
              <w:t xml:space="preserve"> </w:t>
            </w:r>
            <w:r>
              <w:t>hazárd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az</w:t>
            </w:r>
          </w:p>
          <w:p w14:paraId="4DAFD43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enoxaparinnal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szemben</w:t>
            </w:r>
          </w:p>
        </w:tc>
        <w:tc>
          <w:tcPr>
            <w:tcW w:w="2133" w:type="dxa"/>
          </w:tcPr>
          <w:p w14:paraId="6D6D5B0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0,9</w:t>
            </w:r>
          </w:p>
        </w:tc>
        <w:tc>
          <w:tcPr>
            <w:tcW w:w="2131" w:type="dxa"/>
          </w:tcPr>
          <w:p w14:paraId="174B2B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1,28</w:t>
            </w:r>
          </w:p>
        </w:tc>
        <w:tc>
          <w:tcPr>
            <w:tcW w:w="2136" w:type="dxa"/>
          </w:tcPr>
          <w:p w14:paraId="39DC8AA0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3193912C" w14:textId="77777777" w:rsidTr="008F5A8D">
        <w:trPr>
          <w:trHeight w:val="251"/>
        </w:trPr>
        <w:tc>
          <w:tcPr>
            <w:tcW w:w="2659" w:type="dxa"/>
          </w:tcPr>
          <w:p w14:paraId="26AC625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CI</w:t>
            </w:r>
          </w:p>
        </w:tc>
        <w:tc>
          <w:tcPr>
            <w:tcW w:w="2133" w:type="dxa"/>
          </w:tcPr>
          <w:p w14:paraId="3E4623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(0,63,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1,29)</w:t>
            </w:r>
          </w:p>
        </w:tc>
        <w:tc>
          <w:tcPr>
            <w:tcW w:w="2131" w:type="dxa"/>
          </w:tcPr>
          <w:p w14:paraId="23DA90D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(0,93,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1,78)</w:t>
            </w:r>
          </w:p>
        </w:tc>
        <w:tc>
          <w:tcPr>
            <w:tcW w:w="2136" w:type="dxa"/>
          </w:tcPr>
          <w:p w14:paraId="12F3E48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607F46BF" w14:textId="77777777" w:rsidTr="008F5A8D">
        <w:trPr>
          <w:trHeight w:val="253"/>
        </w:trPr>
        <w:tc>
          <w:tcPr>
            <w:tcW w:w="9059" w:type="dxa"/>
            <w:gridSpan w:val="4"/>
          </w:tcPr>
          <w:p w14:paraId="0535155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RE-MODEL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(térd)</w:t>
            </w:r>
          </w:p>
        </w:tc>
      </w:tr>
      <w:tr w:rsidR="00945359" w14:paraId="6F62273C" w14:textId="77777777" w:rsidTr="008F5A8D">
        <w:trPr>
          <w:trHeight w:val="251"/>
        </w:trPr>
        <w:tc>
          <w:tcPr>
            <w:tcW w:w="2659" w:type="dxa"/>
          </w:tcPr>
          <w:p w14:paraId="0DC9FF6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10"/>
              </w:rPr>
              <w:t>N</w:t>
            </w:r>
          </w:p>
        </w:tc>
        <w:tc>
          <w:tcPr>
            <w:tcW w:w="2133" w:type="dxa"/>
          </w:tcPr>
          <w:p w14:paraId="1958E3F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503</w:t>
            </w:r>
          </w:p>
        </w:tc>
        <w:tc>
          <w:tcPr>
            <w:tcW w:w="2131" w:type="dxa"/>
          </w:tcPr>
          <w:p w14:paraId="022E861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526</w:t>
            </w:r>
          </w:p>
        </w:tc>
        <w:tc>
          <w:tcPr>
            <w:tcW w:w="2136" w:type="dxa"/>
          </w:tcPr>
          <w:p w14:paraId="4DDB413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512</w:t>
            </w:r>
          </w:p>
        </w:tc>
      </w:tr>
      <w:tr w:rsidR="00945359" w14:paraId="4131EFD6" w14:textId="77777777" w:rsidTr="008F5A8D">
        <w:trPr>
          <w:trHeight w:val="254"/>
        </w:trPr>
        <w:tc>
          <w:tcPr>
            <w:tcW w:w="2659" w:type="dxa"/>
          </w:tcPr>
          <w:p w14:paraId="23881F7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133" w:type="dxa"/>
          </w:tcPr>
          <w:p w14:paraId="382CA71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(36,4)</w:t>
            </w:r>
          </w:p>
        </w:tc>
        <w:tc>
          <w:tcPr>
            <w:tcW w:w="2131" w:type="dxa"/>
          </w:tcPr>
          <w:p w14:paraId="241335C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213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(40,5)</w:t>
            </w:r>
          </w:p>
        </w:tc>
        <w:tc>
          <w:tcPr>
            <w:tcW w:w="2136" w:type="dxa"/>
          </w:tcPr>
          <w:p w14:paraId="10023ED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193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(37,7)</w:t>
            </w:r>
          </w:p>
        </w:tc>
      </w:tr>
      <w:tr w:rsidR="00945359" w14:paraId="17601058" w14:textId="77777777" w:rsidTr="008F5A8D">
        <w:trPr>
          <w:trHeight w:val="505"/>
        </w:trPr>
        <w:tc>
          <w:tcPr>
            <w:tcW w:w="2659" w:type="dxa"/>
          </w:tcPr>
          <w:p w14:paraId="33CAB8E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7"/>
              </w:rPr>
              <w:t xml:space="preserve"> </w:t>
            </w:r>
            <w:r>
              <w:t>hazárd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az</w:t>
            </w:r>
          </w:p>
          <w:p w14:paraId="0323B5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enoxaparinnal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szemben</w:t>
            </w:r>
          </w:p>
        </w:tc>
        <w:tc>
          <w:tcPr>
            <w:tcW w:w="2133" w:type="dxa"/>
          </w:tcPr>
          <w:p w14:paraId="0BFBC12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0,97</w:t>
            </w:r>
          </w:p>
        </w:tc>
        <w:tc>
          <w:tcPr>
            <w:tcW w:w="2131" w:type="dxa"/>
          </w:tcPr>
          <w:p w14:paraId="542E8D1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1,07</w:t>
            </w:r>
          </w:p>
        </w:tc>
        <w:tc>
          <w:tcPr>
            <w:tcW w:w="2136" w:type="dxa"/>
          </w:tcPr>
          <w:p w14:paraId="18E8004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6545F6CA" w14:textId="77777777" w:rsidTr="008F5A8D">
        <w:trPr>
          <w:trHeight w:val="254"/>
        </w:trPr>
        <w:tc>
          <w:tcPr>
            <w:tcW w:w="2659" w:type="dxa"/>
          </w:tcPr>
          <w:p w14:paraId="5B5FC44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CI</w:t>
            </w:r>
          </w:p>
        </w:tc>
        <w:tc>
          <w:tcPr>
            <w:tcW w:w="2133" w:type="dxa"/>
          </w:tcPr>
          <w:p w14:paraId="03FAB0F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(0,82,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1,13)</w:t>
            </w:r>
          </w:p>
        </w:tc>
        <w:tc>
          <w:tcPr>
            <w:tcW w:w="2131" w:type="dxa"/>
          </w:tcPr>
          <w:p w14:paraId="4364AC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(0,92,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1,25)</w:t>
            </w:r>
          </w:p>
        </w:tc>
        <w:tc>
          <w:tcPr>
            <w:tcW w:w="2136" w:type="dxa"/>
          </w:tcPr>
          <w:p w14:paraId="08454A7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</w:tbl>
    <w:p w14:paraId="48199B7E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196F1122" w14:textId="419D5257" w:rsidR="00945359" w:rsidRDefault="00A9240D" w:rsidP="008F5A8D">
      <w:pPr>
        <w:pStyle w:val="Listaszerbekezds"/>
        <w:tabs>
          <w:tab w:val="left" w:pos="589"/>
          <w:tab w:val="left" w:pos="1535"/>
        </w:tabs>
        <w:ind w:left="0" w:firstLine="0"/>
        <w:rPr>
          <w:b/>
        </w:rPr>
      </w:pPr>
      <w:r>
        <w:rPr>
          <w:b/>
        </w:rPr>
        <w:t>21</w:t>
      </w:r>
      <w:r w:rsidR="00BC10BA">
        <w:rPr>
          <w:b/>
        </w:rPr>
        <w:t>. táblázat</w:t>
      </w:r>
      <w:r w:rsidR="00220A43">
        <w:rPr>
          <w:b/>
        </w:rPr>
        <w:t>:</w:t>
      </w:r>
      <w:r w:rsidR="00220A43">
        <w:rPr>
          <w:b/>
          <w:spacing w:val="40"/>
        </w:rPr>
        <w:t xml:space="preserve"> </w:t>
      </w:r>
      <w:r w:rsidR="00220A43">
        <w:rPr>
          <w:b/>
        </w:rPr>
        <w:t>Kezelés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mellett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jelentkező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jelentős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vérzéses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események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(MVE)</w:t>
      </w:r>
      <w:r w:rsidR="00220A43">
        <w:rPr>
          <w:b/>
          <w:spacing w:val="-3"/>
        </w:rPr>
        <w:t xml:space="preserve"> </w:t>
      </w:r>
      <w:r w:rsidR="00220A43">
        <w:rPr>
          <w:b/>
        </w:rPr>
        <w:t>a RE-MODEL és RE-NOVATE vizsgálatban</w:t>
      </w:r>
    </w:p>
    <w:p w14:paraId="54F10F74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664"/>
        <w:gridCol w:w="2131"/>
        <w:gridCol w:w="2133"/>
        <w:gridCol w:w="2131"/>
      </w:tblGrid>
      <w:tr w:rsidR="00945359" w14:paraId="16D538B3" w14:textId="77777777" w:rsidTr="008F5A8D">
        <w:trPr>
          <w:trHeight w:val="505"/>
        </w:trPr>
        <w:tc>
          <w:tcPr>
            <w:tcW w:w="2664" w:type="dxa"/>
          </w:tcPr>
          <w:p w14:paraId="3EEAC7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Vizsgálat</w:t>
            </w:r>
          </w:p>
        </w:tc>
        <w:tc>
          <w:tcPr>
            <w:tcW w:w="2131" w:type="dxa"/>
          </w:tcPr>
          <w:p w14:paraId="4FF95A4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2C0A54FA" w14:textId="216C756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220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egyszer</w:t>
            </w:r>
          </w:p>
        </w:tc>
        <w:tc>
          <w:tcPr>
            <w:tcW w:w="2133" w:type="dxa"/>
          </w:tcPr>
          <w:p w14:paraId="236AD13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53E8EF04" w14:textId="6393FD5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egyszer</w:t>
            </w:r>
          </w:p>
        </w:tc>
        <w:tc>
          <w:tcPr>
            <w:tcW w:w="2131" w:type="dxa"/>
          </w:tcPr>
          <w:p w14:paraId="2A26439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Enoxaparin</w:t>
            </w:r>
          </w:p>
          <w:p w14:paraId="18FC0194" w14:textId="2BEB1FF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40</w:t>
            </w:r>
            <w:r w:rsidR="00294835">
              <w:t> mg</w:t>
            </w:r>
          </w:p>
        </w:tc>
      </w:tr>
      <w:tr w:rsidR="00945359" w14:paraId="781D95A4" w14:textId="77777777" w:rsidTr="008F5A8D">
        <w:trPr>
          <w:trHeight w:val="253"/>
        </w:trPr>
        <w:tc>
          <w:tcPr>
            <w:tcW w:w="9059" w:type="dxa"/>
            <w:gridSpan w:val="4"/>
          </w:tcPr>
          <w:p w14:paraId="0CECEBC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RE-NOVATE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(csípő)</w:t>
            </w:r>
          </w:p>
        </w:tc>
      </w:tr>
      <w:tr w:rsidR="00945359" w14:paraId="68B40E96" w14:textId="77777777" w:rsidTr="008F5A8D">
        <w:trPr>
          <w:trHeight w:val="254"/>
        </w:trPr>
        <w:tc>
          <w:tcPr>
            <w:tcW w:w="2664" w:type="dxa"/>
          </w:tcPr>
          <w:p w14:paraId="2202B3C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7"/>
              </w:rPr>
              <w:t xml:space="preserve"> </w:t>
            </w:r>
            <w:r>
              <w:t>betegek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N</w:t>
            </w:r>
          </w:p>
        </w:tc>
        <w:tc>
          <w:tcPr>
            <w:tcW w:w="2131" w:type="dxa"/>
          </w:tcPr>
          <w:p w14:paraId="5CB8D02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1146</w:t>
            </w:r>
          </w:p>
        </w:tc>
        <w:tc>
          <w:tcPr>
            <w:tcW w:w="2133" w:type="dxa"/>
          </w:tcPr>
          <w:p w14:paraId="3916851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1163</w:t>
            </w:r>
          </w:p>
        </w:tc>
        <w:tc>
          <w:tcPr>
            <w:tcW w:w="2131" w:type="dxa"/>
          </w:tcPr>
          <w:p w14:paraId="2FFBC4A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1154</w:t>
            </w:r>
          </w:p>
        </w:tc>
      </w:tr>
      <w:tr w:rsidR="00945359" w14:paraId="25EFC3C0" w14:textId="77777777" w:rsidTr="008F5A8D">
        <w:trPr>
          <w:trHeight w:val="251"/>
        </w:trPr>
        <w:tc>
          <w:tcPr>
            <w:tcW w:w="2664" w:type="dxa"/>
          </w:tcPr>
          <w:p w14:paraId="5EA07B1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MVE-k</w:t>
            </w:r>
            <w:r>
              <w:rPr>
                <w:spacing w:val="-3"/>
              </w:rPr>
              <w:t xml:space="preserve"> </w:t>
            </w:r>
            <w:r>
              <w:t>száma</w:t>
            </w:r>
            <w:r>
              <w:rPr>
                <w:spacing w:val="-3"/>
              </w:rPr>
              <w:t xml:space="preserve"> </w:t>
            </w:r>
            <w:r>
              <w:t>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131" w:type="dxa"/>
          </w:tcPr>
          <w:p w14:paraId="4D9FF39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23</w:t>
            </w:r>
            <w:r>
              <w:rPr>
                <w:spacing w:val="-2"/>
              </w:rPr>
              <w:t xml:space="preserve"> (2,0)</w:t>
            </w:r>
          </w:p>
        </w:tc>
        <w:tc>
          <w:tcPr>
            <w:tcW w:w="2133" w:type="dxa"/>
          </w:tcPr>
          <w:p w14:paraId="0C50722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</w:t>
            </w:r>
            <w:r>
              <w:rPr>
                <w:spacing w:val="-2"/>
              </w:rPr>
              <w:t xml:space="preserve"> (1,3)</w:t>
            </w:r>
          </w:p>
        </w:tc>
        <w:tc>
          <w:tcPr>
            <w:tcW w:w="2131" w:type="dxa"/>
          </w:tcPr>
          <w:p w14:paraId="0536E4A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</w:t>
            </w:r>
            <w:r>
              <w:rPr>
                <w:spacing w:val="-2"/>
              </w:rPr>
              <w:t xml:space="preserve"> (1,6)</w:t>
            </w:r>
          </w:p>
        </w:tc>
      </w:tr>
      <w:tr w:rsidR="00945359" w14:paraId="6C339D24" w14:textId="77777777" w:rsidTr="008F5A8D">
        <w:trPr>
          <w:trHeight w:val="253"/>
        </w:trPr>
        <w:tc>
          <w:tcPr>
            <w:tcW w:w="9059" w:type="dxa"/>
            <w:gridSpan w:val="4"/>
          </w:tcPr>
          <w:p w14:paraId="7A355CB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RE-MODEL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(térd)</w:t>
            </w:r>
          </w:p>
        </w:tc>
      </w:tr>
      <w:tr w:rsidR="00945359" w14:paraId="26CF7F47" w14:textId="77777777" w:rsidTr="008F5A8D">
        <w:trPr>
          <w:trHeight w:val="251"/>
        </w:trPr>
        <w:tc>
          <w:tcPr>
            <w:tcW w:w="2664" w:type="dxa"/>
          </w:tcPr>
          <w:p w14:paraId="1320703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7"/>
              </w:rPr>
              <w:t xml:space="preserve"> </w:t>
            </w:r>
            <w:r>
              <w:t>betegek</w:t>
            </w:r>
            <w:r>
              <w:rPr>
                <w:spacing w:val="-6"/>
              </w:rPr>
              <w:t xml:space="preserve"> </w:t>
            </w:r>
            <w:r>
              <w:rPr>
                <w:spacing w:val="-10"/>
              </w:rPr>
              <w:t>N</w:t>
            </w:r>
          </w:p>
        </w:tc>
        <w:tc>
          <w:tcPr>
            <w:tcW w:w="2131" w:type="dxa"/>
          </w:tcPr>
          <w:p w14:paraId="5E7E4E8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679</w:t>
            </w:r>
          </w:p>
        </w:tc>
        <w:tc>
          <w:tcPr>
            <w:tcW w:w="2133" w:type="dxa"/>
          </w:tcPr>
          <w:p w14:paraId="2E97EC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703</w:t>
            </w:r>
          </w:p>
        </w:tc>
        <w:tc>
          <w:tcPr>
            <w:tcW w:w="2131" w:type="dxa"/>
          </w:tcPr>
          <w:p w14:paraId="1556322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694</w:t>
            </w:r>
          </w:p>
        </w:tc>
      </w:tr>
      <w:tr w:rsidR="00945359" w14:paraId="7FEE6433" w14:textId="77777777" w:rsidTr="008F5A8D">
        <w:trPr>
          <w:trHeight w:val="253"/>
        </w:trPr>
        <w:tc>
          <w:tcPr>
            <w:tcW w:w="2664" w:type="dxa"/>
          </w:tcPr>
          <w:p w14:paraId="0152909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MVE-k</w:t>
            </w:r>
            <w:r>
              <w:rPr>
                <w:spacing w:val="-3"/>
              </w:rPr>
              <w:t xml:space="preserve"> </w:t>
            </w:r>
            <w:r>
              <w:t>száma</w:t>
            </w:r>
            <w:r>
              <w:rPr>
                <w:spacing w:val="-3"/>
              </w:rPr>
              <w:t xml:space="preserve"> </w:t>
            </w:r>
            <w:r>
              <w:t>N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131" w:type="dxa"/>
          </w:tcPr>
          <w:p w14:paraId="578214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10</w:t>
            </w:r>
            <w:r>
              <w:rPr>
                <w:spacing w:val="-2"/>
              </w:rPr>
              <w:t xml:space="preserve"> (1,5)</w:t>
            </w:r>
          </w:p>
        </w:tc>
        <w:tc>
          <w:tcPr>
            <w:tcW w:w="2133" w:type="dxa"/>
          </w:tcPr>
          <w:p w14:paraId="344DC17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(1,3)</w:t>
            </w:r>
          </w:p>
        </w:tc>
        <w:tc>
          <w:tcPr>
            <w:tcW w:w="2131" w:type="dxa"/>
          </w:tcPr>
          <w:p w14:paraId="2603EED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(1,3)</w:t>
            </w:r>
          </w:p>
        </w:tc>
      </w:tr>
    </w:tbl>
    <w:p w14:paraId="4BAEF693" w14:textId="77777777" w:rsidR="00600279" w:rsidRDefault="00600279" w:rsidP="008F5A8D">
      <w:pPr>
        <w:tabs>
          <w:tab w:val="left" w:pos="567"/>
        </w:tabs>
        <w:rPr>
          <w:i/>
          <w:u w:val="single"/>
        </w:rPr>
      </w:pPr>
    </w:p>
    <w:p w14:paraId="7786FE45" w14:textId="767DEC8D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stroke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szisztémás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embolizáció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prevenciója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nem</w:t>
      </w:r>
      <w:r>
        <w:rPr>
          <w:i/>
          <w:spacing w:val="-3"/>
          <w:u w:val="single"/>
        </w:rPr>
        <w:t xml:space="preserve"> </w:t>
      </w:r>
      <w:r w:rsidR="00AB32E4">
        <w:rPr>
          <w:i/>
          <w:u w:val="single"/>
        </w:rPr>
        <w:t>billentyűeredetű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pitvarfibrillációban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szenvedő,</w:t>
      </w:r>
      <w:r>
        <w:rPr>
          <w:i/>
        </w:rPr>
        <w:t xml:space="preserve"> </w:t>
      </w:r>
      <w:r>
        <w:rPr>
          <w:i/>
          <w:u w:val="single"/>
        </w:rPr>
        <w:t>egy vagy több rizikótényezővel rendelkező felnőtt betegeknél</w:t>
      </w:r>
    </w:p>
    <w:p w14:paraId="10D5A61D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6F52628D" w14:textId="46CF1536" w:rsidR="00945359" w:rsidRDefault="00220A43" w:rsidP="008F5A8D">
      <w:pPr>
        <w:pStyle w:val="Szvegtrzs"/>
        <w:tabs>
          <w:tab w:val="left" w:pos="567"/>
        </w:tabs>
      </w:pPr>
      <w:r>
        <w:t>A dabigatrán-etexilát hatásosságának klinikai bizonyítéka a RE-LY vizsgálatból (Randomised Evaluation of Long-term anticoagulant therapY) származik, ami egy multicentrikus, nemzetközi, randomizált,</w:t>
      </w:r>
      <w:r>
        <w:rPr>
          <w:spacing w:val="-3"/>
        </w:rPr>
        <w:t xml:space="preserve"> </w:t>
      </w:r>
      <w:r>
        <w:t>paralell</w:t>
      </w:r>
      <w:r>
        <w:rPr>
          <w:spacing w:val="-3"/>
        </w:rPr>
        <w:t xml:space="preserve"> </w:t>
      </w:r>
      <w:r>
        <w:t>vizsgálati</w:t>
      </w:r>
      <w:r>
        <w:rPr>
          <w:spacing w:val="-3"/>
        </w:rPr>
        <w:t xml:space="preserve"> </w:t>
      </w:r>
      <w:r>
        <w:t>csoportos,</w:t>
      </w:r>
      <w:r>
        <w:rPr>
          <w:spacing w:val="-3"/>
        </w:rPr>
        <w:t xml:space="preserve"> </w:t>
      </w:r>
      <w:r>
        <w:t>kettős</w:t>
      </w:r>
      <w:r>
        <w:rPr>
          <w:spacing w:val="-2"/>
        </w:rPr>
        <w:t xml:space="preserve"> </w:t>
      </w:r>
      <w:r>
        <w:t>vak</w:t>
      </w:r>
      <w:r>
        <w:rPr>
          <w:spacing w:val="-5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amelyben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1"/>
        </w:rPr>
        <w:t xml:space="preserve"> </w:t>
      </w:r>
      <w:r>
        <w:t>két dózisát (110</w:t>
      </w:r>
      <w:r w:rsidR="00294835">
        <w:rPr>
          <w:spacing w:val="-1"/>
        </w:rPr>
        <w:t> mg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150</w:t>
      </w:r>
      <w:r w:rsidR="00294835">
        <w:t> mg</w:t>
      </w:r>
      <w:r w:rsidR="00294835">
        <w:rPr>
          <w:spacing w:val="-1"/>
        </w:rPr>
        <w:t> nap</w:t>
      </w:r>
      <w:r>
        <w:t>onta</w:t>
      </w:r>
      <w:r>
        <w:rPr>
          <w:spacing w:val="-1"/>
        </w:rPr>
        <w:t xml:space="preserve"> </w:t>
      </w:r>
      <w:r>
        <w:t>kétszer)</w:t>
      </w:r>
      <w:r>
        <w:rPr>
          <w:spacing w:val="-1"/>
        </w:rPr>
        <w:t xml:space="preserve"> </w:t>
      </w:r>
      <w:r>
        <w:t>hasonlították</w:t>
      </w:r>
      <w:r>
        <w:rPr>
          <w:spacing w:val="-1"/>
        </w:rPr>
        <w:t xml:space="preserve"> </w:t>
      </w:r>
      <w:r>
        <w:t>össze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nyílt</w:t>
      </w:r>
      <w:r>
        <w:rPr>
          <w:spacing w:val="-1"/>
        </w:rPr>
        <w:t xml:space="preserve"> </w:t>
      </w:r>
      <w:r>
        <w:t>módon</w:t>
      </w:r>
      <w:r>
        <w:rPr>
          <w:spacing w:val="-1"/>
        </w:rPr>
        <w:t xml:space="preserve"> </w:t>
      </w:r>
      <w:r>
        <w:t>adott</w:t>
      </w:r>
      <w:r>
        <w:rPr>
          <w:spacing w:val="-1"/>
        </w:rPr>
        <w:t xml:space="preserve"> </w:t>
      </w:r>
      <w:r>
        <w:t>warfarinnal</w:t>
      </w:r>
      <w:r>
        <w:rPr>
          <w:spacing w:val="-1"/>
        </w:rPr>
        <w:t xml:space="preserve"> </w:t>
      </w:r>
      <w:r>
        <w:t>olyan pitvarfibrilláló betegeknél, akiknél közepes vagy magas volt a stroke és a szisztémás embolizáció</w:t>
      </w:r>
    </w:p>
    <w:p w14:paraId="5C8997C3" w14:textId="0BC948CF" w:rsidR="00945359" w:rsidRDefault="00220A43" w:rsidP="008F5A8D">
      <w:pPr>
        <w:pStyle w:val="Szvegtrzs"/>
        <w:tabs>
          <w:tab w:val="left" w:pos="567"/>
        </w:tabs>
      </w:pPr>
      <w:r>
        <w:t>kockázata.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>elsődleges</w:t>
      </w:r>
      <w:r>
        <w:rPr>
          <w:spacing w:val="-3"/>
        </w:rPr>
        <w:t xml:space="preserve"> </w:t>
      </w:r>
      <w:r>
        <w:t>célja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bizonyítsa,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4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 xml:space="preserve">rosszabb a warfarinnál </w:t>
      </w:r>
      <w:r w:rsidR="00600279">
        <w:t xml:space="preserve">(noninferioritás) </w:t>
      </w:r>
      <w:r>
        <w:t>a stroke és a szisztémás embolizáció mint összetett végpont előfordulásának csökkentésében. A statisztikai szuperioritást szintén elemezték.</w:t>
      </w:r>
    </w:p>
    <w:p w14:paraId="25900CC7" w14:textId="77777777" w:rsidR="00945359" w:rsidRDefault="00945359" w:rsidP="008F5A8D">
      <w:pPr>
        <w:pStyle w:val="Szvegtrzs"/>
        <w:tabs>
          <w:tab w:val="left" w:pos="567"/>
        </w:tabs>
      </w:pPr>
    </w:p>
    <w:p w14:paraId="2246E837" w14:textId="7FD299F6" w:rsidR="00945359" w:rsidRDefault="00220A43" w:rsidP="008F5A8D">
      <w:pPr>
        <w:pStyle w:val="Szvegtrzs"/>
        <w:tabs>
          <w:tab w:val="left" w:pos="567"/>
        </w:tabs>
      </w:pPr>
      <w:r>
        <w:t>A RE-LY vizsgálatban összesen 18</w:t>
      </w:r>
      <w:r w:rsidR="005B0E5A">
        <w:t> </w:t>
      </w:r>
      <w:r>
        <w:t>113</w:t>
      </w:r>
      <w:r w:rsidR="005B0E5A">
        <w:t> </w:t>
      </w:r>
      <w:r>
        <w:t xml:space="preserve">beteget randomizáltak a dabigatrán-etexilát csoportba, az </w:t>
      </w:r>
      <w:r>
        <w:rPr>
          <w:position w:val="2"/>
        </w:rPr>
        <w:t>átlagéletkor 71,5 és az átlagos CHADS</w:t>
      </w:r>
      <w:r>
        <w:rPr>
          <w:sz w:val="14"/>
        </w:rPr>
        <w:t>2</w:t>
      </w:r>
      <w:r>
        <w:rPr>
          <w:spacing w:val="24"/>
          <w:sz w:val="14"/>
        </w:rPr>
        <w:t xml:space="preserve"> </w:t>
      </w:r>
      <w:r>
        <w:rPr>
          <w:position w:val="2"/>
        </w:rPr>
        <w:t xml:space="preserve">pontszám 2,1 volt. A betegpopuláció 64%-a volt férfi, 70%-a </w:t>
      </w:r>
      <w:r>
        <w:t>fehér</w:t>
      </w:r>
      <w:r w:rsidR="00C92404">
        <w:t xml:space="preserve"> bőrű</w:t>
      </w:r>
      <w:r>
        <w:rPr>
          <w:spacing w:val="-1"/>
        </w:rPr>
        <w:t xml:space="preserve"> </w:t>
      </w:r>
      <w:r>
        <w:t>és</w:t>
      </w:r>
      <w:r>
        <w:rPr>
          <w:spacing w:val="-1"/>
        </w:rPr>
        <w:t xml:space="preserve"> </w:t>
      </w:r>
      <w:r>
        <w:t>16%-a</w:t>
      </w:r>
      <w:r>
        <w:rPr>
          <w:spacing w:val="-1"/>
        </w:rPr>
        <w:t xml:space="preserve"> </w:t>
      </w:r>
      <w:r>
        <w:t>ázsiai.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warfarin</w:t>
      </w:r>
      <w:r w:rsidR="00C92404">
        <w:rPr>
          <w:spacing w:val="-1"/>
        </w:rPr>
        <w:t>-</w:t>
      </w:r>
      <w:r>
        <w:t>csoportba</w:t>
      </w:r>
      <w:r>
        <w:rPr>
          <w:spacing w:val="-1"/>
        </w:rPr>
        <w:t xml:space="preserve"> </w:t>
      </w:r>
      <w:r>
        <w:t>randomizált</w:t>
      </w:r>
      <w:r>
        <w:rPr>
          <w:spacing w:val="-1"/>
        </w:rPr>
        <w:t xml:space="preserve"> </w:t>
      </w:r>
      <w:r>
        <w:t>betegek</w:t>
      </w:r>
      <w:r>
        <w:rPr>
          <w:spacing w:val="-1"/>
        </w:rPr>
        <w:t xml:space="preserve"> </w:t>
      </w:r>
      <w:r>
        <w:t>között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terápiás</w:t>
      </w:r>
      <w:r>
        <w:rPr>
          <w:spacing w:val="-1"/>
        </w:rPr>
        <w:t xml:space="preserve"> </w:t>
      </w:r>
      <w:r>
        <w:t>tartomány</w:t>
      </w:r>
      <w:r>
        <w:rPr>
          <w:spacing w:val="-1"/>
        </w:rPr>
        <w:t xml:space="preserve"> </w:t>
      </w:r>
      <w:r>
        <w:t>eléréshez szükséges</w:t>
      </w:r>
      <w:r>
        <w:rPr>
          <w:spacing w:val="-3"/>
        </w:rPr>
        <w:t xml:space="preserve"> </w:t>
      </w:r>
      <w:r>
        <w:t>idő</w:t>
      </w:r>
      <w:r>
        <w:rPr>
          <w:spacing w:val="-3"/>
        </w:rPr>
        <w:t xml:space="preserve"> </w:t>
      </w:r>
      <w:r>
        <w:t>(time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therapeutic</w:t>
      </w:r>
      <w:r>
        <w:rPr>
          <w:spacing w:val="-3"/>
        </w:rPr>
        <w:t xml:space="preserve"> </w:t>
      </w:r>
      <w:r>
        <w:t>range</w:t>
      </w:r>
      <w:r>
        <w:rPr>
          <w:spacing w:val="-3"/>
        </w:rPr>
        <w:t xml:space="preserve"> </w:t>
      </w:r>
      <w:r>
        <w:t>[TTR]</w:t>
      </w:r>
      <w:r>
        <w:rPr>
          <w:spacing w:val="-3"/>
        </w:rPr>
        <w:t xml:space="preserve"> </w:t>
      </w:r>
      <w:r>
        <w:t>[INR</w:t>
      </w:r>
      <w:r>
        <w:rPr>
          <w:spacing w:val="-3"/>
        </w:rPr>
        <w:t xml:space="preserve"> </w:t>
      </w:r>
      <w:r>
        <w:t>2-3])</w:t>
      </w:r>
      <w:r>
        <w:rPr>
          <w:spacing w:val="-3"/>
        </w:rPr>
        <w:t xml:space="preserve"> </w:t>
      </w:r>
      <w:r>
        <w:t>százalékos</w:t>
      </w:r>
      <w:r>
        <w:rPr>
          <w:spacing w:val="-3"/>
        </w:rPr>
        <w:t xml:space="preserve"> </w:t>
      </w:r>
      <w:r>
        <w:t>aránya</w:t>
      </w:r>
      <w:r>
        <w:rPr>
          <w:spacing w:val="-3"/>
        </w:rPr>
        <w:t xml:space="preserve"> </w:t>
      </w:r>
      <w:r>
        <w:t>64,4%</w:t>
      </w:r>
      <w:r>
        <w:rPr>
          <w:spacing w:val="-1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(átlagos</w:t>
      </w:r>
      <w:r>
        <w:rPr>
          <w:spacing w:val="-3"/>
        </w:rPr>
        <w:t xml:space="preserve"> </w:t>
      </w:r>
      <w:r>
        <w:t xml:space="preserve">TTR </w:t>
      </w:r>
      <w:r>
        <w:rPr>
          <w:spacing w:val="-4"/>
        </w:rPr>
        <w:t>67%).</w:t>
      </w:r>
    </w:p>
    <w:p w14:paraId="1547491F" w14:textId="04105144" w:rsidR="00945359" w:rsidRDefault="00220A43" w:rsidP="008F5A8D">
      <w:pPr>
        <w:pStyle w:val="Szvegtrzs"/>
        <w:tabs>
          <w:tab w:val="left" w:pos="567"/>
        </w:tabs>
      </w:pPr>
      <w:r>
        <w:t>A RE-LY vizsgálat kimutatta, hogy a dabigatrán-etexilát napi kétszer 110</w:t>
      </w:r>
      <w:r w:rsidR="00294835">
        <w:t> mg</w:t>
      </w:r>
      <w:r>
        <w:t xml:space="preserve">-os dózisban nem rosszabb a warfarinnál </w:t>
      </w:r>
      <w:r w:rsidR="00C92404">
        <w:t xml:space="preserve">(noninferioritás) </w:t>
      </w:r>
      <w:r>
        <w:t>a stroke és a szisztémás embolizáció prevenciójában pitvarfibrilláló</w:t>
      </w:r>
      <w:r>
        <w:rPr>
          <w:spacing w:val="-3"/>
        </w:rPr>
        <w:t xml:space="preserve"> </w:t>
      </w:r>
      <w:r>
        <w:t>betegek</w:t>
      </w:r>
      <w:r w:rsidR="00C92404">
        <w:t>nél</w:t>
      </w:r>
      <w:r>
        <w:t>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alkalmazása</w:t>
      </w:r>
      <w:r>
        <w:rPr>
          <w:spacing w:val="-3"/>
        </w:rPr>
        <w:t xml:space="preserve"> </w:t>
      </w:r>
      <w:r>
        <w:t>csökkent</w:t>
      </w:r>
      <w:r>
        <w:rPr>
          <w:spacing w:val="-3"/>
        </w:rPr>
        <w:t xml:space="preserve"> </w:t>
      </w:r>
      <w:r>
        <w:t>ICH</w:t>
      </w:r>
      <w:r w:rsidR="00C92404">
        <w:t>-</w:t>
      </w:r>
      <w:r>
        <w:t>,</w:t>
      </w:r>
      <w:r>
        <w:rPr>
          <w:spacing w:val="-3"/>
        </w:rPr>
        <w:t xml:space="preserve"> </w:t>
      </w:r>
      <w:r>
        <w:t>összvérzés</w:t>
      </w:r>
      <w:r w:rsidR="00C92404">
        <w:t>-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jelentősvérzés</w:t>
      </w:r>
      <w:r w:rsidR="00C92404">
        <w:rPr>
          <w:spacing w:val="-3"/>
        </w:rPr>
        <w:t>-</w:t>
      </w:r>
      <w:r>
        <w:t>kockázattal</w:t>
      </w:r>
      <w:r>
        <w:rPr>
          <w:spacing w:val="-3"/>
        </w:rPr>
        <w:t xml:space="preserve"> </w:t>
      </w:r>
      <w:r>
        <w:t>jár. A napi kétszer 150</w:t>
      </w:r>
      <w:r w:rsidR="00294835">
        <w:t> mg</w:t>
      </w:r>
      <w:r>
        <w:t>-os dózis szignifikáns mértékben csökkenti az ischaemiás és vérzéses stroke, éreredetű halál, ICH és összes vérzés kockázatát a warfarinhoz viszonyítva. A jelentős vérzések aránya ezzel a dózissal a warfarin esetében észlelthez hasonló volt. A myocardialis infarctus előfordulási aránya kissé nagyobb volt a dabigatrán-etexilát napi kétszeri 110</w:t>
      </w:r>
      <w:r w:rsidR="00294835">
        <w:t> mg</w:t>
      </w:r>
      <w:r>
        <w:t>-os (relatív hazárd 1,29; p</w:t>
      </w:r>
      <w:r w:rsidR="00C92404">
        <w:t> </w:t>
      </w:r>
      <w:r>
        <w:t>=</w:t>
      </w:r>
      <w:r w:rsidR="00C92404">
        <w:t> </w:t>
      </w:r>
      <w:r>
        <w:t>0,0929), vagy 150</w:t>
      </w:r>
      <w:r w:rsidR="00294835">
        <w:t> mg</w:t>
      </w:r>
      <w:r>
        <w:t>-os dózisa (relatív hazárd 1,27; p</w:t>
      </w:r>
      <w:r w:rsidR="00C92404">
        <w:t> </w:t>
      </w:r>
      <w:r>
        <w:t>=</w:t>
      </w:r>
      <w:r w:rsidR="00C92404">
        <w:t> </w:t>
      </w:r>
      <w:r>
        <w:t xml:space="preserve">0,1240) esetén a warfarinhoz képest. Az INR gyakoribb monitorozásával a dabigatrán-etexilátnak warfarinhoz hasonlított előnyei </w:t>
      </w:r>
      <w:r>
        <w:rPr>
          <w:spacing w:val="-2"/>
        </w:rPr>
        <w:t>csökkennek.</w:t>
      </w:r>
    </w:p>
    <w:p w14:paraId="6ACCD425" w14:textId="34C65B05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7"/>
        </w:rPr>
        <w:t xml:space="preserve"> </w:t>
      </w:r>
      <w:r>
        <w:t>22</w:t>
      </w:r>
      <w:r w:rsidR="00C92404">
        <w:t>–</w:t>
      </w:r>
      <w:r>
        <w:t>24.</w:t>
      </w:r>
      <w:r w:rsidR="00B95CAF">
        <w:rPr>
          <w:spacing w:val="-6"/>
        </w:rPr>
        <w:t> táblázat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kulcsfontosságú</w:t>
      </w:r>
      <w:r>
        <w:rPr>
          <w:spacing w:val="-7"/>
        </w:rPr>
        <w:t xml:space="preserve"> </w:t>
      </w:r>
      <w:r>
        <w:t>eredmények</w:t>
      </w:r>
      <w:r>
        <w:rPr>
          <w:spacing w:val="-6"/>
        </w:rPr>
        <w:t xml:space="preserve"> </w:t>
      </w:r>
      <w:r>
        <w:t>részleteit</w:t>
      </w:r>
      <w:r>
        <w:rPr>
          <w:spacing w:val="-7"/>
        </w:rPr>
        <w:t xml:space="preserve"> </w:t>
      </w:r>
      <w:r>
        <w:t>mutatj</w:t>
      </w:r>
      <w:r w:rsidR="00C92404">
        <w:t>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teljes</w:t>
      </w:r>
      <w:r>
        <w:rPr>
          <w:spacing w:val="-6"/>
        </w:rPr>
        <w:t xml:space="preserve"> </w:t>
      </w:r>
      <w:r>
        <w:rPr>
          <w:spacing w:val="-2"/>
        </w:rPr>
        <w:t>populációban:</w:t>
      </w:r>
    </w:p>
    <w:p w14:paraId="4EF37DE3" w14:textId="77777777" w:rsidR="00945359" w:rsidRDefault="00945359" w:rsidP="008F5A8D">
      <w:pPr>
        <w:pStyle w:val="Szvegtrzs"/>
        <w:tabs>
          <w:tab w:val="left" w:pos="567"/>
        </w:tabs>
      </w:pPr>
    </w:p>
    <w:p w14:paraId="6E313D69" w14:textId="389E9613" w:rsidR="00945359" w:rsidRPr="00511F35" w:rsidRDefault="00A9240D" w:rsidP="008F5A8D">
      <w:r w:rsidRPr="00511F35">
        <w:rPr>
          <w:b/>
        </w:rPr>
        <w:t>22</w:t>
      </w:r>
      <w:r w:rsidR="00BC10BA" w:rsidRPr="00511F35">
        <w:rPr>
          <w:b/>
        </w:rPr>
        <w:t>. táblázat</w:t>
      </w:r>
      <w:r w:rsidR="00220A43" w:rsidRPr="00511F35">
        <w:rPr>
          <w:b/>
        </w:rPr>
        <w:t>:</w:t>
      </w:r>
      <w:r w:rsidR="00220A43" w:rsidRPr="00511F35">
        <w:rPr>
          <w:b/>
          <w:spacing w:val="40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stroke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vagy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szisztémás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embolizáció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első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megjelenésének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elemzése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(primer végpont) a RE-LY vizsgálat vizsgálati periódusában</w:t>
      </w:r>
    </w:p>
    <w:p w14:paraId="720DDE13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474"/>
        <w:gridCol w:w="2376"/>
        <w:gridCol w:w="2242"/>
        <w:gridCol w:w="1980"/>
      </w:tblGrid>
      <w:tr w:rsidR="00945359" w14:paraId="39F9B262" w14:textId="77777777" w:rsidTr="008F5A8D">
        <w:trPr>
          <w:trHeight w:val="508"/>
        </w:trPr>
        <w:tc>
          <w:tcPr>
            <w:tcW w:w="2474" w:type="dxa"/>
          </w:tcPr>
          <w:p w14:paraId="190D85B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376" w:type="dxa"/>
          </w:tcPr>
          <w:p w14:paraId="36CEF52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3CA08E53" w14:textId="360C6BE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2242" w:type="dxa"/>
          </w:tcPr>
          <w:p w14:paraId="7680CA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45F3496A" w14:textId="6CE6F45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1980" w:type="dxa"/>
          </w:tcPr>
          <w:p w14:paraId="21544C2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</w:tr>
      <w:tr w:rsidR="00945359" w14:paraId="3C5545A2" w14:textId="77777777" w:rsidTr="008F5A8D">
        <w:trPr>
          <w:trHeight w:val="506"/>
        </w:trPr>
        <w:tc>
          <w:tcPr>
            <w:tcW w:w="2474" w:type="dxa"/>
          </w:tcPr>
          <w:p w14:paraId="3B3D210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Randomizált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vizsgálati</w:t>
            </w:r>
          </w:p>
          <w:p w14:paraId="3328278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személyek</w:t>
            </w:r>
          </w:p>
        </w:tc>
        <w:tc>
          <w:tcPr>
            <w:tcW w:w="2376" w:type="dxa"/>
          </w:tcPr>
          <w:p w14:paraId="26819C7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6015</w:t>
            </w:r>
          </w:p>
        </w:tc>
        <w:tc>
          <w:tcPr>
            <w:tcW w:w="2242" w:type="dxa"/>
          </w:tcPr>
          <w:p w14:paraId="555D72E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6076</w:t>
            </w:r>
          </w:p>
        </w:tc>
        <w:tc>
          <w:tcPr>
            <w:tcW w:w="1980" w:type="dxa"/>
          </w:tcPr>
          <w:p w14:paraId="7D0ED02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6022</w:t>
            </w:r>
          </w:p>
        </w:tc>
      </w:tr>
      <w:tr w:rsidR="00945359" w14:paraId="5495F1B5" w14:textId="77777777" w:rsidTr="008F5A8D">
        <w:trPr>
          <w:trHeight w:val="505"/>
        </w:trPr>
        <w:tc>
          <w:tcPr>
            <w:tcW w:w="2474" w:type="dxa"/>
          </w:tcPr>
          <w:p w14:paraId="2E5D384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Stroke</w:t>
            </w:r>
            <w:r>
              <w:rPr>
                <w:spacing w:val="-7"/>
              </w:rPr>
              <w:t xml:space="preserve"> </w:t>
            </w:r>
            <w:r>
              <w:t>és/vagy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szisztémás</w:t>
            </w:r>
          </w:p>
          <w:p w14:paraId="4945199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embolizáció</w:t>
            </w:r>
          </w:p>
        </w:tc>
        <w:tc>
          <w:tcPr>
            <w:tcW w:w="2376" w:type="dxa"/>
          </w:tcPr>
          <w:p w14:paraId="7AF3A439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242" w:type="dxa"/>
          </w:tcPr>
          <w:p w14:paraId="6FF00DE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1980" w:type="dxa"/>
          </w:tcPr>
          <w:p w14:paraId="67521FA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212C8AE2" w14:textId="77777777" w:rsidTr="008F5A8D">
        <w:trPr>
          <w:trHeight w:val="254"/>
        </w:trPr>
        <w:tc>
          <w:tcPr>
            <w:tcW w:w="2474" w:type="dxa"/>
          </w:tcPr>
          <w:p w14:paraId="17669FF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76" w:type="dxa"/>
          </w:tcPr>
          <w:p w14:paraId="5714BB0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(1,54)</w:t>
            </w:r>
          </w:p>
        </w:tc>
        <w:tc>
          <w:tcPr>
            <w:tcW w:w="2242" w:type="dxa"/>
          </w:tcPr>
          <w:p w14:paraId="5158AB2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135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(1,12)</w:t>
            </w:r>
          </w:p>
        </w:tc>
        <w:tc>
          <w:tcPr>
            <w:tcW w:w="1980" w:type="dxa"/>
          </w:tcPr>
          <w:p w14:paraId="51AAD14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203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(1,72)</w:t>
            </w:r>
          </w:p>
        </w:tc>
      </w:tr>
      <w:tr w:rsidR="00945359" w14:paraId="42B76401" w14:textId="77777777" w:rsidTr="008F5A8D">
        <w:trPr>
          <w:trHeight w:val="1012"/>
        </w:trPr>
        <w:tc>
          <w:tcPr>
            <w:tcW w:w="2474" w:type="dxa"/>
          </w:tcPr>
          <w:p w14:paraId="44D8C90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4BA4217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76" w:type="dxa"/>
          </w:tcPr>
          <w:p w14:paraId="72A41CC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0,89</w:t>
            </w:r>
            <w:r>
              <w:rPr>
                <w:spacing w:val="-5"/>
              </w:rPr>
              <w:t xml:space="preserve"> </w:t>
            </w:r>
            <w:r>
              <w:t>(0,73;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1,09)</w:t>
            </w:r>
          </w:p>
        </w:tc>
        <w:tc>
          <w:tcPr>
            <w:tcW w:w="2242" w:type="dxa"/>
          </w:tcPr>
          <w:p w14:paraId="1CF1F77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0,65</w:t>
            </w:r>
            <w:r>
              <w:rPr>
                <w:spacing w:val="-5"/>
              </w:rPr>
              <w:t xml:space="preserve"> </w:t>
            </w:r>
            <w:r>
              <w:t>(0,52;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0,81)</w:t>
            </w:r>
          </w:p>
        </w:tc>
        <w:tc>
          <w:tcPr>
            <w:tcW w:w="1980" w:type="dxa"/>
          </w:tcPr>
          <w:p w14:paraId="09B0123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27773667" w14:textId="77777777" w:rsidTr="008F5A8D">
        <w:trPr>
          <w:trHeight w:val="505"/>
        </w:trPr>
        <w:tc>
          <w:tcPr>
            <w:tcW w:w="2474" w:type="dxa"/>
          </w:tcPr>
          <w:p w14:paraId="108451A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  <w:p w14:paraId="3F3D64F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szuperioritás</w:t>
            </w:r>
          </w:p>
        </w:tc>
        <w:tc>
          <w:tcPr>
            <w:tcW w:w="2376" w:type="dxa"/>
          </w:tcPr>
          <w:p w14:paraId="3156FD6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p = </w:t>
            </w:r>
            <w:r>
              <w:rPr>
                <w:spacing w:val="-2"/>
              </w:rPr>
              <w:t>0,2721</w:t>
            </w:r>
          </w:p>
        </w:tc>
        <w:tc>
          <w:tcPr>
            <w:tcW w:w="2242" w:type="dxa"/>
          </w:tcPr>
          <w:p w14:paraId="7144D9B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p = </w:t>
            </w:r>
            <w:r>
              <w:rPr>
                <w:spacing w:val="-2"/>
              </w:rPr>
              <w:t>0,0001</w:t>
            </w:r>
          </w:p>
        </w:tc>
        <w:tc>
          <w:tcPr>
            <w:tcW w:w="1980" w:type="dxa"/>
          </w:tcPr>
          <w:p w14:paraId="79615E9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</w:tbl>
    <w:p w14:paraId="236EDC05" w14:textId="70702D45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%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éves</w:t>
      </w:r>
      <w:r>
        <w:rPr>
          <w:spacing w:val="-5"/>
        </w:rPr>
        <w:t xml:space="preserve"> </w:t>
      </w:r>
      <w:r>
        <w:t>esemény</w:t>
      </w:r>
      <w:r>
        <w:rPr>
          <w:spacing w:val="-5"/>
        </w:rPr>
        <w:t xml:space="preserve"> </w:t>
      </w:r>
      <w:r>
        <w:t>gyakoriságra</w:t>
      </w:r>
      <w:r>
        <w:rPr>
          <w:spacing w:val="-5"/>
        </w:rPr>
        <w:t xml:space="preserve"> </w:t>
      </w:r>
      <w:r>
        <w:rPr>
          <w:spacing w:val="-2"/>
        </w:rPr>
        <w:t>vonatkozik</w:t>
      </w:r>
    </w:p>
    <w:p w14:paraId="3F1593F0" w14:textId="77777777" w:rsidR="00BC10BA" w:rsidRDefault="00BC10BA" w:rsidP="008F5A8D">
      <w:pPr>
        <w:pStyle w:val="Szvegtrzs"/>
        <w:tabs>
          <w:tab w:val="left" w:pos="567"/>
        </w:tabs>
      </w:pPr>
    </w:p>
    <w:p w14:paraId="3F9FCE18" w14:textId="7338A7BC" w:rsidR="00945359" w:rsidRPr="00333EE9" w:rsidRDefault="00A9240D" w:rsidP="008F5A8D">
      <w:r w:rsidRPr="00511F35">
        <w:rPr>
          <w:b/>
        </w:rPr>
        <w:t>23.</w:t>
      </w:r>
      <w:r w:rsidR="00511F35">
        <w:rPr>
          <w:b/>
        </w:rPr>
        <w:t> </w:t>
      </w:r>
      <w:r w:rsidR="00220A43" w:rsidRPr="008F5A8D">
        <w:rPr>
          <w:b/>
        </w:rPr>
        <w:t>táblázat:</w:t>
      </w:r>
      <w:r w:rsidR="00220A43" w:rsidRPr="008F5A8D">
        <w:rPr>
          <w:b/>
          <w:spacing w:val="40"/>
        </w:rPr>
        <w:t xml:space="preserve"> </w:t>
      </w:r>
      <w:r w:rsidR="00220A43" w:rsidRPr="008F5A8D">
        <w:rPr>
          <w:b/>
        </w:rPr>
        <w:t>Az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ischaemiás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vagy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vérzéses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stroke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első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megjelenésének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elemzése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a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RE-LY vizsgálat vizsgálati periódusában</w:t>
      </w:r>
    </w:p>
    <w:p w14:paraId="70B2518C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434"/>
        <w:gridCol w:w="2333"/>
        <w:gridCol w:w="2333"/>
        <w:gridCol w:w="1961"/>
      </w:tblGrid>
      <w:tr w:rsidR="00945359" w14:paraId="0B99D6BA" w14:textId="77777777" w:rsidTr="008F5A8D">
        <w:trPr>
          <w:trHeight w:val="505"/>
        </w:trPr>
        <w:tc>
          <w:tcPr>
            <w:tcW w:w="2434" w:type="dxa"/>
          </w:tcPr>
          <w:p w14:paraId="03EF581B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333" w:type="dxa"/>
          </w:tcPr>
          <w:p w14:paraId="1013BB2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6000B677" w14:textId="79D6161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2333" w:type="dxa"/>
          </w:tcPr>
          <w:p w14:paraId="1664DC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366C2292" w14:textId="64E3634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1961" w:type="dxa"/>
          </w:tcPr>
          <w:p w14:paraId="6D770F7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</w:tr>
      <w:tr w:rsidR="00945359" w14:paraId="020A3637" w14:textId="77777777" w:rsidTr="008F5A8D">
        <w:trPr>
          <w:trHeight w:val="506"/>
        </w:trPr>
        <w:tc>
          <w:tcPr>
            <w:tcW w:w="2434" w:type="dxa"/>
          </w:tcPr>
          <w:p w14:paraId="27CF468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Randomizált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vizsgálati</w:t>
            </w:r>
          </w:p>
          <w:p w14:paraId="55D29D2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személyek</w:t>
            </w:r>
          </w:p>
        </w:tc>
        <w:tc>
          <w:tcPr>
            <w:tcW w:w="2333" w:type="dxa"/>
          </w:tcPr>
          <w:p w14:paraId="0BE3229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6015</w:t>
            </w:r>
          </w:p>
        </w:tc>
        <w:tc>
          <w:tcPr>
            <w:tcW w:w="2333" w:type="dxa"/>
          </w:tcPr>
          <w:p w14:paraId="23B3547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6076</w:t>
            </w:r>
          </w:p>
        </w:tc>
        <w:tc>
          <w:tcPr>
            <w:tcW w:w="1961" w:type="dxa"/>
          </w:tcPr>
          <w:p w14:paraId="31BB85D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6022</w:t>
            </w:r>
          </w:p>
        </w:tc>
      </w:tr>
      <w:tr w:rsidR="00945359" w14:paraId="7C1BFC12" w14:textId="77777777" w:rsidTr="008F5A8D">
        <w:trPr>
          <w:trHeight w:val="251"/>
        </w:trPr>
        <w:tc>
          <w:tcPr>
            <w:tcW w:w="2434" w:type="dxa"/>
          </w:tcPr>
          <w:p w14:paraId="5CCE9CC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Stroke</w:t>
            </w:r>
          </w:p>
        </w:tc>
        <w:tc>
          <w:tcPr>
            <w:tcW w:w="2333" w:type="dxa"/>
          </w:tcPr>
          <w:p w14:paraId="7D61F628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333" w:type="dxa"/>
          </w:tcPr>
          <w:p w14:paraId="322D4848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61" w:type="dxa"/>
          </w:tcPr>
          <w:p w14:paraId="0E3AAD6E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F053555" w14:textId="77777777" w:rsidTr="008F5A8D">
        <w:trPr>
          <w:trHeight w:val="254"/>
        </w:trPr>
        <w:tc>
          <w:tcPr>
            <w:tcW w:w="2434" w:type="dxa"/>
          </w:tcPr>
          <w:p w14:paraId="58A237B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33" w:type="dxa"/>
          </w:tcPr>
          <w:p w14:paraId="623F9CE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171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(1,44)</w:t>
            </w:r>
          </w:p>
        </w:tc>
        <w:tc>
          <w:tcPr>
            <w:tcW w:w="2333" w:type="dxa"/>
          </w:tcPr>
          <w:p w14:paraId="3D7414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123 </w:t>
            </w:r>
            <w:r>
              <w:rPr>
                <w:spacing w:val="-2"/>
              </w:rPr>
              <w:t>(1,02)</w:t>
            </w:r>
          </w:p>
        </w:tc>
        <w:tc>
          <w:tcPr>
            <w:tcW w:w="1961" w:type="dxa"/>
          </w:tcPr>
          <w:p w14:paraId="2937DC2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187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(1,59)</w:t>
            </w:r>
          </w:p>
        </w:tc>
      </w:tr>
      <w:tr w:rsidR="00945359" w14:paraId="0A8E7EAB" w14:textId="77777777" w:rsidTr="008F5A8D">
        <w:trPr>
          <w:trHeight w:val="1012"/>
        </w:trPr>
        <w:tc>
          <w:tcPr>
            <w:tcW w:w="2434" w:type="dxa"/>
          </w:tcPr>
          <w:p w14:paraId="65DBD91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3E233D3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33" w:type="dxa"/>
          </w:tcPr>
          <w:p w14:paraId="68EF365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0,91</w:t>
            </w:r>
            <w:r>
              <w:rPr>
                <w:spacing w:val="-5"/>
              </w:rPr>
              <w:t xml:space="preserve"> </w:t>
            </w:r>
            <w:r>
              <w:t>(0,74,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1,12)</w:t>
            </w:r>
          </w:p>
        </w:tc>
        <w:tc>
          <w:tcPr>
            <w:tcW w:w="2333" w:type="dxa"/>
          </w:tcPr>
          <w:p w14:paraId="3C05D5D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0,64</w:t>
            </w:r>
            <w:r>
              <w:rPr>
                <w:spacing w:val="-5"/>
              </w:rPr>
              <w:t xml:space="preserve"> </w:t>
            </w:r>
            <w:r>
              <w:t>(0,51,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0,81)</w:t>
            </w:r>
          </w:p>
        </w:tc>
        <w:tc>
          <w:tcPr>
            <w:tcW w:w="1961" w:type="dxa"/>
          </w:tcPr>
          <w:p w14:paraId="46E9988F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306EAF6B" w14:textId="77777777" w:rsidTr="008F5A8D">
        <w:trPr>
          <w:trHeight w:val="251"/>
        </w:trPr>
        <w:tc>
          <w:tcPr>
            <w:tcW w:w="2434" w:type="dxa"/>
          </w:tcPr>
          <w:p w14:paraId="179E1BF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</w:tc>
        <w:tc>
          <w:tcPr>
            <w:tcW w:w="2333" w:type="dxa"/>
          </w:tcPr>
          <w:p w14:paraId="27A4D01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0,3553</w:t>
            </w:r>
          </w:p>
        </w:tc>
        <w:tc>
          <w:tcPr>
            <w:tcW w:w="2333" w:type="dxa"/>
          </w:tcPr>
          <w:p w14:paraId="78D0D78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0.0001</w:t>
            </w:r>
          </w:p>
        </w:tc>
        <w:tc>
          <w:tcPr>
            <w:tcW w:w="1961" w:type="dxa"/>
          </w:tcPr>
          <w:p w14:paraId="7EE84A1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4F112F6" w14:textId="77777777" w:rsidTr="008F5A8D">
        <w:trPr>
          <w:trHeight w:val="253"/>
        </w:trPr>
        <w:tc>
          <w:tcPr>
            <w:tcW w:w="2434" w:type="dxa"/>
          </w:tcPr>
          <w:p w14:paraId="214C60B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Szisztémás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embolizáció</w:t>
            </w:r>
          </w:p>
        </w:tc>
        <w:tc>
          <w:tcPr>
            <w:tcW w:w="2333" w:type="dxa"/>
          </w:tcPr>
          <w:p w14:paraId="0A27BD0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333" w:type="dxa"/>
          </w:tcPr>
          <w:p w14:paraId="318A856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61" w:type="dxa"/>
          </w:tcPr>
          <w:p w14:paraId="2A2BFF6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1DAD9D6" w14:textId="77777777" w:rsidTr="008F5A8D">
        <w:trPr>
          <w:trHeight w:val="251"/>
        </w:trPr>
        <w:tc>
          <w:tcPr>
            <w:tcW w:w="2434" w:type="dxa"/>
          </w:tcPr>
          <w:p w14:paraId="5F7168B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33" w:type="dxa"/>
          </w:tcPr>
          <w:p w14:paraId="1CCA3B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</w:t>
            </w:r>
            <w:r>
              <w:rPr>
                <w:spacing w:val="-2"/>
              </w:rPr>
              <w:t xml:space="preserve"> (0,13)</w:t>
            </w:r>
          </w:p>
        </w:tc>
        <w:tc>
          <w:tcPr>
            <w:tcW w:w="2333" w:type="dxa"/>
          </w:tcPr>
          <w:p w14:paraId="15699C9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13</w:t>
            </w:r>
            <w:r>
              <w:rPr>
                <w:spacing w:val="-2"/>
              </w:rPr>
              <w:t xml:space="preserve"> (0,11)</w:t>
            </w:r>
          </w:p>
        </w:tc>
        <w:tc>
          <w:tcPr>
            <w:tcW w:w="1961" w:type="dxa"/>
          </w:tcPr>
          <w:p w14:paraId="0FA9D84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21</w:t>
            </w:r>
            <w:r>
              <w:rPr>
                <w:spacing w:val="-2"/>
              </w:rPr>
              <w:t xml:space="preserve"> (0,18)</w:t>
            </w:r>
          </w:p>
        </w:tc>
      </w:tr>
      <w:tr w:rsidR="00945359" w14:paraId="0C645A04" w14:textId="77777777" w:rsidTr="008F5A8D">
        <w:trPr>
          <w:trHeight w:val="1012"/>
        </w:trPr>
        <w:tc>
          <w:tcPr>
            <w:tcW w:w="2434" w:type="dxa"/>
          </w:tcPr>
          <w:p w14:paraId="43E3A98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0FEA8DA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33" w:type="dxa"/>
          </w:tcPr>
          <w:p w14:paraId="3448738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0,71</w:t>
            </w:r>
            <w:r>
              <w:rPr>
                <w:spacing w:val="-5"/>
              </w:rPr>
              <w:t xml:space="preserve"> </w:t>
            </w:r>
            <w:r>
              <w:t>(0,37,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1,38)</w:t>
            </w:r>
          </w:p>
        </w:tc>
        <w:tc>
          <w:tcPr>
            <w:tcW w:w="2333" w:type="dxa"/>
          </w:tcPr>
          <w:p w14:paraId="5A85605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0,61</w:t>
            </w:r>
            <w:r>
              <w:rPr>
                <w:spacing w:val="-5"/>
              </w:rPr>
              <w:t xml:space="preserve"> </w:t>
            </w:r>
            <w:r>
              <w:t>(0,30,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1,21)</w:t>
            </w:r>
          </w:p>
        </w:tc>
        <w:tc>
          <w:tcPr>
            <w:tcW w:w="1961" w:type="dxa"/>
          </w:tcPr>
          <w:p w14:paraId="49CE5A20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4FAB0134" w14:textId="77777777" w:rsidTr="008F5A8D">
        <w:trPr>
          <w:trHeight w:val="253"/>
        </w:trPr>
        <w:tc>
          <w:tcPr>
            <w:tcW w:w="2434" w:type="dxa"/>
          </w:tcPr>
          <w:p w14:paraId="00DDFD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</w:tc>
        <w:tc>
          <w:tcPr>
            <w:tcW w:w="2333" w:type="dxa"/>
          </w:tcPr>
          <w:p w14:paraId="5F53249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0,3099</w:t>
            </w:r>
          </w:p>
        </w:tc>
        <w:tc>
          <w:tcPr>
            <w:tcW w:w="2333" w:type="dxa"/>
          </w:tcPr>
          <w:p w14:paraId="13AF8FD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0,1582</w:t>
            </w:r>
          </w:p>
        </w:tc>
        <w:tc>
          <w:tcPr>
            <w:tcW w:w="1961" w:type="dxa"/>
          </w:tcPr>
          <w:p w14:paraId="512D3DD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62F83360" w14:textId="77777777" w:rsidTr="008F5A8D">
        <w:trPr>
          <w:trHeight w:val="251"/>
        </w:trPr>
        <w:tc>
          <w:tcPr>
            <w:tcW w:w="2434" w:type="dxa"/>
          </w:tcPr>
          <w:p w14:paraId="6E5A116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Ischaemiás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stroke</w:t>
            </w:r>
          </w:p>
        </w:tc>
        <w:tc>
          <w:tcPr>
            <w:tcW w:w="2333" w:type="dxa"/>
          </w:tcPr>
          <w:p w14:paraId="1059F99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333" w:type="dxa"/>
          </w:tcPr>
          <w:p w14:paraId="66C86AEB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61" w:type="dxa"/>
          </w:tcPr>
          <w:p w14:paraId="31BAB68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4E2DCC6" w14:textId="77777777" w:rsidTr="008F5A8D">
        <w:trPr>
          <w:trHeight w:val="253"/>
        </w:trPr>
        <w:tc>
          <w:tcPr>
            <w:tcW w:w="2434" w:type="dxa"/>
          </w:tcPr>
          <w:p w14:paraId="66D7D2C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33" w:type="dxa"/>
          </w:tcPr>
          <w:p w14:paraId="00BDDB2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152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(1,28)</w:t>
            </w:r>
          </w:p>
        </w:tc>
        <w:tc>
          <w:tcPr>
            <w:tcW w:w="2333" w:type="dxa"/>
          </w:tcPr>
          <w:p w14:paraId="0E8D76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104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(0,86)</w:t>
            </w:r>
          </w:p>
        </w:tc>
        <w:tc>
          <w:tcPr>
            <w:tcW w:w="1961" w:type="dxa"/>
          </w:tcPr>
          <w:p w14:paraId="640AFEE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134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(1,14)</w:t>
            </w:r>
          </w:p>
        </w:tc>
      </w:tr>
      <w:tr w:rsidR="00945359" w14:paraId="4FA31E41" w14:textId="77777777" w:rsidTr="008F5A8D">
        <w:trPr>
          <w:trHeight w:val="1012"/>
        </w:trPr>
        <w:tc>
          <w:tcPr>
            <w:tcW w:w="2434" w:type="dxa"/>
          </w:tcPr>
          <w:p w14:paraId="5E3C4DB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4A7EC27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33" w:type="dxa"/>
          </w:tcPr>
          <w:p w14:paraId="7BF65C2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1,13</w:t>
            </w:r>
            <w:r>
              <w:rPr>
                <w:spacing w:val="-5"/>
              </w:rPr>
              <w:t xml:space="preserve"> </w:t>
            </w:r>
            <w:r>
              <w:t>(0,89,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1,42)</w:t>
            </w:r>
          </w:p>
        </w:tc>
        <w:tc>
          <w:tcPr>
            <w:tcW w:w="2333" w:type="dxa"/>
          </w:tcPr>
          <w:p w14:paraId="3539AAE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0,76</w:t>
            </w:r>
            <w:r>
              <w:rPr>
                <w:spacing w:val="-5"/>
              </w:rPr>
              <w:t xml:space="preserve"> </w:t>
            </w:r>
            <w:r>
              <w:t>(0,59,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0,98)</w:t>
            </w:r>
          </w:p>
        </w:tc>
        <w:tc>
          <w:tcPr>
            <w:tcW w:w="1961" w:type="dxa"/>
          </w:tcPr>
          <w:p w14:paraId="005ECB1F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103A9EC6" w14:textId="77777777" w:rsidTr="008F5A8D">
        <w:trPr>
          <w:trHeight w:val="251"/>
        </w:trPr>
        <w:tc>
          <w:tcPr>
            <w:tcW w:w="2434" w:type="dxa"/>
          </w:tcPr>
          <w:p w14:paraId="3FCC941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</w:tc>
        <w:tc>
          <w:tcPr>
            <w:tcW w:w="2333" w:type="dxa"/>
          </w:tcPr>
          <w:p w14:paraId="2659C42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0,3138</w:t>
            </w:r>
          </w:p>
        </w:tc>
        <w:tc>
          <w:tcPr>
            <w:tcW w:w="2333" w:type="dxa"/>
          </w:tcPr>
          <w:p w14:paraId="5CC6831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0,0351</w:t>
            </w:r>
          </w:p>
        </w:tc>
        <w:tc>
          <w:tcPr>
            <w:tcW w:w="1961" w:type="dxa"/>
          </w:tcPr>
          <w:p w14:paraId="46A0571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1680713" w14:textId="77777777" w:rsidTr="008F5A8D">
        <w:trPr>
          <w:trHeight w:val="253"/>
        </w:trPr>
        <w:tc>
          <w:tcPr>
            <w:tcW w:w="2434" w:type="dxa"/>
          </w:tcPr>
          <w:p w14:paraId="33E9BDF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Haemorrhagiás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stroke</w:t>
            </w:r>
          </w:p>
        </w:tc>
        <w:tc>
          <w:tcPr>
            <w:tcW w:w="2333" w:type="dxa"/>
          </w:tcPr>
          <w:p w14:paraId="292A654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333" w:type="dxa"/>
          </w:tcPr>
          <w:p w14:paraId="5A7B605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61" w:type="dxa"/>
          </w:tcPr>
          <w:p w14:paraId="4A2C528F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7F16565" w14:textId="77777777" w:rsidTr="008F5A8D">
        <w:trPr>
          <w:trHeight w:val="251"/>
        </w:trPr>
        <w:tc>
          <w:tcPr>
            <w:tcW w:w="2434" w:type="dxa"/>
          </w:tcPr>
          <w:p w14:paraId="2EE4368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33" w:type="dxa"/>
          </w:tcPr>
          <w:p w14:paraId="040D801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14</w:t>
            </w:r>
            <w:r>
              <w:rPr>
                <w:spacing w:val="-2"/>
              </w:rPr>
              <w:t xml:space="preserve"> (0,12)</w:t>
            </w:r>
          </w:p>
        </w:tc>
        <w:tc>
          <w:tcPr>
            <w:tcW w:w="2333" w:type="dxa"/>
          </w:tcPr>
          <w:p w14:paraId="14F8978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12</w:t>
            </w:r>
            <w:r>
              <w:rPr>
                <w:spacing w:val="-2"/>
              </w:rPr>
              <w:t xml:space="preserve"> (0,10)</w:t>
            </w:r>
          </w:p>
        </w:tc>
        <w:tc>
          <w:tcPr>
            <w:tcW w:w="1961" w:type="dxa"/>
          </w:tcPr>
          <w:p w14:paraId="1FDACCD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45</w:t>
            </w:r>
            <w:r>
              <w:rPr>
                <w:spacing w:val="-2"/>
              </w:rPr>
              <w:t xml:space="preserve"> (0,38)</w:t>
            </w:r>
          </w:p>
        </w:tc>
      </w:tr>
      <w:tr w:rsidR="00945359" w14:paraId="09B6E762" w14:textId="77777777" w:rsidTr="008F5A8D">
        <w:trPr>
          <w:trHeight w:val="1012"/>
        </w:trPr>
        <w:tc>
          <w:tcPr>
            <w:tcW w:w="2434" w:type="dxa"/>
          </w:tcPr>
          <w:p w14:paraId="72CB8EE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063560F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33" w:type="dxa"/>
          </w:tcPr>
          <w:p w14:paraId="48D6077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0,31</w:t>
            </w:r>
            <w:r>
              <w:rPr>
                <w:spacing w:val="-5"/>
              </w:rPr>
              <w:t xml:space="preserve"> </w:t>
            </w:r>
            <w:r>
              <w:t>(0,17,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0,56)</w:t>
            </w:r>
          </w:p>
        </w:tc>
        <w:tc>
          <w:tcPr>
            <w:tcW w:w="2333" w:type="dxa"/>
          </w:tcPr>
          <w:p w14:paraId="55E89C3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0,26</w:t>
            </w:r>
            <w:r>
              <w:rPr>
                <w:spacing w:val="-5"/>
              </w:rPr>
              <w:t xml:space="preserve"> </w:t>
            </w:r>
            <w:r>
              <w:t>(0,14,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0,49)</w:t>
            </w:r>
          </w:p>
        </w:tc>
        <w:tc>
          <w:tcPr>
            <w:tcW w:w="1961" w:type="dxa"/>
          </w:tcPr>
          <w:p w14:paraId="57BD06B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7FF941E6" w14:textId="77777777" w:rsidTr="008F5A8D">
        <w:trPr>
          <w:trHeight w:val="253"/>
        </w:trPr>
        <w:tc>
          <w:tcPr>
            <w:tcW w:w="2434" w:type="dxa"/>
          </w:tcPr>
          <w:p w14:paraId="48D752B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</w:tc>
        <w:tc>
          <w:tcPr>
            <w:tcW w:w="2333" w:type="dxa"/>
          </w:tcPr>
          <w:p w14:paraId="078D5E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0,0001</w:t>
            </w:r>
          </w:p>
        </w:tc>
        <w:tc>
          <w:tcPr>
            <w:tcW w:w="2333" w:type="dxa"/>
          </w:tcPr>
          <w:p w14:paraId="557F43CC" w14:textId="026374E8" w:rsidR="00945359" w:rsidRDefault="00B95CAF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&lt;</w:t>
            </w:r>
            <w:r w:rsidR="00220A43">
              <w:rPr>
                <w:spacing w:val="-2"/>
              </w:rPr>
              <w:t>0,0001</w:t>
            </w:r>
          </w:p>
        </w:tc>
        <w:tc>
          <w:tcPr>
            <w:tcW w:w="1961" w:type="dxa"/>
          </w:tcPr>
          <w:p w14:paraId="0E58CE9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</w:tbl>
    <w:p w14:paraId="186221B9" w14:textId="66DA48EA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t>%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éves</w:t>
      </w:r>
      <w:r>
        <w:rPr>
          <w:spacing w:val="-5"/>
        </w:rPr>
        <w:t xml:space="preserve"> </w:t>
      </w:r>
      <w:r>
        <w:t>esemény</w:t>
      </w:r>
      <w:r>
        <w:rPr>
          <w:spacing w:val="-5"/>
        </w:rPr>
        <w:t xml:space="preserve"> </w:t>
      </w:r>
      <w:r>
        <w:t>gyakoriságra</w:t>
      </w:r>
      <w:r>
        <w:rPr>
          <w:spacing w:val="-5"/>
        </w:rPr>
        <w:t xml:space="preserve"> </w:t>
      </w:r>
      <w:r>
        <w:rPr>
          <w:spacing w:val="-2"/>
        </w:rPr>
        <w:t>vonatkozik</w:t>
      </w:r>
    </w:p>
    <w:p w14:paraId="435BC733" w14:textId="77777777" w:rsidR="00BC10BA" w:rsidRDefault="00BC10BA" w:rsidP="008F5A8D">
      <w:pPr>
        <w:pStyle w:val="Szvegtrzs"/>
        <w:tabs>
          <w:tab w:val="left" w:pos="567"/>
        </w:tabs>
      </w:pPr>
    </w:p>
    <w:p w14:paraId="307DA248" w14:textId="5EEBFD3D" w:rsidR="00945359" w:rsidRPr="00333EE9" w:rsidRDefault="00A9240D" w:rsidP="008F5A8D">
      <w:r w:rsidRPr="00511F35">
        <w:rPr>
          <w:b/>
        </w:rPr>
        <w:t>24.</w:t>
      </w:r>
      <w:r w:rsidR="00511F35">
        <w:rPr>
          <w:b/>
        </w:rPr>
        <w:t> </w:t>
      </w:r>
      <w:r w:rsidR="00220A43" w:rsidRPr="008F5A8D">
        <w:rPr>
          <w:b/>
        </w:rPr>
        <w:t>táblázat:</w:t>
      </w:r>
      <w:r w:rsidR="00220A43" w:rsidRPr="008F5A8D">
        <w:rPr>
          <w:b/>
          <w:spacing w:val="40"/>
        </w:rPr>
        <w:t xml:space="preserve"> </w:t>
      </w:r>
      <w:r w:rsidR="00220A43" w:rsidRPr="008F5A8D">
        <w:rPr>
          <w:b/>
        </w:rPr>
        <w:t>A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bármely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okú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és</w:t>
      </w:r>
      <w:r w:rsidR="00220A43" w:rsidRPr="008F5A8D">
        <w:rPr>
          <w:b/>
          <w:spacing w:val="-3"/>
        </w:rPr>
        <w:t xml:space="preserve"> </w:t>
      </w:r>
      <w:r w:rsidR="00C92404">
        <w:rPr>
          <w:b/>
        </w:rPr>
        <w:t>cardiovascularis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túlélés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elemzése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a</w:t>
      </w:r>
      <w:r w:rsidR="00220A43" w:rsidRPr="008F5A8D">
        <w:rPr>
          <w:b/>
          <w:spacing w:val="-2"/>
        </w:rPr>
        <w:t xml:space="preserve"> </w:t>
      </w:r>
      <w:r w:rsidR="00220A43" w:rsidRPr="008F5A8D">
        <w:rPr>
          <w:b/>
        </w:rPr>
        <w:t>RE-LY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>vizsgálat</w:t>
      </w:r>
      <w:r w:rsidR="00220A43" w:rsidRPr="008F5A8D">
        <w:rPr>
          <w:b/>
          <w:spacing w:val="-3"/>
        </w:rPr>
        <w:t xml:space="preserve"> </w:t>
      </w:r>
      <w:r w:rsidR="00220A43" w:rsidRPr="008F5A8D">
        <w:rPr>
          <w:b/>
        </w:rPr>
        <w:t xml:space="preserve">vizsgálati </w:t>
      </w:r>
      <w:r w:rsidR="00220A43" w:rsidRPr="008F5A8D">
        <w:rPr>
          <w:b/>
          <w:spacing w:val="-2"/>
        </w:rPr>
        <w:t>periódusában</w:t>
      </w:r>
    </w:p>
    <w:p w14:paraId="5EC76677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434"/>
        <w:gridCol w:w="2333"/>
        <w:gridCol w:w="2333"/>
        <w:gridCol w:w="1961"/>
      </w:tblGrid>
      <w:tr w:rsidR="00945359" w14:paraId="75751A77" w14:textId="77777777" w:rsidTr="008F5A8D">
        <w:trPr>
          <w:trHeight w:val="505"/>
        </w:trPr>
        <w:tc>
          <w:tcPr>
            <w:tcW w:w="2434" w:type="dxa"/>
          </w:tcPr>
          <w:p w14:paraId="22B2D9EB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333" w:type="dxa"/>
          </w:tcPr>
          <w:p w14:paraId="425EDB6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4C1489E9" w14:textId="399FDED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2333" w:type="dxa"/>
          </w:tcPr>
          <w:p w14:paraId="4AFB9B0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3176CD75" w14:textId="3F6E6B2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1961" w:type="dxa"/>
          </w:tcPr>
          <w:p w14:paraId="35B4D5A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</w:tr>
      <w:tr w:rsidR="00945359" w14:paraId="136FD4D7" w14:textId="77777777" w:rsidTr="008F5A8D">
        <w:trPr>
          <w:trHeight w:val="506"/>
        </w:trPr>
        <w:tc>
          <w:tcPr>
            <w:tcW w:w="2434" w:type="dxa"/>
          </w:tcPr>
          <w:p w14:paraId="28854D4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Randomizált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vizsgálati</w:t>
            </w:r>
          </w:p>
          <w:p w14:paraId="1CF274F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személyek</w:t>
            </w:r>
          </w:p>
        </w:tc>
        <w:tc>
          <w:tcPr>
            <w:tcW w:w="2333" w:type="dxa"/>
          </w:tcPr>
          <w:p w14:paraId="1C7EB95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6015</w:t>
            </w:r>
          </w:p>
        </w:tc>
        <w:tc>
          <w:tcPr>
            <w:tcW w:w="2333" w:type="dxa"/>
          </w:tcPr>
          <w:p w14:paraId="449A327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6076</w:t>
            </w:r>
          </w:p>
        </w:tc>
        <w:tc>
          <w:tcPr>
            <w:tcW w:w="1961" w:type="dxa"/>
          </w:tcPr>
          <w:p w14:paraId="6A8F384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6022</w:t>
            </w:r>
          </w:p>
        </w:tc>
      </w:tr>
      <w:tr w:rsidR="00945359" w14:paraId="5684DF51" w14:textId="77777777" w:rsidTr="008F5A8D">
        <w:trPr>
          <w:trHeight w:val="251"/>
        </w:trPr>
        <w:tc>
          <w:tcPr>
            <w:tcW w:w="2434" w:type="dxa"/>
          </w:tcPr>
          <w:p w14:paraId="4445010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Összhalálozás</w:t>
            </w:r>
          </w:p>
        </w:tc>
        <w:tc>
          <w:tcPr>
            <w:tcW w:w="2333" w:type="dxa"/>
          </w:tcPr>
          <w:p w14:paraId="2645BAAB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333" w:type="dxa"/>
          </w:tcPr>
          <w:p w14:paraId="5C170A6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61" w:type="dxa"/>
          </w:tcPr>
          <w:p w14:paraId="7AF650C0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3D3BE333" w14:textId="77777777" w:rsidTr="008F5A8D">
        <w:trPr>
          <w:trHeight w:val="254"/>
        </w:trPr>
        <w:tc>
          <w:tcPr>
            <w:tcW w:w="2434" w:type="dxa"/>
          </w:tcPr>
          <w:p w14:paraId="4278132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33" w:type="dxa"/>
          </w:tcPr>
          <w:p w14:paraId="138361C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446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(3,75)</w:t>
            </w:r>
          </w:p>
        </w:tc>
        <w:tc>
          <w:tcPr>
            <w:tcW w:w="2333" w:type="dxa"/>
          </w:tcPr>
          <w:p w14:paraId="324B32B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438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(3,64)</w:t>
            </w:r>
          </w:p>
        </w:tc>
        <w:tc>
          <w:tcPr>
            <w:tcW w:w="1961" w:type="dxa"/>
          </w:tcPr>
          <w:p w14:paraId="09E5500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487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(4,13)</w:t>
            </w:r>
          </w:p>
        </w:tc>
      </w:tr>
      <w:tr w:rsidR="00945359" w14:paraId="63079046" w14:textId="77777777" w:rsidTr="008F5A8D">
        <w:trPr>
          <w:trHeight w:val="1012"/>
        </w:trPr>
        <w:tc>
          <w:tcPr>
            <w:tcW w:w="2434" w:type="dxa"/>
          </w:tcPr>
          <w:p w14:paraId="3D88006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258375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33" w:type="dxa"/>
          </w:tcPr>
          <w:p w14:paraId="3F4B679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0,91</w:t>
            </w:r>
            <w:r>
              <w:rPr>
                <w:spacing w:val="-5"/>
              </w:rPr>
              <w:t xml:space="preserve"> </w:t>
            </w:r>
            <w:r>
              <w:t>(0,80,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1,03)</w:t>
            </w:r>
          </w:p>
        </w:tc>
        <w:tc>
          <w:tcPr>
            <w:tcW w:w="2333" w:type="dxa"/>
          </w:tcPr>
          <w:p w14:paraId="4AD2843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0,88</w:t>
            </w:r>
            <w:r>
              <w:rPr>
                <w:spacing w:val="-5"/>
              </w:rPr>
              <w:t xml:space="preserve"> </w:t>
            </w:r>
            <w:r>
              <w:t>(0,77,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1,00)</w:t>
            </w:r>
          </w:p>
        </w:tc>
        <w:tc>
          <w:tcPr>
            <w:tcW w:w="1961" w:type="dxa"/>
          </w:tcPr>
          <w:p w14:paraId="09281DB0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0B9B444C" w14:textId="77777777" w:rsidTr="008F5A8D">
        <w:trPr>
          <w:trHeight w:val="251"/>
        </w:trPr>
        <w:tc>
          <w:tcPr>
            <w:tcW w:w="2434" w:type="dxa"/>
          </w:tcPr>
          <w:p w14:paraId="3436B52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</w:tc>
        <w:tc>
          <w:tcPr>
            <w:tcW w:w="2333" w:type="dxa"/>
          </w:tcPr>
          <w:p w14:paraId="31CF9B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0,1308</w:t>
            </w:r>
          </w:p>
        </w:tc>
        <w:tc>
          <w:tcPr>
            <w:tcW w:w="2333" w:type="dxa"/>
          </w:tcPr>
          <w:p w14:paraId="049958D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0,0517</w:t>
            </w:r>
          </w:p>
        </w:tc>
        <w:tc>
          <w:tcPr>
            <w:tcW w:w="1961" w:type="dxa"/>
          </w:tcPr>
          <w:p w14:paraId="09F15D77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AACD466" w14:textId="77777777" w:rsidTr="008F5A8D">
        <w:trPr>
          <w:trHeight w:val="253"/>
        </w:trPr>
        <w:tc>
          <w:tcPr>
            <w:tcW w:w="2434" w:type="dxa"/>
          </w:tcPr>
          <w:p w14:paraId="5E97D593" w14:textId="0A11986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Éreredetű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halálozás</w:t>
            </w:r>
          </w:p>
        </w:tc>
        <w:tc>
          <w:tcPr>
            <w:tcW w:w="2333" w:type="dxa"/>
          </w:tcPr>
          <w:p w14:paraId="01E94A90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2333" w:type="dxa"/>
          </w:tcPr>
          <w:p w14:paraId="6DDE27D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61" w:type="dxa"/>
          </w:tcPr>
          <w:p w14:paraId="7EAB3F6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D20B788" w14:textId="77777777" w:rsidTr="008F5A8D">
        <w:trPr>
          <w:trHeight w:val="251"/>
        </w:trPr>
        <w:tc>
          <w:tcPr>
            <w:tcW w:w="2434" w:type="dxa"/>
          </w:tcPr>
          <w:p w14:paraId="235D0F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Incidencia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333" w:type="dxa"/>
          </w:tcPr>
          <w:p w14:paraId="4429193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289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(2,43)</w:t>
            </w:r>
          </w:p>
        </w:tc>
        <w:tc>
          <w:tcPr>
            <w:tcW w:w="2333" w:type="dxa"/>
          </w:tcPr>
          <w:p w14:paraId="77B919C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274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(2,28)</w:t>
            </w:r>
          </w:p>
        </w:tc>
        <w:tc>
          <w:tcPr>
            <w:tcW w:w="1961" w:type="dxa"/>
          </w:tcPr>
          <w:p w14:paraId="131F26D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317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(2,69)</w:t>
            </w:r>
          </w:p>
        </w:tc>
      </w:tr>
      <w:tr w:rsidR="00945359" w14:paraId="4E2723D8" w14:textId="77777777" w:rsidTr="008F5A8D">
        <w:trPr>
          <w:trHeight w:val="1012"/>
        </w:trPr>
        <w:tc>
          <w:tcPr>
            <w:tcW w:w="2434" w:type="dxa"/>
          </w:tcPr>
          <w:p w14:paraId="5B2D98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 hazárd (hazard ratio) a warfarinhoz</w:t>
            </w:r>
            <w:r>
              <w:rPr>
                <w:spacing w:val="-14"/>
              </w:rPr>
              <w:t xml:space="preserve"> </w:t>
            </w:r>
            <w:r>
              <w:t>képest</w:t>
            </w:r>
          </w:p>
          <w:p w14:paraId="7F34B4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CI)</w:t>
            </w:r>
          </w:p>
        </w:tc>
        <w:tc>
          <w:tcPr>
            <w:tcW w:w="2333" w:type="dxa"/>
          </w:tcPr>
          <w:p w14:paraId="23FA492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0,90</w:t>
            </w:r>
            <w:r>
              <w:rPr>
                <w:spacing w:val="-5"/>
              </w:rPr>
              <w:t xml:space="preserve"> </w:t>
            </w:r>
            <w:r>
              <w:t>(0,77,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1,06)</w:t>
            </w:r>
          </w:p>
        </w:tc>
        <w:tc>
          <w:tcPr>
            <w:tcW w:w="2333" w:type="dxa"/>
          </w:tcPr>
          <w:p w14:paraId="53D661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0,85</w:t>
            </w:r>
            <w:r>
              <w:rPr>
                <w:spacing w:val="-5"/>
              </w:rPr>
              <w:t xml:space="preserve"> </w:t>
            </w:r>
            <w:r>
              <w:t>(0,72,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0,99)</w:t>
            </w:r>
          </w:p>
        </w:tc>
        <w:tc>
          <w:tcPr>
            <w:tcW w:w="1961" w:type="dxa"/>
          </w:tcPr>
          <w:p w14:paraId="6268162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7D5A6C36" w14:textId="77777777" w:rsidTr="008F5A8D">
        <w:trPr>
          <w:trHeight w:val="253"/>
        </w:trPr>
        <w:tc>
          <w:tcPr>
            <w:tcW w:w="2434" w:type="dxa"/>
          </w:tcPr>
          <w:p w14:paraId="4E97067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p-érték</w:t>
            </w:r>
          </w:p>
        </w:tc>
        <w:tc>
          <w:tcPr>
            <w:tcW w:w="2333" w:type="dxa"/>
          </w:tcPr>
          <w:p w14:paraId="12DFB36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0,2081</w:t>
            </w:r>
          </w:p>
        </w:tc>
        <w:tc>
          <w:tcPr>
            <w:tcW w:w="2333" w:type="dxa"/>
          </w:tcPr>
          <w:p w14:paraId="2AF2951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0,0430</w:t>
            </w:r>
          </w:p>
        </w:tc>
        <w:tc>
          <w:tcPr>
            <w:tcW w:w="1961" w:type="dxa"/>
          </w:tcPr>
          <w:p w14:paraId="374F6EC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</w:tbl>
    <w:p w14:paraId="10F6473C" w14:textId="08AB8B38" w:rsidR="00945359" w:rsidRDefault="00220A43" w:rsidP="008F5A8D">
      <w:pPr>
        <w:pStyle w:val="Szvegtrzs"/>
        <w:tabs>
          <w:tab w:val="left" w:pos="567"/>
        </w:tabs>
        <w:rPr>
          <w:spacing w:val="-2"/>
        </w:rPr>
      </w:pPr>
      <w:r>
        <w:t>%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éves</w:t>
      </w:r>
      <w:r>
        <w:rPr>
          <w:spacing w:val="-5"/>
        </w:rPr>
        <w:t xml:space="preserve"> </w:t>
      </w:r>
      <w:r>
        <w:t>esemény</w:t>
      </w:r>
      <w:r>
        <w:rPr>
          <w:spacing w:val="-5"/>
        </w:rPr>
        <w:t xml:space="preserve"> </w:t>
      </w:r>
      <w:r>
        <w:t>gyakoriságra</w:t>
      </w:r>
      <w:r>
        <w:rPr>
          <w:spacing w:val="-5"/>
        </w:rPr>
        <w:t xml:space="preserve"> </w:t>
      </w:r>
      <w:r>
        <w:rPr>
          <w:spacing w:val="-2"/>
        </w:rPr>
        <w:t>vonatkozik.</w:t>
      </w:r>
    </w:p>
    <w:p w14:paraId="3808879C" w14:textId="77777777" w:rsidR="00C92404" w:rsidRDefault="00C92404" w:rsidP="008F5A8D">
      <w:pPr>
        <w:pStyle w:val="Szvegtrzs"/>
        <w:tabs>
          <w:tab w:val="left" w:pos="567"/>
        </w:tabs>
      </w:pPr>
    </w:p>
    <w:p w14:paraId="531786C3" w14:textId="27048B98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8"/>
        </w:rPr>
        <w:t xml:space="preserve"> </w:t>
      </w:r>
      <w:r>
        <w:t>25</w:t>
      </w:r>
      <w:r w:rsidR="00C92404">
        <w:t>–</w:t>
      </w:r>
      <w:r>
        <w:t>26.</w:t>
      </w:r>
      <w:r w:rsidR="00B95CAF">
        <w:rPr>
          <w:spacing w:val="-7"/>
        </w:rPr>
        <w:t> táblázat</w:t>
      </w:r>
      <w:r>
        <w:rPr>
          <w:spacing w:val="-7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elsődleges</w:t>
      </w:r>
      <w:r>
        <w:rPr>
          <w:spacing w:val="-7"/>
        </w:rPr>
        <w:t xml:space="preserve"> </w:t>
      </w:r>
      <w:r>
        <w:t>hatásossági</w:t>
      </w:r>
      <w:r>
        <w:rPr>
          <w:spacing w:val="-8"/>
        </w:rPr>
        <w:t xml:space="preserve"> </w:t>
      </w:r>
      <w:r>
        <w:t>és</w:t>
      </w:r>
      <w:r>
        <w:rPr>
          <w:spacing w:val="-7"/>
        </w:rPr>
        <w:t xml:space="preserve"> </w:t>
      </w:r>
      <w:r>
        <w:t>biztonságossági</w:t>
      </w:r>
      <w:r>
        <w:rPr>
          <w:spacing w:val="-8"/>
        </w:rPr>
        <w:t xml:space="preserve"> </w:t>
      </w:r>
      <w:r>
        <w:t>végpont</w:t>
      </w:r>
      <w:r>
        <w:rPr>
          <w:spacing w:val="-7"/>
        </w:rPr>
        <w:t xml:space="preserve"> </w:t>
      </w:r>
      <w:r>
        <w:t>eredményeit</w:t>
      </w:r>
      <w:r>
        <w:rPr>
          <w:spacing w:val="-7"/>
        </w:rPr>
        <w:t xml:space="preserve"> </w:t>
      </w:r>
      <w:r>
        <w:rPr>
          <w:spacing w:val="-2"/>
        </w:rPr>
        <w:t>mutatj</w:t>
      </w:r>
      <w:r w:rsidR="00C92404">
        <w:rPr>
          <w:spacing w:val="-2"/>
        </w:rPr>
        <w:t>a.</w:t>
      </w:r>
    </w:p>
    <w:p w14:paraId="4899C8FF" w14:textId="77777777" w:rsidR="00945359" w:rsidRDefault="00945359" w:rsidP="008F5A8D">
      <w:pPr>
        <w:pStyle w:val="Szvegtrzs"/>
        <w:tabs>
          <w:tab w:val="left" w:pos="567"/>
        </w:tabs>
      </w:pPr>
    </w:p>
    <w:p w14:paraId="4EC0B687" w14:textId="77777777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elsődleges</w:t>
      </w:r>
      <w:r>
        <w:rPr>
          <w:spacing w:val="-3"/>
        </w:rPr>
        <w:t xml:space="preserve"> </w:t>
      </w:r>
      <w:r>
        <w:t>végpont,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stroke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szisztémás</w:t>
      </w:r>
      <w:r>
        <w:rPr>
          <w:spacing w:val="-3"/>
        </w:rPr>
        <w:t xml:space="preserve"> </w:t>
      </w:r>
      <w:r>
        <w:t>embolizáció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találtak</w:t>
      </w:r>
      <w:r>
        <w:rPr>
          <w:spacing w:val="-3"/>
        </w:rPr>
        <w:t xml:space="preserve"> </w:t>
      </w:r>
      <w:r>
        <w:t>alcsoportonként</w:t>
      </w:r>
      <w:r>
        <w:rPr>
          <w:spacing w:val="-3"/>
        </w:rPr>
        <w:t xml:space="preserve"> </w:t>
      </w:r>
      <w:r>
        <w:t>(pl. életkor,</w:t>
      </w:r>
      <w:r>
        <w:rPr>
          <w:spacing w:val="-3"/>
        </w:rPr>
        <w:t xml:space="preserve"> </w:t>
      </w:r>
      <w:r>
        <w:t>testtömeg,</w:t>
      </w:r>
      <w:r>
        <w:rPr>
          <w:spacing w:val="-3"/>
        </w:rPr>
        <w:t xml:space="preserve"> </w:t>
      </w:r>
      <w:r>
        <w:t>nem,</w:t>
      </w:r>
      <w:r>
        <w:rPr>
          <w:spacing w:val="-3"/>
        </w:rPr>
        <w:t xml:space="preserve"> </w:t>
      </w:r>
      <w:r>
        <w:t>vesefunckió,</w:t>
      </w:r>
      <w:r>
        <w:rPr>
          <w:spacing w:val="-3"/>
        </w:rPr>
        <w:t xml:space="preserve"> </w:t>
      </w:r>
      <w:r>
        <w:t>etnikai</w:t>
      </w:r>
      <w:r>
        <w:rPr>
          <w:spacing w:val="-3"/>
        </w:rPr>
        <w:t xml:space="preserve"> </w:t>
      </w:r>
      <w:r>
        <w:t>származás,</w:t>
      </w:r>
      <w:r>
        <w:rPr>
          <w:spacing w:val="-3"/>
        </w:rPr>
        <w:t xml:space="preserve"> </w:t>
      </w:r>
      <w:r>
        <w:t>stb.)</w:t>
      </w:r>
      <w:r>
        <w:rPr>
          <w:spacing w:val="-3"/>
        </w:rPr>
        <w:t xml:space="preserve"> </w:t>
      </w:r>
      <w:r>
        <w:t>eltérő</w:t>
      </w:r>
      <w:r>
        <w:rPr>
          <w:spacing w:val="-3"/>
        </w:rPr>
        <w:t xml:space="preserve"> </w:t>
      </w:r>
      <w:r>
        <w:t>relatív</w:t>
      </w:r>
      <w:r>
        <w:rPr>
          <w:spacing w:val="-3"/>
        </w:rPr>
        <w:t xml:space="preserve"> </w:t>
      </w:r>
      <w:r>
        <w:t>hazárdokat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 xml:space="preserve">warfarinhoz </w:t>
      </w:r>
      <w:r>
        <w:rPr>
          <w:spacing w:val="-2"/>
        </w:rPr>
        <w:t>hasonlítva.</w:t>
      </w:r>
    </w:p>
    <w:p w14:paraId="1FC0F80E" w14:textId="77777777" w:rsidR="00A9240D" w:rsidRDefault="00A9240D" w:rsidP="008F5A8D">
      <w:pPr>
        <w:pStyle w:val="Szvegtrzs"/>
        <w:tabs>
          <w:tab w:val="left" w:pos="567"/>
        </w:tabs>
      </w:pPr>
    </w:p>
    <w:p w14:paraId="4536B581" w14:textId="746C20BB" w:rsidR="00945359" w:rsidRPr="00511F35" w:rsidRDefault="00A9240D" w:rsidP="008F5A8D">
      <w:r w:rsidRPr="00511F35">
        <w:rPr>
          <w:b/>
          <w:spacing w:val="-2"/>
        </w:rPr>
        <w:t>25</w:t>
      </w:r>
      <w:r w:rsidR="00511F35">
        <w:rPr>
          <w:b/>
          <w:spacing w:val="-2"/>
        </w:rPr>
        <w:t>. </w:t>
      </w:r>
      <w:r w:rsidR="00220A43" w:rsidRPr="00511F35">
        <w:rPr>
          <w:b/>
          <w:spacing w:val="-2"/>
        </w:rPr>
        <w:t>táblázat:</w:t>
      </w:r>
      <w:r w:rsidRPr="00511F35">
        <w:rPr>
          <w:b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stroke/szisztémás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embolizáció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relatív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hazárd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95%</w:t>
      </w:r>
      <w:r w:rsidR="00220A43" w:rsidRPr="00511F35">
        <w:rPr>
          <w:b/>
          <w:spacing w:val="-8"/>
        </w:rPr>
        <w:t xml:space="preserve"> </w:t>
      </w:r>
      <w:r w:rsidR="00220A43" w:rsidRPr="00511F35">
        <w:rPr>
          <w:b/>
        </w:rPr>
        <w:t>CI</w:t>
      </w:r>
      <w:r w:rsidR="00220A43" w:rsidRPr="00511F35">
        <w:rPr>
          <w:b/>
          <w:spacing w:val="-7"/>
        </w:rPr>
        <w:t xml:space="preserve"> </w:t>
      </w:r>
      <w:r w:rsidR="00220A43" w:rsidRPr="00511F35">
        <w:rPr>
          <w:b/>
        </w:rPr>
        <w:t>alcsoportok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  <w:spacing w:val="-2"/>
        </w:rPr>
        <w:t>szerint</w:t>
      </w:r>
    </w:p>
    <w:p w14:paraId="5EDE00B6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779"/>
        <w:gridCol w:w="3141"/>
        <w:gridCol w:w="3139"/>
      </w:tblGrid>
      <w:tr w:rsidR="00945359" w14:paraId="5E2C2AE3" w14:textId="77777777" w:rsidTr="008F5A8D">
        <w:trPr>
          <w:trHeight w:val="758"/>
        </w:trPr>
        <w:tc>
          <w:tcPr>
            <w:tcW w:w="2779" w:type="dxa"/>
          </w:tcPr>
          <w:p w14:paraId="05CE20B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Végpont</w:t>
            </w:r>
          </w:p>
        </w:tc>
        <w:tc>
          <w:tcPr>
            <w:tcW w:w="3141" w:type="dxa"/>
          </w:tcPr>
          <w:p w14:paraId="4FC98A6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01CEA826" w14:textId="536445A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rPr>
                <w:spacing w:val="-9"/>
              </w:rPr>
              <w:t> mg</w:t>
            </w:r>
            <w:r>
              <w:rPr>
                <w:spacing w:val="-10"/>
              </w:rPr>
              <w:t xml:space="preserve"> </w:t>
            </w:r>
            <w:r>
              <w:t>napi</w:t>
            </w:r>
            <w:r>
              <w:rPr>
                <w:spacing w:val="-10"/>
              </w:rPr>
              <w:t xml:space="preserve"> </w:t>
            </w:r>
            <w:r>
              <w:t>kétszer</w:t>
            </w:r>
            <w:r>
              <w:rPr>
                <w:spacing w:val="-10"/>
              </w:rPr>
              <w:t xml:space="preserve"> </w:t>
            </w:r>
            <w:r w:rsidRPr="004F4A3C">
              <w:rPr>
                <w:i/>
                <w:iCs/>
              </w:rPr>
              <w:t>vs.</w:t>
            </w:r>
            <w:r>
              <w:t xml:space="preserve"> </w:t>
            </w:r>
            <w:r w:rsidR="00C92404">
              <w:rPr>
                <w:spacing w:val="-2"/>
              </w:rPr>
              <w:t>w</w:t>
            </w:r>
            <w:r>
              <w:rPr>
                <w:spacing w:val="-2"/>
              </w:rPr>
              <w:t>arfarin</w:t>
            </w:r>
          </w:p>
        </w:tc>
        <w:tc>
          <w:tcPr>
            <w:tcW w:w="3139" w:type="dxa"/>
          </w:tcPr>
          <w:p w14:paraId="7015656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7FE06268" w14:textId="5DE142A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9"/>
              </w:rPr>
              <w:t> mg</w:t>
            </w:r>
            <w:r>
              <w:rPr>
                <w:spacing w:val="-9"/>
              </w:rPr>
              <w:t xml:space="preserve"> </w:t>
            </w:r>
            <w:r>
              <w:t>napi</w:t>
            </w:r>
            <w:r>
              <w:rPr>
                <w:spacing w:val="-9"/>
              </w:rPr>
              <w:t xml:space="preserve"> </w:t>
            </w:r>
            <w:r>
              <w:t>kétszer</w:t>
            </w:r>
            <w:r>
              <w:rPr>
                <w:spacing w:val="-9"/>
              </w:rPr>
              <w:t xml:space="preserve"> </w:t>
            </w:r>
            <w:r w:rsidRPr="004F4A3C">
              <w:rPr>
                <w:i/>
                <w:iCs/>
              </w:rPr>
              <w:t xml:space="preserve">vs. </w:t>
            </w:r>
            <w:r w:rsidR="00C92404">
              <w:rPr>
                <w:spacing w:val="-2"/>
              </w:rPr>
              <w:t>w</w:t>
            </w:r>
            <w:r>
              <w:rPr>
                <w:spacing w:val="-2"/>
              </w:rPr>
              <w:t>arfarin</w:t>
            </w:r>
          </w:p>
        </w:tc>
      </w:tr>
      <w:tr w:rsidR="00945359" w14:paraId="27C8FA8C" w14:textId="77777777" w:rsidTr="008F5A8D">
        <w:trPr>
          <w:trHeight w:val="253"/>
        </w:trPr>
        <w:tc>
          <w:tcPr>
            <w:tcW w:w="2779" w:type="dxa"/>
          </w:tcPr>
          <w:p w14:paraId="5F76311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Életkor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(év)</w:t>
            </w:r>
          </w:p>
        </w:tc>
        <w:tc>
          <w:tcPr>
            <w:tcW w:w="3141" w:type="dxa"/>
          </w:tcPr>
          <w:p w14:paraId="5446050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3139" w:type="dxa"/>
          </w:tcPr>
          <w:p w14:paraId="1D3C27A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5503494" w14:textId="77777777" w:rsidTr="008F5A8D">
        <w:trPr>
          <w:trHeight w:val="253"/>
        </w:trPr>
        <w:tc>
          <w:tcPr>
            <w:tcW w:w="2779" w:type="dxa"/>
          </w:tcPr>
          <w:p w14:paraId="64408308" w14:textId="25C79E39" w:rsidR="00945359" w:rsidRDefault="00B95CAF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lastRenderedPageBreak/>
              <w:t>&lt;</w:t>
            </w:r>
            <w:r w:rsidR="00220A43">
              <w:rPr>
                <w:spacing w:val="-5"/>
              </w:rPr>
              <w:t>65</w:t>
            </w:r>
          </w:p>
        </w:tc>
        <w:tc>
          <w:tcPr>
            <w:tcW w:w="3141" w:type="dxa"/>
          </w:tcPr>
          <w:p w14:paraId="19EFB04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1,10</w:t>
            </w:r>
            <w:r>
              <w:rPr>
                <w:spacing w:val="-5"/>
              </w:rPr>
              <w:t xml:space="preserve"> </w:t>
            </w:r>
            <w:r>
              <w:t>(0,64,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1,87)</w:t>
            </w:r>
          </w:p>
        </w:tc>
        <w:tc>
          <w:tcPr>
            <w:tcW w:w="3139" w:type="dxa"/>
          </w:tcPr>
          <w:p w14:paraId="1B49B27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0,51</w:t>
            </w:r>
            <w:r>
              <w:rPr>
                <w:spacing w:val="-5"/>
              </w:rPr>
              <w:t xml:space="preserve"> </w:t>
            </w:r>
            <w:r>
              <w:t>(0,26,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0,98)</w:t>
            </w:r>
          </w:p>
        </w:tc>
      </w:tr>
      <w:tr w:rsidR="00945359" w14:paraId="684FF995" w14:textId="77777777" w:rsidTr="008F5A8D">
        <w:trPr>
          <w:trHeight w:val="251"/>
        </w:trPr>
        <w:tc>
          <w:tcPr>
            <w:tcW w:w="2779" w:type="dxa"/>
          </w:tcPr>
          <w:p w14:paraId="20FDF832" w14:textId="05B6815C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65≤ és</w:t>
            </w:r>
            <w:r>
              <w:rPr>
                <w:spacing w:val="-1"/>
              </w:rPr>
              <w:t xml:space="preserve"> </w:t>
            </w:r>
            <w:r w:rsidR="00B95CAF">
              <w:t>&lt;</w:t>
            </w:r>
            <w:r>
              <w:rPr>
                <w:spacing w:val="-7"/>
              </w:rPr>
              <w:t>75</w:t>
            </w:r>
          </w:p>
        </w:tc>
        <w:tc>
          <w:tcPr>
            <w:tcW w:w="3141" w:type="dxa"/>
          </w:tcPr>
          <w:p w14:paraId="4A27555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0,86</w:t>
            </w:r>
            <w:r>
              <w:rPr>
                <w:spacing w:val="-5"/>
              </w:rPr>
              <w:t xml:space="preserve"> </w:t>
            </w:r>
            <w:r>
              <w:t>(0,62,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1,19)</w:t>
            </w:r>
          </w:p>
        </w:tc>
        <w:tc>
          <w:tcPr>
            <w:tcW w:w="3139" w:type="dxa"/>
          </w:tcPr>
          <w:p w14:paraId="6201561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0,67</w:t>
            </w:r>
            <w:r>
              <w:rPr>
                <w:spacing w:val="-5"/>
              </w:rPr>
              <w:t xml:space="preserve"> </w:t>
            </w:r>
            <w:r>
              <w:t>(0,47,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0,95)</w:t>
            </w:r>
          </w:p>
        </w:tc>
      </w:tr>
      <w:tr w:rsidR="00945359" w14:paraId="4857915B" w14:textId="77777777" w:rsidTr="008F5A8D">
        <w:trPr>
          <w:trHeight w:val="254"/>
        </w:trPr>
        <w:tc>
          <w:tcPr>
            <w:tcW w:w="2779" w:type="dxa"/>
          </w:tcPr>
          <w:p w14:paraId="5F26AB6F" w14:textId="5BEF5084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75</w:t>
            </w:r>
          </w:p>
        </w:tc>
        <w:tc>
          <w:tcPr>
            <w:tcW w:w="3141" w:type="dxa"/>
          </w:tcPr>
          <w:p w14:paraId="698BA72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0,88</w:t>
            </w:r>
            <w:r>
              <w:rPr>
                <w:spacing w:val="-5"/>
              </w:rPr>
              <w:t xml:space="preserve"> </w:t>
            </w:r>
            <w:r>
              <w:t>(0,66,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1,17)</w:t>
            </w:r>
          </w:p>
        </w:tc>
        <w:tc>
          <w:tcPr>
            <w:tcW w:w="3139" w:type="dxa"/>
          </w:tcPr>
          <w:p w14:paraId="2D98573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0,68</w:t>
            </w:r>
            <w:r>
              <w:rPr>
                <w:spacing w:val="-5"/>
              </w:rPr>
              <w:t xml:space="preserve"> </w:t>
            </w:r>
            <w:r>
              <w:t>(0,50,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0,92)</w:t>
            </w:r>
          </w:p>
        </w:tc>
      </w:tr>
      <w:tr w:rsidR="00945359" w14:paraId="6A51680F" w14:textId="77777777" w:rsidTr="008F5A8D">
        <w:trPr>
          <w:trHeight w:val="251"/>
        </w:trPr>
        <w:tc>
          <w:tcPr>
            <w:tcW w:w="2779" w:type="dxa"/>
          </w:tcPr>
          <w:p w14:paraId="627033DC" w14:textId="5E56E296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3141" w:type="dxa"/>
          </w:tcPr>
          <w:p w14:paraId="05827D0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0,68</w:t>
            </w:r>
            <w:r>
              <w:rPr>
                <w:spacing w:val="-5"/>
              </w:rPr>
              <w:t xml:space="preserve"> </w:t>
            </w:r>
            <w:r>
              <w:t>(0,44,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1,05)</w:t>
            </w:r>
          </w:p>
        </w:tc>
        <w:tc>
          <w:tcPr>
            <w:tcW w:w="3139" w:type="dxa"/>
          </w:tcPr>
          <w:p w14:paraId="7A0343E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0,67</w:t>
            </w:r>
            <w:r>
              <w:rPr>
                <w:spacing w:val="-3"/>
              </w:rPr>
              <w:t xml:space="preserve"> </w:t>
            </w:r>
            <w:r>
              <w:t>(0,44,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1,02)</w:t>
            </w:r>
          </w:p>
        </w:tc>
      </w:tr>
      <w:tr w:rsidR="00945359" w14:paraId="5582BE3F" w14:textId="77777777" w:rsidTr="008F5A8D">
        <w:trPr>
          <w:trHeight w:val="253"/>
        </w:trPr>
        <w:tc>
          <w:tcPr>
            <w:tcW w:w="2779" w:type="dxa"/>
          </w:tcPr>
          <w:p w14:paraId="5011F19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CrCl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(ml/perc)</w:t>
            </w:r>
          </w:p>
        </w:tc>
        <w:tc>
          <w:tcPr>
            <w:tcW w:w="3141" w:type="dxa"/>
          </w:tcPr>
          <w:p w14:paraId="5B6F495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3139" w:type="dxa"/>
          </w:tcPr>
          <w:p w14:paraId="575E3E24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A46BFB6" w14:textId="77777777" w:rsidTr="008F5A8D">
        <w:trPr>
          <w:trHeight w:val="251"/>
        </w:trPr>
        <w:tc>
          <w:tcPr>
            <w:tcW w:w="2779" w:type="dxa"/>
          </w:tcPr>
          <w:p w14:paraId="13C9688E" w14:textId="09E8CB0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30≤ és</w:t>
            </w:r>
            <w:r>
              <w:rPr>
                <w:spacing w:val="-1"/>
              </w:rPr>
              <w:t xml:space="preserve"> </w:t>
            </w:r>
            <w:r w:rsidR="00B95CAF">
              <w:t>&lt;</w:t>
            </w:r>
            <w:r>
              <w:rPr>
                <w:spacing w:val="-7"/>
              </w:rPr>
              <w:t>50</w:t>
            </w:r>
          </w:p>
        </w:tc>
        <w:tc>
          <w:tcPr>
            <w:tcW w:w="3141" w:type="dxa"/>
          </w:tcPr>
          <w:p w14:paraId="30BCD81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0,89</w:t>
            </w:r>
            <w:r>
              <w:rPr>
                <w:spacing w:val="-5"/>
              </w:rPr>
              <w:t xml:space="preserve"> </w:t>
            </w:r>
            <w:r>
              <w:t>(0,61,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1,31)</w:t>
            </w:r>
          </w:p>
        </w:tc>
        <w:tc>
          <w:tcPr>
            <w:tcW w:w="3139" w:type="dxa"/>
          </w:tcPr>
          <w:p w14:paraId="57BBCA2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0,48</w:t>
            </w:r>
            <w:r>
              <w:rPr>
                <w:spacing w:val="-2"/>
              </w:rPr>
              <w:t xml:space="preserve"> </w:t>
            </w:r>
            <w:r>
              <w:t>(0,31,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0,76)</w:t>
            </w:r>
          </w:p>
        </w:tc>
      </w:tr>
      <w:tr w:rsidR="00945359" w14:paraId="7DD60035" w14:textId="77777777" w:rsidTr="008F5A8D">
        <w:trPr>
          <w:trHeight w:val="253"/>
        </w:trPr>
        <w:tc>
          <w:tcPr>
            <w:tcW w:w="2779" w:type="dxa"/>
          </w:tcPr>
          <w:p w14:paraId="673593E3" w14:textId="0AC4212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50≤ és</w:t>
            </w:r>
            <w:r>
              <w:rPr>
                <w:spacing w:val="-1"/>
              </w:rPr>
              <w:t xml:space="preserve"> </w:t>
            </w:r>
            <w:r w:rsidR="00B95CAF">
              <w:t>&lt;</w:t>
            </w:r>
            <w:r>
              <w:rPr>
                <w:spacing w:val="-7"/>
              </w:rPr>
              <w:t>80</w:t>
            </w:r>
          </w:p>
        </w:tc>
        <w:tc>
          <w:tcPr>
            <w:tcW w:w="3141" w:type="dxa"/>
          </w:tcPr>
          <w:p w14:paraId="0D77657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0,91</w:t>
            </w:r>
            <w:r>
              <w:rPr>
                <w:spacing w:val="-5"/>
              </w:rPr>
              <w:t xml:space="preserve"> </w:t>
            </w:r>
            <w:r>
              <w:t>(0,68,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1,20)</w:t>
            </w:r>
          </w:p>
        </w:tc>
        <w:tc>
          <w:tcPr>
            <w:tcW w:w="3139" w:type="dxa"/>
          </w:tcPr>
          <w:p w14:paraId="387BBB8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0,65</w:t>
            </w:r>
            <w:r>
              <w:rPr>
                <w:spacing w:val="-5"/>
              </w:rPr>
              <w:t xml:space="preserve"> </w:t>
            </w:r>
            <w:r>
              <w:t>(0,47,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0,88)</w:t>
            </w:r>
          </w:p>
        </w:tc>
      </w:tr>
      <w:tr w:rsidR="00945359" w14:paraId="3E5A9904" w14:textId="77777777" w:rsidTr="008F5A8D">
        <w:trPr>
          <w:trHeight w:val="254"/>
        </w:trPr>
        <w:tc>
          <w:tcPr>
            <w:tcW w:w="2779" w:type="dxa"/>
          </w:tcPr>
          <w:p w14:paraId="15D2ED1D" w14:textId="69E8745F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3141" w:type="dxa"/>
          </w:tcPr>
          <w:p w14:paraId="57DF2EC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0,81</w:t>
            </w:r>
            <w:r>
              <w:rPr>
                <w:spacing w:val="-5"/>
              </w:rPr>
              <w:t xml:space="preserve"> </w:t>
            </w:r>
            <w:r>
              <w:t>(0,51,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1,28)</w:t>
            </w:r>
          </w:p>
        </w:tc>
        <w:tc>
          <w:tcPr>
            <w:tcW w:w="3139" w:type="dxa"/>
          </w:tcPr>
          <w:p w14:paraId="281164F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0,69</w:t>
            </w:r>
            <w:r>
              <w:rPr>
                <w:spacing w:val="-5"/>
              </w:rPr>
              <w:t xml:space="preserve"> </w:t>
            </w:r>
            <w:r>
              <w:t>(0,43,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1,12)</w:t>
            </w:r>
          </w:p>
        </w:tc>
      </w:tr>
    </w:tbl>
    <w:p w14:paraId="4269D621" w14:textId="77777777" w:rsidR="00C92404" w:rsidRDefault="00C92404" w:rsidP="0075692F">
      <w:pPr>
        <w:pStyle w:val="Szvegtrzs"/>
        <w:tabs>
          <w:tab w:val="left" w:pos="567"/>
        </w:tabs>
      </w:pPr>
    </w:p>
    <w:p w14:paraId="34AD0705" w14:textId="7FD2D864" w:rsidR="00945359" w:rsidRDefault="00220A43" w:rsidP="0075692F">
      <w:pPr>
        <w:pStyle w:val="Szvegtrzs"/>
        <w:tabs>
          <w:tab w:val="left" w:pos="567"/>
        </w:tabs>
        <w:rPr>
          <w:position w:val="2"/>
        </w:rPr>
      </w:pPr>
      <w:r>
        <w:t>A jelentős vérzés primer biztonság</w:t>
      </w:r>
      <w:r w:rsidR="00C92404">
        <w:t>osság</w:t>
      </w:r>
      <w:r>
        <w:t>i végpontja esetében</w:t>
      </w:r>
      <w:r w:rsidR="004E17CD">
        <w:t xml:space="preserve"> összefüggés</w:t>
      </w:r>
      <w:r>
        <w:t xml:space="preserve"> volt a kezelési hatás és az életkor között.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relatív</w:t>
      </w:r>
      <w:r>
        <w:rPr>
          <w:spacing w:val="-3"/>
        </w:rPr>
        <w:t xml:space="preserve"> </w:t>
      </w:r>
      <w:r>
        <w:t>kockázata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esetében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warfarinhoz</w:t>
      </w:r>
      <w:r>
        <w:rPr>
          <w:spacing w:val="-3"/>
        </w:rPr>
        <w:t xml:space="preserve"> </w:t>
      </w:r>
      <w:r>
        <w:t>viszonyítva</w:t>
      </w:r>
      <w:r>
        <w:rPr>
          <w:spacing w:val="-3"/>
        </w:rPr>
        <w:t xml:space="preserve"> </w:t>
      </w:r>
      <w:r>
        <w:t>nőtt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életkorral.</w:t>
      </w:r>
      <w:r>
        <w:rPr>
          <w:spacing w:val="-3"/>
        </w:rPr>
        <w:t xml:space="preserve"> </w:t>
      </w:r>
      <w:r>
        <w:t>A relatív kockázat a 75</w:t>
      </w:r>
      <w:r w:rsidR="00294835">
        <w:t> év</w:t>
      </w:r>
      <w:r>
        <w:t xml:space="preserve"> feletti betegeknél volt a legnagyobb. Mind a dabigatrán-etexilát, mind a warfarin véralvadásgátló</w:t>
      </w:r>
      <w:r w:rsidR="00C92404">
        <w:t>v</w:t>
      </w:r>
      <w:r>
        <w:t xml:space="preserve">al (ASA vagy klopidogrel) történő egyidejű adása körülbelül megkétszerezte a major vérzések arányát. Nem volt szignifikáns </w:t>
      </w:r>
      <w:r w:rsidR="004E17CD">
        <w:t>összefüggés</w:t>
      </w:r>
      <w:r>
        <w:t xml:space="preserve"> a kezelési hatások és a </w:t>
      </w:r>
      <w:r>
        <w:rPr>
          <w:position w:val="2"/>
        </w:rPr>
        <w:t>veseműködés és CHADS</w:t>
      </w:r>
      <w:r>
        <w:rPr>
          <w:sz w:val="14"/>
        </w:rPr>
        <w:t>2</w:t>
      </w:r>
      <w:r>
        <w:rPr>
          <w:spacing w:val="38"/>
          <w:sz w:val="14"/>
        </w:rPr>
        <w:t xml:space="preserve"> </w:t>
      </w:r>
      <w:r>
        <w:rPr>
          <w:position w:val="2"/>
        </w:rPr>
        <w:t>pontszám alapján létrehozott alcsoportok között.</w:t>
      </w:r>
    </w:p>
    <w:p w14:paraId="69FB35A7" w14:textId="77777777" w:rsidR="00A9240D" w:rsidRDefault="00A9240D" w:rsidP="008F5A8D">
      <w:pPr>
        <w:pStyle w:val="Szvegtrzs"/>
        <w:tabs>
          <w:tab w:val="left" w:pos="567"/>
        </w:tabs>
      </w:pPr>
    </w:p>
    <w:p w14:paraId="4517669F" w14:textId="7377ED6D" w:rsidR="00945359" w:rsidRPr="00333EE9" w:rsidRDefault="00A9240D" w:rsidP="008F5A8D">
      <w:r w:rsidRPr="00511F35">
        <w:rPr>
          <w:b/>
        </w:rPr>
        <w:t>26.</w:t>
      </w:r>
      <w:r w:rsidR="00511F35" w:rsidRPr="00511F35">
        <w:rPr>
          <w:b/>
        </w:rPr>
        <w:t> </w:t>
      </w:r>
      <w:r w:rsidR="00220A43" w:rsidRPr="008F5A8D">
        <w:rPr>
          <w:b/>
        </w:rPr>
        <w:t>táblázat:</w:t>
      </w:r>
      <w:r w:rsidR="00220A43" w:rsidRPr="008F5A8D">
        <w:rPr>
          <w:b/>
          <w:spacing w:val="46"/>
        </w:rPr>
        <w:t xml:space="preserve"> </w:t>
      </w:r>
      <w:r w:rsidR="00220A43" w:rsidRPr="008F5A8D">
        <w:rPr>
          <w:b/>
        </w:rPr>
        <w:t>Jelentős</w:t>
      </w:r>
      <w:r w:rsidR="00220A43" w:rsidRPr="008F5A8D">
        <w:rPr>
          <w:b/>
          <w:spacing w:val="-5"/>
        </w:rPr>
        <w:t xml:space="preserve"> </w:t>
      </w:r>
      <w:r w:rsidR="00220A43" w:rsidRPr="008F5A8D">
        <w:rPr>
          <w:b/>
        </w:rPr>
        <w:t>vérzés</w:t>
      </w:r>
      <w:r w:rsidR="00220A43" w:rsidRPr="008F5A8D">
        <w:rPr>
          <w:b/>
          <w:spacing w:val="-5"/>
        </w:rPr>
        <w:t xml:space="preserve"> </w:t>
      </w:r>
      <w:r w:rsidR="00220A43" w:rsidRPr="008F5A8D">
        <w:rPr>
          <w:b/>
        </w:rPr>
        <w:t>relatív</w:t>
      </w:r>
      <w:r w:rsidR="00220A43" w:rsidRPr="008F5A8D">
        <w:rPr>
          <w:b/>
          <w:spacing w:val="-6"/>
        </w:rPr>
        <w:t xml:space="preserve"> </w:t>
      </w:r>
      <w:r w:rsidR="00220A43" w:rsidRPr="008F5A8D">
        <w:rPr>
          <w:b/>
        </w:rPr>
        <w:t>hazárd</w:t>
      </w:r>
      <w:r w:rsidR="00220A43" w:rsidRPr="008F5A8D">
        <w:rPr>
          <w:b/>
          <w:spacing w:val="-5"/>
        </w:rPr>
        <w:t xml:space="preserve"> </w:t>
      </w:r>
      <w:r w:rsidR="00220A43" w:rsidRPr="008F5A8D">
        <w:rPr>
          <w:b/>
        </w:rPr>
        <w:t>és</w:t>
      </w:r>
      <w:r w:rsidR="00220A43" w:rsidRPr="008F5A8D">
        <w:rPr>
          <w:b/>
          <w:spacing w:val="-6"/>
        </w:rPr>
        <w:t xml:space="preserve"> </w:t>
      </w:r>
      <w:r w:rsidR="00220A43" w:rsidRPr="008F5A8D">
        <w:rPr>
          <w:b/>
        </w:rPr>
        <w:t>95%</w:t>
      </w:r>
      <w:r w:rsidR="00220A43" w:rsidRPr="008F5A8D">
        <w:rPr>
          <w:b/>
          <w:spacing w:val="-7"/>
        </w:rPr>
        <w:t xml:space="preserve"> </w:t>
      </w:r>
      <w:r w:rsidR="00220A43" w:rsidRPr="008F5A8D">
        <w:rPr>
          <w:b/>
        </w:rPr>
        <w:t>CI</w:t>
      </w:r>
      <w:r w:rsidR="00220A43" w:rsidRPr="008F5A8D">
        <w:rPr>
          <w:b/>
          <w:spacing w:val="-5"/>
        </w:rPr>
        <w:t xml:space="preserve"> </w:t>
      </w:r>
      <w:r w:rsidR="00220A43" w:rsidRPr="008F5A8D">
        <w:rPr>
          <w:b/>
        </w:rPr>
        <w:t>alcsoportok</w:t>
      </w:r>
      <w:r w:rsidR="00220A43" w:rsidRPr="008F5A8D">
        <w:rPr>
          <w:b/>
          <w:spacing w:val="-5"/>
        </w:rPr>
        <w:t xml:space="preserve"> </w:t>
      </w:r>
      <w:r w:rsidR="00220A43" w:rsidRPr="008F5A8D">
        <w:rPr>
          <w:b/>
          <w:spacing w:val="-2"/>
        </w:rPr>
        <w:t>szerint</w:t>
      </w:r>
    </w:p>
    <w:p w14:paraId="2DC8A99F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798"/>
        <w:gridCol w:w="3132"/>
        <w:gridCol w:w="3130"/>
      </w:tblGrid>
      <w:tr w:rsidR="00945359" w14:paraId="08685538" w14:textId="77777777" w:rsidTr="008F5A8D">
        <w:trPr>
          <w:trHeight w:val="760"/>
        </w:trPr>
        <w:tc>
          <w:tcPr>
            <w:tcW w:w="2798" w:type="dxa"/>
          </w:tcPr>
          <w:p w14:paraId="061FF3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Végpont</w:t>
            </w:r>
          </w:p>
        </w:tc>
        <w:tc>
          <w:tcPr>
            <w:tcW w:w="3132" w:type="dxa"/>
          </w:tcPr>
          <w:p w14:paraId="12D3450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4E0C04F2" w14:textId="026A2B5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110</w:t>
            </w:r>
            <w:r w:rsidR="00294835">
              <w:rPr>
                <w:spacing w:val="-9"/>
              </w:rPr>
              <w:t> mg</w:t>
            </w:r>
            <w:r>
              <w:rPr>
                <w:spacing w:val="-9"/>
              </w:rPr>
              <w:t xml:space="preserve"> </w:t>
            </w:r>
            <w:r>
              <w:t>napi</w:t>
            </w:r>
            <w:r>
              <w:rPr>
                <w:spacing w:val="-9"/>
              </w:rPr>
              <w:t xml:space="preserve"> </w:t>
            </w:r>
            <w:r>
              <w:t>kétszer</w:t>
            </w:r>
            <w:r>
              <w:rPr>
                <w:spacing w:val="-9"/>
              </w:rPr>
              <w:t xml:space="preserve"> </w:t>
            </w:r>
            <w:r w:rsidRPr="004F4A3C">
              <w:rPr>
                <w:i/>
                <w:iCs/>
              </w:rPr>
              <w:t>vs.</w:t>
            </w:r>
            <w:r>
              <w:t xml:space="preserve"> </w:t>
            </w:r>
            <w:r w:rsidR="00C92404">
              <w:rPr>
                <w:spacing w:val="-2"/>
              </w:rPr>
              <w:t>w</w:t>
            </w:r>
            <w:r>
              <w:rPr>
                <w:spacing w:val="-2"/>
              </w:rPr>
              <w:t>arfarin</w:t>
            </w:r>
          </w:p>
        </w:tc>
        <w:tc>
          <w:tcPr>
            <w:tcW w:w="3130" w:type="dxa"/>
          </w:tcPr>
          <w:p w14:paraId="3E2684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66C40107" w14:textId="39D58BD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9"/>
              </w:rPr>
              <w:t> mg</w:t>
            </w:r>
            <w:r>
              <w:rPr>
                <w:spacing w:val="-9"/>
              </w:rPr>
              <w:t xml:space="preserve"> </w:t>
            </w:r>
            <w:r>
              <w:t>napi</w:t>
            </w:r>
            <w:r>
              <w:rPr>
                <w:spacing w:val="-9"/>
              </w:rPr>
              <w:t xml:space="preserve"> </w:t>
            </w:r>
            <w:r>
              <w:t>kétszer</w:t>
            </w:r>
            <w:r>
              <w:rPr>
                <w:spacing w:val="-9"/>
              </w:rPr>
              <w:t xml:space="preserve"> </w:t>
            </w:r>
            <w:r w:rsidRPr="004F4A3C">
              <w:rPr>
                <w:i/>
                <w:iCs/>
              </w:rPr>
              <w:t>vs.</w:t>
            </w:r>
            <w:r>
              <w:t xml:space="preserve"> </w:t>
            </w:r>
            <w:r w:rsidR="00C92404">
              <w:rPr>
                <w:spacing w:val="-2"/>
              </w:rPr>
              <w:t>w</w:t>
            </w:r>
            <w:r>
              <w:rPr>
                <w:spacing w:val="-2"/>
              </w:rPr>
              <w:t>arfarin</w:t>
            </w:r>
          </w:p>
        </w:tc>
      </w:tr>
      <w:tr w:rsidR="00945359" w14:paraId="6757F986" w14:textId="77777777" w:rsidTr="008F5A8D">
        <w:trPr>
          <w:trHeight w:val="251"/>
        </w:trPr>
        <w:tc>
          <w:tcPr>
            <w:tcW w:w="2798" w:type="dxa"/>
          </w:tcPr>
          <w:p w14:paraId="2599F97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Életkor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(év)</w:t>
            </w:r>
          </w:p>
        </w:tc>
        <w:tc>
          <w:tcPr>
            <w:tcW w:w="3132" w:type="dxa"/>
          </w:tcPr>
          <w:p w14:paraId="1F0540CD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3130" w:type="dxa"/>
          </w:tcPr>
          <w:p w14:paraId="2793ACC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1E778F1" w14:textId="77777777" w:rsidTr="008F5A8D">
        <w:trPr>
          <w:trHeight w:val="254"/>
        </w:trPr>
        <w:tc>
          <w:tcPr>
            <w:tcW w:w="2798" w:type="dxa"/>
          </w:tcPr>
          <w:p w14:paraId="350C8277" w14:textId="5062032E" w:rsidR="00945359" w:rsidRDefault="00B95CAF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&lt;</w:t>
            </w:r>
            <w:r w:rsidR="00220A43">
              <w:rPr>
                <w:spacing w:val="-5"/>
              </w:rPr>
              <w:t>65</w:t>
            </w:r>
          </w:p>
        </w:tc>
        <w:tc>
          <w:tcPr>
            <w:tcW w:w="3132" w:type="dxa"/>
          </w:tcPr>
          <w:p w14:paraId="3BF5E19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0,32</w:t>
            </w:r>
            <w:r>
              <w:rPr>
                <w:spacing w:val="-5"/>
              </w:rPr>
              <w:t xml:space="preserve"> </w:t>
            </w:r>
            <w:r>
              <w:t>(0,18,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0,57)</w:t>
            </w:r>
          </w:p>
        </w:tc>
        <w:tc>
          <w:tcPr>
            <w:tcW w:w="3130" w:type="dxa"/>
          </w:tcPr>
          <w:p w14:paraId="62DBB62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0,35</w:t>
            </w:r>
            <w:r>
              <w:rPr>
                <w:spacing w:val="-5"/>
              </w:rPr>
              <w:t xml:space="preserve"> </w:t>
            </w:r>
            <w:r>
              <w:t>(0,20,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0,61)</w:t>
            </w:r>
          </w:p>
        </w:tc>
      </w:tr>
      <w:tr w:rsidR="00945359" w14:paraId="2E745B8F" w14:textId="77777777" w:rsidTr="008F5A8D">
        <w:trPr>
          <w:trHeight w:val="251"/>
        </w:trPr>
        <w:tc>
          <w:tcPr>
            <w:tcW w:w="2798" w:type="dxa"/>
          </w:tcPr>
          <w:p w14:paraId="481784AD" w14:textId="58CC60B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65</w:t>
            </w:r>
            <w:r w:rsidR="00C92404">
              <w:rPr>
                <w:spacing w:val="-3"/>
              </w:rPr>
              <w:t>≤</w:t>
            </w:r>
            <w:r>
              <w:t xml:space="preserve"> és</w:t>
            </w:r>
            <w:r>
              <w:rPr>
                <w:spacing w:val="-1"/>
              </w:rPr>
              <w:t xml:space="preserve"> </w:t>
            </w:r>
            <w:r w:rsidR="00B95CAF">
              <w:t>&lt;</w:t>
            </w:r>
            <w:r>
              <w:rPr>
                <w:spacing w:val="-7"/>
              </w:rPr>
              <w:t>75</w:t>
            </w:r>
          </w:p>
        </w:tc>
        <w:tc>
          <w:tcPr>
            <w:tcW w:w="3132" w:type="dxa"/>
          </w:tcPr>
          <w:p w14:paraId="4949B37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0,71</w:t>
            </w:r>
            <w:r>
              <w:rPr>
                <w:spacing w:val="-5"/>
              </w:rPr>
              <w:t xml:space="preserve"> </w:t>
            </w:r>
            <w:r>
              <w:t>(0,56,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0,89)</w:t>
            </w:r>
          </w:p>
        </w:tc>
        <w:tc>
          <w:tcPr>
            <w:tcW w:w="3130" w:type="dxa"/>
          </w:tcPr>
          <w:p w14:paraId="2B77D00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0,82</w:t>
            </w:r>
            <w:r>
              <w:rPr>
                <w:spacing w:val="-5"/>
              </w:rPr>
              <w:t xml:space="preserve"> </w:t>
            </w:r>
            <w:r>
              <w:t>(0,66,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1,03)</w:t>
            </w:r>
          </w:p>
        </w:tc>
      </w:tr>
      <w:tr w:rsidR="00945359" w14:paraId="515D349B" w14:textId="77777777" w:rsidTr="008F5A8D">
        <w:trPr>
          <w:trHeight w:val="254"/>
        </w:trPr>
        <w:tc>
          <w:tcPr>
            <w:tcW w:w="2798" w:type="dxa"/>
          </w:tcPr>
          <w:p w14:paraId="40E94D93" w14:textId="0DC36210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75</w:t>
            </w:r>
          </w:p>
        </w:tc>
        <w:tc>
          <w:tcPr>
            <w:tcW w:w="3132" w:type="dxa"/>
          </w:tcPr>
          <w:p w14:paraId="5151C4F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1,01</w:t>
            </w:r>
            <w:r>
              <w:rPr>
                <w:spacing w:val="-5"/>
              </w:rPr>
              <w:t xml:space="preserve"> </w:t>
            </w:r>
            <w:r>
              <w:t>(0,84,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1,23)</w:t>
            </w:r>
          </w:p>
        </w:tc>
        <w:tc>
          <w:tcPr>
            <w:tcW w:w="3130" w:type="dxa"/>
          </w:tcPr>
          <w:p w14:paraId="48FDF2E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1,19</w:t>
            </w:r>
            <w:r>
              <w:rPr>
                <w:spacing w:val="-5"/>
              </w:rPr>
              <w:t xml:space="preserve"> </w:t>
            </w:r>
            <w:r>
              <w:t>(0,99,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1,43)</w:t>
            </w:r>
          </w:p>
        </w:tc>
      </w:tr>
      <w:tr w:rsidR="00945359" w14:paraId="5D576C4E" w14:textId="77777777" w:rsidTr="008F5A8D">
        <w:trPr>
          <w:trHeight w:val="254"/>
        </w:trPr>
        <w:tc>
          <w:tcPr>
            <w:tcW w:w="2798" w:type="dxa"/>
          </w:tcPr>
          <w:p w14:paraId="7FB7F539" w14:textId="57E6BCBF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3132" w:type="dxa"/>
          </w:tcPr>
          <w:p w14:paraId="4F4780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1,14</w:t>
            </w:r>
            <w:r>
              <w:rPr>
                <w:spacing w:val="-5"/>
              </w:rPr>
              <w:t xml:space="preserve"> </w:t>
            </w:r>
            <w:r>
              <w:t>(0,86,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1,51)</w:t>
            </w:r>
          </w:p>
        </w:tc>
        <w:tc>
          <w:tcPr>
            <w:tcW w:w="3130" w:type="dxa"/>
          </w:tcPr>
          <w:p w14:paraId="051A4F0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1,35</w:t>
            </w:r>
            <w:r>
              <w:rPr>
                <w:spacing w:val="-5"/>
              </w:rPr>
              <w:t xml:space="preserve"> </w:t>
            </w:r>
            <w:r>
              <w:t>(1,03,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1,76)</w:t>
            </w:r>
          </w:p>
        </w:tc>
      </w:tr>
      <w:tr w:rsidR="00945359" w14:paraId="1B9E2D6F" w14:textId="77777777" w:rsidTr="008F5A8D">
        <w:trPr>
          <w:trHeight w:val="251"/>
        </w:trPr>
        <w:tc>
          <w:tcPr>
            <w:tcW w:w="2798" w:type="dxa"/>
          </w:tcPr>
          <w:p w14:paraId="7DE2CA3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CrCl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(ml/perc)</w:t>
            </w:r>
          </w:p>
        </w:tc>
        <w:tc>
          <w:tcPr>
            <w:tcW w:w="3132" w:type="dxa"/>
          </w:tcPr>
          <w:p w14:paraId="0074B70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3130" w:type="dxa"/>
          </w:tcPr>
          <w:p w14:paraId="189EB54E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3C2E31C" w14:textId="77777777" w:rsidTr="008F5A8D">
        <w:trPr>
          <w:trHeight w:val="254"/>
        </w:trPr>
        <w:tc>
          <w:tcPr>
            <w:tcW w:w="2798" w:type="dxa"/>
          </w:tcPr>
          <w:p w14:paraId="1E41ADDE" w14:textId="3AD8A47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30</w:t>
            </w:r>
            <w:r w:rsidR="00C92404">
              <w:rPr>
                <w:spacing w:val="-3"/>
              </w:rPr>
              <w:t>≤</w:t>
            </w:r>
            <w:r>
              <w:t xml:space="preserve"> és</w:t>
            </w:r>
            <w:r>
              <w:rPr>
                <w:spacing w:val="-1"/>
              </w:rPr>
              <w:t xml:space="preserve"> </w:t>
            </w:r>
            <w:r w:rsidR="00B95CAF">
              <w:t>&lt;</w:t>
            </w:r>
            <w:r>
              <w:rPr>
                <w:spacing w:val="-7"/>
              </w:rPr>
              <w:t>50</w:t>
            </w:r>
          </w:p>
        </w:tc>
        <w:tc>
          <w:tcPr>
            <w:tcW w:w="3132" w:type="dxa"/>
          </w:tcPr>
          <w:p w14:paraId="58B7D1C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1,02</w:t>
            </w:r>
            <w:r>
              <w:rPr>
                <w:spacing w:val="-5"/>
              </w:rPr>
              <w:t xml:space="preserve"> </w:t>
            </w:r>
            <w:r>
              <w:t>(0,79,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1,32)</w:t>
            </w:r>
          </w:p>
        </w:tc>
        <w:tc>
          <w:tcPr>
            <w:tcW w:w="3130" w:type="dxa"/>
          </w:tcPr>
          <w:p w14:paraId="1EF6F93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0,94</w:t>
            </w:r>
            <w:r>
              <w:rPr>
                <w:spacing w:val="-5"/>
              </w:rPr>
              <w:t xml:space="preserve"> </w:t>
            </w:r>
            <w:r>
              <w:t>(0,73,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1,22)</w:t>
            </w:r>
          </w:p>
        </w:tc>
      </w:tr>
      <w:tr w:rsidR="00945359" w14:paraId="6ED1415E" w14:textId="77777777" w:rsidTr="008F5A8D">
        <w:trPr>
          <w:trHeight w:val="251"/>
        </w:trPr>
        <w:tc>
          <w:tcPr>
            <w:tcW w:w="2798" w:type="dxa"/>
          </w:tcPr>
          <w:p w14:paraId="668F6AE2" w14:textId="664CD25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50</w:t>
            </w:r>
            <w:r w:rsidR="00C92404">
              <w:rPr>
                <w:spacing w:val="-3"/>
              </w:rPr>
              <w:t>≤</w:t>
            </w:r>
            <w:r>
              <w:t xml:space="preserve"> és</w:t>
            </w:r>
            <w:r>
              <w:rPr>
                <w:spacing w:val="-1"/>
              </w:rPr>
              <w:t xml:space="preserve"> </w:t>
            </w:r>
            <w:r w:rsidR="00B95CAF">
              <w:t>&lt;</w:t>
            </w:r>
            <w:r>
              <w:rPr>
                <w:spacing w:val="-7"/>
              </w:rPr>
              <w:t>80</w:t>
            </w:r>
          </w:p>
        </w:tc>
        <w:tc>
          <w:tcPr>
            <w:tcW w:w="3132" w:type="dxa"/>
          </w:tcPr>
          <w:p w14:paraId="2704456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0,75</w:t>
            </w:r>
            <w:r>
              <w:rPr>
                <w:spacing w:val="-5"/>
              </w:rPr>
              <w:t xml:space="preserve"> </w:t>
            </w:r>
            <w:r>
              <w:t>(0,61,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0,92)</w:t>
            </w:r>
          </w:p>
        </w:tc>
        <w:tc>
          <w:tcPr>
            <w:tcW w:w="3130" w:type="dxa"/>
          </w:tcPr>
          <w:p w14:paraId="69E770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0,90</w:t>
            </w:r>
            <w:r>
              <w:rPr>
                <w:spacing w:val="-5"/>
              </w:rPr>
              <w:t xml:space="preserve"> </w:t>
            </w:r>
            <w:r>
              <w:t>(0,74,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1,09)</w:t>
            </w:r>
          </w:p>
        </w:tc>
      </w:tr>
      <w:tr w:rsidR="00945359" w14:paraId="0E35A241" w14:textId="77777777" w:rsidTr="008F5A8D">
        <w:trPr>
          <w:trHeight w:val="254"/>
        </w:trPr>
        <w:tc>
          <w:tcPr>
            <w:tcW w:w="2798" w:type="dxa"/>
          </w:tcPr>
          <w:p w14:paraId="6CC59454" w14:textId="64C55751" w:rsidR="00945359" w:rsidRDefault="00294835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≥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3132" w:type="dxa"/>
          </w:tcPr>
          <w:p w14:paraId="72D84AF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0,59</w:t>
            </w:r>
            <w:r>
              <w:rPr>
                <w:spacing w:val="-5"/>
              </w:rPr>
              <w:t xml:space="preserve"> </w:t>
            </w:r>
            <w:r>
              <w:t>(0,43,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0,82)</w:t>
            </w:r>
          </w:p>
        </w:tc>
        <w:tc>
          <w:tcPr>
            <w:tcW w:w="3130" w:type="dxa"/>
          </w:tcPr>
          <w:p w14:paraId="6EC171B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0,87(0,65,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1,17)</w:t>
            </w:r>
          </w:p>
        </w:tc>
      </w:tr>
      <w:tr w:rsidR="00945359" w14:paraId="498F2E42" w14:textId="77777777" w:rsidTr="008F5A8D">
        <w:trPr>
          <w:trHeight w:val="251"/>
        </w:trPr>
        <w:tc>
          <w:tcPr>
            <w:tcW w:w="2798" w:type="dxa"/>
          </w:tcPr>
          <w:p w14:paraId="3A9E4073" w14:textId="01B39B9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ASA</w:t>
            </w:r>
            <w:r>
              <w:rPr>
                <w:spacing w:val="-3"/>
              </w:rPr>
              <w:t xml:space="preserve"> </w:t>
            </w:r>
            <w:r w:rsidR="002E2A7B">
              <w:rPr>
                <w:spacing w:val="-2"/>
              </w:rPr>
              <w:t>alkalmazás</w:t>
            </w:r>
            <w:r w:rsidR="00C92404">
              <w:rPr>
                <w:spacing w:val="-2"/>
              </w:rPr>
              <w:t>a</w:t>
            </w:r>
          </w:p>
        </w:tc>
        <w:tc>
          <w:tcPr>
            <w:tcW w:w="3132" w:type="dxa"/>
          </w:tcPr>
          <w:p w14:paraId="641B556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0,84</w:t>
            </w:r>
            <w:r>
              <w:rPr>
                <w:spacing w:val="-5"/>
              </w:rPr>
              <w:t xml:space="preserve"> </w:t>
            </w:r>
            <w:r>
              <w:t>(0,69,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1,03)</w:t>
            </w:r>
          </w:p>
        </w:tc>
        <w:tc>
          <w:tcPr>
            <w:tcW w:w="3130" w:type="dxa"/>
          </w:tcPr>
          <w:p w14:paraId="07A7C07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0,97</w:t>
            </w:r>
            <w:r>
              <w:rPr>
                <w:spacing w:val="-5"/>
              </w:rPr>
              <w:t xml:space="preserve"> </w:t>
            </w:r>
            <w:r>
              <w:t>(0,79,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1,18)</w:t>
            </w:r>
          </w:p>
        </w:tc>
      </w:tr>
      <w:tr w:rsidR="00945359" w14:paraId="19E68437" w14:textId="77777777" w:rsidTr="008F5A8D">
        <w:trPr>
          <w:trHeight w:val="253"/>
        </w:trPr>
        <w:tc>
          <w:tcPr>
            <w:tcW w:w="2798" w:type="dxa"/>
          </w:tcPr>
          <w:p w14:paraId="14EE6715" w14:textId="6263B4A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Klopidogrel</w:t>
            </w:r>
            <w:r>
              <w:rPr>
                <w:spacing w:val="-10"/>
              </w:rPr>
              <w:t xml:space="preserve"> </w:t>
            </w:r>
            <w:r w:rsidR="002E2A7B">
              <w:rPr>
                <w:spacing w:val="-2"/>
              </w:rPr>
              <w:t>alkalmazás</w:t>
            </w:r>
            <w:r w:rsidR="00C92404">
              <w:rPr>
                <w:spacing w:val="-2"/>
              </w:rPr>
              <w:t>a</w:t>
            </w:r>
          </w:p>
        </w:tc>
        <w:tc>
          <w:tcPr>
            <w:tcW w:w="3132" w:type="dxa"/>
          </w:tcPr>
          <w:p w14:paraId="18F5409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0,89</w:t>
            </w:r>
            <w:r>
              <w:rPr>
                <w:spacing w:val="-5"/>
              </w:rPr>
              <w:t xml:space="preserve"> </w:t>
            </w:r>
            <w:r>
              <w:t>(0,55,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1,45)</w:t>
            </w:r>
          </w:p>
        </w:tc>
        <w:tc>
          <w:tcPr>
            <w:tcW w:w="3130" w:type="dxa"/>
          </w:tcPr>
          <w:p w14:paraId="13BB77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0,92</w:t>
            </w:r>
            <w:r>
              <w:rPr>
                <w:spacing w:val="-4"/>
              </w:rPr>
              <w:t xml:space="preserve"> </w:t>
            </w:r>
            <w:r>
              <w:t>(0,57,</w:t>
            </w:r>
            <w:r>
              <w:rPr>
                <w:spacing w:val="-4"/>
              </w:rPr>
              <w:t xml:space="preserve"> 1,48</w:t>
            </w:r>
          </w:p>
        </w:tc>
      </w:tr>
    </w:tbl>
    <w:p w14:paraId="1F0C069A" w14:textId="77777777" w:rsidR="00C92404" w:rsidRDefault="00C92404" w:rsidP="008F5A8D">
      <w:pPr>
        <w:tabs>
          <w:tab w:val="left" w:pos="567"/>
        </w:tabs>
        <w:rPr>
          <w:i/>
        </w:rPr>
      </w:pPr>
    </w:p>
    <w:p w14:paraId="3B6AEE99" w14:textId="6165F244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RELY-ABLE</w:t>
      </w:r>
      <w:r>
        <w:rPr>
          <w:i/>
          <w:spacing w:val="-3"/>
        </w:rPr>
        <w:t xml:space="preserve"> </w:t>
      </w:r>
      <w:r>
        <w:rPr>
          <w:i/>
        </w:rPr>
        <w:t>(a</w:t>
      </w:r>
      <w:r>
        <w:rPr>
          <w:i/>
          <w:spacing w:val="-3"/>
        </w:rPr>
        <w:t xml:space="preserve"> </w:t>
      </w:r>
      <w:r>
        <w:rPr>
          <w:i/>
        </w:rPr>
        <w:t>RE-LY</w:t>
      </w:r>
      <w:r>
        <w:rPr>
          <w:i/>
          <w:spacing w:val="-3"/>
        </w:rPr>
        <w:t xml:space="preserve"> </w:t>
      </w:r>
      <w:r>
        <w:rPr>
          <w:i/>
        </w:rPr>
        <w:t>vizsgálatot</w:t>
      </w:r>
      <w:r>
        <w:rPr>
          <w:i/>
          <w:spacing w:val="-3"/>
        </w:rPr>
        <w:t xml:space="preserve"> </w:t>
      </w:r>
      <w:r>
        <w:rPr>
          <w:i/>
        </w:rPr>
        <w:t>befejező,</w:t>
      </w:r>
      <w:r>
        <w:rPr>
          <w:i/>
          <w:spacing w:val="-3"/>
        </w:rPr>
        <w:t xml:space="preserve"> </w:t>
      </w:r>
      <w:r>
        <w:rPr>
          <w:i/>
        </w:rPr>
        <w:t>dabigatránnal</w:t>
      </w:r>
      <w:r>
        <w:rPr>
          <w:i/>
          <w:spacing w:val="-3"/>
        </w:rPr>
        <w:t xml:space="preserve"> </w:t>
      </w:r>
      <w:r>
        <w:rPr>
          <w:i/>
        </w:rPr>
        <w:t>kezelt</w:t>
      </w:r>
      <w:r>
        <w:rPr>
          <w:i/>
          <w:spacing w:val="-6"/>
        </w:rPr>
        <w:t xml:space="preserve"> </w:t>
      </w:r>
      <w:r>
        <w:rPr>
          <w:i/>
        </w:rPr>
        <w:t>pitvarfibrilláló</w:t>
      </w:r>
      <w:r>
        <w:rPr>
          <w:i/>
          <w:spacing w:val="-3"/>
        </w:rPr>
        <w:t xml:space="preserve"> </w:t>
      </w:r>
      <w:r>
        <w:rPr>
          <w:i/>
        </w:rPr>
        <w:t>betegek</w:t>
      </w:r>
      <w:r>
        <w:rPr>
          <w:i/>
          <w:spacing w:val="-3"/>
        </w:rPr>
        <w:t xml:space="preserve"> </w:t>
      </w:r>
      <w:r>
        <w:rPr>
          <w:i/>
        </w:rPr>
        <w:t>hosszú</w:t>
      </w:r>
      <w:r>
        <w:rPr>
          <w:i/>
          <w:spacing w:val="-3"/>
        </w:rPr>
        <w:t xml:space="preserve"> </w:t>
      </w:r>
      <w:r>
        <w:rPr>
          <w:i/>
        </w:rPr>
        <w:t>távú multicentrikus kiterjesztett vizsgálata)</w:t>
      </w:r>
    </w:p>
    <w:p w14:paraId="71038D65" w14:textId="5B5BA128" w:rsidR="00945359" w:rsidRDefault="00220A43" w:rsidP="008F5A8D">
      <w:pPr>
        <w:pStyle w:val="Szvegtrzs"/>
        <w:tabs>
          <w:tab w:val="left" w:pos="567"/>
        </w:tabs>
      </w:pPr>
      <w:r>
        <w:t>A RE-LY kiterjesztett vizsgálata (a RELY-ABLE) további biztonságossági információt szolgáltatott a betegek egy csoportjáról, akik a RE-LY vizsgálatban alkalmazott dózisban folytatták tovább a dabigatrán-etexilát</w:t>
      </w:r>
      <w:r>
        <w:rPr>
          <w:spacing w:val="-3"/>
        </w:rPr>
        <w:t xml:space="preserve"> </w:t>
      </w:r>
      <w:r>
        <w:t>szedését.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akkor</w:t>
      </w:r>
      <w:r>
        <w:rPr>
          <w:spacing w:val="-4"/>
        </w:rPr>
        <w:t xml:space="preserve"> </w:t>
      </w:r>
      <w:r>
        <w:t>kerülhettek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RELY-ABLE</w:t>
      </w:r>
      <w:r>
        <w:rPr>
          <w:spacing w:val="-4"/>
        </w:rPr>
        <w:t xml:space="preserve"> </w:t>
      </w:r>
      <w:r>
        <w:t>vizsgálatba,</w:t>
      </w:r>
      <w:r>
        <w:rPr>
          <w:spacing w:val="-4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hagyták abba</w:t>
      </w:r>
      <w:r>
        <w:rPr>
          <w:spacing w:val="-1"/>
        </w:rPr>
        <w:t xml:space="preserve"> </w:t>
      </w:r>
      <w:r>
        <w:t>végleg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vizsgálati</w:t>
      </w:r>
      <w:r>
        <w:rPr>
          <w:spacing w:val="-1"/>
        </w:rPr>
        <w:t xml:space="preserve"> </w:t>
      </w:r>
      <w:r>
        <w:t>szer</w:t>
      </w:r>
      <w:r>
        <w:rPr>
          <w:spacing w:val="-1"/>
        </w:rPr>
        <w:t xml:space="preserve"> </w:t>
      </w:r>
      <w:r>
        <w:t>szedését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RE-LY</w:t>
      </w:r>
      <w:r>
        <w:rPr>
          <w:spacing w:val="-1"/>
        </w:rPr>
        <w:t xml:space="preserve"> </w:t>
      </w:r>
      <w:r>
        <w:t>vizsgálat</w:t>
      </w:r>
      <w:r>
        <w:rPr>
          <w:spacing w:val="-1"/>
        </w:rPr>
        <w:t xml:space="preserve"> </w:t>
      </w:r>
      <w:r w:rsidR="0058272A">
        <w:t>záróvizsgálatánál</w:t>
      </w:r>
      <w:r>
        <w:t>.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bevont</w:t>
      </w:r>
      <w:r>
        <w:rPr>
          <w:spacing w:val="-1"/>
        </w:rPr>
        <w:t xml:space="preserve"> </w:t>
      </w:r>
      <w:r>
        <w:t>betegek</w:t>
      </w:r>
      <w:r>
        <w:rPr>
          <w:spacing w:val="-1"/>
        </w:rPr>
        <w:t xml:space="preserve"> </w:t>
      </w:r>
      <w:r>
        <w:t>folytatták ugyan</w:t>
      </w:r>
      <w:r w:rsidR="002B2C85">
        <w:t>an</w:t>
      </w:r>
      <w:r>
        <w:t>nak a kettős vak dabigatrán-etexilát dózisnak a szedését, amelyet a RE-LY vizsgálatban randomizációt</w:t>
      </w:r>
      <w:r>
        <w:rPr>
          <w:spacing w:val="-3"/>
        </w:rPr>
        <w:t xml:space="preserve"> </w:t>
      </w:r>
      <w:r>
        <w:t>követően</w:t>
      </w:r>
      <w:r>
        <w:rPr>
          <w:spacing w:val="-3"/>
        </w:rPr>
        <w:t xml:space="preserve"> </w:t>
      </w:r>
      <w:r>
        <w:t>szedtek,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RE-LY</w:t>
      </w:r>
      <w:r>
        <w:rPr>
          <w:spacing w:val="-3"/>
        </w:rPr>
        <w:t xml:space="preserve"> </w:t>
      </w:r>
      <w:r>
        <w:t>vizsgálatot</w:t>
      </w:r>
      <w:r>
        <w:rPr>
          <w:spacing w:val="-3"/>
        </w:rPr>
        <w:t xml:space="preserve"> </w:t>
      </w:r>
      <w:r>
        <w:t>követő</w:t>
      </w:r>
      <w:r>
        <w:rPr>
          <w:spacing w:val="-3"/>
        </w:rPr>
        <w:t xml:space="preserve"> </w:t>
      </w:r>
      <w:r>
        <w:t>43</w:t>
      </w:r>
      <w:r w:rsidR="002E2A7B">
        <w:rPr>
          <w:spacing w:val="-3"/>
        </w:rPr>
        <w:t> hónap</w:t>
      </w:r>
      <w:r>
        <w:t>os</w:t>
      </w:r>
      <w:r>
        <w:rPr>
          <w:spacing w:val="-3"/>
        </w:rPr>
        <w:t xml:space="preserve"> </w:t>
      </w:r>
      <w:r>
        <w:t>követéses</w:t>
      </w:r>
      <w:r>
        <w:rPr>
          <w:spacing w:val="-3"/>
        </w:rPr>
        <w:t xml:space="preserve"> </w:t>
      </w:r>
      <w:r>
        <w:t>időszakban</w:t>
      </w:r>
      <w:r>
        <w:rPr>
          <w:spacing w:val="-3"/>
        </w:rPr>
        <w:t xml:space="preserve"> </w:t>
      </w:r>
      <w:r>
        <w:t>(teljes átlagos követés a RE-LY + RELY-ABLE vizsgálatban 4,5</w:t>
      </w:r>
      <w:r w:rsidR="00294835">
        <w:t> év</w:t>
      </w:r>
      <w:r>
        <w:t>). 5897</w:t>
      </w:r>
      <w:r w:rsidR="0058272A">
        <w:t> </w:t>
      </w:r>
      <w:r>
        <w:t>beteget vontak be, ami a RE-LY vizsgálatban az eredetileg dabigatrán-etexilát csoportba randomizált betegek 49%-át, és a</w:t>
      </w:r>
      <w:r w:rsidR="0058272A">
        <w:t xml:space="preserve"> </w:t>
      </w:r>
      <w:r>
        <w:t>RELY-ABLE</w:t>
      </w:r>
      <w:r>
        <w:rPr>
          <w:spacing w:val="-9"/>
        </w:rPr>
        <w:t xml:space="preserve"> </w:t>
      </w:r>
      <w:r>
        <w:t>vizsgálatra</w:t>
      </w:r>
      <w:r>
        <w:rPr>
          <w:spacing w:val="-8"/>
        </w:rPr>
        <w:t xml:space="preserve"> </w:t>
      </w:r>
      <w:r>
        <w:t>alkalmas</w:t>
      </w:r>
      <w:r>
        <w:rPr>
          <w:spacing w:val="-9"/>
        </w:rPr>
        <w:t xml:space="preserve"> </w:t>
      </w:r>
      <w:r>
        <w:t>betegek</w:t>
      </w:r>
      <w:r>
        <w:rPr>
          <w:spacing w:val="-8"/>
        </w:rPr>
        <w:t xml:space="preserve"> </w:t>
      </w:r>
      <w:r>
        <w:t>86%-t</w:t>
      </w:r>
      <w:r>
        <w:rPr>
          <w:spacing w:val="-7"/>
        </w:rPr>
        <w:t xml:space="preserve"> </w:t>
      </w:r>
      <w:r>
        <w:rPr>
          <w:spacing w:val="-2"/>
        </w:rPr>
        <w:t>jelentette.</w:t>
      </w:r>
    </w:p>
    <w:p w14:paraId="305457A0" w14:textId="7B1C1205" w:rsidR="00945359" w:rsidRDefault="00220A43" w:rsidP="008F5A8D">
      <w:pPr>
        <w:pStyle w:val="Szvegtrzs"/>
        <w:tabs>
          <w:tab w:val="left" w:pos="567"/>
        </w:tabs>
      </w:pPr>
      <w:r>
        <w:t>A RELY-ABLE vizsgálatban töltött további 2,5</w:t>
      </w:r>
      <w:r w:rsidR="00294835">
        <w:t> éves</w:t>
      </w:r>
      <w:r>
        <w:t xml:space="preserve"> kezelés, ami maximálisan 6</w:t>
      </w:r>
      <w:r w:rsidR="00294835">
        <w:t> éves</w:t>
      </w:r>
      <w:r>
        <w:t xml:space="preserve"> expozíciót jelentett (összes expozíció a RE-LY és RELY-ABLE vizsgálatban) a dabigatrán-etexilát hosszú távú</w:t>
      </w:r>
      <w:r>
        <w:rPr>
          <w:spacing w:val="-3"/>
        </w:rPr>
        <w:t xml:space="preserve"> </w:t>
      </w:r>
      <w:r>
        <w:t>biztonság</w:t>
      </w:r>
      <w:r w:rsidR="0058272A">
        <w:t>osság</w:t>
      </w:r>
      <w:r>
        <w:t>i</w:t>
      </w:r>
      <w:r>
        <w:rPr>
          <w:spacing w:val="-3"/>
        </w:rPr>
        <w:t xml:space="preserve"> </w:t>
      </w:r>
      <w:r>
        <w:t>profilját</w:t>
      </w:r>
      <w:r>
        <w:rPr>
          <w:spacing w:val="-3"/>
        </w:rPr>
        <w:t xml:space="preserve"> </w:t>
      </w:r>
      <w:r>
        <w:t>megerősítette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napi</w:t>
      </w:r>
      <w:r>
        <w:rPr>
          <w:spacing w:val="-3"/>
        </w:rPr>
        <w:t xml:space="preserve"> </w:t>
      </w:r>
      <w:r>
        <w:t>kétszeri</w:t>
      </w:r>
      <w:r>
        <w:rPr>
          <w:spacing w:val="-3"/>
        </w:rPr>
        <w:t xml:space="preserve"> </w:t>
      </w:r>
      <w:r>
        <w:t>110</w:t>
      </w:r>
      <w:r w:rsidR="00294835">
        <w:rPr>
          <w:spacing w:val="-4"/>
        </w:rPr>
        <w:t> mg</w:t>
      </w:r>
      <w:r>
        <w:t>-os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kétszeri</w:t>
      </w:r>
      <w:r>
        <w:rPr>
          <w:spacing w:val="-2"/>
        </w:rPr>
        <w:t xml:space="preserve"> </w:t>
      </w:r>
      <w:r>
        <w:t>150</w:t>
      </w:r>
      <w:r w:rsidR="00294835">
        <w:rPr>
          <w:spacing w:val="-3"/>
        </w:rPr>
        <w:t> mg</w:t>
      </w:r>
      <w:r>
        <w:t>-os</w:t>
      </w:r>
      <w:r>
        <w:rPr>
          <w:spacing w:val="-2"/>
        </w:rPr>
        <w:t xml:space="preserve"> </w:t>
      </w:r>
      <w:r>
        <w:t>vizsgált dózis esetében is. Új biztonságossági vonatkozást nem találtak.</w:t>
      </w:r>
    </w:p>
    <w:p w14:paraId="2EB25963" w14:textId="77777777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kimeneteli</w:t>
      </w:r>
      <w:r>
        <w:rPr>
          <w:spacing w:val="-3"/>
        </w:rPr>
        <w:t xml:space="preserve"> </w:t>
      </w:r>
      <w:r>
        <w:t>események,</w:t>
      </w:r>
      <w:r>
        <w:rPr>
          <w:spacing w:val="-3"/>
        </w:rPr>
        <w:t xml:space="preserve"> </w:t>
      </w:r>
      <w:r>
        <w:t>köztük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egyéb</w:t>
      </w:r>
      <w:r>
        <w:rPr>
          <w:spacing w:val="-3"/>
        </w:rPr>
        <w:t xml:space="preserve"> </w:t>
      </w:r>
      <w:r>
        <w:t>vérzéses</w:t>
      </w:r>
      <w:r>
        <w:rPr>
          <w:spacing w:val="-3"/>
        </w:rPr>
        <w:t xml:space="preserve"> </w:t>
      </w:r>
      <w:r>
        <w:t>események</w:t>
      </w:r>
      <w:r>
        <w:rPr>
          <w:spacing w:val="-3"/>
        </w:rPr>
        <w:t xml:space="preserve"> </w:t>
      </w:r>
      <w:r>
        <w:t>gyakorisága megfelelt a RE-LY vizsgálatban észleltnek.</w:t>
      </w:r>
    </w:p>
    <w:p w14:paraId="4652E216" w14:textId="77777777" w:rsidR="00304920" w:rsidRDefault="00304920" w:rsidP="008F5A8D">
      <w:pPr>
        <w:pStyle w:val="Szvegtrzs"/>
        <w:tabs>
          <w:tab w:val="left" w:pos="567"/>
        </w:tabs>
      </w:pPr>
    </w:p>
    <w:p w14:paraId="0B1BF0A7" w14:textId="58A2F14D" w:rsidR="00945359" w:rsidRDefault="00557363" w:rsidP="008F5A8D">
      <w:pPr>
        <w:tabs>
          <w:tab w:val="left" w:pos="567"/>
        </w:tabs>
        <w:rPr>
          <w:i/>
        </w:rPr>
      </w:pPr>
      <w:r>
        <w:rPr>
          <w:i/>
        </w:rPr>
        <w:t>B</w:t>
      </w:r>
      <w:r w:rsidR="00220A43">
        <w:rPr>
          <w:i/>
        </w:rPr>
        <w:t>eavatkozással</w:t>
      </w:r>
      <w:r w:rsidR="00220A43">
        <w:rPr>
          <w:i/>
          <w:spacing w:val="-7"/>
        </w:rPr>
        <w:t xml:space="preserve"> </w:t>
      </w:r>
      <w:r w:rsidR="00220A43">
        <w:rPr>
          <w:i/>
        </w:rPr>
        <w:t>nem</w:t>
      </w:r>
      <w:r w:rsidR="00220A43">
        <w:rPr>
          <w:i/>
          <w:spacing w:val="-7"/>
        </w:rPr>
        <w:t xml:space="preserve"> </w:t>
      </w:r>
      <w:r w:rsidR="00220A43">
        <w:rPr>
          <w:i/>
        </w:rPr>
        <w:t>járó</w:t>
      </w:r>
      <w:r w:rsidR="00220A43">
        <w:rPr>
          <w:i/>
          <w:spacing w:val="-8"/>
        </w:rPr>
        <w:t xml:space="preserve"> </w:t>
      </w:r>
      <w:r w:rsidR="00220A43">
        <w:rPr>
          <w:i/>
        </w:rPr>
        <w:t>vizsgálatokból</w:t>
      </w:r>
      <w:r w:rsidR="00220A43">
        <w:rPr>
          <w:i/>
          <w:spacing w:val="-7"/>
        </w:rPr>
        <w:t xml:space="preserve"> </w:t>
      </w:r>
      <w:r w:rsidR="00220A43">
        <w:rPr>
          <w:i/>
        </w:rPr>
        <w:t>származó</w:t>
      </w:r>
      <w:r w:rsidR="00220A43">
        <w:rPr>
          <w:i/>
          <w:spacing w:val="-7"/>
        </w:rPr>
        <w:t xml:space="preserve"> </w:t>
      </w:r>
      <w:r w:rsidR="00220A43">
        <w:rPr>
          <w:i/>
          <w:spacing w:val="-2"/>
        </w:rPr>
        <w:t>adatok</w:t>
      </w:r>
    </w:p>
    <w:p w14:paraId="7A152406" w14:textId="7247F7EA" w:rsidR="00945359" w:rsidRDefault="00220A43" w:rsidP="008F5A8D">
      <w:pPr>
        <w:pStyle w:val="Szvegtrzs"/>
        <w:tabs>
          <w:tab w:val="left" w:pos="567"/>
        </w:tabs>
      </w:pPr>
      <w:r>
        <w:t>Egy beavatkozással nem járó vizsgálatban (GLORIA-AF), prospektíven (a második</w:t>
      </w:r>
      <w:r w:rsidR="00294835">
        <w:t> fázis</w:t>
      </w:r>
      <w:r>
        <w:t>ában) adatokat gyűjtöttek a dabigatrán-etexilát valós körülmények közötti biztonságosságáról és hatásosságáról,</w:t>
      </w:r>
      <w:r>
        <w:rPr>
          <w:spacing w:val="-4"/>
        </w:rPr>
        <w:t xml:space="preserve"> </w:t>
      </w:r>
      <w:r>
        <w:t>újonnan</w:t>
      </w:r>
      <w:r>
        <w:rPr>
          <w:spacing w:val="-4"/>
        </w:rPr>
        <w:t xml:space="preserve"> </w:t>
      </w:r>
      <w:r>
        <w:t>diagnosztizált</w:t>
      </w:r>
      <w:r>
        <w:rPr>
          <w:spacing w:val="-4"/>
        </w:rPr>
        <w:t xml:space="preserve"> </w:t>
      </w:r>
      <w:r>
        <w:t>nem</w:t>
      </w:r>
      <w:r>
        <w:rPr>
          <w:spacing w:val="-4"/>
        </w:rPr>
        <w:t xml:space="preserve"> </w:t>
      </w:r>
      <w:r>
        <w:t>valvularis</w:t>
      </w:r>
      <w:r>
        <w:rPr>
          <w:spacing w:val="-4"/>
        </w:rPr>
        <w:t xml:space="preserve"> </w:t>
      </w:r>
      <w:r>
        <w:t>pitvarfibrillációban</w:t>
      </w:r>
      <w:r>
        <w:rPr>
          <w:spacing w:val="-4"/>
        </w:rPr>
        <w:t xml:space="preserve"> </w:t>
      </w:r>
      <w:r>
        <w:t>szenvedő</w:t>
      </w:r>
      <w:r>
        <w:rPr>
          <w:spacing w:val="-4"/>
        </w:rPr>
        <w:t xml:space="preserve"> </w:t>
      </w:r>
      <w:r>
        <w:t>betegeknél.</w:t>
      </w:r>
      <w:r>
        <w:rPr>
          <w:spacing w:val="-4"/>
        </w:rPr>
        <w:t xml:space="preserve"> </w:t>
      </w:r>
      <w:r>
        <w:t>A vizsgálat 4859</w:t>
      </w:r>
      <w:r w:rsidR="00557363">
        <w:t>,</w:t>
      </w:r>
      <w:r>
        <w:t xml:space="preserve"> dabigatrán-etexilátot szedő beteget foglalt magába (55%-uk 150</w:t>
      </w:r>
      <w:r w:rsidR="00294835">
        <w:t> mg</w:t>
      </w:r>
      <w:r>
        <w:t xml:space="preserve">-ot kapott napi </w:t>
      </w:r>
      <w:r>
        <w:lastRenderedPageBreak/>
        <w:t>kétszer,</w:t>
      </w:r>
      <w:r>
        <w:rPr>
          <w:spacing w:val="-6"/>
        </w:rPr>
        <w:t xml:space="preserve"> </w:t>
      </w:r>
      <w:r>
        <w:t>43%-uk</w:t>
      </w:r>
      <w:r>
        <w:rPr>
          <w:spacing w:val="-5"/>
        </w:rPr>
        <w:t xml:space="preserve"> </w:t>
      </w:r>
      <w:r>
        <w:t>110</w:t>
      </w:r>
      <w:r w:rsidR="00294835">
        <w:rPr>
          <w:spacing w:val="-5"/>
        </w:rPr>
        <w:t> mg</w:t>
      </w:r>
      <w:r>
        <w:t>-ot</w:t>
      </w:r>
      <w:r>
        <w:rPr>
          <w:spacing w:val="-5"/>
        </w:rPr>
        <w:t xml:space="preserve"> </w:t>
      </w:r>
      <w:r>
        <w:t>napi</w:t>
      </w:r>
      <w:r>
        <w:rPr>
          <w:spacing w:val="-5"/>
        </w:rPr>
        <w:t xml:space="preserve"> </w:t>
      </w:r>
      <w:r>
        <w:t>kétszer,</w:t>
      </w:r>
      <w:r>
        <w:rPr>
          <w:spacing w:val="-4"/>
        </w:rPr>
        <w:t xml:space="preserve"> </w:t>
      </w:r>
      <w:r>
        <w:t>2%-uk</w:t>
      </w:r>
      <w:r>
        <w:rPr>
          <w:spacing w:val="-5"/>
        </w:rPr>
        <w:t xml:space="preserve"> </w:t>
      </w:r>
      <w:r>
        <w:t>pedig</w:t>
      </w:r>
      <w:r>
        <w:rPr>
          <w:spacing w:val="-5"/>
        </w:rPr>
        <w:t xml:space="preserve"> </w:t>
      </w:r>
      <w:r>
        <w:t>75</w:t>
      </w:r>
      <w:r w:rsidR="00294835">
        <w:rPr>
          <w:spacing w:val="-5"/>
        </w:rPr>
        <w:t> mg</w:t>
      </w:r>
      <w:r>
        <w:t>-ot</w:t>
      </w:r>
      <w:r>
        <w:rPr>
          <w:spacing w:val="-6"/>
        </w:rPr>
        <w:t xml:space="preserve"> </w:t>
      </w:r>
      <w:r>
        <w:t>napi</w:t>
      </w:r>
      <w:r>
        <w:rPr>
          <w:spacing w:val="-5"/>
        </w:rPr>
        <w:t xml:space="preserve"> </w:t>
      </w:r>
      <w:r>
        <w:t>kétszer).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betegek</w:t>
      </w:r>
      <w:r>
        <w:rPr>
          <w:spacing w:val="-5"/>
        </w:rPr>
        <w:t xml:space="preserve"> </w:t>
      </w:r>
      <w:r>
        <w:rPr>
          <w:spacing w:val="-2"/>
        </w:rPr>
        <w:t>állapotát</w:t>
      </w:r>
    </w:p>
    <w:p w14:paraId="1813FD15" w14:textId="6492BD7E" w:rsidR="00945359" w:rsidRDefault="00220A43" w:rsidP="008F5A8D">
      <w:pPr>
        <w:pStyle w:val="Szvegtrzs"/>
        <w:tabs>
          <w:tab w:val="left" w:pos="567"/>
        </w:tabs>
      </w:pPr>
      <w:r>
        <w:rPr>
          <w:position w:val="2"/>
        </w:rPr>
        <w:t>2</w:t>
      </w:r>
      <w:r w:rsidR="00294835">
        <w:rPr>
          <w:spacing w:val="-2"/>
          <w:position w:val="2"/>
        </w:rPr>
        <w:t> év</w:t>
      </w:r>
      <w:r>
        <w:rPr>
          <w:position w:val="2"/>
        </w:rPr>
        <w:t>ig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követték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nyomon.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CHADS</w:t>
      </w:r>
      <w:r>
        <w:rPr>
          <w:sz w:val="14"/>
        </w:rPr>
        <w:t>2</w:t>
      </w:r>
      <w:r>
        <w:rPr>
          <w:spacing w:val="18"/>
          <w:sz w:val="14"/>
        </w:rPr>
        <w:t xml:space="preserve"> </w:t>
      </w:r>
      <w:r>
        <w:rPr>
          <w:position w:val="2"/>
        </w:rPr>
        <w:t>pontszám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átlagértéke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1,9,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HAS-BLED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pontszám</w:t>
      </w:r>
      <w:r>
        <w:rPr>
          <w:spacing w:val="-3"/>
          <w:position w:val="2"/>
        </w:rPr>
        <w:t xml:space="preserve"> </w:t>
      </w:r>
      <w:r>
        <w:rPr>
          <w:position w:val="2"/>
        </w:rPr>
        <w:t xml:space="preserve">átlagértéke </w:t>
      </w:r>
      <w:r>
        <w:t>1,2 volt. A követési idő alatt a kezelés ideje átlagosan 18,3</w:t>
      </w:r>
      <w:r w:rsidR="002E2A7B">
        <w:t> hónap</w:t>
      </w:r>
      <w:r>
        <w:t xml:space="preserve"> volt. Major vérzés</w:t>
      </w:r>
    </w:p>
    <w:p w14:paraId="51E0CEB1" w14:textId="7241B1C8" w:rsidR="00945359" w:rsidRDefault="00220A43" w:rsidP="008F5A8D">
      <w:pPr>
        <w:pStyle w:val="Szvegtrzs"/>
        <w:tabs>
          <w:tab w:val="left" w:pos="567"/>
        </w:tabs>
      </w:pPr>
      <w:r>
        <w:t>0,97</w:t>
      </w:r>
      <w:r w:rsidR="00557363">
        <w:rPr>
          <w:spacing w:val="-7"/>
        </w:rPr>
        <w:t> </w:t>
      </w:r>
      <w:r>
        <w:t>esemény/100</w:t>
      </w:r>
      <w:r w:rsidR="00557363">
        <w:rPr>
          <w:spacing w:val="-7"/>
        </w:rPr>
        <w:t> betegév</w:t>
      </w:r>
      <w:r>
        <w:rPr>
          <w:spacing w:val="-8"/>
        </w:rPr>
        <w:t xml:space="preserve"> </w:t>
      </w:r>
      <w:r>
        <w:t>gyakorisággal</w:t>
      </w:r>
      <w:r>
        <w:rPr>
          <w:spacing w:val="-8"/>
        </w:rPr>
        <w:t xml:space="preserve"> </w:t>
      </w:r>
      <w:r>
        <w:t>fordult</w:t>
      </w:r>
      <w:r>
        <w:rPr>
          <w:spacing w:val="-7"/>
        </w:rPr>
        <w:t xml:space="preserve"> </w:t>
      </w:r>
      <w:r>
        <w:t>elő.</w:t>
      </w:r>
      <w:r>
        <w:rPr>
          <w:spacing w:val="-8"/>
        </w:rPr>
        <w:t xml:space="preserve"> </w:t>
      </w:r>
      <w:r w:rsidR="002B2C85">
        <w:t>Az é</w:t>
      </w:r>
      <w:r>
        <w:t>letveszélyes</w:t>
      </w:r>
      <w:r>
        <w:rPr>
          <w:spacing w:val="-8"/>
        </w:rPr>
        <w:t xml:space="preserve"> </w:t>
      </w:r>
      <w:r>
        <w:t>vérzés</w:t>
      </w:r>
      <w:r>
        <w:rPr>
          <w:spacing w:val="-7"/>
        </w:rPr>
        <w:t xml:space="preserve"> </w:t>
      </w:r>
      <w:r>
        <w:rPr>
          <w:spacing w:val="-2"/>
        </w:rPr>
        <w:t>előfordulása</w:t>
      </w:r>
    </w:p>
    <w:p w14:paraId="386641C1" w14:textId="3458466C" w:rsidR="00945359" w:rsidRDefault="00220A43" w:rsidP="008F5A8D">
      <w:pPr>
        <w:pStyle w:val="Szvegtrzs"/>
        <w:tabs>
          <w:tab w:val="left" w:pos="567"/>
        </w:tabs>
      </w:pPr>
      <w:r>
        <w:t>0,46</w:t>
      </w:r>
      <w:r w:rsidR="00557363">
        <w:t> </w:t>
      </w:r>
      <w:r>
        <w:t>esemény/100</w:t>
      </w:r>
      <w:r w:rsidR="00557363">
        <w:t> betegév</w:t>
      </w:r>
      <w:r>
        <w:t xml:space="preserve">, </w:t>
      </w:r>
      <w:r w:rsidR="002B2C85">
        <w:t xml:space="preserve">az </w:t>
      </w:r>
      <w:r>
        <w:t>intracranialis vérzésé 0,17</w:t>
      </w:r>
      <w:r w:rsidR="00557363">
        <w:t> </w:t>
      </w:r>
      <w:r>
        <w:t>esemény/100</w:t>
      </w:r>
      <w:r w:rsidR="00557363">
        <w:t> betegév</w:t>
      </w:r>
      <w:r>
        <w:t xml:space="preserve">, míg </w:t>
      </w:r>
      <w:r w:rsidR="002B2C85">
        <w:t xml:space="preserve">a </w:t>
      </w:r>
      <w:r>
        <w:t>gastrointestinalis vérzésé</w:t>
      </w:r>
      <w:r>
        <w:rPr>
          <w:spacing w:val="-3"/>
        </w:rPr>
        <w:t xml:space="preserve"> </w:t>
      </w:r>
      <w:r>
        <w:t>0,60</w:t>
      </w:r>
      <w:r w:rsidR="00557363">
        <w:rPr>
          <w:spacing w:val="-3"/>
        </w:rPr>
        <w:t> </w:t>
      </w:r>
      <w:r>
        <w:t>esemény/100</w:t>
      </w:r>
      <w:r w:rsidR="00557363">
        <w:rPr>
          <w:spacing w:val="-2"/>
        </w:rPr>
        <w:t> betegév</w:t>
      </w:r>
      <w:r>
        <w:rPr>
          <w:spacing w:val="-3"/>
        </w:rPr>
        <w:t xml:space="preserve"> </w:t>
      </w:r>
      <w:r>
        <w:t>volt.</w:t>
      </w:r>
      <w:r>
        <w:rPr>
          <w:spacing w:val="-3"/>
        </w:rPr>
        <w:t xml:space="preserve"> </w:t>
      </w:r>
      <w:r>
        <w:t>Stroke</w:t>
      </w:r>
      <w:r>
        <w:rPr>
          <w:spacing w:val="-3"/>
        </w:rPr>
        <w:t xml:space="preserve"> </w:t>
      </w:r>
      <w:r>
        <w:t>0,65</w:t>
      </w:r>
      <w:r w:rsidR="00557363">
        <w:rPr>
          <w:spacing w:val="-3"/>
        </w:rPr>
        <w:t> </w:t>
      </w:r>
      <w:r>
        <w:t>esemény/100</w:t>
      </w:r>
      <w:r w:rsidR="00557363">
        <w:rPr>
          <w:spacing w:val="-2"/>
        </w:rPr>
        <w:t> betegév</w:t>
      </w:r>
      <w:r>
        <w:rPr>
          <w:spacing w:val="-3"/>
        </w:rPr>
        <w:t xml:space="preserve"> </w:t>
      </w:r>
      <w:r>
        <w:t>gyakorisággal</w:t>
      </w:r>
      <w:r>
        <w:rPr>
          <w:spacing w:val="-3"/>
        </w:rPr>
        <w:t xml:space="preserve"> </w:t>
      </w:r>
      <w:r>
        <w:t>fordult</w:t>
      </w:r>
      <w:r>
        <w:rPr>
          <w:spacing w:val="-3"/>
        </w:rPr>
        <w:t xml:space="preserve"> </w:t>
      </w:r>
      <w:r>
        <w:t>elő.</w:t>
      </w:r>
    </w:p>
    <w:p w14:paraId="45F560B4" w14:textId="77777777" w:rsidR="00945359" w:rsidRDefault="00945359" w:rsidP="008F5A8D">
      <w:pPr>
        <w:pStyle w:val="Szvegtrzs"/>
        <w:tabs>
          <w:tab w:val="left" w:pos="567"/>
        </w:tabs>
      </w:pPr>
    </w:p>
    <w:p w14:paraId="6A23E6B3" w14:textId="62658456" w:rsidR="00945359" w:rsidRDefault="00220A43" w:rsidP="008F5A8D">
      <w:pPr>
        <w:pStyle w:val="Szvegtrzs"/>
        <w:tabs>
          <w:tab w:val="left" w:pos="567"/>
        </w:tabs>
      </w:pPr>
      <w:r>
        <w:t xml:space="preserve">Továbbá, egy beavatkozással nem járó vizsgálatban </w:t>
      </w:r>
      <w:r w:rsidR="00557363">
        <w:t>(</w:t>
      </w:r>
      <w:r>
        <w:t>Graham DJ és mtsai., Circulation 2015;131:157</w:t>
      </w:r>
      <w:r w:rsidR="00557363">
        <w:t>–</w:t>
      </w:r>
      <w:r>
        <w:t>164</w:t>
      </w:r>
      <w:r w:rsidR="00557363">
        <w:t>)</w:t>
      </w:r>
      <w:r>
        <w:t xml:space="preserve"> az Egyesült Államokban, több mint 134</w:t>
      </w:r>
      <w:r w:rsidR="00B95CAF">
        <w:t> 000</w:t>
      </w:r>
      <w:r>
        <w:t xml:space="preserve"> idős, nem </w:t>
      </w:r>
      <w:r w:rsidR="00AB32E4">
        <w:t>billentyűeredetű</w:t>
      </w:r>
      <w:r>
        <w:t xml:space="preserve"> pitvarfibrillációban</w:t>
      </w:r>
      <w:r>
        <w:rPr>
          <w:spacing w:val="-3"/>
        </w:rPr>
        <w:t xml:space="preserve"> </w:t>
      </w:r>
      <w:r>
        <w:t>szenvedő</w:t>
      </w:r>
      <w:r w:rsidR="00B95CAF">
        <w:rPr>
          <w:spacing w:val="-3"/>
        </w:rPr>
        <w:t> betegnél</w:t>
      </w:r>
      <w:r>
        <w:rPr>
          <w:spacing w:val="-3"/>
        </w:rPr>
        <w:t xml:space="preserve"> </w:t>
      </w:r>
      <w:r>
        <w:t>(több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37</w:t>
      </w:r>
      <w:r w:rsidR="00557363">
        <w:rPr>
          <w:spacing w:val="-3"/>
        </w:rPr>
        <w:t> </w:t>
      </w:r>
      <w:r>
        <w:t>500</w:t>
      </w:r>
      <w:r w:rsidR="00557363">
        <w:rPr>
          <w:spacing w:val="-2"/>
        </w:rPr>
        <w:t> betegév</w:t>
      </w:r>
      <w:r>
        <w:t>nyi</w:t>
      </w:r>
      <w:r>
        <w:rPr>
          <w:spacing w:val="-3"/>
        </w:rPr>
        <w:t xml:space="preserve"> </w:t>
      </w:r>
      <w:r>
        <w:t>terápiás</w:t>
      </w:r>
      <w:r>
        <w:rPr>
          <w:spacing w:val="-3"/>
        </w:rPr>
        <w:t xml:space="preserve"> </w:t>
      </w:r>
      <w:r>
        <w:t>utánkövetési</w:t>
      </w:r>
      <w:r>
        <w:rPr>
          <w:spacing w:val="-3"/>
        </w:rPr>
        <w:t xml:space="preserve"> </w:t>
      </w:r>
      <w:r>
        <w:t>időt</w:t>
      </w:r>
      <w:r w:rsidR="00557363">
        <w:t xml:space="preserve"> </w:t>
      </w:r>
      <w:r>
        <w:t>szolgáltatva) a warfarinnal összehasonlítva, a dabigatrán-etexilát</w:t>
      </w:r>
      <w:r w:rsidR="002B2C85">
        <w:t xml:space="preserve"> alkalmazásá</w:t>
      </w:r>
      <w:r>
        <w:t>t (a betegek 84%-a napi 150</w:t>
      </w:r>
      <w:r w:rsidR="00294835">
        <w:t> mg</w:t>
      </w:r>
      <w:r>
        <w:t>-ot, 16%-a 75</w:t>
      </w:r>
      <w:r w:rsidR="00294835">
        <w:t> mg</w:t>
      </w:r>
      <w:r>
        <w:t>-ot kapott) összefüggésbe hozták az ischaemiás stroke (relatív hazárd: 0,80, 95%-os konfidenciaintervallum,</w:t>
      </w:r>
      <w:r>
        <w:rPr>
          <w:spacing w:val="-2"/>
        </w:rPr>
        <w:t xml:space="preserve"> </w:t>
      </w:r>
      <w:r>
        <w:t>[CI]</w:t>
      </w:r>
      <w:r>
        <w:rPr>
          <w:spacing w:val="-2"/>
        </w:rPr>
        <w:t xml:space="preserve"> </w:t>
      </w:r>
      <w:r>
        <w:t>0,67,</w:t>
      </w:r>
      <w:r>
        <w:rPr>
          <w:spacing w:val="-2"/>
        </w:rPr>
        <w:t xml:space="preserve"> </w:t>
      </w:r>
      <w:r>
        <w:t>0,96),</w:t>
      </w:r>
      <w:r>
        <w:rPr>
          <w:spacing w:val="-2"/>
        </w:rPr>
        <w:t xml:space="preserve"> </w:t>
      </w:r>
      <w:r>
        <w:t>intracranialis</w:t>
      </w:r>
      <w:r>
        <w:rPr>
          <w:spacing w:val="-2"/>
        </w:rPr>
        <w:t xml:space="preserve"> </w:t>
      </w:r>
      <w:r>
        <w:t>vérzés</w:t>
      </w:r>
      <w:r>
        <w:rPr>
          <w:spacing w:val="-2"/>
        </w:rPr>
        <w:t xml:space="preserve"> </w:t>
      </w:r>
      <w:r>
        <w:t>(relatív</w:t>
      </w:r>
      <w:r>
        <w:rPr>
          <w:spacing w:val="-2"/>
        </w:rPr>
        <w:t xml:space="preserve"> </w:t>
      </w:r>
      <w:r>
        <w:t>hazárd:</w:t>
      </w:r>
      <w:r>
        <w:rPr>
          <w:spacing w:val="-2"/>
        </w:rPr>
        <w:t xml:space="preserve"> </w:t>
      </w:r>
      <w:r>
        <w:t>0,34,</w:t>
      </w:r>
      <w:r>
        <w:rPr>
          <w:spacing w:val="-2"/>
        </w:rPr>
        <w:t xml:space="preserve"> </w:t>
      </w:r>
      <w:r>
        <w:t>CI</w:t>
      </w:r>
      <w:r>
        <w:rPr>
          <w:spacing w:val="-6"/>
        </w:rPr>
        <w:t xml:space="preserve"> </w:t>
      </w:r>
      <w:r>
        <w:t>0,26,</w:t>
      </w:r>
      <w:r>
        <w:rPr>
          <w:spacing w:val="-2"/>
        </w:rPr>
        <w:t xml:space="preserve"> </w:t>
      </w:r>
      <w:r>
        <w:t>0,46)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 mortalitás (relatív hazárd: 0,86</w:t>
      </w:r>
      <w:r w:rsidR="00557363">
        <w:t>;</w:t>
      </w:r>
      <w:r>
        <w:t xml:space="preserve"> CI 0,77, 0,96) csökkent kockázatával, valamint a gastrointestinalis vérzések kockázatának megnövekedésével (relatív hazárd: 1,28</w:t>
      </w:r>
      <w:r w:rsidR="00557363">
        <w:t>;</w:t>
      </w:r>
      <w:r>
        <w:t xml:space="preserve"> CI 1,14, 1,44). A főbb vérzéses</w:t>
      </w:r>
      <w:r w:rsidR="00557363">
        <w:t xml:space="preserve"> </w:t>
      </w:r>
      <w:r>
        <w:t>események</w:t>
      </w:r>
      <w:r>
        <w:rPr>
          <w:spacing w:val="-8"/>
        </w:rPr>
        <w:t xml:space="preserve"> </w:t>
      </w:r>
      <w:r>
        <w:t>számában</w:t>
      </w:r>
      <w:r>
        <w:rPr>
          <w:spacing w:val="-6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t>volt</w:t>
      </w:r>
      <w:r>
        <w:rPr>
          <w:spacing w:val="-6"/>
        </w:rPr>
        <w:t xml:space="preserve"> </w:t>
      </w:r>
      <w:r>
        <w:t>különbség</w:t>
      </w:r>
      <w:r>
        <w:rPr>
          <w:spacing w:val="-6"/>
        </w:rPr>
        <w:t xml:space="preserve"> </w:t>
      </w:r>
      <w:r>
        <w:t>(relatív</w:t>
      </w:r>
      <w:r>
        <w:rPr>
          <w:spacing w:val="-5"/>
        </w:rPr>
        <w:t xml:space="preserve"> </w:t>
      </w:r>
      <w:r>
        <w:t>hazárd:</w:t>
      </w:r>
      <w:r>
        <w:rPr>
          <w:spacing w:val="-6"/>
        </w:rPr>
        <w:t xml:space="preserve"> </w:t>
      </w:r>
      <w:r>
        <w:t>0,97</w:t>
      </w:r>
      <w:r w:rsidR="00557363">
        <w:t>;</w:t>
      </w:r>
      <w:r>
        <w:rPr>
          <w:spacing w:val="-5"/>
        </w:rPr>
        <w:t xml:space="preserve"> </w:t>
      </w:r>
      <w:r>
        <w:t>CI</w:t>
      </w:r>
      <w:r>
        <w:rPr>
          <w:spacing w:val="-10"/>
        </w:rPr>
        <w:t xml:space="preserve"> </w:t>
      </w:r>
      <w:r>
        <w:t>0,88,</w:t>
      </w:r>
      <w:r>
        <w:rPr>
          <w:spacing w:val="-4"/>
        </w:rPr>
        <w:t xml:space="preserve"> </w:t>
      </w:r>
      <w:r>
        <w:rPr>
          <w:spacing w:val="-2"/>
        </w:rPr>
        <w:t>1,07).</w:t>
      </w:r>
    </w:p>
    <w:p w14:paraId="7E565397" w14:textId="77777777" w:rsidR="00945359" w:rsidRDefault="00945359" w:rsidP="008F5A8D">
      <w:pPr>
        <w:pStyle w:val="Szvegtrzs"/>
        <w:tabs>
          <w:tab w:val="left" w:pos="567"/>
        </w:tabs>
      </w:pPr>
    </w:p>
    <w:p w14:paraId="50D1BDA4" w14:textId="77777777" w:rsidR="00945359" w:rsidRDefault="00220A43" w:rsidP="008F5A8D">
      <w:pPr>
        <w:pStyle w:val="Szvegtrzs"/>
        <w:tabs>
          <w:tab w:val="left" w:pos="567"/>
        </w:tabs>
      </w:pPr>
      <w:r>
        <w:t>Ezek a valós körülmények közül származó megfigyelések összhangban állnak a dabigatrán-etexilát RE-LY</w:t>
      </w:r>
      <w:r>
        <w:rPr>
          <w:spacing w:val="-4"/>
        </w:rPr>
        <w:t xml:space="preserve"> </w:t>
      </w:r>
      <w:r>
        <w:t>vizsgálatban</w:t>
      </w:r>
      <w:r>
        <w:rPr>
          <w:spacing w:val="-4"/>
        </w:rPr>
        <w:t xml:space="preserve"> </w:t>
      </w:r>
      <w:r>
        <w:t>meghatározott</w:t>
      </w:r>
      <w:r>
        <w:rPr>
          <w:spacing w:val="-4"/>
        </w:rPr>
        <w:t xml:space="preserve"> </w:t>
      </w:r>
      <w:r>
        <w:t>hatásossági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biztonságossági</w:t>
      </w:r>
      <w:r>
        <w:rPr>
          <w:spacing w:val="-4"/>
        </w:rPr>
        <w:t xml:space="preserve"> </w:t>
      </w:r>
      <w:r>
        <w:t>profiljával</w:t>
      </w:r>
      <w:r>
        <w:rPr>
          <w:spacing w:val="-4"/>
        </w:rPr>
        <w:t xml:space="preserve"> </w:t>
      </w:r>
      <w:r>
        <w:t>ezen</w:t>
      </w:r>
      <w:r>
        <w:rPr>
          <w:spacing w:val="-4"/>
        </w:rPr>
        <w:t xml:space="preserve"> </w:t>
      </w:r>
      <w:r>
        <w:t>indikáció</w:t>
      </w:r>
      <w:r>
        <w:rPr>
          <w:spacing w:val="-4"/>
        </w:rPr>
        <w:t xml:space="preserve"> </w:t>
      </w:r>
      <w:r>
        <w:t>esetében.</w:t>
      </w:r>
    </w:p>
    <w:p w14:paraId="19652B1A" w14:textId="77777777" w:rsidR="00945359" w:rsidRDefault="00945359" w:rsidP="008F5A8D">
      <w:pPr>
        <w:pStyle w:val="Szvegtrzs"/>
        <w:tabs>
          <w:tab w:val="left" w:pos="567"/>
        </w:tabs>
      </w:pPr>
    </w:p>
    <w:p w14:paraId="593334D9" w14:textId="6B92CB4E" w:rsidR="00945359" w:rsidRDefault="00220A43" w:rsidP="008F5A8D">
      <w:pPr>
        <w:tabs>
          <w:tab w:val="left" w:pos="567"/>
        </w:tabs>
        <w:rPr>
          <w:i/>
        </w:rPr>
      </w:pPr>
      <w:r>
        <w:rPr>
          <w:i/>
        </w:rPr>
        <w:t>Betegek,</w:t>
      </w:r>
      <w:r>
        <w:rPr>
          <w:i/>
          <w:spacing w:val="-10"/>
        </w:rPr>
        <w:t xml:space="preserve"> </w:t>
      </w:r>
      <w:r>
        <w:rPr>
          <w:i/>
        </w:rPr>
        <w:t>akik</w:t>
      </w:r>
      <w:r w:rsidR="00557363">
        <w:rPr>
          <w:i/>
        </w:rPr>
        <w:t>nél</w:t>
      </w:r>
      <w:r>
        <w:rPr>
          <w:i/>
          <w:spacing w:val="-10"/>
        </w:rPr>
        <w:t xml:space="preserve"> </w:t>
      </w:r>
      <w:r>
        <w:rPr>
          <w:i/>
        </w:rPr>
        <w:t>stent</w:t>
      </w:r>
      <w:r>
        <w:rPr>
          <w:i/>
          <w:spacing w:val="-9"/>
        </w:rPr>
        <w:t xml:space="preserve"> </w:t>
      </w:r>
      <w:r>
        <w:rPr>
          <w:i/>
        </w:rPr>
        <w:t>alkalmazásával</w:t>
      </w:r>
      <w:r>
        <w:rPr>
          <w:i/>
          <w:spacing w:val="-10"/>
        </w:rPr>
        <w:t xml:space="preserve"> </w:t>
      </w:r>
      <w:r>
        <w:rPr>
          <w:i/>
        </w:rPr>
        <w:t>perkután</w:t>
      </w:r>
      <w:r>
        <w:rPr>
          <w:i/>
          <w:spacing w:val="-9"/>
        </w:rPr>
        <w:t xml:space="preserve"> </w:t>
      </w:r>
      <w:r>
        <w:rPr>
          <w:i/>
        </w:rPr>
        <w:t>koronáriaintervenciót</w:t>
      </w:r>
      <w:r>
        <w:rPr>
          <w:i/>
          <w:spacing w:val="-10"/>
        </w:rPr>
        <w:t xml:space="preserve"> </w:t>
      </w:r>
      <w:r>
        <w:rPr>
          <w:i/>
        </w:rPr>
        <w:t>(PCI)</w:t>
      </w:r>
      <w:r>
        <w:rPr>
          <w:i/>
          <w:spacing w:val="-9"/>
        </w:rPr>
        <w:t xml:space="preserve"> </w:t>
      </w:r>
      <w:r>
        <w:rPr>
          <w:i/>
          <w:spacing w:val="-2"/>
        </w:rPr>
        <w:t>végeztek</w:t>
      </w:r>
    </w:p>
    <w:p w14:paraId="1C7F4FB6" w14:textId="78827346" w:rsidR="00945359" w:rsidRDefault="00220A43" w:rsidP="008F5A8D">
      <w:pPr>
        <w:pStyle w:val="Szvegtrzs"/>
        <w:tabs>
          <w:tab w:val="left" w:pos="567"/>
        </w:tabs>
      </w:pPr>
      <w:r>
        <w:t>Egy prospektív, randomizált, nyílt, vak</w:t>
      </w:r>
      <w:r w:rsidR="002B2C85">
        <w:t>osított</w:t>
      </w:r>
      <w:r>
        <w:t xml:space="preserve"> végpontú (PROBE) vizsgálatot (IIIb.</w:t>
      </w:r>
      <w:r w:rsidR="00294835">
        <w:t> fázis</w:t>
      </w:r>
      <w:r>
        <w:t>) 2725 olyan beteg bevonásával végeztek, akiknek nem valvularis pitvarfibrillációjuk volt</w:t>
      </w:r>
      <w:r w:rsidR="00557363">
        <w:t>,</w:t>
      </w:r>
      <w:r>
        <w:t xml:space="preserve"> és akik</w:t>
      </w:r>
      <w:r w:rsidR="00557363">
        <w:t>nél</w:t>
      </w:r>
      <w:r>
        <w:t xml:space="preserve"> stent alkalmazásával perkután koronáriaintervenciót (RE-DUAL PCI) </w:t>
      </w:r>
      <w:r w:rsidR="002B2C85">
        <w:t>végeztek</w:t>
      </w:r>
      <w:r>
        <w:t>. A vizsgálat célja a kettős terápia és a hármas terápia összehasonlító értékelése volt: kettős terápia dabigatrán-etexilát (napi kétszeri 110 vagy 150</w:t>
      </w:r>
      <w:r w:rsidR="00294835">
        <w:t> mg</w:t>
      </w:r>
      <w:r>
        <w:t>) klopidogrellel vagy ti</w:t>
      </w:r>
      <w:r w:rsidR="00557363">
        <w:t>k</w:t>
      </w:r>
      <w:r>
        <w:t>agrelorral (P2Y12</w:t>
      </w:r>
      <w:r w:rsidR="00557363">
        <w:t>-</w:t>
      </w:r>
      <w:r>
        <w:t>antagonista) és a hármas terápia warfarinnal (2,0-3,0-s INR-értékhez igazított dózissal) és klopidogrellel vagy ti</w:t>
      </w:r>
      <w:r w:rsidR="00557363">
        <w:t>k</w:t>
      </w:r>
      <w:r>
        <w:t>agrelorral és ASA-val összehasonlítva. A betegeket az alábbi csoportok egyikébe randomizálták: kettős terápia napi kétszeri 110</w:t>
      </w:r>
      <w:r w:rsidR="00294835">
        <w:t> mg</w:t>
      </w:r>
      <w:r>
        <w:t xml:space="preserve"> dabigatrán-etexilát, kettős terápia</w:t>
      </w:r>
      <w:r w:rsidR="00294835">
        <w:t> nap</w:t>
      </w:r>
      <w:r>
        <w:t>i kétszeri 150</w:t>
      </w:r>
      <w:r w:rsidR="00294835">
        <w:t> mg</w:t>
      </w:r>
      <w:r>
        <w:t xml:space="preserve"> dabigatrán-etexilát és hármas terápia warfarinnal. Az Amerikai Egyesült Államokon kívüli idős betegeket (Japán esetén 70</w:t>
      </w:r>
      <w:r w:rsidR="00294835">
        <w:t> év</w:t>
      </w:r>
      <w:r>
        <w:t xml:space="preserve"> felett, más országok</w:t>
      </w:r>
      <w:r>
        <w:rPr>
          <w:spacing w:val="-2"/>
        </w:rPr>
        <w:t xml:space="preserve"> </w:t>
      </w:r>
      <w:r>
        <w:t>esetén</w:t>
      </w:r>
      <w:r>
        <w:rPr>
          <w:spacing w:val="-2"/>
        </w:rPr>
        <w:t xml:space="preserve"> </w:t>
      </w:r>
      <w:r>
        <w:t>80</w:t>
      </w:r>
      <w:r w:rsidR="00294835">
        <w:rPr>
          <w:spacing w:val="-1"/>
        </w:rPr>
        <w:t> év</w:t>
      </w:r>
      <w:r>
        <w:rPr>
          <w:spacing w:val="-2"/>
        </w:rPr>
        <w:t xml:space="preserve"> </w:t>
      </w:r>
      <w:r>
        <w:t>felett)</w:t>
      </w:r>
      <w:r>
        <w:rPr>
          <w:spacing w:val="-2"/>
        </w:rPr>
        <w:t xml:space="preserve"> </w:t>
      </w:r>
      <w:r>
        <w:t>randomizált</w:t>
      </w:r>
      <w:r>
        <w:rPr>
          <w:spacing w:val="-2"/>
        </w:rPr>
        <w:t xml:space="preserve"> </w:t>
      </w:r>
      <w:r>
        <w:t>módon</w:t>
      </w:r>
      <w:r>
        <w:rPr>
          <w:spacing w:val="-2"/>
        </w:rPr>
        <w:t xml:space="preserve"> </w:t>
      </w:r>
      <w:r>
        <w:t>osztották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napi</w:t>
      </w:r>
      <w:r>
        <w:rPr>
          <w:spacing w:val="-2"/>
        </w:rPr>
        <w:t xml:space="preserve"> </w:t>
      </w:r>
      <w:r>
        <w:t>kétszeri</w:t>
      </w:r>
      <w:r>
        <w:rPr>
          <w:spacing w:val="-2"/>
        </w:rPr>
        <w:t xml:space="preserve"> </w:t>
      </w:r>
      <w:r>
        <w:t>110</w:t>
      </w:r>
      <w:r w:rsidR="00294835">
        <w:rPr>
          <w:spacing w:val="-3"/>
        </w:rPr>
        <w:t> mg</w:t>
      </w:r>
      <w:r>
        <w:rPr>
          <w:spacing w:val="-3"/>
        </w:rPr>
        <w:t xml:space="preserve"> </w:t>
      </w:r>
      <w:r>
        <w:t>dabigatrán- etexilát kettős terápiás csoportba vagy a warfarinos hármas terápiás csoportba. Az elsődleges végpont egy kombinált végpont volt: az ISTH (International Society on Thrombosis and Haemostasis) definíciója szerinti jelentős vérzések vagy klinikailag releváns, nem jelentős vérzéses események.</w:t>
      </w:r>
    </w:p>
    <w:p w14:paraId="5B21BBA7" w14:textId="77777777" w:rsidR="00945359" w:rsidRDefault="00945359" w:rsidP="008F5A8D">
      <w:pPr>
        <w:pStyle w:val="Szvegtrzs"/>
        <w:tabs>
          <w:tab w:val="left" w:pos="567"/>
        </w:tabs>
      </w:pPr>
    </w:p>
    <w:p w14:paraId="3828DAE6" w14:textId="5B6DF1B0" w:rsidR="00945359" w:rsidRDefault="00220A43" w:rsidP="008F5A8D">
      <w:pPr>
        <w:pStyle w:val="Szvegtrzs"/>
        <w:tabs>
          <w:tab w:val="left" w:pos="567"/>
        </w:tabs>
      </w:pPr>
      <w:r>
        <w:t>Az elsődleges végpont incidenciája 15,4% volt (151</w:t>
      </w:r>
      <w:r w:rsidR="00043989">
        <w:t> </w:t>
      </w:r>
      <w:r>
        <w:t>beteg) a napi kétszeri 110</w:t>
      </w:r>
      <w:r w:rsidR="00294835">
        <w:t> mg</w:t>
      </w:r>
      <w:r>
        <w:t>-os dabigatrán- etexilát kettős terápiás csoportban, ezzel szemben 26,9% (264</w:t>
      </w:r>
      <w:r w:rsidR="00043989">
        <w:t> </w:t>
      </w:r>
      <w:r>
        <w:t>beteg) a warfarinos hármas terápiás csoportban</w:t>
      </w:r>
      <w:r>
        <w:rPr>
          <w:spacing w:val="-2"/>
        </w:rPr>
        <w:t xml:space="preserve"> </w:t>
      </w:r>
      <w:r>
        <w:t>(HR</w:t>
      </w:r>
      <w:r>
        <w:rPr>
          <w:spacing w:val="-2"/>
        </w:rPr>
        <w:t xml:space="preserve"> </w:t>
      </w:r>
      <w:r>
        <w:t>0,52;</w:t>
      </w:r>
      <w:r>
        <w:rPr>
          <w:spacing w:val="-2"/>
        </w:rPr>
        <w:t xml:space="preserve"> </w:t>
      </w:r>
      <w:r>
        <w:t>95%</w:t>
      </w:r>
      <w:r>
        <w:rPr>
          <w:spacing w:val="-3"/>
        </w:rPr>
        <w:t xml:space="preserve"> </w:t>
      </w:r>
      <w:r>
        <w:t>CI</w:t>
      </w:r>
      <w:r>
        <w:rPr>
          <w:spacing w:val="-5"/>
        </w:rPr>
        <w:t xml:space="preserve"> </w:t>
      </w:r>
      <w:r>
        <w:t>0,42,</w:t>
      </w:r>
      <w:r>
        <w:rPr>
          <w:spacing w:val="-1"/>
        </w:rPr>
        <w:t xml:space="preserve"> </w:t>
      </w:r>
      <w:r>
        <w:t>0,63;</w:t>
      </w:r>
      <w:r>
        <w:rPr>
          <w:spacing w:val="-1"/>
        </w:rPr>
        <w:t xml:space="preserve"> </w:t>
      </w:r>
      <w:r>
        <w:t>noninferior</w:t>
      </w:r>
      <w:r>
        <w:rPr>
          <w:spacing w:val="-1"/>
        </w:rPr>
        <w:t xml:space="preserve"> </w:t>
      </w:r>
      <w:r>
        <w:t>p</w:t>
      </w:r>
      <w:r>
        <w:rPr>
          <w:spacing w:val="-1"/>
        </w:rPr>
        <w:t xml:space="preserve"> </w:t>
      </w:r>
      <w:r w:rsidR="00B95CAF">
        <w:t>&lt;</w:t>
      </w:r>
      <w:r>
        <w:t>0,0001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szuperior</w:t>
      </w:r>
      <w:r>
        <w:rPr>
          <w:spacing w:val="-2"/>
        </w:rPr>
        <w:t xml:space="preserve"> </w:t>
      </w:r>
      <w:r>
        <w:t>p</w:t>
      </w:r>
      <w:r>
        <w:rPr>
          <w:spacing w:val="-4"/>
        </w:rPr>
        <w:t xml:space="preserve"> </w:t>
      </w:r>
      <w:r w:rsidR="00B95CAF">
        <w:t>&lt;</w:t>
      </w:r>
      <w:r>
        <w:t>0,0001)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20,2% (154</w:t>
      </w:r>
      <w:r w:rsidR="00043989">
        <w:t> </w:t>
      </w:r>
      <w:r>
        <w:t>beteg) a napi 150</w:t>
      </w:r>
      <w:r w:rsidR="00294835">
        <w:t> mg</w:t>
      </w:r>
      <w:r>
        <w:t xml:space="preserve"> dabigatrán-etexilát kettős terápiás csoportban, ezzel szemben 25,7%</w:t>
      </w:r>
      <w:r>
        <w:rPr>
          <w:spacing w:val="40"/>
        </w:rPr>
        <w:t xml:space="preserve"> </w:t>
      </w:r>
      <w:r>
        <w:t>(196</w:t>
      </w:r>
      <w:r w:rsidR="00043989">
        <w:t> </w:t>
      </w:r>
      <w:r>
        <w:t xml:space="preserve">beteg) a megfelelő warfarinos hármas terápiás csoportban (HR 0,72; 95% CI 0,58, 0,88; noninferior p </w:t>
      </w:r>
      <w:r w:rsidR="00B95CAF">
        <w:t>&lt;</w:t>
      </w:r>
      <w:r>
        <w:t>0,0001 és szuperior p</w:t>
      </w:r>
      <w:r w:rsidR="00043989">
        <w:t> </w:t>
      </w:r>
      <w:r>
        <w:t>=</w:t>
      </w:r>
      <w:r w:rsidR="00043989">
        <w:t> </w:t>
      </w:r>
      <w:r>
        <w:t>0,002). A leíró elemzés részeként, a TIMI (Thrombolysis In</w:t>
      </w:r>
    </w:p>
    <w:p w14:paraId="12626C3E" w14:textId="14E17214" w:rsidR="00945359" w:rsidRDefault="00220A43" w:rsidP="008F5A8D">
      <w:pPr>
        <w:pStyle w:val="Szvegtrzs"/>
        <w:tabs>
          <w:tab w:val="left" w:pos="567"/>
        </w:tabs>
      </w:pPr>
      <w:r>
        <w:t>Myocardial Infarction, Thrombolysis Myocardi</w:t>
      </w:r>
      <w:r w:rsidR="00043989">
        <w:t>a</w:t>
      </w:r>
      <w:r>
        <w:t xml:space="preserve">lis Infarctus esetén) szerinti főbb vérzéses események száma </w:t>
      </w:r>
      <w:r w:rsidR="00043989">
        <w:t>kisebb</w:t>
      </w:r>
      <w:r>
        <w:t xml:space="preserve"> volt mindkét dabigatrán-etexiláttal kezelt kettős terápiás csoportban mint a warfarinos hármas terápiás csoportban: 14</w:t>
      </w:r>
      <w:r w:rsidR="00043989">
        <w:t> </w:t>
      </w:r>
      <w:r>
        <w:t>esemény (1,4%) a napi kétszeri 110</w:t>
      </w:r>
      <w:r w:rsidR="00294835">
        <w:t> mg</w:t>
      </w:r>
      <w:r>
        <w:t xml:space="preserve"> dabigatrán-etexilát kettős</w:t>
      </w:r>
      <w:r>
        <w:rPr>
          <w:spacing w:val="-1"/>
        </w:rPr>
        <w:t xml:space="preserve"> </w:t>
      </w:r>
      <w:r>
        <w:t>terápiás</w:t>
      </w:r>
      <w:r>
        <w:rPr>
          <w:spacing w:val="-1"/>
        </w:rPr>
        <w:t xml:space="preserve"> </w:t>
      </w:r>
      <w:r>
        <w:t>csoportban,</w:t>
      </w:r>
      <w:r>
        <w:rPr>
          <w:spacing w:val="-1"/>
        </w:rPr>
        <w:t xml:space="preserve"> </w:t>
      </w:r>
      <w:r>
        <w:t>ezzel</w:t>
      </w:r>
      <w:r>
        <w:rPr>
          <w:spacing w:val="-1"/>
        </w:rPr>
        <w:t xml:space="preserve"> </w:t>
      </w:r>
      <w:r>
        <w:t>szemben</w:t>
      </w:r>
      <w:r>
        <w:rPr>
          <w:spacing w:val="-1"/>
        </w:rPr>
        <w:t xml:space="preserve"> </w:t>
      </w:r>
      <w:r>
        <w:t>37</w:t>
      </w:r>
      <w:r w:rsidR="00043989">
        <w:rPr>
          <w:spacing w:val="-1"/>
        </w:rPr>
        <w:t> </w:t>
      </w:r>
      <w:r>
        <w:t>esemény</w:t>
      </w:r>
      <w:r>
        <w:rPr>
          <w:spacing w:val="-1"/>
        </w:rPr>
        <w:t xml:space="preserve"> </w:t>
      </w:r>
      <w:r>
        <w:t>(3,8%)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warfarinos</w:t>
      </w:r>
      <w:r>
        <w:rPr>
          <w:spacing w:val="-1"/>
        </w:rPr>
        <w:t xml:space="preserve"> </w:t>
      </w:r>
      <w:r>
        <w:t>hármas</w:t>
      </w:r>
      <w:r>
        <w:rPr>
          <w:spacing w:val="-1"/>
        </w:rPr>
        <w:t xml:space="preserve"> </w:t>
      </w:r>
      <w:r>
        <w:t>terápiás</w:t>
      </w:r>
      <w:r>
        <w:rPr>
          <w:spacing w:val="-1"/>
        </w:rPr>
        <w:t xml:space="preserve"> </w:t>
      </w:r>
      <w:r>
        <w:t>csoportban (HR</w:t>
      </w:r>
      <w:r w:rsidR="00043989">
        <w:t> </w:t>
      </w:r>
      <w:r>
        <w:t>0,37; 95% CI 0,20, 0,68; p</w:t>
      </w:r>
      <w:r w:rsidR="00043989">
        <w:t> </w:t>
      </w:r>
      <w:r>
        <w:t>=</w:t>
      </w:r>
      <w:r w:rsidR="00043989">
        <w:t> </w:t>
      </w:r>
      <w:r>
        <w:t>0,002) és 16</w:t>
      </w:r>
      <w:r w:rsidR="00043989">
        <w:t> </w:t>
      </w:r>
      <w:r>
        <w:t>esemény (2,1%) a napi kétszeri 150</w:t>
      </w:r>
      <w:r w:rsidR="00294835">
        <w:t> mg</w:t>
      </w:r>
      <w:r>
        <w:t xml:space="preserve"> dabigatrán- etexilát kettős terápiás csoportban, ezzel szemben 30</w:t>
      </w:r>
      <w:r w:rsidR="00043989">
        <w:t> </w:t>
      </w:r>
      <w:r>
        <w:t>esemény (3,9%) a megfelelő warfarinos hármas terápiás csoportban (HR 0,51; 95% CI 0,28, 0,93; p</w:t>
      </w:r>
      <w:r w:rsidR="00043989">
        <w:t> </w:t>
      </w:r>
      <w:r>
        <w:t>=</w:t>
      </w:r>
      <w:r w:rsidR="00043989">
        <w:t> </w:t>
      </w:r>
      <w:r>
        <w:t xml:space="preserve">0,03). Mindkét dabigatrán-etexilát kettős terápiás csoportban </w:t>
      </w:r>
      <w:r w:rsidR="00043989">
        <w:t>kisebb</w:t>
      </w:r>
      <w:r>
        <w:t xml:space="preserve"> volt az intracraniális vérzések </w:t>
      </w:r>
      <w:r w:rsidR="00043989">
        <w:t xml:space="preserve">száma, </w:t>
      </w:r>
      <w:r>
        <w:t>mint a megfelelő warfarinos hármas terápiás csoportokban: 3</w:t>
      </w:r>
      <w:r w:rsidR="00043989">
        <w:t> </w:t>
      </w:r>
      <w:r>
        <w:t>esemény (0,3%) a napi kétszeri 110</w:t>
      </w:r>
      <w:r w:rsidR="00294835">
        <w:t> mg</w:t>
      </w:r>
      <w:r>
        <w:t xml:space="preserve"> dabigatrán-etexilát kettős terápiás csoportban</w:t>
      </w:r>
      <w:r>
        <w:rPr>
          <w:spacing w:val="-3"/>
        </w:rPr>
        <w:t xml:space="preserve"> </w:t>
      </w:r>
      <w:r>
        <w:t>ezzel</w:t>
      </w:r>
      <w:r>
        <w:rPr>
          <w:spacing w:val="-3"/>
        </w:rPr>
        <w:t xml:space="preserve"> </w:t>
      </w:r>
      <w:r>
        <w:t>szemben</w:t>
      </w:r>
      <w:r>
        <w:rPr>
          <w:spacing w:val="-3"/>
        </w:rPr>
        <w:t xml:space="preserve"> </w:t>
      </w:r>
      <w:r>
        <w:t>10</w:t>
      </w:r>
      <w:r w:rsidR="00043989">
        <w:rPr>
          <w:spacing w:val="-3"/>
        </w:rPr>
        <w:t> </w:t>
      </w:r>
      <w:r>
        <w:t>esemény</w:t>
      </w:r>
      <w:r>
        <w:rPr>
          <w:spacing w:val="-3"/>
        </w:rPr>
        <w:t xml:space="preserve"> </w:t>
      </w:r>
      <w:r>
        <w:t>(1,0%)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warfarinos</w:t>
      </w:r>
      <w:r>
        <w:rPr>
          <w:spacing w:val="-3"/>
        </w:rPr>
        <w:t xml:space="preserve"> </w:t>
      </w:r>
      <w:r>
        <w:t>hármas</w:t>
      </w:r>
      <w:r>
        <w:rPr>
          <w:spacing w:val="-3"/>
        </w:rPr>
        <w:t xml:space="preserve"> </w:t>
      </w:r>
      <w:r>
        <w:t>terápiás</w:t>
      </w:r>
      <w:r>
        <w:rPr>
          <w:spacing w:val="-3"/>
        </w:rPr>
        <w:t xml:space="preserve"> </w:t>
      </w:r>
      <w:r>
        <w:t>csoportban</w:t>
      </w:r>
      <w:r>
        <w:rPr>
          <w:spacing w:val="-3"/>
        </w:rPr>
        <w:t xml:space="preserve"> </w:t>
      </w:r>
      <w:r>
        <w:t>(HR</w:t>
      </w:r>
      <w:r w:rsidR="00043989">
        <w:rPr>
          <w:spacing w:val="-3"/>
        </w:rPr>
        <w:t> </w:t>
      </w:r>
      <w:r>
        <w:t>0,30;</w:t>
      </w:r>
      <w:r>
        <w:rPr>
          <w:spacing w:val="-3"/>
        </w:rPr>
        <w:t xml:space="preserve"> </w:t>
      </w:r>
      <w:r>
        <w:t>95% CI</w:t>
      </w:r>
      <w:r>
        <w:rPr>
          <w:spacing w:val="-4"/>
        </w:rPr>
        <w:t xml:space="preserve"> </w:t>
      </w:r>
      <w:r>
        <w:t>0,08, 1,07; p</w:t>
      </w:r>
      <w:r w:rsidR="00043989">
        <w:rPr>
          <w:spacing w:val="-3"/>
        </w:rPr>
        <w:t> </w:t>
      </w:r>
      <w:r>
        <w:t>=</w:t>
      </w:r>
      <w:r w:rsidR="00043989">
        <w:t> </w:t>
      </w:r>
      <w:r>
        <w:t>0,06)</w:t>
      </w:r>
      <w:r>
        <w:rPr>
          <w:spacing w:val="-1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1</w:t>
      </w:r>
      <w:r w:rsidR="00043989">
        <w:t> </w:t>
      </w:r>
      <w:r>
        <w:t>esemény</w:t>
      </w:r>
      <w:r>
        <w:rPr>
          <w:spacing w:val="-1"/>
        </w:rPr>
        <w:t xml:space="preserve"> </w:t>
      </w:r>
      <w:r>
        <w:t>(0,1%)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napi</w:t>
      </w:r>
      <w:r>
        <w:rPr>
          <w:spacing w:val="-1"/>
        </w:rPr>
        <w:t xml:space="preserve"> </w:t>
      </w:r>
      <w:r>
        <w:t>kétszeri</w:t>
      </w:r>
      <w:r>
        <w:rPr>
          <w:spacing w:val="-1"/>
        </w:rPr>
        <w:t xml:space="preserve"> </w:t>
      </w:r>
      <w:r>
        <w:t>150</w:t>
      </w:r>
      <w:r w:rsidR="00294835">
        <w:rPr>
          <w:spacing w:val="-1"/>
        </w:rPr>
        <w:t> mg</w:t>
      </w:r>
      <w:r>
        <w:rPr>
          <w:spacing w:val="-3"/>
        </w:rPr>
        <w:t xml:space="preserve"> </w:t>
      </w:r>
      <w:r>
        <w:t>dabigatrán-etexilát kettős</w:t>
      </w:r>
      <w:r>
        <w:rPr>
          <w:spacing w:val="-1"/>
        </w:rPr>
        <w:t xml:space="preserve"> </w:t>
      </w:r>
      <w:r>
        <w:t>terápiás csoportban, ezzel szemben 8</w:t>
      </w:r>
      <w:r w:rsidR="00043989">
        <w:t> </w:t>
      </w:r>
      <w:r>
        <w:t>esemény (1,0%) a megfelelő warfarinos hármas terápiás csoportban</w:t>
      </w:r>
    </w:p>
    <w:p w14:paraId="64DF5353" w14:textId="3A5204C2" w:rsidR="00945359" w:rsidRDefault="00220A43" w:rsidP="008F5A8D">
      <w:pPr>
        <w:pStyle w:val="Szvegtrzs"/>
        <w:tabs>
          <w:tab w:val="left" w:pos="567"/>
        </w:tabs>
      </w:pPr>
      <w:r>
        <w:t>(HR</w:t>
      </w:r>
      <w:r w:rsidR="00043989">
        <w:t> </w:t>
      </w:r>
      <w:r>
        <w:t>0,12; 95% CI 0,02 0,98; p</w:t>
      </w:r>
      <w:r w:rsidR="00043989">
        <w:t> </w:t>
      </w:r>
      <w:r>
        <w:t>=</w:t>
      </w:r>
      <w:r w:rsidR="00043989">
        <w:t> </w:t>
      </w:r>
      <w:r>
        <w:t>0,047). Az összetett végpontként megjelölt elhalálozás, thromboemb</w:t>
      </w:r>
      <w:r w:rsidR="00043989">
        <w:t>o</w:t>
      </w:r>
      <w:r>
        <w:t>liás</w:t>
      </w:r>
      <w:r>
        <w:rPr>
          <w:spacing w:val="-4"/>
        </w:rPr>
        <w:t xml:space="preserve"> </w:t>
      </w:r>
      <w:r>
        <w:t>események</w:t>
      </w:r>
      <w:r>
        <w:rPr>
          <w:spacing w:val="-4"/>
        </w:rPr>
        <w:t xml:space="preserve"> </w:t>
      </w:r>
      <w:r>
        <w:t>(myocardialis</w:t>
      </w:r>
      <w:r>
        <w:rPr>
          <w:spacing w:val="-4"/>
        </w:rPr>
        <w:t xml:space="preserve"> </w:t>
      </w:r>
      <w:r>
        <w:t>infarctus,</w:t>
      </w:r>
      <w:r>
        <w:rPr>
          <w:spacing w:val="-4"/>
        </w:rPr>
        <w:t xml:space="preserve"> </w:t>
      </w:r>
      <w:r>
        <w:t>stroke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szisztémás</w:t>
      </w:r>
      <w:r>
        <w:rPr>
          <w:spacing w:val="-4"/>
        </w:rPr>
        <w:t xml:space="preserve"> </w:t>
      </w:r>
      <w:r>
        <w:t>embolizáció)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nem tervezett re</w:t>
      </w:r>
      <w:r w:rsidR="00043989">
        <w:t>vascularisatio</w:t>
      </w:r>
      <w:r>
        <w:t xml:space="preserve"> a két dabigatrán-etexilát kettős terápiás csoportban együtt nem rosszabb </w:t>
      </w:r>
      <w:r>
        <w:lastRenderedPageBreak/>
        <w:t>(noninferior) a warfarinos hármas terápiás csoportnál (13,7%</w:t>
      </w:r>
      <w:r w:rsidR="00BD17B5">
        <w:t xml:space="preserve">, illetve </w:t>
      </w:r>
      <w:r>
        <w:t>13,4%, HR</w:t>
      </w:r>
      <w:r w:rsidR="00043989">
        <w:t> </w:t>
      </w:r>
      <w:r>
        <w:t>1,04; 95%</w:t>
      </w:r>
      <w:r>
        <w:rPr>
          <w:spacing w:val="40"/>
        </w:rPr>
        <w:t xml:space="preserve"> </w:t>
      </w:r>
      <w:r>
        <w:t>CI 0,84, 1,29; noninferior p</w:t>
      </w:r>
      <w:r w:rsidR="00043989">
        <w:t> </w:t>
      </w:r>
      <w:r>
        <w:t>=</w:t>
      </w:r>
      <w:r w:rsidR="00043989">
        <w:t> </w:t>
      </w:r>
      <w:r>
        <w:t>0,0047). Nincs statisztikai különbség a hatásossági végpontok komponensei között sem a dabigatrán-etexilát kettős terápiás csoportban, sem a warfarinos hármas terápiás csoportban.</w:t>
      </w:r>
    </w:p>
    <w:p w14:paraId="668C77F5" w14:textId="74EC466D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>megmutatta,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kettős</w:t>
      </w:r>
      <w:r>
        <w:rPr>
          <w:spacing w:val="-3"/>
        </w:rPr>
        <w:t xml:space="preserve"> </w:t>
      </w:r>
      <w:r>
        <w:t>terápia,</w:t>
      </w:r>
      <w:r>
        <w:rPr>
          <w:spacing w:val="-3"/>
        </w:rPr>
        <w:t xml:space="preserve"> </w:t>
      </w:r>
      <w:r>
        <w:t>melyben</w:t>
      </w:r>
      <w:r>
        <w:rPr>
          <w:spacing w:val="-3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P2Y12</w:t>
      </w:r>
      <w:r w:rsidR="00BD17B5">
        <w:rPr>
          <w:spacing w:val="-3"/>
        </w:rPr>
        <w:t>-</w:t>
      </w:r>
      <w:r>
        <w:t>antagonistát alkalmaztak, jelentősen csökkenti a vérzés kockázatát (szuperior) a warfarinos hármas terápiás csoporttal szemben, és a thromboemb</w:t>
      </w:r>
      <w:r w:rsidR="00BD17B5">
        <w:t>o</w:t>
      </w:r>
      <w:r>
        <w:t>liás események komponensei esetén nem rosszabb (noninferior) olyan betegek esetén, akiknek nem valvularis pitvarfibrillációjuk volt</w:t>
      </w:r>
      <w:r w:rsidR="00BD17B5">
        <w:t>,</w:t>
      </w:r>
      <w:r>
        <w:t xml:space="preserve"> és akik</w:t>
      </w:r>
      <w:r w:rsidR="00BD17B5">
        <w:t>nél</w:t>
      </w:r>
      <w:r>
        <w:t xml:space="preserve"> stent alkalmazásával perkután koronáriaintervenciót végeztek.</w:t>
      </w:r>
    </w:p>
    <w:p w14:paraId="34DDCE80" w14:textId="77777777" w:rsidR="00304920" w:rsidRDefault="00304920" w:rsidP="008F5A8D">
      <w:pPr>
        <w:pStyle w:val="Szvegtrzs"/>
        <w:tabs>
          <w:tab w:val="left" w:pos="567"/>
        </w:tabs>
      </w:pPr>
    </w:p>
    <w:p w14:paraId="35E2E5EB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MVT</w:t>
      </w:r>
      <w:r>
        <w:rPr>
          <w:i/>
          <w:spacing w:val="-8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PE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kezelése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felnőtt</w:t>
      </w:r>
      <w:r>
        <w:rPr>
          <w:i/>
          <w:spacing w:val="-5"/>
          <w:u w:val="single"/>
        </w:rPr>
        <w:t xml:space="preserve"> </w:t>
      </w:r>
      <w:r>
        <w:rPr>
          <w:i/>
          <w:u w:val="single"/>
        </w:rPr>
        <w:t>betegeknél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(MVT/PE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kezelés)</w:t>
      </w:r>
    </w:p>
    <w:p w14:paraId="4B45036B" w14:textId="2756B8CA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hatásosságot</w:t>
      </w:r>
      <w:r>
        <w:rPr>
          <w:spacing w:val="-3"/>
        </w:rPr>
        <w:t xml:space="preserve"> </w:t>
      </w:r>
      <w:r>
        <w:t>két</w:t>
      </w:r>
      <w:r>
        <w:rPr>
          <w:spacing w:val="-3"/>
        </w:rPr>
        <w:t xml:space="preserve"> </w:t>
      </w:r>
      <w:r>
        <w:t>multicentrikus,</w:t>
      </w:r>
      <w:r>
        <w:rPr>
          <w:spacing w:val="-3"/>
        </w:rPr>
        <w:t xml:space="preserve"> </w:t>
      </w:r>
      <w:r>
        <w:t>randomizált,</w:t>
      </w:r>
      <w:r>
        <w:rPr>
          <w:spacing w:val="-3"/>
        </w:rPr>
        <w:t xml:space="preserve"> </w:t>
      </w:r>
      <w:r>
        <w:t>kettős</w:t>
      </w:r>
      <w:r>
        <w:rPr>
          <w:spacing w:val="-5"/>
        </w:rPr>
        <w:t xml:space="preserve"> </w:t>
      </w:r>
      <w:r>
        <w:t>vak,</w:t>
      </w:r>
      <w:r>
        <w:rPr>
          <w:spacing w:val="-3"/>
        </w:rPr>
        <w:t xml:space="preserve"> </w:t>
      </w:r>
      <w:r>
        <w:t>parallel</w:t>
      </w:r>
      <w:r>
        <w:rPr>
          <w:spacing w:val="-3"/>
        </w:rPr>
        <w:t xml:space="preserve"> </w:t>
      </w:r>
      <w:r>
        <w:t>csoportos</w:t>
      </w:r>
      <w:r>
        <w:rPr>
          <w:spacing w:val="-3"/>
        </w:rPr>
        <w:t xml:space="preserve"> </w:t>
      </w:r>
      <w:r>
        <w:t>ismételt</w:t>
      </w:r>
      <w:r>
        <w:rPr>
          <w:spacing w:val="-3"/>
        </w:rPr>
        <w:t xml:space="preserve"> </w:t>
      </w:r>
      <w:r>
        <w:t>vizsgálatban,</w:t>
      </w:r>
      <w:r>
        <w:rPr>
          <w:spacing w:val="-3"/>
        </w:rPr>
        <w:t xml:space="preserve"> </w:t>
      </w:r>
      <w:r>
        <w:t>a RE-COVER és RE-COVER II vizsgálatban elemezték. Ezek a vizsgálatok a dabigatrán-etexilátot</w:t>
      </w:r>
    </w:p>
    <w:p w14:paraId="08256675" w14:textId="7BFD1465" w:rsidR="00945359" w:rsidRDefault="00220A43" w:rsidP="008F5A8D">
      <w:pPr>
        <w:pStyle w:val="Szvegtrzs"/>
        <w:tabs>
          <w:tab w:val="left" w:pos="567"/>
        </w:tabs>
      </w:pPr>
      <w:r>
        <w:t>(150</w:t>
      </w:r>
      <w:r w:rsidR="00294835">
        <w:rPr>
          <w:spacing w:val="-2"/>
        </w:rPr>
        <w:t> mg</w:t>
      </w:r>
      <w:r>
        <w:rPr>
          <w:spacing w:val="-3"/>
        </w:rPr>
        <w:t xml:space="preserve"> </w:t>
      </w:r>
      <w:r>
        <w:t>naponta</w:t>
      </w:r>
      <w:r>
        <w:rPr>
          <w:spacing w:val="-3"/>
        </w:rPr>
        <w:t xml:space="preserve"> </w:t>
      </w:r>
      <w:r>
        <w:t>kétszer)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warfarinnal</w:t>
      </w:r>
      <w:r>
        <w:rPr>
          <w:spacing w:val="-3"/>
        </w:rPr>
        <w:t xml:space="preserve"> </w:t>
      </w:r>
      <w:r>
        <w:t>hasonlították</w:t>
      </w:r>
      <w:r>
        <w:rPr>
          <w:spacing w:val="-3"/>
        </w:rPr>
        <w:t xml:space="preserve"> </w:t>
      </w:r>
      <w:r>
        <w:t>össze</w:t>
      </w:r>
      <w:r>
        <w:rPr>
          <w:spacing w:val="-3"/>
        </w:rPr>
        <w:t xml:space="preserve"> </w:t>
      </w:r>
      <w:r>
        <w:t>(cél</w:t>
      </w:r>
      <w:r>
        <w:rPr>
          <w:spacing w:val="-3"/>
        </w:rPr>
        <w:t xml:space="preserve"> </w:t>
      </w:r>
      <w:r>
        <w:t>INR</w:t>
      </w:r>
      <w:r>
        <w:rPr>
          <w:spacing w:val="-3"/>
        </w:rPr>
        <w:t xml:space="preserve"> </w:t>
      </w:r>
      <w:r>
        <w:t>2,0-3,0)</w:t>
      </w:r>
      <w:r>
        <w:rPr>
          <w:spacing w:val="-2"/>
        </w:rPr>
        <w:t xml:space="preserve"> </w:t>
      </w:r>
      <w:r>
        <w:t>akut</w:t>
      </w:r>
      <w:r>
        <w:rPr>
          <w:spacing w:val="-2"/>
        </w:rPr>
        <w:t xml:space="preserve"> </w:t>
      </w:r>
      <w:r>
        <w:t>MVT-ben</w:t>
      </w:r>
      <w:r>
        <w:rPr>
          <w:spacing w:val="-3"/>
        </w:rPr>
        <w:t xml:space="preserve"> </w:t>
      </w:r>
      <w:r>
        <w:t>és/vagy PE-ben szenvedő betegeknél. Ezeknek a vizsgálatoknak az volt az elsődleges célja, hogy igazolják, hogy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rosszabb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warfarinnál</w:t>
      </w:r>
      <w:r>
        <w:rPr>
          <w:spacing w:val="-2"/>
        </w:rPr>
        <w:t xml:space="preserve"> </w:t>
      </w:r>
      <w:r w:rsidR="00BD17B5">
        <w:t>(noninferioritás)</w:t>
      </w:r>
      <w:r w:rsidR="00BD17B5">
        <w:rPr>
          <w:spacing w:val="-1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elsődleges</w:t>
      </w:r>
      <w:r>
        <w:rPr>
          <w:spacing w:val="-2"/>
        </w:rPr>
        <w:t xml:space="preserve"> </w:t>
      </w:r>
      <w:r>
        <w:t>összetett</w:t>
      </w:r>
      <w:r>
        <w:rPr>
          <w:spacing w:val="-2"/>
        </w:rPr>
        <w:t xml:space="preserve"> </w:t>
      </w:r>
      <w:r>
        <w:t>végpont előfordulásának csökkentésében; ami a tünetekkel járó MVT és/vagy PE ismételt jelentkezése és az ebből eredő halálozás volt a 6</w:t>
      </w:r>
      <w:r w:rsidR="002E2A7B">
        <w:t> hónap</w:t>
      </w:r>
      <w:r>
        <w:t>os kezelési periódusban.</w:t>
      </w:r>
    </w:p>
    <w:p w14:paraId="1DD83F6B" w14:textId="77777777" w:rsidR="00945359" w:rsidRDefault="00945359" w:rsidP="008F5A8D">
      <w:pPr>
        <w:pStyle w:val="Szvegtrzs"/>
        <w:tabs>
          <w:tab w:val="left" w:pos="567"/>
        </w:tabs>
      </w:pPr>
    </w:p>
    <w:p w14:paraId="0C05A618" w14:textId="0881A00A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RE-COVER</w:t>
      </w:r>
      <w:r>
        <w:rPr>
          <w:spacing w:val="-3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RE-COVER</w:t>
      </w:r>
      <w:r>
        <w:rPr>
          <w:spacing w:val="-1"/>
        </w:rPr>
        <w:t xml:space="preserve"> </w:t>
      </w:r>
      <w:r>
        <w:t>II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összesen</w:t>
      </w:r>
      <w:r>
        <w:rPr>
          <w:spacing w:val="-3"/>
        </w:rPr>
        <w:t xml:space="preserve"> </w:t>
      </w:r>
      <w:r>
        <w:t>5153</w:t>
      </w:r>
      <w:r w:rsidR="00BD17B5">
        <w:rPr>
          <w:spacing w:val="-3"/>
        </w:rPr>
        <w:t> </w:t>
      </w:r>
      <w:r>
        <w:t>beteget</w:t>
      </w:r>
      <w:r>
        <w:rPr>
          <w:spacing w:val="-3"/>
        </w:rPr>
        <w:t xml:space="preserve"> </w:t>
      </w:r>
      <w:r>
        <w:t>randomizáltak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5107</w:t>
      </w:r>
      <w:r w:rsidR="00BD17B5">
        <w:rPr>
          <w:spacing w:val="-5"/>
        </w:rPr>
        <w:t> </w:t>
      </w:r>
      <w:r>
        <w:t xml:space="preserve">beteget </w:t>
      </w:r>
      <w:r>
        <w:rPr>
          <w:spacing w:val="-2"/>
        </w:rPr>
        <w:t>kezeltek.</w:t>
      </w:r>
    </w:p>
    <w:p w14:paraId="4FC19F5D" w14:textId="4E025034" w:rsidR="00945359" w:rsidRDefault="00220A43" w:rsidP="008F5A8D">
      <w:pPr>
        <w:pStyle w:val="Szvegtrzs"/>
        <w:tabs>
          <w:tab w:val="left" w:pos="567"/>
        </w:tabs>
      </w:pPr>
      <w:r>
        <w:t>A fix dózisú dabigatrán</w:t>
      </w:r>
      <w:r w:rsidR="00BD17B5">
        <w:t>-</w:t>
      </w:r>
      <w:r>
        <w:t>kezelés időtartama 174</w:t>
      </w:r>
      <w:r w:rsidR="00294835">
        <w:t> nap</w:t>
      </w:r>
      <w:r>
        <w:t xml:space="preserve"> volt, az alvadási státuszt nem monitorozták. A warfarint</w:t>
      </w:r>
      <w:r>
        <w:rPr>
          <w:spacing w:val="-3"/>
        </w:rPr>
        <w:t xml:space="preserve"> </w:t>
      </w:r>
      <w:r>
        <w:t>kapó</w:t>
      </w:r>
      <w:r>
        <w:rPr>
          <w:spacing w:val="-3"/>
        </w:rPr>
        <w:t xml:space="preserve"> </w:t>
      </w:r>
      <w:r>
        <w:t>betegeknél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terápiás</w:t>
      </w:r>
      <w:r>
        <w:rPr>
          <w:spacing w:val="-3"/>
        </w:rPr>
        <w:t xml:space="preserve"> </w:t>
      </w:r>
      <w:r>
        <w:t>tartományban</w:t>
      </w:r>
      <w:r>
        <w:rPr>
          <w:spacing w:val="-3"/>
        </w:rPr>
        <w:t xml:space="preserve"> </w:t>
      </w:r>
      <w:r>
        <w:t>(INR</w:t>
      </w:r>
      <w:r>
        <w:rPr>
          <w:spacing w:val="-3"/>
        </w:rPr>
        <w:t xml:space="preserve"> </w:t>
      </w:r>
      <w:r>
        <w:t>2,0-3,0)</w:t>
      </w:r>
      <w:r>
        <w:rPr>
          <w:spacing w:val="-3"/>
        </w:rPr>
        <w:t xml:space="preserve"> </w:t>
      </w:r>
      <w:r>
        <w:t>töltött</w:t>
      </w:r>
      <w:r>
        <w:rPr>
          <w:spacing w:val="-3"/>
        </w:rPr>
        <w:t xml:space="preserve"> </w:t>
      </w:r>
      <w:r>
        <w:t>medián</w:t>
      </w:r>
      <w:r>
        <w:rPr>
          <w:spacing w:val="-3"/>
        </w:rPr>
        <w:t xml:space="preserve"> </w:t>
      </w:r>
      <w:r>
        <w:t>időtartam</w:t>
      </w:r>
      <w:r>
        <w:rPr>
          <w:spacing w:val="-3"/>
        </w:rPr>
        <w:t xml:space="preserve"> </w:t>
      </w:r>
      <w:r>
        <w:t>60,6%</w:t>
      </w:r>
      <w:r>
        <w:rPr>
          <w:spacing w:val="-1"/>
        </w:rPr>
        <w:t xml:space="preserve"> </w:t>
      </w:r>
      <w:r>
        <w:t>volt.</w:t>
      </w:r>
    </w:p>
    <w:p w14:paraId="520B98E9" w14:textId="2EE0938A" w:rsidR="00945359" w:rsidRDefault="00220A43" w:rsidP="008F5A8D">
      <w:pPr>
        <w:pStyle w:val="Szvegtrzs"/>
        <w:tabs>
          <w:tab w:val="left" w:pos="567"/>
        </w:tabs>
      </w:pPr>
      <w:r>
        <w:t>Ezek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vizsgálatok</w:t>
      </w:r>
      <w:r>
        <w:rPr>
          <w:spacing w:val="-3"/>
        </w:rPr>
        <w:t xml:space="preserve"> </w:t>
      </w:r>
      <w:r>
        <w:t>kimutatták,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150</w:t>
      </w:r>
      <w:r w:rsidR="00294835">
        <w:rPr>
          <w:spacing w:val="-3"/>
        </w:rPr>
        <w:t> mg</w:t>
      </w:r>
      <w:r>
        <w:rPr>
          <w:spacing w:val="-3"/>
        </w:rPr>
        <w:t xml:space="preserve"> </w:t>
      </w:r>
      <w:r w:rsidR="00067923">
        <w:t>dabigatrán-etexilát-kezelés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rosszabb (</w:t>
      </w:r>
      <w:r w:rsidR="00BD17B5">
        <w:t>noninferior</w:t>
      </w:r>
      <w:r>
        <w:t xml:space="preserve">) a warfarin kezelésnél (a </w:t>
      </w:r>
      <w:r w:rsidR="00BD17B5">
        <w:t>noninferior</w:t>
      </w:r>
      <w:r>
        <w:t>itásra vonatkozó határ a RE-COVER és</w:t>
      </w:r>
    </w:p>
    <w:p w14:paraId="21F61297" w14:textId="77777777" w:rsidR="00945359" w:rsidRDefault="00220A43" w:rsidP="008F5A8D">
      <w:pPr>
        <w:pStyle w:val="Szvegtrzs"/>
        <w:tabs>
          <w:tab w:val="left" w:pos="567"/>
        </w:tabs>
      </w:pPr>
      <w:r>
        <w:t>RE-COVER</w:t>
      </w:r>
      <w:r>
        <w:rPr>
          <w:spacing w:val="-6"/>
        </w:rPr>
        <w:t xml:space="preserve"> </w:t>
      </w:r>
      <w:r>
        <w:t>II</w:t>
      </w:r>
      <w:r>
        <w:rPr>
          <w:spacing w:val="-5"/>
        </w:rPr>
        <w:t xml:space="preserve"> </w:t>
      </w:r>
      <w:r>
        <w:t>esetén:</w:t>
      </w:r>
      <w:r>
        <w:rPr>
          <w:spacing w:val="-5"/>
        </w:rPr>
        <w:t xml:space="preserve"> </w:t>
      </w:r>
      <w:r>
        <w:t>2,75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relatív</w:t>
      </w:r>
      <w:r>
        <w:rPr>
          <w:spacing w:val="-5"/>
        </w:rPr>
        <w:t xml:space="preserve"> </w:t>
      </w:r>
      <w:r>
        <w:t>hazárd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3,6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kockázat</w:t>
      </w:r>
      <w:r>
        <w:rPr>
          <w:spacing w:val="-5"/>
        </w:rPr>
        <w:t xml:space="preserve"> </w:t>
      </w:r>
      <w:r>
        <w:t>különbsége</w:t>
      </w:r>
      <w:r>
        <w:rPr>
          <w:spacing w:val="-4"/>
        </w:rPr>
        <w:t xml:space="preserve"> </w:t>
      </w:r>
      <w:r>
        <w:rPr>
          <w:spacing w:val="-2"/>
        </w:rPr>
        <w:t>esetén).</w:t>
      </w:r>
    </w:p>
    <w:p w14:paraId="7833EC91" w14:textId="77777777" w:rsidR="00945359" w:rsidRDefault="00945359" w:rsidP="008F5A8D">
      <w:pPr>
        <w:pStyle w:val="Szvegtrzs"/>
        <w:tabs>
          <w:tab w:val="left" w:pos="567"/>
        </w:tabs>
      </w:pPr>
    </w:p>
    <w:p w14:paraId="7B075BFA" w14:textId="009972B5" w:rsidR="00945359" w:rsidRPr="00511F35" w:rsidRDefault="00A9240D" w:rsidP="008F5A8D">
      <w:r w:rsidRPr="00511F35">
        <w:rPr>
          <w:b/>
          <w:spacing w:val="-2"/>
        </w:rPr>
        <w:t>27</w:t>
      </w:r>
      <w:r w:rsidR="00BC10BA" w:rsidRPr="00511F35">
        <w:rPr>
          <w:b/>
          <w:spacing w:val="-2"/>
        </w:rPr>
        <w:t>. táblázat</w:t>
      </w:r>
      <w:r w:rsidR="00220A43" w:rsidRPr="00511F35">
        <w:rPr>
          <w:b/>
          <w:spacing w:val="-2"/>
        </w:rPr>
        <w:t>:</w:t>
      </w:r>
      <w:r w:rsidRPr="00511F35">
        <w:rPr>
          <w:b/>
        </w:rPr>
        <w:t xml:space="preserve"> </w:t>
      </w:r>
      <w:r w:rsidR="00220A43" w:rsidRPr="00511F35">
        <w:rPr>
          <w:b/>
        </w:rPr>
        <w:t>A primer és szekunder hatásossági végpontok (a VTE</w:t>
      </w:r>
      <w:r w:rsidR="009F1940">
        <w:rPr>
          <w:b/>
        </w:rPr>
        <w:t xml:space="preserve"> összetevői:</w:t>
      </w:r>
      <w:r w:rsidR="00220A43" w:rsidRPr="00511F35">
        <w:rPr>
          <w:b/>
        </w:rPr>
        <w:t xml:space="preserve"> MVT és/vagy PE)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kezelés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utáni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időszak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végéig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RE-COVER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RE-COVER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II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 xml:space="preserve">vizsgálat </w:t>
      </w:r>
      <w:r w:rsidR="00220A43" w:rsidRPr="00511F35">
        <w:rPr>
          <w:b/>
          <w:spacing w:val="-2"/>
        </w:rPr>
        <w:t>összesítésében</w:t>
      </w:r>
    </w:p>
    <w:p w14:paraId="646075D6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656"/>
        <w:gridCol w:w="2491"/>
        <w:gridCol w:w="1913"/>
      </w:tblGrid>
      <w:tr w:rsidR="00945359" w14:paraId="3B93B402" w14:textId="77777777" w:rsidTr="008F5A8D">
        <w:trPr>
          <w:trHeight w:val="506"/>
        </w:trPr>
        <w:tc>
          <w:tcPr>
            <w:tcW w:w="4656" w:type="dxa"/>
          </w:tcPr>
          <w:p w14:paraId="639581D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491" w:type="dxa"/>
          </w:tcPr>
          <w:p w14:paraId="79A3BD1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199947D0" w14:textId="302AE1A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150</w:t>
            </w:r>
            <w:r w:rsidR="00294835">
              <w:rPr>
                <w:spacing w:val="-2"/>
              </w:rPr>
              <w:t> mg</w:t>
            </w:r>
            <w:r>
              <w:rPr>
                <w:spacing w:val="-2"/>
              </w:rPr>
              <w:t xml:space="preserve"> </w:t>
            </w:r>
            <w:r>
              <w:t>napi</w:t>
            </w:r>
            <w:r>
              <w:rPr>
                <w:spacing w:val="-2"/>
              </w:rPr>
              <w:t xml:space="preserve"> kétszer</w:t>
            </w:r>
          </w:p>
        </w:tc>
        <w:tc>
          <w:tcPr>
            <w:tcW w:w="1913" w:type="dxa"/>
          </w:tcPr>
          <w:p w14:paraId="2864BC2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</w:tr>
      <w:tr w:rsidR="00945359" w14:paraId="3CE3F79F" w14:textId="77777777" w:rsidTr="008F5A8D">
        <w:trPr>
          <w:trHeight w:val="251"/>
        </w:trPr>
        <w:tc>
          <w:tcPr>
            <w:tcW w:w="4656" w:type="dxa"/>
          </w:tcPr>
          <w:p w14:paraId="2C6D8A4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491" w:type="dxa"/>
          </w:tcPr>
          <w:p w14:paraId="015E2E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2553</w:t>
            </w:r>
          </w:p>
        </w:tc>
        <w:tc>
          <w:tcPr>
            <w:tcW w:w="1913" w:type="dxa"/>
          </w:tcPr>
          <w:p w14:paraId="1538BE2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2554</w:t>
            </w:r>
          </w:p>
        </w:tc>
      </w:tr>
      <w:tr w:rsidR="00945359" w14:paraId="60E5F5AA" w14:textId="77777777" w:rsidTr="008F5A8D">
        <w:trPr>
          <w:trHeight w:val="506"/>
        </w:trPr>
        <w:tc>
          <w:tcPr>
            <w:tcW w:w="4656" w:type="dxa"/>
          </w:tcPr>
          <w:p w14:paraId="109F741B" w14:textId="781E97D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Visszatérő</w:t>
            </w:r>
            <w:r w:rsidR="009F1940">
              <w:t>,</w:t>
            </w:r>
            <w:r>
              <w:rPr>
                <w:spacing w:val="-8"/>
              </w:rPr>
              <w:t xml:space="preserve"> </w:t>
            </w:r>
            <w:r w:rsidR="00B532D6">
              <w:t>tünetekkel járó</w:t>
            </w:r>
            <w:r>
              <w:rPr>
                <w:spacing w:val="-7"/>
              </w:rPr>
              <w:t xml:space="preserve"> </w:t>
            </w:r>
            <w:r>
              <w:t>VTE</w:t>
            </w:r>
            <w:r>
              <w:rPr>
                <w:spacing w:val="-8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t>VTE-</w:t>
            </w:r>
            <w:r>
              <w:rPr>
                <w:spacing w:val="-5"/>
              </w:rPr>
              <w:t>vel</w:t>
            </w:r>
          </w:p>
          <w:p w14:paraId="5035E9CD" w14:textId="0D88D75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összefüggő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halál</w:t>
            </w:r>
            <w:r w:rsidR="002B2C85">
              <w:rPr>
                <w:spacing w:val="-2"/>
              </w:rPr>
              <w:t>ozás</w:t>
            </w:r>
          </w:p>
        </w:tc>
        <w:tc>
          <w:tcPr>
            <w:tcW w:w="2491" w:type="dxa"/>
          </w:tcPr>
          <w:p w14:paraId="3F574DF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68 </w:t>
            </w:r>
            <w:r>
              <w:rPr>
                <w:spacing w:val="-2"/>
              </w:rPr>
              <w:t>(2,7%)</w:t>
            </w:r>
          </w:p>
        </w:tc>
        <w:tc>
          <w:tcPr>
            <w:tcW w:w="1913" w:type="dxa"/>
          </w:tcPr>
          <w:p w14:paraId="1355E2A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62 </w:t>
            </w:r>
            <w:r>
              <w:rPr>
                <w:spacing w:val="-2"/>
              </w:rPr>
              <w:t>(2,4%)</w:t>
            </w:r>
          </w:p>
        </w:tc>
      </w:tr>
      <w:tr w:rsidR="00945359" w14:paraId="064374E3" w14:textId="77777777" w:rsidTr="008F5A8D">
        <w:trPr>
          <w:trHeight w:val="505"/>
        </w:trPr>
        <w:tc>
          <w:tcPr>
            <w:tcW w:w="4656" w:type="dxa"/>
          </w:tcPr>
          <w:p w14:paraId="710E6D6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7"/>
              </w:rPr>
              <w:t xml:space="preserve"> </w:t>
            </w:r>
            <w:r>
              <w:t>hazárd</w:t>
            </w:r>
            <w:r>
              <w:rPr>
                <w:spacing w:val="-6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warfarinhoz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képest</w:t>
            </w:r>
          </w:p>
          <w:p w14:paraId="5187B872" w14:textId="48B3299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intervallum)</w:t>
            </w:r>
          </w:p>
        </w:tc>
        <w:tc>
          <w:tcPr>
            <w:tcW w:w="2491" w:type="dxa"/>
          </w:tcPr>
          <w:p w14:paraId="5EBBD7E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1,09</w:t>
            </w:r>
          </w:p>
          <w:p w14:paraId="6755FD9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(0,77,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1,54)</w:t>
            </w:r>
          </w:p>
        </w:tc>
        <w:tc>
          <w:tcPr>
            <w:tcW w:w="1913" w:type="dxa"/>
          </w:tcPr>
          <w:p w14:paraId="68EDCFA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32EC89AB" w14:textId="77777777" w:rsidTr="008F5A8D">
        <w:trPr>
          <w:trHeight w:val="254"/>
        </w:trPr>
        <w:tc>
          <w:tcPr>
            <w:tcW w:w="4656" w:type="dxa"/>
          </w:tcPr>
          <w:p w14:paraId="64E7E5A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Szekunder</w:t>
            </w:r>
            <w:r>
              <w:rPr>
                <w:spacing w:val="-10"/>
              </w:rPr>
              <w:t xml:space="preserve"> </w:t>
            </w:r>
            <w:r>
              <w:t>hatásossági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végpontok</w:t>
            </w:r>
          </w:p>
        </w:tc>
        <w:tc>
          <w:tcPr>
            <w:tcW w:w="2491" w:type="dxa"/>
          </w:tcPr>
          <w:p w14:paraId="2F632D69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13" w:type="dxa"/>
          </w:tcPr>
          <w:p w14:paraId="0AD1EFE3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5D4A672E" w14:textId="77777777" w:rsidTr="008F5A8D">
        <w:trPr>
          <w:trHeight w:val="251"/>
        </w:trPr>
        <w:tc>
          <w:tcPr>
            <w:tcW w:w="4656" w:type="dxa"/>
          </w:tcPr>
          <w:p w14:paraId="376A336C" w14:textId="1C4E92D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Visszatérő</w:t>
            </w:r>
            <w:r w:rsidR="009F1940">
              <w:t>,</w:t>
            </w:r>
            <w:r>
              <w:rPr>
                <w:spacing w:val="-7"/>
              </w:rPr>
              <w:t xml:space="preserve"> </w:t>
            </w:r>
            <w:r w:rsidR="00B532D6">
              <w:t>tünetekkel járó</w:t>
            </w:r>
            <w:r>
              <w:rPr>
                <w:spacing w:val="-6"/>
              </w:rPr>
              <w:t xml:space="preserve"> </w:t>
            </w:r>
            <w:r>
              <w:t>VTE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összhalálozás</w:t>
            </w:r>
          </w:p>
        </w:tc>
        <w:tc>
          <w:tcPr>
            <w:tcW w:w="2491" w:type="dxa"/>
          </w:tcPr>
          <w:p w14:paraId="004388F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109 </w:t>
            </w:r>
            <w:r>
              <w:rPr>
                <w:spacing w:val="-2"/>
              </w:rPr>
              <w:t>(4,3%)</w:t>
            </w:r>
          </w:p>
        </w:tc>
        <w:tc>
          <w:tcPr>
            <w:tcW w:w="1913" w:type="dxa"/>
          </w:tcPr>
          <w:p w14:paraId="39E9E6D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104 </w:t>
            </w:r>
            <w:r>
              <w:rPr>
                <w:spacing w:val="-2"/>
              </w:rPr>
              <w:t>(4,1%)</w:t>
            </w:r>
          </w:p>
        </w:tc>
      </w:tr>
      <w:tr w:rsidR="00945359" w14:paraId="61E3625B" w14:textId="77777777" w:rsidTr="008F5A8D">
        <w:trPr>
          <w:trHeight w:val="253"/>
        </w:trPr>
        <w:tc>
          <w:tcPr>
            <w:tcW w:w="4656" w:type="dxa"/>
          </w:tcPr>
          <w:p w14:paraId="0A652F19" w14:textId="0D6422E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491" w:type="dxa"/>
          </w:tcPr>
          <w:p w14:paraId="66CC8E5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3,52, </w:t>
            </w:r>
            <w:r>
              <w:rPr>
                <w:spacing w:val="-4"/>
              </w:rPr>
              <w:t>5,13</w:t>
            </w:r>
          </w:p>
        </w:tc>
        <w:tc>
          <w:tcPr>
            <w:tcW w:w="1913" w:type="dxa"/>
          </w:tcPr>
          <w:p w14:paraId="507CE17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3,34, </w:t>
            </w:r>
            <w:r>
              <w:rPr>
                <w:spacing w:val="-4"/>
              </w:rPr>
              <w:t>4,91</w:t>
            </w:r>
          </w:p>
        </w:tc>
      </w:tr>
      <w:tr w:rsidR="00945359" w14:paraId="7A171547" w14:textId="77777777" w:rsidTr="008F5A8D">
        <w:trPr>
          <w:trHeight w:val="251"/>
        </w:trPr>
        <w:tc>
          <w:tcPr>
            <w:tcW w:w="4656" w:type="dxa"/>
          </w:tcPr>
          <w:p w14:paraId="6B41371D" w14:textId="559C388F" w:rsidR="00945359" w:rsidRDefault="00B532D6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Tünetekkel járó</w:t>
            </w:r>
            <w:r w:rsidR="00220A43">
              <w:rPr>
                <w:spacing w:val="-10"/>
              </w:rPr>
              <w:t xml:space="preserve"> </w:t>
            </w:r>
            <w:r w:rsidR="00220A43">
              <w:rPr>
                <w:spacing w:val="-5"/>
              </w:rPr>
              <w:t>MVT</w:t>
            </w:r>
          </w:p>
        </w:tc>
        <w:tc>
          <w:tcPr>
            <w:tcW w:w="2491" w:type="dxa"/>
          </w:tcPr>
          <w:p w14:paraId="3FEC4F9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45 </w:t>
            </w:r>
            <w:r>
              <w:rPr>
                <w:spacing w:val="-2"/>
              </w:rPr>
              <w:t>(1,8%)</w:t>
            </w:r>
          </w:p>
        </w:tc>
        <w:tc>
          <w:tcPr>
            <w:tcW w:w="1913" w:type="dxa"/>
          </w:tcPr>
          <w:p w14:paraId="67B7327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39 </w:t>
            </w:r>
            <w:r>
              <w:rPr>
                <w:spacing w:val="-2"/>
              </w:rPr>
              <w:t>(1,5%)</w:t>
            </w:r>
          </w:p>
        </w:tc>
      </w:tr>
      <w:tr w:rsidR="00945359" w14:paraId="07F2E71A" w14:textId="77777777" w:rsidTr="008F5A8D">
        <w:trPr>
          <w:trHeight w:val="254"/>
        </w:trPr>
        <w:tc>
          <w:tcPr>
            <w:tcW w:w="4656" w:type="dxa"/>
          </w:tcPr>
          <w:p w14:paraId="62984B23" w14:textId="65329FB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491" w:type="dxa"/>
          </w:tcPr>
          <w:p w14:paraId="078771C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1,29, </w:t>
            </w:r>
            <w:r>
              <w:rPr>
                <w:spacing w:val="-4"/>
              </w:rPr>
              <w:t>2,35</w:t>
            </w:r>
          </w:p>
        </w:tc>
        <w:tc>
          <w:tcPr>
            <w:tcW w:w="1913" w:type="dxa"/>
          </w:tcPr>
          <w:p w14:paraId="7224C6F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1,09, </w:t>
            </w:r>
            <w:r>
              <w:rPr>
                <w:spacing w:val="-4"/>
              </w:rPr>
              <w:t>2,08</w:t>
            </w:r>
          </w:p>
        </w:tc>
      </w:tr>
      <w:tr w:rsidR="00945359" w14:paraId="4D9EFB60" w14:textId="77777777" w:rsidTr="008F5A8D">
        <w:trPr>
          <w:trHeight w:val="253"/>
        </w:trPr>
        <w:tc>
          <w:tcPr>
            <w:tcW w:w="4656" w:type="dxa"/>
          </w:tcPr>
          <w:p w14:paraId="0C98886C" w14:textId="6225FA2F" w:rsidR="00945359" w:rsidRDefault="00B532D6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Tünetekkel járó</w:t>
            </w:r>
            <w:r w:rsidR="00220A43">
              <w:rPr>
                <w:spacing w:val="-10"/>
              </w:rPr>
              <w:t xml:space="preserve"> </w:t>
            </w:r>
            <w:r w:rsidR="00220A43">
              <w:rPr>
                <w:spacing w:val="-5"/>
              </w:rPr>
              <w:t>PE</w:t>
            </w:r>
          </w:p>
        </w:tc>
        <w:tc>
          <w:tcPr>
            <w:tcW w:w="2491" w:type="dxa"/>
          </w:tcPr>
          <w:p w14:paraId="52B63EA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27 </w:t>
            </w:r>
            <w:r>
              <w:rPr>
                <w:spacing w:val="-2"/>
              </w:rPr>
              <w:t>(1,1%)</w:t>
            </w:r>
          </w:p>
        </w:tc>
        <w:tc>
          <w:tcPr>
            <w:tcW w:w="1913" w:type="dxa"/>
          </w:tcPr>
          <w:p w14:paraId="348E2E9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26 </w:t>
            </w:r>
            <w:r>
              <w:rPr>
                <w:spacing w:val="-2"/>
              </w:rPr>
              <w:t>(1,0%)</w:t>
            </w:r>
          </w:p>
        </w:tc>
      </w:tr>
      <w:tr w:rsidR="00945359" w14:paraId="4CD55B27" w14:textId="77777777" w:rsidTr="008F5A8D">
        <w:trPr>
          <w:trHeight w:val="251"/>
        </w:trPr>
        <w:tc>
          <w:tcPr>
            <w:tcW w:w="4656" w:type="dxa"/>
          </w:tcPr>
          <w:p w14:paraId="671E7082" w14:textId="65FBBA9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491" w:type="dxa"/>
          </w:tcPr>
          <w:p w14:paraId="15CF14E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0,70, </w:t>
            </w:r>
            <w:r>
              <w:rPr>
                <w:spacing w:val="-4"/>
              </w:rPr>
              <w:t>1,54</w:t>
            </w:r>
          </w:p>
        </w:tc>
        <w:tc>
          <w:tcPr>
            <w:tcW w:w="1913" w:type="dxa"/>
          </w:tcPr>
          <w:p w14:paraId="4460B38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0,67, </w:t>
            </w:r>
            <w:r>
              <w:rPr>
                <w:spacing w:val="-4"/>
              </w:rPr>
              <w:t>1,49</w:t>
            </w:r>
          </w:p>
        </w:tc>
      </w:tr>
      <w:tr w:rsidR="00945359" w14:paraId="2117B793" w14:textId="77777777" w:rsidTr="008F5A8D">
        <w:trPr>
          <w:trHeight w:val="253"/>
        </w:trPr>
        <w:tc>
          <w:tcPr>
            <w:tcW w:w="4656" w:type="dxa"/>
          </w:tcPr>
          <w:p w14:paraId="3016B7B8" w14:textId="45D1E6E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VTE-vel</w:t>
            </w:r>
            <w:r>
              <w:rPr>
                <w:spacing w:val="-8"/>
              </w:rPr>
              <w:t xml:space="preserve"> </w:t>
            </w:r>
            <w:r>
              <w:t>összefüggő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halál</w:t>
            </w:r>
            <w:r w:rsidR="002B2C85">
              <w:rPr>
                <w:spacing w:val="-2"/>
              </w:rPr>
              <w:t>ozás</w:t>
            </w:r>
          </w:p>
        </w:tc>
        <w:tc>
          <w:tcPr>
            <w:tcW w:w="2491" w:type="dxa"/>
          </w:tcPr>
          <w:p w14:paraId="7292CB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 </w:t>
            </w:r>
            <w:r>
              <w:rPr>
                <w:spacing w:val="-2"/>
              </w:rPr>
              <w:t>(0,2%)</w:t>
            </w:r>
          </w:p>
        </w:tc>
        <w:tc>
          <w:tcPr>
            <w:tcW w:w="1913" w:type="dxa"/>
          </w:tcPr>
          <w:p w14:paraId="0493470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 </w:t>
            </w:r>
            <w:r>
              <w:rPr>
                <w:spacing w:val="-2"/>
              </w:rPr>
              <w:t>(0,1%)</w:t>
            </w:r>
          </w:p>
        </w:tc>
      </w:tr>
      <w:tr w:rsidR="00945359" w14:paraId="4F66B579" w14:textId="77777777" w:rsidTr="008F5A8D">
        <w:trPr>
          <w:trHeight w:val="251"/>
        </w:trPr>
        <w:tc>
          <w:tcPr>
            <w:tcW w:w="4656" w:type="dxa"/>
          </w:tcPr>
          <w:p w14:paraId="25EA3D73" w14:textId="0531DA5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491" w:type="dxa"/>
          </w:tcPr>
          <w:p w14:paraId="26441D5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0,04, </w:t>
            </w:r>
            <w:r>
              <w:rPr>
                <w:spacing w:val="-4"/>
              </w:rPr>
              <w:t>0,40</w:t>
            </w:r>
          </w:p>
        </w:tc>
        <w:tc>
          <w:tcPr>
            <w:tcW w:w="1913" w:type="dxa"/>
          </w:tcPr>
          <w:p w14:paraId="1E26BE7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0,02, </w:t>
            </w:r>
            <w:r>
              <w:rPr>
                <w:spacing w:val="-4"/>
              </w:rPr>
              <w:t>0,34</w:t>
            </w:r>
          </w:p>
        </w:tc>
      </w:tr>
      <w:tr w:rsidR="00945359" w14:paraId="53764118" w14:textId="77777777" w:rsidTr="008F5A8D">
        <w:trPr>
          <w:trHeight w:val="253"/>
        </w:trPr>
        <w:tc>
          <w:tcPr>
            <w:tcW w:w="4656" w:type="dxa"/>
          </w:tcPr>
          <w:p w14:paraId="324CCA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Összhalálozás</w:t>
            </w:r>
          </w:p>
        </w:tc>
        <w:tc>
          <w:tcPr>
            <w:tcW w:w="2491" w:type="dxa"/>
          </w:tcPr>
          <w:p w14:paraId="470777D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51 </w:t>
            </w:r>
            <w:r>
              <w:rPr>
                <w:spacing w:val="-2"/>
              </w:rPr>
              <w:t>(2,0%)</w:t>
            </w:r>
          </w:p>
        </w:tc>
        <w:tc>
          <w:tcPr>
            <w:tcW w:w="1913" w:type="dxa"/>
          </w:tcPr>
          <w:p w14:paraId="048DEAD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52 </w:t>
            </w:r>
            <w:r>
              <w:rPr>
                <w:spacing w:val="-2"/>
              </w:rPr>
              <w:t>(2,0%)</w:t>
            </w:r>
          </w:p>
        </w:tc>
      </w:tr>
      <w:tr w:rsidR="00945359" w14:paraId="78D574C8" w14:textId="77777777" w:rsidTr="008F5A8D">
        <w:trPr>
          <w:trHeight w:val="253"/>
        </w:trPr>
        <w:tc>
          <w:tcPr>
            <w:tcW w:w="4656" w:type="dxa"/>
          </w:tcPr>
          <w:p w14:paraId="7AAC2881" w14:textId="6492313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491" w:type="dxa"/>
          </w:tcPr>
          <w:p w14:paraId="399AE78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1,49, </w:t>
            </w:r>
            <w:r>
              <w:rPr>
                <w:spacing w:val="-4"/>
              </w:rPr>
              <w:t>2,62</w:t>
            </w:r>
          </w:p>
        </w:tc>
        <w:tc>
          <w:tcPr>
            <w:tcW w:w="1913" w:type="dxa"/>
          </w:tcPr>
          <w:p w14:paraId="06B214D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1,52, </w:t>
            </w:r>
            <w:r>
              <w:rPr>
                <w:spacing w:val="-4"/>
              </w:rPr>
              <w:t>2,66</w:t>
            </w:r>
          </w:p>
        </w:tc>
      </w:tr>
    </w:tbl>
    <w:p w14:paraId="2FEE1B36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5C96B883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Az</w:t>
      </w:r>
      <w:r>
        <w:rPr>
          <w:spacing w:val="-9"/>
          <w:u w:val="single"/>
        </w:rPr>
        <w:t xml:space="preserve"> </w:t>
      </w:r>
      <w:r>
        <w:rPr>
          <w:u w:val="single"/>
        </w:rPr>
        <w:t>MVT</w:t>
      </w:r>
      <w:r>
        <w:rPr>
          <w:spacing w:val="-6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u w:val="single"/>
        </w:rPr>
        <w:t>PE</w:t>
      </w:r>
      <w:r>
        <w:rPr>
          <w:spacing w:val="-6"/>
          <w:u w:val="single"/>
        </w:rPr>
        <w:t xml:space="preserve"> </w:t>
      </w:r>
      <w:r>
        <w:rPr>
          <w:u w:val="single"/>
        </w:rPr>
        <w:t>kiújulásának</w:t>
      </w:r>
      <w:r>
        <w:rPr>
          <w:spacing w:val="-6"/>
          <w:u w:val="single"/>
        </w:rPr>
        <w:t xml:space="preserve"> </w:t>
      </w:r>
      <w:r>
        <w:rPr>
          <w:u w:val="single"/>
        </w:rPr>
        <w:t>megelőzése</w:t>
      </w:r>
      <w:r>
        <w:rPr>
          <w:spacing w:val="-6"/>
          <w:u w:val="single"/>
        </w:rPr>
        <w:t xml:space="preserve"> </w:t>
      </w:r>
      <w:r>
        <w:rPr>
          <w:u w:val="single"/>
        </w:rPr>
        <w:t>felnőtt</w:t>
      </w:r>
      <w:r>
        <w:rPr>
          <w:spacing w:val="-6"/>
          <w:u w:val="single"/>
        </w:rPr>
        <w:t xml:space="preserve"> </w:t>
      </w:r>
      <w:r>
        <w:rPr>
          <w:u w:val="single"/>
        </w:rPr>
        <w:t>betegeknél</w:t>
      </w:r>
      <w:r>
        <w:rPr>
          <w:spacing w:val="-6"/>
          <w:u w:val="single"/>
        </w:rPr>
        <w:t xml:space="preserve"> </w:t>
      </w:r>
      <w:r>
        <w:rPr>
          <w:u w:val="single"/>
        </w:rPr>
        <w:t>(MVT/PE</w:t>
      </w:r>
      <w:r>
        <w:rPr>
          <w:spacing w:val="-6"/>
          <w:u w:val="single"/>
        </w:rPr>
        <w:t xml:space="preserve"> </w:t>
      </w:r>
      <w:r>
        <w:rPr>
          <w:spacing w:val="-2"/>
          <w:u w:val="single"/>
        </w:rPr>
        <w:t>prevenció)</w:t>
      </w:r>
    </w:p>
    <w:p w14:paraId="0B6B3155" w14:textId="5777F81B" w:rsidR="00945359" w:rsidRDefault="00220A43" w:rsidP="008F5A8D">
      <w:pPr>
        <w:pStyle w:val="Szvegtrzs"/>
        <w:tabs>
          <w:tab w:val="left" w:pos="567"/>
        </w:tabs>
      </w:pPr>
      <w:r>
        <w:t>Két randomizált, parallel csoportos, kettős vak vizsgálatot végeztek a korábban antikoaguláns kezelésben</w:t>
      </w:r>
      <w:r>
        <w:rPr>
          <w:spacing w:val="-4"/>
        </w:rPr>
        <w:t xml:space="preserve"> </w:t>
      </w:r>
      <w:r>
        <w:t>részesülő</w:t>
      </w:r>
      <w:r>
        <w:rPr>
          <w:spacing w:val="-4"/>
        </w:rPr>
        <w:t xml:space="preserve"> </w:t>
      </w:r>
      <w:r>
        <w:t>betegeknél.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RE-MEDY</w:t>
      </w:r>
      <w:r>
        <w:rPr>
          <w:spacing w:val="-4"/>
        </w:rPr>
        <w:t xml:space="preserve"> </w:t>
      </w:r>
      <w:r>
        <w:t>warfarin</w:t>
      </w:r>
      <w:r w:rsidR="00BD17B5">
        <w:t>-</w:t>
      </w:r>
      <w:r>
        <w:t>kontrollos</w:t>
      </w:r>
      <w:r>
        <w:rPr>
          <w:spacing w:val="-4"/>
        </w:rPr>
        <w:t xml:space="preserve"> </w:t>
      </w:r>
      <w:r>
        <w:t>vizsgálatba</w:t>
      </w:r>
      <w:r>
        <w:rPr>
          <w:spacing w:val="-4"/>
        </w:rPr>
        <w:t xml:space="preserve"> </w:t>
      </w:r>
      <w:r>
        <w:t>olyan</w:t>
      </w:r>
      <w:r>
        <w:rPr>
          <w:spacing w:val="-4"/>
        </w:rPr>
        <w:t xml:space="preserve"> </w:t>
      </w:r>
      <w:r>
        <w:t>betegeket</w:t>
      </w:r>
      <w:r>
        <w:rPr>
          <w:spacing w:val="-4"/>
        </w:rPr>
        <w:t xml:space="preserve"> </w:t>
      </w:r>
      <w:r>
        <w:t>vontak be, akiket már 3-12</w:t>
      </w:r>
      <w:r w:rsidR="002E2A7B">
        <w:t> hónap</w:t>
      </w:r>
      <w:r>
        <w:t>ja kezeltek, és további antikoaguláns kezelésre volt szükségük, a</w:t>
      </w:r>
    </w:p>
    <w:p w14:paraId="2A503065" w14:textId="32087DD6" w:rsidR="00945359" w:rsidRDefault="00220A43" w:rsidP="008F5A8D">
      <w:pPr>
        <w:pStyle w:val="Szvegtrzs"/>
        <w:tabs>
          <w:tab w:val="left" w:pos="567"/>
        </w:tabs>
      </w:pPr>
      <w:r>
        <w:t>RE-SONATE</w:t>
      </w:r>
      <w:r>
        <w:rPr>
          <w:spacing w:val="-3"/>
        </w:rPr>
        <w:t xml:space="preserve"> </w:t>
      </w:r>
      <w:r>
        <w:t>placebokontrollos</w:t>
      </w:r>
      <w:r>
        <w:rPr>
          <w:spacing w:val="-3"/>
        </w:rPr>
        <w:t xml:space="preserve"> </w:t>
      </w:r>
      <w:r>
        <w:t>vizsgálatba</w:t>
      </w:r>
      <w:r>
        <w:rPr>
          <w:spacing w:val="-3"/>
        </w:rPr>
        <w:t xml:space="preserve"> </w:t>
      </w:r>
      <w:r>
        <w:t>pedig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betegeket</w:t>
      </w:r>
      <w:r>
        <w:rPr>
          <w:spacing w:val="-3"/>
        </w:rPr>
        <w:t xml:space="preserve"> </w:t>
      </w:r>
      <w:r>
        <w:t>vontak</w:t>
      </w:r>
      <w:r>
        <w:rPr>
          <w:spacing w:val="-3"/>
        </w:rPr>
        <w:t xml:space="preserve"> </w:t>
      </w:r>
      <w:r>
        <w:t>be,</w:t>
      </w:r>
      <w:r>
        <w:rPr>
          <w:spacing w:val="-3"/>
        </w:rPr>
        <w:t xml:space="preserve"> </w:t>
      </w:r>
      <w:r>
        <w:t>akik</w:t>
      </w:r>
      <w:r>
        <w:rPr>
          <w:spacing w:val="-3"/>
        </w:rPr>
        <w:t xml:space="preserve"> </w:t>
      </w:r>
      <w:r>
        <w:t>6-18</w:t>
      </w:r>
      <w:r w:rsidR="002E2A7B">
        <w:rPr>
          <w:spacing w:val="-2"/>
        </w:rPr>
        <w:t> hónap</w:t>
      </w:r>
      <w:r>
        <w:t>ja</w:t>
      </w:r>
      <w:r>
        <w:rPr>
          <w:spacing w:val="-2"/>
        </w:rPr>
        <w:t xml:space="preserve"> </w:t>
      </w:r>
      <w:r>
        <w:t>már K-</w:t>
      </w:r>
      <w:r w:rsidR="00B95CAF">
        <w:t>vitamin-ant</w:t>
      </w:r>
      <w:r>
        <w:t>agonista</w:t>
      </w:r>
      <w:r w:rsidR="00BD17B5">
        <w:t>-</w:t>
      </w:r>
      <w:r>
        <w:t>kezelést kaptak.</w:t>
      </w:r>
    </w:p>
    <w:p w14:paraId="615D541A" w14:textId="05C2BAC8" w:rsidR="00945359" w:rsidRDefault="00220A43" w:rsidP="008F5A8D">
      <w:pPr>
        <w:pStyle w:val="Szvegtrzs"/>
        <w:tabs>
          <w:tab w:val="left" w:pos="567"/>
        </w:tabs>
      </w:pPr>
      <w:r>
        <w:t xml:space="preserve">A RE-MEDY vizsgálat célja az volt, hogy összehasonlítsa a </w:t>
      </w:r>
      <w:r w:rsidRPr="004F4A3C">
        <w:rPr>
          <w:i/>
          <w:iCs/>
        </w:rPr>
        <w:t>per os</w:t>
      </w:r>
      <w:r>
        <w:t xml:space="preserve"> dabigatrán-etexilátnak (150</w:t>
      </w:r>
      <w:r w:rsidR="00294835">
        <w:t> mg</w:t>
      </w:r>
      <w:r>
        <w:t xml:space="preserve"> </w:t>
      </w:r>
      <w:r>
        <w:lastRenderedPageBreak/>
        <w:t xml:space="preserve">naponta kétszer) és a warfarinnak (INR célérték: 2,0-3,0) a hosszú távú kezelésben és a </w:t>
      </w:r>
      <w:r w:rsidR="00B532D6">
        <w:t>tünetekkel járó</w:t>
      </w:r>
      <w:r>
        <w:t xml:space="preserve"> MVT</w:t>
      </w:r>
      <w:r>
        <w:rPr>
          <w:spacing w:val="-4"/>
        </w:rPr>
        <w:t xml:space="preserve"> </w:t>
      </w:r>
      <w:r>
        <w:t>és/vagy</w:t>
      </w:r>
      <w:r>
        <w:rPr>
          <w:spacing w:val="-4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kiújulásának</w:t>
      </w:r>
      <w:r>
        <w:rPr>
          <w:spacing w:val="-4"/>
        </w:rPr>
        <w:t xml:space="preserve"> </w:t>
      </w:r>
      <w:r>
        <w:t>megelőzésében</w:t>
      </w:r>
      <w:r>
        <w:rPr>
          <w:spacing w:val="-4"/>
        </w:rPr>
        <w:t xml:space="preserve"> </w:t>
      </w:r>
      <w:r>
        <w:t>mutatott</w:t>
      </w:r>
      <w:r>
        <w:rPr>
          <w:spacing w:val="-4"/>
        </w:rPr>
        <w:t xml:space="preserve"> </w:t>
      </w:r>
      <w:r>
        <w:t>biztonságosságát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 w:rsidR="002E2A7B">
        <w:t>hatásos</w:t>
      </w:r>
      <w:r>
        <w:t>ságát.</w:t>
      </w:r>
      <w:r>
        <w:rPr>
          <w:spacing w:val="-4"/>
        </w:rPr>
        <w:t xml:space="preserve"> </w:t>
      </w:r>
      <w:r>
        <w:t xml:space="preserve">Összesen 2866 beteget randomizáltak és 2856 beteget kezeltek. A </w:t>
      </w:r>
      <w:r w:rsidR="00067923">
        <w:t>dabigatrán-etexilát-kezelés</w:t>
      </w:r>
      <w:r>
        <w:t xml:space="preserve"> időtartama 6 és 36</w:t>
      </w:r>
      <w:r w:rsidR="002E2A7B">
        <w:t> hónap</w:t>
      </w:r>
      <w:r>
        <w:t xml:space="preserve"> között volt (átlagosan 534</w:t>
      </w:r>
      <w:r w:rsidR="00294835">
        <w:t> nap</w:t>
      </w:r>
      <w:r>
        <w:t>). A warfarin csoportba randomizált betegeknél a terápiás tartományban (INR érték 2,0-3,0) töltött medián időtartam 64,9%-volt.</w:t>
      </w:r>
    </w:p>
    <w:p w14:paraId="5470593D" w14:textId="77777777" w:rsidR="00945359" w:rsidRDefault="00945359" w:rsidP="008F5A8D">
      <w:pPr>
        <w:pStyle w:val="Szvegtrzs"/>
        <w:tabs>
          <w:tab w:val="left" w:pos="567"/>
        </w:tabs>
      </w:pPr>
    </w:p>
    <w:p w14:paraId="751C534C" w14:textId="52E30B6D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>
        <w:t>RE-MEDY</w:t>
      </w:r>
      <w:r>
        <w:rPr>
          <w:spacing w:val="-3"/>
        </w:rPr>
        <w:t xml:space="preserve"> </w:t>
      </w:r>
      <w:r>
        <w:t>vizsgálat</w:t>
      </w:r>
      <w:r>
        <w:rPr>
          <w:spacing w:val="-3"/>
        </w:rPr>
        <w:t xml:space="preserve"> </w:t>
      </w:r>
      <w:r>
        <w:t>kimutatta,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 w:rsidR="00294835">
        <w:rPr>
          <w:spacing w:val="-3"/>
        </w:rPr>
        <w:t> nap</w:t>
      </w:r>
      <w:r>
        <w:t>onta</w:t>
      </w:r>
      <w:r>
        <w:rPr>
          <w:spacing w:val="-3"/>
        </w:rPr>
        <w:t xml:space="preserve"> </w:t>
      </w:r>
      <w:r>
        <w:t>kétszer</w:t>
      </w:r>
      <w:r>
        <w:rPr>
          <w:spacing w:val="-3"/>
        </w:rPr>
        <w:t xml:space="preserve"> </w:t>
      </w:r>
      <w:r>
        <w:t>adott</w:t>
      </w:r>
      <w:r>
        <w:rPr>
          <w:spacing w:val="-3"/>
        </w:rPr>
        <w:t xml:space="preserve"> </w:t>
      </w:r>
      <w:r>
        <w:t>150</w:t>
      </w:r>
      <w:r w:rsidR="00294835">
        <w:rPr>
          <w:spacing w:val="-3"/>
        </w:rPr>
        <w:t> mg</w:t>
      </w:r>
      <w:r>
        <w:rPr>
          <w:spacing w:val="-5"/>
        </w:rPr>
        <w:t xml:space="preserve"> </w:t>
      </w:r>
      <w:r w:rsidR="00067923">
        <w:t>dabigatrán-etexilát-kezelés</w:t>
      </w:r>
      <w:r>
        <w:t xml:space="preserve"> nem volt rosszabb (</w:t>
      </w:r>
      <w:r w:rsidR="00BD17B5">
        <w:t>noninferior</w:t>
      </w:r>
      <w:r>
        <w:t>) a warfarinnál (a nonin</w:t>
      </w:r>
      <w:r w:rsidR="005C5C9B">
        <w:t>ferioritás</w:t>
      </w:r>
      <w:r>
        <w:t>ra vonatkozó határ: 2,85 a relatív</w:t>
      </w:r>
    </w:p>
    <w:p w14:paraId="58725F96" w14:textId="77777777" w:rsidR="00945359" w:rsidRDefault="00220A43" w:rsidP="008F5A8D">
      <w:pPr>
        <w:pStyle w:val="Szvegtrzs"/>
        <w:tabs>
          <w:tab w:val="left" w:pos="567"/>
        </w:tabs>
      </w:pPr>
      <w:r>
        <w:t>hazárd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2,8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kockázat</w:t>
      </w:r>
      <w:r>
        <w:rPr>
          <w:spacing w:val="-5"/>
        </w:rPr>
        <w:t xml:space="preserve"> </w:t>
      </w:r>
      <w:r>
        <w:t>különbsége</w:t>
      </w:r>
      <w:r>
        <w:rPr>
          <w:spacing w:val="-5"/>
        </w:rPr>
        <w:t xml:space="preserve"> </w:t>
      </w:r>
      <w:r>
        <w:rPr>
          <w:spacing w:val="-2"/>
        </w:rPr>
        <w:t>esetén).</w:t>
      </w:r>
    </w:p>
    <w:p w14:paraId="36C9DB27" w14:textId="77777777" w:rsidR="00945359" w:rsidRDefault="00945359" w:rsidP="008F5A8D">
      <w:pPr>
        <w:pStyle w:val="Szvegtrzs"/>
        <w:tabs>
          <w:tab w:val="left" w:pos="567"/>
        </w:tabs>
      </w:pPr>
    </w:p>
    <w:p w14:paraId="78E942F4" w14:textId="6B3A448A" w:rsidR="00945359" w:rsidRPr="00511F35" w:rsidRDefault="00A9240D" w:rsidP="008F5A8D">
      <w:r w:rsidRPr="00511F35">
        <w:rPr>
          <w:b/>
          <w:spacing w:val="-2"/>
        </w:rPr>
        <w:t>28</w:t>
      </w:r>
      <w:r w:rsidR="00BC10BA" w:rsidRPr="00511F35">
        <w:rPr>
          <w:b/>
          <w:spacing w:val="-2"/>
        </w:rPr>
        <w:t>.</w:t>
      </w:r>
      <w:r w:rsidR="00B95CAF">
        <w:rPr>
          <w:b/>
          <w:spacing w:val="-2"/>
        </w:rPr>
        <w:t> táblázat</w:t>
      </w:r>
      <w:r w:rsidR="00220A43" w:rsidRPr="00511F35">
        <w:rPr>
          <w:b/>
          <w:spacing w:val="-2"/>
        </w:rPr>
        <w:t>:</w:t>
      </w:r>
      <w:r w:rsidRPr="00511F35">
        <w:rPr>
          <w:b/>
          <w:spacing w:val="-2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primer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szekunder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hatásossági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végpontok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(a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VTE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az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MVT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és/vagy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PE</w:t>
      </w:r>
      <w:r w:rsidR="00220A43" w:rsidRPr="00511F35">
        <w:rPr>
          <w:b/>
          <w:spacing w:val="-3"/>
        </w:rPr>
        <w:t xml:space="preserve"> </w:t>
      </w:r>
      <w:r w:rsidR="00220A43" w:rsidRPr="00511F35">
        <w:rPr>
          <w:b/>
        </w:rPr>
        <w:t>együtt) a kezelés utáni időszak végéig a RE-MEDY vizsgálatban</w:t>
      </w:r>
    </w:p>
    <w:p w14:paraId="27BA780A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980"/>
        <w:gridCol w:w="2436"/>
        <w:gridCol w:w="1644"/>
      </w:tblGrid>
      <w:tr w:rsidR="00945359" w14:paraId="5D946553" w14:textId="77777777" w:rsidTr="008F5A8D">
        <w:trPr>
          <w:trHeight w:val="505"/>
        </w:trPr>
        <w:tc>
          <w:tcPr>
            <w:tcW w:w="4980" w:type="dxa"/>
          </w:tcPr>
          <w:p w14:paraId="379BD29A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436" w:type="dxa"/>
          </w:tcPr>
          <w:p w14:paraId="6FEB35E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2D800EED" w14:textId="35644A3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naponta</w:t>
            </w:r>
            <w:r>
              <w:rPr>
                <w:spacing w:val="-6"/>
              </w:rPr>
              <w:t xml:space="preserve"> </w:t>
            </w:r>
            <w:r>
              <w:t>kétszer</w:t>
            </w:r>
            <w:r>
              <w:rPr>
                <w:spacing w:val="-6"/>
              </w:rPr>
              <w:t xml:space="preserve"> </w:t>
            </w:r>
            <w:r>
              <w:t>150</w:t>
            </w:r>
            <w:r w:rsidR="00294835">
              <w:rPr>
                <w:spacing w:val="-5"/>
              </w:rPr>
              <w:t> mg</w:t>
            </w:r>
          </w:p>
        </w:tc>
        <w:tc>
          <w:tcPr>
            <w:tcW w:w="1644" w:type="dxa"/>
          </w:tcPr>
          <w:p w14:paraId="24C9678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Warfarin</w:t>
            </w:r>
          </w:p>
        </w:tc>
      </w:tr>
      <w:tr w:rsidR="00945359" w14:paraId="27D127BA" w14:textId="77777777" w:rsidTr="008F5A8D">
        <w:trPr>
          <w:trHeight w:val="251"/>
        </w:trPr>
        <w:tc>
          <w:tcPr>
            <w:tcW w:w="4980" w:type="dxa"/>
          </w:tcPr>
          <w:p w14:paraId="21001A7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436" w:type="dxa"/>
          </w:tcPr>
          <w:p w14:paraId="1C03FD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1430</w:t>
            </w:r>
          </w:p>
        </w:tc>
        <w:tc>
          <w:tcPr>
            <w:tcW w:w="1644" w:type="dxa"/>
          </w:tcPr>
          <w:p w14:paraId="6025DE6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1426</w:t>
            </w:r>
          </w:p>
        </w:tc>
      </w:tr>
      <w:tr w:rsidR="00945359" w14:paraId="2784F142" w14:textId="77777777" w:rsidTr="008F5A8D">
        <w:trPr>
          <w:trHeight w:val="505"/>
        </w:trPr>
        <w:tc>
          <w:tcPr>
            <w:tcW w:w="4980" w:type="dxa"/>
          </w:tcPr>
          <w:p w14:paraId="45139EDC" w14:textId="35DAEF7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Visszatérő</w:t>
            </w:r>
            <w:r w:rsidR="009F1940">
              <w:t>,</w:t>
            </w:r>
            <w:r>
              <w:rPr>
                <w:spacing w:val="-7"/>
              </w:rPr>
              <w:t xml:space="preserve"> </w:t>
            </w:r>
            <w:r w:rsidR="00B532D6">
              <w:t>tünetekkel járó</w:t>
            </w:r>
            <w:r>
              <w:rPr>
                <w:spacing w:val="-7"/>
              </w:rPr>
              <w:t xml:space="preserve"> </w:t>
            </w:r>
            <w:r>
              <w:t>VTE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7"/>
              </w:rPr>
              <w:t xml:space="preserve"> </w:t>
            </w:r>
            <w:r>
              <w:t>VTE-vel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összefüggő</w:t>
            </w:r>
            <w:r w:rsidR="00B532D6">
              <w:rPr>
                <w:spacing w:val="-2"/>
              </w:rPr>
              <w:t xml:space="preserve"> </w:t>
            </w:r>
            <w:r>
              <w:rPr>
                <w:spacing w:val="-2"/>
              </w:rPr>
              <w:t>halál</w:t>
            </w:r>
            <w:r w:rsidR="00B532D6">
              <w:rPr>
                <w:spacing w:val="-2"/>
              </w:rPr>
              <w:t>ozás</w:t>
            </w:r>
          </w:p>
        </w:tc>
        <w:tc>
          <w:tcPr>
            <w:tcW w:w="2436" w:type="dxa"/>
          </w:tcPr>
          <w:p w14:paraId="1CC22BE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26 </w:t>
            </w:r>
            <w:r>
              <w:rPr>
                <w:spacing w:val="-2"/>
              </w:rPr>
              <w:t>(1,8%)</w:t>
            </w:r>
          </w:p>
        </w:tc>
        <w:tc>
          <w:tcPr>
            <w:tcW w:w="1644" w:type="dxa"/>
          </w:tcPr>
          <w:p w14:paraId="601BD9F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18 </w:t>
            </w:r>
            <w:r>
              <w:rPr>
                <w:spacing w:val="-2"/>
              </w:rPr>
              <w:t>(1,3%)</w:t>
            </w:r>
          </w:p>
        </w:tc>
      </w:tr>
      <w:tr w:rsidR="00945359" w14:paraId="59B18A01" w14:textId="77777777" w:rsidTr="008F5A8D">
        <w:trPr>
          <w:trHeight w:val="505"/>
        </w:trPr>
        <w:tc>
          <w:tcPr>
            <w:tcW w:w="4980" w:type="dxa"/>
          </w:tcPr>
          <w:p w14:paraId="32282A5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7"/>
              </w:rPr>
              <w:t xml:space="preserve"> </w:t>
            </w:r>
            <w:r>
              <w:t>hazárd</w:t>
            </w:r>
            <w:r>
              <w:rPr>
                <w:spacing w:val="-8"/>
              </w:rPr>
              <w:t xml:space="preserve"> </w:t>
            </w:r>
            <w:r>
              <w:t>(hazard</w:t>
            </w:r>
            <w:r>
              <w:rPr>
                <w:spacing w:val="-6"/>
              </w:rPr>
              <w:t xml:space="preserve"> </w:t>
            </w:r>
            <w:r>
              <w:t>ratio)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warfarinhoz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képest</w:t>
            </w:r>
          </w:p>
          <w:p w14:paraId="49EE5D98" w14:textId="25F6D61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  <w:r>
              <w:rPr>
                <w:spacing w:val="-2"/>
              </w:rPr>
              <w:t>)</w:t>
            </w:r>
          </w:p>
        </w:tc>
        <w:tc>
          <w:tcPr>
            <w:tcW w:w="2436" w:type="dxa"/>
          </w:tcPr>
          <w:p w14:paraId="58897D5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1,44</w:t>
            </w:r>
          </w:p>
          <w:p w14:paraId="2D9951E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(0,78,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2,64)</w:t>
            </w:r>
          </w:p>
        </w:tc>
        <w:tc>
          <w:tcPr>
            <w:tcW w:w="1644" w:type="dxa"/>
          </w:tcPr>
          <w:p w14:paraId="6DE7338D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51796B13" w14:textId="77777777" w:rsidTr="008F5A8D">
        <w:trPr>
          <w:trHeight w:val="254"/>
        </w:trPr>
        <w:tc>
          <w:tcPr>
            <w:tcW w:w="4980" w:type="dxa"/>
          </w:tcPr>
          <w:p w14:paraId="0B0823DB" w14:textId="7541CE88" w:rsidR="00945359" w:rsidRDefault="00AA0A8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 w:rsidR="00220A43">
              <w:rPr>
                <w:spacing w:val="-6"/>
              </w:rPr>
              <w:t xml:space="preserve"> </w:t>
            </w:r>
            <w:r w:rsidR="00BD17B5">
              <w:t>noninferior</w:t>
            </w:r>
            <w:r w:rsidR="00220A43">
              <w:rPr>
                <w:spacing w:val="-2"/>
              </w:rPr>
              <w:t>itás</w:t>
            </w:r>
            <w:r>
              <w:rPr>
                <w:spacing w:val="-2"/>
              </w:rPr>
              <w:t>ra vonatkozó határ</w:t>
            </w:r>
          </w:p>
        </w:tc>
        <w:tc>
          <w:tcPr>
            <w:tcW w:w="2436" w:type="dxa"/>
          </w:tcPr>
          <w:p w14:paraId="525433B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2,85</w:t>
            </w:r>
          </w:p>
        </w:tc>
        <w:tc>
          <w:tcPr>
            <w:tcW w:w="1644" w:type="dxa"/>
          </w:tcPr>
          <w:p w14:paraId="0350E54D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63F2E069" w14:textId="77777777" w:rsidTr="008F5A8D">
        <w:trPr>
          <w:trHeight w:val="251"/>
        </w:trPr>
        <w:tc>
          <w:tcPr>
            <w:tcW w:w="4980" w:type="dxa"/>
          </w:tcPr>
          <w:p w14:paraId="3A0DA946" w14:textId="3E7D1AA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18</w:t>
            </w:r>
            <w:r w:rsidR="002E2A7B">
              <w:rPr>
                <w:spacing w:val="-6"/>
              </w:rPr>
              <w:t> hónap</w:t>
            </w:r>
            <w:r>
              <w:t>nál</w:t>
            </w:r>
            <w:r>
              <w:rPr>
                <w:spacing w:val="-7"/>
              </w:rPr>
              <w:t xml:space="preserve"> </w:t>
            </w:r>
            <w:r>
              <w:t>valamilyen</w:t>
            </w:r>
            <w:r>
              <w:rPr>
                <w:spacing w:val="-7"/>
              </w:rPr>
              <w:t xml:space="preserve"> </w:t>
            </w:r>
            <w:r>
              <w:t>eseményt</w:t>
            </w:r>
            <w:r>
              <w:rPr>
                <w:spacing w:val="-7"/>
              </w:rPr>
              <w:t xml:space="preserve"> </w:t>
            </w:r>
            <w:r>
              <w:t>jelentő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436" w:type="dxa"/>
          </w:tcPr>
          <w:p w14:paraId="3923A61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22</w:t>
            </w:r>
          </w:p>
        </w:tc>
        <w:tc>
          <w:tcPr>
            <w:tcW w:w="1644" w:type="dxa"/>
          </w:tcPr>
          <w:p w14:paraId="27A79B0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17</w:t>
            </w:r>
          </w:p>
        </w:tc>
      </w:tr>
      <w:tr w:rsidR="00945359" w14:paraId="45262D23" w14:textId="77777777" w:rsidTr="008F5A8D">
        <w:trPr>
          <w:trHeight w:val="253"/>
        </w:trPr>
        <w:tc>
          <w:tcPr>
            <w:tcW w:w="4980" w:type="dxa"/>
          </w:tcPr>
          <w:p w14:paraId="779814ED" w14:textId="1638D47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Kumulatív</w:t>
            </w:r>
            <w:r>
              <w:rPr>
                <w:spacing w:val="-7"/>
              </w:rPr>
              <w:t xml:space="preserve"> </w:t>
            </w:r>
            <w:r>
              <w:t>kockázat</w:t>
            </w:r>
            <w:r>
              <w:rPr>
                <w:spacing w:val="-7"/>
              </w:rPr>
              <w:t xml:space="preserve"> </w:t>
            </w:r>
            <w:r>
              <w:t>18</w:t>
            </w:r>
            <w:r w:rsidR="002E2A7B">
              <w:rPr>
                <w:spacing w:val="-7"/>
              </w:rPr>
              <w:t> hónap</w:t>
            </w:r>
            <w:r>
              <w:t>nál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436" w:type="dxa"/>
          </w:tcPr>
          <w:p w14:paraId="2067C0C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1,7</w:t>
            </w:r>
          </w:p>
        </w:tc>
        <w:tc>
          <w:tcPr>
            <w:tcW w:w="1644" w:type="dxa"/>
          </w:tcPr>
          <w:p w14:paraId="475C90A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1,4</w:t>
            </w:r>
          </w:p>
        </w:tc>
      </w:tr>
      <w:tr w:rsidR="00945359" w14:paraId="49005B3A" w14:textId="77777777" w:rsidTr="008F5A8D">
        <w:trPr>
          <w:trHeight w:val="251"/>
        </w:trPr>
        <w:tc>
          <w:tcPr>
            <w:tcW w:w="4980" w:type="dxa"/>
          </w:tcPr>
          <w:p w14:paraId="649E62B7" w14:textId="1D3AC00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Kockázatkülönbség</w:t>
            </w:r>
            <w:r>
              <w:rPr>
                <w:spacing w:val="-7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warfarinhoz</w:t>
            </w:r>
            <w:r>
              <w:rPr>
                <w:spacing w:val="-7"/>
              </w:rPr>
              <w:t xml:space="preserve"> </w:t>
            </w:r>
            <w:r>
              <w:t>képest</w:t>
            </w:r>
            <w:r>
              <w:rPr>
                <w:spacing w:val="-9"/>
              </w:rPr>
              <w:t xml:space="preserve"> </w:t>
            </w:r>
            <w:r>
              <w:rPr>
                <w:spacing w:val="-5"/>
              </w:rPr>
              <w:t>(%)</w:t>
            </w:r>
          </w:p>
        </w:tc>
        <w:tc>
          <w:tcPr>
            <w:tcW w:w="2436" w:type="dxa"/>
          </w:tcPr>
          <w:p w14:paraId="2B3DFF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0,4</w:t>
            </w:r>
          </w:p>
        </w:tc>
        <w:tc>
          <w:tcPr>
            <w:tcW w:w="1644" w:type="dxa"/>
          </w:tcPr>
          <w:p w14:paraId="048DA50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76DA9147" w14:textId="77777777" w:rsidTr="008F5A8D">
        <w:trPr>
          <w:trHeight w:val="254"/>
        </w:trPr>
        <w:tc>
          <w:tcPr>
            <w:tcW w:w="4980" w:type="dxa"/>
          </w:tcPr>
          <w:p w14:paraId="2DB89291" w14:textId="310B7941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</w:p>
        </w:tc>
        <w:tc>
          <w:tcPr>
            <w:tcW w:w="2436" w:type="dxa"/>
          </w:tcPr>
          <w:p w14:paraId="1CDB9DFE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644" w:type="dxa"/>
          </w:tcPr>
          <w:p w14:paraId="3048E088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959EBF3" w14:textId="77777777" w:rsidTr="008F5A8D">
        <w:trPr>
          <w:trHeight w:val="253"/>
        </w:trPr>
        <w:tc>
          <w:tcPr>
            <w:tcW w:w="4980" w:type="dxa"/>
          </w:tcPr>
          <w:p w14:paraId="3A0442C2" w14:textId="766250E7" w:rsidR="00945359" w:rsidRDefault="00AA0A8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6"/>
              </w:rPr>
              <w:t xml:space="preserve">A </w:t>
            </w:r>
            <w:r w:rsidR="00BD17B5" w:rsidRPr="00AA0A83">
              <w:t>noninferior</w:t>
            </w:r>
            <w:r w:rsidR="00220A43" w:rsidRPr="00AA0A83">
              <w:rPr>
                <w:spacing w:val="-2"/>
              </w:rPr>
              <w:t>itás</w:t>
            </w:r>
            <w:r>
              <w:rPr>
                <w:spacing w:val="-2"/>
              </w:rPr>
              <w:t>ra vonatkozó határ</w:t>
            </w:r>
          </w:p>
        </w:tc>
        <w:tc>
          <w:tcPr>
            <w:tcW w:w="2436" w:type="dxa"/>
          </w:tcPr>
          <w:p w14:paraId="5081F0F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2,8</w:t>
            </w:r>
          </w:p>
        </w:tc>
        <w:tc>
          <w:tcPr>
            <w:tcW w:w="1644" w:type="dxa"/>
          </w:tcPr>
          <w:p w14:paraId="2405B0BC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D3BEC18" w14:textId="77777777" w:rsidTr="008F5A8D">
        <w:trPr>
          <w:trHeight w:val="251"/>
        </w:trPr>
        <w:tc>
          <w:tcPr>
            <w:tcW w:w="4980" w:type="dxa"/>
          </w:tcPr>
          <w:p w14:paraId="59BD7FF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Szekunder</w:t>
            </w:r>
            <w:r>
              <w:rPr>
                <w:spacing w:val="-10"/>
              </w:rPr>
              <w:t xml:space="preserve"> </w:t>
            </w:r>
            <w:r>
              <w:t>hatásossági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végpontok</w:t>
            </w:r>
          </w:p>
        </w:tc>
        <w:tc>
          <w:tcPr>
            <w:tcW w:w="2436" w:type="dxa"/>
          </w:tcPr>
          <w:p w14:paraId="55E36439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644" w:type="dxa"/>
          </w:tcPr>
          <w:p w14:paraId="0F88C6B6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151D03EF" w14:textId="77777777" w:rsidTr="008F5A8D">
        <w:trPr>
          <w:trHeight w:val="253"/>
        </w:trPr>
        <w:tc>
          <w:tcPr>
            <w:tcW w:w="4980" w:type="dxa"/>
          </w:tcPr>
          <w:p w14:paraId="4EDCFC21" w14:textId="34C6B4D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Visszatérő</w:t>
            </w:r>
            <w:r w:rsidR="009F1940">
              <w:t>,</w:t>
            </w:r>
            <w:r>
              <w:rPr>
                <w:spacing w:val="-7"/>
              </w:rPr>
              <w:t xml:space="preserve"> </w:t>
            </w:r>
            <w:r w:rsidR="00B532D6">
              <w:t>tünetekkel járó</w:t>
            </w:r>
            <w:r>
              <w:rPr>
                <w:spacing w:val="-6"/>
              </w:rPr>
              <w:t xml:space="preserve"> </w:t>
            </w:r>
            <w:r>
              <w:t>VTE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összhalálozás</w:t>
            </w:r>
          </w:p>
        </w:tc>
        <w:tc>
          <w:tcPr>
            <w:tcW w:w="2436" w:type="dxa"/>
          </w:tcPr>
          <w:p w14:paraId="0EC16CA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42 </w:t>
            </w:r>
            <w:r>
              <w:rPr>
                <w:spacing w:val="-2"/>
              </w:rPr>
              <w:t>(2,9%)</w:t>
            </w:r>
          </w:p>
        </w:tc>
        <w:tc>
          <w:tcPr>
            <w:tcW w:w="1644" w:type="dxa"/>
          </w:tcPr>
          <w:p w14:paraId="2D724DB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36 </w:t>
            </w:r>
            <w:r>
              <w:rPr>
                <w:spacing w:val="-2"/>
              </w:rPr>
              <w:t>(2,5%)</w:t>
            </w:r>
          </w:p>
        </w:tc>
      </w:tr>
      <w:tr w:rsidR="00945359" w14:paraId="6DBD86E3" w14:textId="77777777" w:rsidTr="008F5A8D">
        <w:trPr>
          <w:trHeight w:val="251"/>
        </w:trPr>
        <w:tc>
          <w:tcPr>
            <w:tcW w:w="4980" w:type="dxa"/>
          </w:tcPr>
          <w:p w14:paraId="152CAB1D" w14:textId="24BE7659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</w:p>
        </w:tc>
        <w:tc>
          <w:tcPr>
            <w:tcW w:w="2436" w:type="dxa"/>
          </w:tcPr>
          <w:p w14:paraId="6DAD2F5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2,12, </w:t>
            </w:r>
            <w:r>
              <w:rPr>
                <w:spacing w:val="-4"/>
              </w:rPr>
              <w:t>3,95</w:t>
            </w:r>
          </w:p>
        </w:tc>
        <w:tc>
          <w:tcPr>
            <w:tcW w:w="1644" w:type="dxa"/>
          </w:tcPr>
          <w:p w14:paraId="27FE9C4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1,77, </w:t>
            </w:r>
            <w:r>
              <w:rPr>
                <w:spacing w:val="-4"/>
              </w:rPr>
              <w:t>3,48</w:t>
            </w:r>
          </w:p>
        </w:tc>
      </w:tr>
      <w:tr w:rsidR="00945359" w14:paraId="107E0848" w14:textId="77777777" w:rsidTr="008F5A8D">
        <w:trPr>
          <w:trHeight w:val="253"/>
        </w:trPr>
        <w:tc>
          <w:tcPr>
            <w:tcW w:w="4980" w:type="dxa"/>
          </w:tcPr>
          <w:p w14:paraId="1AEC966C" w14:textId="39CEF66B" w:rsidR="00945359" w:rsidRDefault="00B532D6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Tünetekkel járó</w:t>
            </w:r>
            <w:r w:rsidR="00220A43">
              <w:rPr>
                <w:spacing w:val="-10"/>
              </w:rPr>
              <w:t xml:space="preserve"> </w:t>
            </w:r>
            <w:r w:rsidR="00220A43">
              <w:rPr>
                <w:spacing w:val="-5"/>
              </w:rPr>
              <w:t>MVT</w:t>
            </w:r>
          </w:p>
        </w:tc>
        <w:tc>
          <w:tcPr>
            <w:tcW w:w="2436" w:type="dxa"/>
          </w:tcPr>
          <w:p w14:paraId="01536CB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17 </w:t>
            </w:r>
            <w:r>
              <w:rPr>
                <w:spacing w:val="-2"/>
              </w:rPr>
              <w:t>(1,2%)</w:t>
            </w:r>
          </w:p>
        </w:tc>
        <w:tc>
          <w:tcPr>
            <w:tcW w:w="1644" w:type="dxa"/>
          </w:tcPr>
          <w:p w14:paraId="787DE31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13 </w:t>
            </w:r>
            <w:r>
              <w:rPr>
                <w:spacing w:val="-2"/>
              </w:rPr>
              <w:t>(0,9%)</w:t>
            </w:r>
          </w:p>
        </w:tc>
      </w:tr>
      <w:tr w:rsidR="00945359" w14:paraId="3E460229" w14:textId="77777777" w:rsidTr="008F5A8D">
        <w:trPr>
          <w:trHeight w:val="251"/>
        </w:trPr>
        <w:tc>
          <w:tcPr>
            <w:tcW w:w="4980" w:type="dxa"/>
          </w:tcPr>
          <w:p w14:paraId="4E107B36" w14:textId="630F922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</w:p>
        </w:tc>
        <w:tc>
          <w:tcPr>
            <w:tcW w:w="2436" w:type="dxa"/>
          </w:tcPr>
          <w:p w14:paraId="6953A44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0,69, </w:t>
            </w:r>
            <w:r>
              <w:rPr>
                <w:spacing w:val="-4"/>
              </w:rPr>
              <w:t>1,90</w:t>
            </w:r>
          </w:p>
        </w:tc>
        <w:tc>
          <w:tcPr>
            <w:tcW w:w="1644" w:type="dxa"/>
          </w:tcPr>
          <w:p w14:paraId="48D2139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0,49, </w:t>
            </w:r>
            <w:r>
              <w:rPr>
                <w:spacing w:val="-4"/>
              </w:rPr>
              <w:t>1,55</w:t>
            </w:r>
          </w:p>
        </w:tc>
      </w:tr>
      <w:tr w:rsidR="00945359" w14:paraId="05480B8D" w14:textId="77777777" w:rsidTr="008F5A8D">
        <w:trPr>
          <w:trHeight w:val="254"/>
        </w:trPr>
        <w:tc>
          <w:tcPr>
            <w:tcW w:w="4980" w:type="dxa"/>
          </w:tcPr>
          <w:p w14:paraId="1ECDC03B" w14:textId="6767E4B9" w:rsidR="00945359" w:rsidRDefault="00B532D6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Tünetekkel járó</w:t>
            </w:r>
            <w:r w:rsidR="00220A43">
              <w:rPr>
                <w:spacing w:val="-10"/>
              </w:rPr>
              <w:t xml:space="preserve"> </w:t>
            </w:r>
            <w:r w:rsidR="00220A43">
              <w:rPr>
                <w:spacing w:val="-5"/>
              </w:rPr>
              <w:t>PE</w:t>
            </w:r>
          </w:p>
        </w:tc>
        <w:tc>
          <w:tcPr>
            <w:tcW w:w="2436" w:type="dxa"/>
          </w:tcPr>
          <w:p w14:paraId="5654490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10 </w:t>
            </w:r>
            <w:r>
              <w:rPr>
                <w:spacing w:val="-2"/>
              </w:rPr>
              <w:t>(0,7%)</w:t>
            </w:r>
          </w:p>
        </w:tc>
        <w:tc>
          <w:tcPr>
            <w:tcW w:w="1644" w:type="dxa"/>
          </w:tcPr>
          <w:p w14:paraId="7A82C18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5 </w:t>
            </w:r>
            <w:r>
              <w:rPr>
                <w:spacing w:val="-2"/>
              </w:rPr>
              <w:t>(0,4%)</w:t>
            </w:r>
          </w:p>
        </w:tc>
      </w:tr>
      <w:tr w:rsidR="00945359" w14:paraId="28F1E524" w14:textId="77777777" w:rsidTr="008F5A8D">
        <w:trPr>
          <w:trHeight w:val="253"/>
        </w:trPr>
        <w:tc>
          <w:tcPr>
            <w:tcW w:w="4980" w:type="dxa"/>
          </w:tcPr>
          <w:p w14:paraId="37EFE515" w14:textId="302F1A9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</w:p>
        </w:tc>
        <w:tc>
          <w:tcPr>
            <w:tcW w:w="2436" w:type="dxa"/>
          </w:tcPr>
          <w:p w14:paraId="09342DB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0,34, </w:t>
            </w:r>
            <w:r>
              <w:rPr>
                <w:spacing w:val="-4"/>
              </w:rPr>
              <w:t>1,28</w:t>
            </w:r>
          </w:p>
        </w:tc>
        <w:tc>
          <w:tcPr>
            <w:tcW w:w="1644" w:type="dxa"/>
          </w:tcPr>
          <w:p w14:paraId="31C9E20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0,11, </w:t>
            </w:r>
            <w:r>
              <w:rPr>
                <w:spacing w:val="-4"/>
              </w:rPr>
              <w:t>0,82</w:t>
            </w:r>
          </w:p>
        </w:tc>
      </w:tr>
      <w:tr w:rsidR="00945359" w14:paraId="7DA57E3F" w14:textId="77777777" w:rsidTr="008F5A8D">
        <w:trPr>
          <w:trHeight w:val="251"/>
        </w:trPr>
        <w:tc>
          <w:tcPr>
            <w:tcW w:w="4980" w:type="dxa"/>
          </w:tcPr>
          <w:p w14:paraId="62F05671" w14:textId="703FB07F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VTE-vel</w:t>
            </w:r>
            <w:r>
              <w:rPr>
                <w:spacing w:val="-8"/>
              </w:rPr>
              <w:t xml:space="preserve"> </w:t>
            </w:r>
            <w:r>
              <w:t>összefüggő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halál</w:t>
            </w:r>
            <w:r w:rsidR="002B2C85">
              <w:rPr>
                <w:spacing w:val="-2"/>
              </w:rPr>
              <w:t>ozás</w:t>
            </w:r>
          </w:p>
        </w:tc>
        <w:tc>
          <w:tcPr>
            <w:tcW w:w="2436" w:type="dxa"/>
          </w:tcPr>
          <w:p w14:paraId="3931080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 </w:t>
            </w:r>
            <w:r>
              <w:rPr>
                <w:spacing w:val="-2"/>
              </w:rPr>
              <w:t>(0,1%)</w:t>
            </w:r>
          </w:p>
        </w:tc>
        <w:tc>
          <w:tcPr>
            <w:tcW w:w="1644" w:type="dxa"/>
          </w:tcPr>
          <w:p w14:paraId="290D489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 </w:t>
            </w:r>
            <w:r>
              <w:rPr>
                <w:spacing w:val="-2"/>
              </w:rPr>
              <w:t>(0,1%)</w:t>
            </w:r>
          </w:p>
        </w:tc>
      </w:tr>
      <w:tr w:rsidR="00945359" w14:paraId="0027A0B9" w14:textId="77777777" w:rsidTr="008F5A8D">
        <w:trPr>
          <w:trHeight w:val="253"/>
        </w:trPr>
        <w:tc>
          <w:tcPr>
            <w:tcW w:w="4980" w:type="dxa"/>
          </w:tcPr>
          <w:p w14:paraId="50E93118" w14:textId="6BA3681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</w:p>
        </w:tc>
        <w:tc>
          <w:tcPr>
            <w:tcW w:w="2436" w:type="dxa"/>
          </w:tcPr>
          <w:p w14:paraId="1D0D4973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0,39</w:t>
            </w:r>
          </w:p>
        </w:tc>
        <w:tc>
          <w:tcPr>
            <w:tcW w:w="1644" w:type="dxa"/>
          </w:tcPr>
          <w:p w14:paraId="21C7918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0,39</w:t>
            </w:r>
          </w:p>
        </w:tc>
      </w:tr>
      <w:tr w:rsidR="00945359" w14:paraId="37E80CC2" w14:textId="77777777" w:rsidTr="008F5A8D">
        <w:trPr>
          <w:trHeight w:val="251"/>
        </w:trPr>
        <w:tc>
          <w:tcPr>
            <w:tcW w:w="4980" w:type="dxa"/>
          </w:tcPr>
          <w:p w14:paraId="0B4D8C29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Összhalálozás</w:t>
            </w:r>
          </w:p>
        </w:tc>
        <w:tc>
          <w:tcPr>
            <w:tcW w:w="2436" w:type="dxa"/>
          </w:tcPr>
          <w:p w14:paraId="3906C82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17 </w:t>
            </w:r>
            <w:r>
              <w:rPr>
                <w:spacing w:val="-2"/>
              </w:rPr>
              <w:t>(1,2%)</w:t>
            </w:r>
          </w:p>
        </w:tc>
        <w:tc>
          <w:tcPr>
            <w:tcW w:w="1644" w:type="dxa"/>
          </w:tcPr>
          <w:p w14:paraId="54395E6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19 </w:t>
            </w:r>
            <w:r>
              <w:rPr>
                <w:spacing w:val="-2"/>
              </w:rPr>
              <w:t>(1,3%)</w:t>
            </w:r>
          </w:p>
        </w:tc>
      </w:tr>
      <w:tr w:rsidR="00945359" w14:paraId="07F21337" w14:textId="77777777" w:rsidTr="008F5A8D">
        <w:trPr>
          <w:trHeight w:val="253"/>
        </w:trPr>
        <w:tc>
          <w:tcPr>
            <w:tcW w:w="4980" w:type="dxa"/>
          </w:tcPr>
          <w:p w14:paraId="5C3E38CE" w14:textId="62824C5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 w:rsidR="00BD17B5">
              <w:t>konfidenciaintervallum</w:t>
            </w:r>
          </w:p>
        </w:tc>
        <w:tc>
          <w:tcPr>
            <w:tcW w:w="2436" w:type="dxa"/>
          </w:tcPr>
          <w:p w14:paraId="5A1617D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0,69, </w:t>
            </w:r>
            <w:r>
              <w:rPr>
                <w:spacing w:val="-4"/>
              </w:rPr>
              <w:t>1,90</w:t>
            </w:r>
          </w:p>
        </w:tc>
        <w:tc>
          <w:tcPr>
            <w:tcW w:w="1644" w:type="dxa"/>
          </w:tcPr>
          <w:p w14:paraId="1C9E821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0,80, </w:t>
            </w:r>
            <w:r>
              <w:rPr>
                <w:spacing w:val="-4"/>
              </w:rPr>
              <w:t>2,07</w:t>
            </w:r>
          </w:p>
        </w:tc>
      </w:tr>
    </w:tbl>
    <w:p w14:paraId="6CD7CA71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2D7E4A5C" w14:textId="7B2E4EE4" w:rsidR="00945359" w:rsidRDefault="00220A43" w:rsidP="008F5A8D">
      <w:pPr>
        <w:pStyle w:val="Szvegtrzs"/>
        <w:tabs>
          <w:tab w:val="left" w:pos="567"/>
        </w:tabs>
      </w:pPr>
      <w:r>
        <w:t>A RE-SONATE vizsgálat célja a dabigatrán-etexilát visszatérő</w:t>
      </w:r>
      <w:r w:rsidR="009F1940">
        <w:t>,</w:t>
      </w:r>
      <w:r>
        <w:t xml:space="preserve"> </w:t>
      </w:r>
      <w:r w:rsidR="00B532D6">
        <w:t>tünetekkel járó</w:t>
      </w:r>
      <w:r>
        <w:t xml:space="preserve"> MVT és/PE prevenciójában</w:t>
      </w:r>
      <w:r>
        <w:rPr>
          <w:spacing w:val="-3"/>
        </w:rPr>
        <w:t xml:space="preserve"> </w:t>
      </w:r>
      <w:r>
        <w:t>mutatott</w:t>
      </w:r>
      <w:r>
        <w:rPr>
          <w:spacing w:val="-3"/>
        </w:rPr>
        <w:t xml:space="preserve"> </w:t>
      </w:r>
      <w:r>
        <w:t>szuperioritásának</w:t>
      </w:r>
      <w:r>
        <w:rPr>
          <w:spacing w:val="-3"/>
        </w:rPr>
        <w:t xml:space="preserve"> </w:t>
      </w:r>
      <w:r>
        <w:t>értékelése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placebóhoz</w:t>
      </w:r>
      <w:r>
        <w:rPr>
          <w:spacing w:val="-3"/>
        </w:rPr>
        <w:t xml:space="preserve"> </w:t>
      </w:r>
      <w:r>
        <w:t>képest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betegeknél,</w:t>
      </w:r>
      <w:r>
        <w:rPr>
          <w:spacing w:val="-3"/>
        </w:rPr>
        <w:t xml:space="preserve"> </w:t>
      </w:r>
      <w:r>
        <w:t>akik</w:t>
      </w:r>
      <w:r>
        <w:rPr>
          <w:spacing w:val="-3"/>
        </w:rPr>
        <w:t xml:space="preserve"> </w:t>
      </w:r>
      <w:r>
        <w:t>már legalább 6-18</w:t>
      </w:r>
      <w:r w:rsidR="002E2A7B">
        <w:t> hónap</w:t>
      </w:r>
      <w:r>
        <w:t>ja K-</w:t>
      </w:r>
      <w:r w:rsidR="00B95CAF">
        <w:t>vitamin-ant</w:t>
      </w:r>
      <w:r>
        <w:t>agonista</w:t>
      </w:r>
      <w:r w:rsidR="00BD17B5">
        <w:t>-</w:t>
      </w:r>
      <w:r>
        <w:t>kezelésben részesülnek. A tervezett kezelés kétszer</w:t>
      </w:r>
    </w:p>
    <w:p w14:paraId="60F78842" w14:textId="5C2B2CD0" w:rsidR="00945359" w:rsidRDefault="00220A43" w:rsidP="008F5A8D">
      <w:pPr>
        <w:pStyle w:val="Szvegtrzs"/>
        <w:tabs>
          <w:tab w:val="left" w:pos="567"/>
        </w:tabs>
      </w:pPr>
      <w:r>
        <w:t>150</w:t>
      </w:r>
      <w:r w:rsidR="00294835">
        <w:rPr>
          <w:spacing w:val="-6"/>
        </w:rPr>
        <w:t> mg</w:t>
      </w:r>
      <w:r>
        <w:rPr>
          <w:spacing w:val="-7"/>
        </w:rPr>
        <w:t xml:space="preserve"> </w:t>
      </w:r>
      <w:r>
        <w:t>dabigatrán-etexilát</w:t>
      </w:r>
      <w:r>
        <w:rPr>
          <w:spacing w:val="-8"/>
        </w:rPr>
        <w:t xml:space="preserve"> </w:t>
      </w:r>
      <w:r>
        <w:t>volt</w:t>
      </w:r>
      <w:r>
        <w:rPr>
          <w:spacing w:val="-5"/>
        </w:rPr>
        <w:t xml:space="preserve"> </w:t>
      </w:r>
      <w:r>
        <w:t>6</w:t>
      </w:r>
      <w:r w:rsidR="002E2A7B">
        <w:rPr>
          <w:spacing w:val="-6"/>
        </w:rPr>
        <w:t> hónap</w:t>
      </w:r>
      <w:r>
        <w:t>on</w:t>
      </w:r>
      <w:r>
        <w:rPr>
          <w:spacing w:val="-6"/>
        </w:rPr>
        <w:t xml:space="preserve"> </w:t>
      </w:r>
      <w:r>
        <w:t>át,</w:t>
      </w:r>
      <w:r>
        <w:rPr>
          <w:spacing w:val="-7"/>
        </w:rPr>
        <w:t xml:space="preserve"> </w:t>
      </w:r>
      <w:r>
        <w:t>monitorozás</w:t>
      </w:r>
      <w:r>
        <w:rPr>
          <w:spacing w:val="-6"/>
        </w:rPr>
        <w:t xml:space="preserve"> </w:t>
      </w:r>
      <w:r>
        <w:t>szükségessége</w:t>
      </w:r>
      <w:r>
        <w:rPr>
          <w:spacing w:val="-6"/>
        </w:rPr>
        <w:t xml:space="preserve"> </w:t>
      </w:r>
      <w:r>
        <w:rPr>
          <w:spacing w:val="-2"/>
        </w:rPr>
        <w:t>nélkül.</w:t>
      </w:r>
    </w:p>
    <w:p w14:paraId="133327D7" w14:textId="3F07933D" w:rsidR="00945359" w:rsidRDefault="00220A43" w:rsidP="008F5A8D">
      <w:pPr>
        <w:pStyle w:val="Szvegtrzs"/>
        <w:tabs>
          <w:tab w:val="left" w:pos="567"/>
        </w:tabs>
      </w:pPr>
      <w:r>
        <w:t>A RE-SONATE vizsgálat igazolta a dabigatrán-etexilát placebóhoz viszonyított, a visszatérő</w:t>
      </w:r>
      <w:r w:rsidR="009F1940">
        <w:t>,</w:t>
      </w:r>
      <w:r>
        <w:t xml:space="preserve"> </w:t>
      </w:r>
      <w:r w:rsidR="00B532D6">
        <w:t>tünetekkel járó</w:t>
      </w:r>
      <w:r>
        <w:t xml:space="preserve"> MVT/PE prevenciójában mutatott szuperioritását, beleértve az ismeretlen okú haláleseteket is, a kezelési időszak alatt a kockázat 5,6%-ról 0,4%-ra csökkent (a relatív hazárdon alapuló</w:t>
      </w:r>
      <w:r>
        <w:rPr>
          <w:spacing w:val="-3"/>
        </w:rPr>
        <w:t xml:space="preserve"> </w:t>
      </w:r>
      <w:r>
        <w:t>relatív</w:t>
      </w:r>
      <w:r>
        <w:rPr>
          <w:spacing w:val="-3"/>
        </w:rPr>
        <w:t xml:space="preserve"> </w:t>
      </w:r>
      <w:r>
        <w:t>kockázatcsökkenés</w:t>
      </w:r>
      <w:r>
        <w:rPr>
          <w:spacing w:val="-3"/>
        </w:rPr>
        <w:t xml:space="preserve"> </w:t>
      </w:r>
      <w:r>
        <w:t>92%</w:t>
      </w:r>
      <w:r>
        <w:rPr>
          <w:spacing w:val="-4"/>
        </w:rPr>
        <w:t xml:space="preserve"> </w:t>
      </w:r>
      <w:r w:rsidR="002B2C85">
        <w:t>[</w:t>
      </w:r>
      <w:r>
        <w:t>p</w:t>
      </w:r>
      <w:r>
        <w:rPr>
          <w:spacing w:val="-5"/>
        </w:rPr>
        <w:t xml:space="preserve"> </w:t>
      </w:r>
      <w:r w:rsidR="00B95CAF">
        <w:t>&lt;</w:t>
      </w:r>
      <w:r>
        <w:t>0,0001</w:t>
      </w:r>
      <w:r w:rsidR="002B2C85">
        <w:t>]</w:t>
      </w:r>
      <w:r>
        <w:t>).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primer</w:t>
      </w:r>
      <w:r>
        <w:rPr>
          <w:spacing w:val="-3"/>
        </w:rPr>
        <w:t xml:space="preserve"> </w:t>
      </w:r>
      <w:r>
        <w:t>végpontok</w:t>
      </w:r>
      <w:r>
        <w:rPr>
          <w:spacing w:val="-3"/>
        </w:rPr>
        <w:t xml:space="preserve"> </w:t>
      </w:r>
      <w:r>
        <w:t>szekunder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 xml:space="preserve">szenzitivitási elemzése és minden szekunder végpont a dabigatrán-etexilát placebóhoz viszonyított szuperioritását </w:t>
      </w:r>
      <w:r>
        <w:rPr>
          <w:spacing w:val="-2"/>
        </w:rPr>
        <w:t>igazolta.</w:t>
      </w:r>
    </w:p>
    <w:p w14:paraId="2C8C311B" w14:textId="77777777" w:rsidR="00945359" w:rsidRDefault="00945359" w:rsidP="008F5A8D">
      <w:pPr>
        <w:pStyle w:val="Szvegtrzs"/>
        <w:tabs>
          <w:tab w:val="left" w:pos="567"/>
        </w:tabs>
      </w:pPr>
    </w:p>
    <w:p w14:paraId="1944B606" w14:textId="105AA8BA" w:rsidR="00945359" w:rsidRDefault="00220A43">
      <w:pPr>
        <w:pStyle w:val="Szvegtrzs"/>
        <w:tabs>
          <w:tab w:val="left" w:pos="567"/>
        </w:tabs>
      </w:pPr>
      <w:r>
        <w:t>A vizsgálat magában foglalt egy 12</w:t>
      </w:r>
      <w:r w:rsidR="002E2A7B">
        <w:t> hónap</w:t>
      </w:r>
      <w:r>
        <w:t>os megfigyeléses utánkövetést a kezelés befejezését követően.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gyógyszerelés</w:t>
      </w:r>
      <w:r>
        <w:rPr>
          <w:spacing w:val="-3"/>
        </w:rPr>
        <w:t xml:space="preserve"> </w:t>
      </w:r>
      <w:r>
        <w:t>leállítását</w:t>
      </w:r>
      <w:r>
        <w:rPr>
          <w:spacing w:val="-3"/>
        </w:rPr>
        <w:t xml:space="preserve"> </w:t>
      </w:r>
      <w:r>
        <w:t>követően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hatás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megfigyelési</w:t>
      </w:r>
      <w:r>
        <w:rPr>
          <w:spacing w:val="-3"/>
        </w:rPr>
        <w:t xml:space="preserve"> </w:t>
      </w:r>
      <w:r>
        <w:t>időszak</w:t>
      </w:r>
      <w:r>
        <w:rPr>
          <w:spacing w:val="-3"/>
        </w:rPr>
        <w:t xml:space="preserve"> </w:t>
      </w:r>
      <w:r>
        <w:t>végéig</w:t>
      </w:r>
      <w:r>
        <w:rPr>
          <w:spacing w:val="-3"/>
        </w:rPr>
        <w:t xml:space="preserve"> </w:t>
      </w:r>
      <w:r>
        <w:t>fennmaradt,</w:t>
      </w:r>
      <w:r>
        <w:rPr>
          <w:spacing w:val="-3"/>
        </w:rPr>
        <w:t xml:space="preserve"> </w:t>
      </w:r>
      <w:r>
        <w:t xml:space="preserve">ami arra utal, hogy a kezdeti </w:t>
      </w:r>
      <w:r w:rsidR="00067923">
        <w:t>dabigatrán-etexilát-kezelés</w:t>
      </w:r>
      <w:r>
        <w:t xml:space="preserve"> hatása tartós volt. Rebound hatást nem figyeltek meg. A követés végére a VTE események a dabigatrán-etexiláttal kezelt betegek 6,9%-ánál, míg a placebót</w:t>
      </w:r>
      <w:r>
        <w:rPr>
          <w:spacing w:val="-1"/>
        </w:rPr>
        <w:t xml:space="preserve"> </w:t>
      </w:r>
      <w:r>
        <w:t>kapók</w:t>
      </w:r>
      <w:r>
        <w:rPr>
          <w:spacing w:val="-1"/>
        </w:rPr>
        <w:t xml:space="preserve"> </w:t>
      </w:r>
      <w:r>
        <w:t>10,7%-ánál</w:t>
      </w:r>
      <w:r>
        <w:rPr>
          <w:spacing w:val="-1"/>
        </w:rPr>
        <w:t xml:space="preserve"> </w:t>
      </w:r>
      <w:r>
        <w:t>voltak</w:t>
      </w:r>
      <w:r>
        <w:rPr>
          <w:spacing w:val="-1"/>
        </w:rPr>
        <w:t xml:space="preserve"> </w:t>
      </w:r>
      <w:r>
        <w:t>észlelhetők</w:t>
      </w:r>
      <w:r>
        <w:rPr>
          <w:spacing w:val="-1"/>
        </w:rPr>
        <w:t xml:space="preserve"> </w:t>
      </w:r>
      <w:r>
        <w:t>(relatív</w:t>
      </w:r>
      <w:r>
        <w:rPr>
          <w:spacing w:val="-1"/>
        </w:rPr>
        <w:t xml:space="preserve"> </w:t>
      </w:r>
      <w:r>
        <w:t>hazárd</w:t>
      </w:r>
      <w:r>
        <w:rPr>
          <w:spacing w:val="-1"/>
        </w:rPr>
        <w:t xml:space="preserve"> </w:t>
      </w:r>
      <w:r>
        <w:t>0,61</w:t>
      </w:r>
      <w:r>
        <w:rPr>
          <w:spacing w:val="-1"/>
        </w:rPr>
        <w:t xml:space="preserve"> </w:t>
      </w:r>
      <w:r w:rsidR="00BD17B5">
        <w:t>[</w:t>
      </w:r>
      <w:r>
        <w:t>95% CI</w:t>
      </w:r>
      <w:r>
        <w:rPr>
          <w:spacing w:val="-1"/>
        </w:rPr>
        <w:t xml:space="preserve"> </w:t>
      </w:r>
      <w:r>
        <w:t>0,42,</w:t>
      </w:r>
      <w:r>
        <w:rPr>
          <w:spacing w:val="-1"/>
        </w:rPr>
        <w:t xml:space="preserve"> </w:t>
      </w:r>
      <w:r>
        <w:t>0,88</w:t>
      </w:r>
      <w:r w:rsidR="00BD17B5">
        <w:t xml:space="preserve">, </w:t>
      </w:r>
      <w:r>
        <w:t>p</w:t>
      </w:r>
      <w:r w:rsidR="00BD17B5">
        <w:t> </w:t>
      </w:r>
      <w:r>
        <w:t>=</w:t>
      </w:r>
      <w:r w:rsidR="00BD17B5">
        <w:t> </w:t>
      </w:r>
      <w:r>
        <w:t>0,0082</w:t>
      </w:r>
      <w:r w:rsidR="00BD17B5">
        <w:t>]</w:t>
      </w:r>
      <w:r>
        <w:t>).</w:t>
      </w:r>
    </w:p>
    <w:p w14:paraId="4592ADA8" w14:textId="77777777" w:rsidR="00BC10BA" w:rsidRDefault="00BC10BA" w:rsidP="008F5A8D">
      <w:pPr>
        <w:pStyle w:val="Szvegtrzs"/>
        <w:tabs>
          <w:tab w:val="left" w:pos="567"/>
        </w:tabs>
      </w:pPr>
    </w:p>
    <w:p w14:paraId="4EE3FC4A" w14:textId="7960C88B" w:rsidR="00945359" w:rsidRPr="004F4A3C" w:rsidRDefault="00A9240D" w:rsidP="008F5A8D">
      <w:pPr>
        <w:rPr>
          <w:b/>
        </w:rPr>
      </w:pPr>
      <w:r w:rsidRPr="00BD17B5">
        <w:rPr>
          <w:b/>
        </w:rPr>
        <w:t>29.</w:t>
      </w:r>
      <w:r w:rsidR="00BD17B5" w:rsidRPr="00BD17B5">
        <w:rPr>
          <w:b/>
        </w:rPr>
        <w:t> </w:t>
      </w:r>
      <w:r w:rsidR="00220A43" w:rsidRPr="004F4A3C">
        <w:rPr>
          <w:b/>
          <w:spacing w:val="-2"/>
        </w:rPr>
        <w:t>táblázat:</w:t>
      </w:r>
      <w:r w:rsidRPr="004F4A3C">
        <w:rPr>
          <w:b/>
        </w:rPr>
        <w:t xml:space="preserve"> </w:t>
      </w:r>
      <w:r w:rsidR="00220A43" w:rsidRPr="004F4A3C">
        <w:rPr>
          <w:b/>
        </w:rPr>
        <w:t>A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primer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és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szekunder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hatásossági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végpontok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(a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VTE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az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MVT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és/vagy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>PE</w:t>
      </w:r>
      <w:r w:rsidR="00220A43" w:rsidRPr="004F4A3C">
        <w:rPr>
          <w:b/>
          <w:spacing w:val="-3"/>
        </w:rPr>
        <w:t xml:space="preserve"> </w:t>
      </w:r>
      <w:r w:rsidR="00220A43" w:rsidRPr="004F4A3C">
        <w:rPr>
          <w:b/>
        </w:rPr>
        <w:t xml:space="preserve">együtt) a </w:t>
      </w:r>
      <w:r w:rsidR="00220A43" w:rsidRPr="004F4A3C">
        <w:rPr>
          <w:b/>
        </w:rPr>
        <w:lastRenderedPageBreak/>
        <w:t>kezelés utáni időszak végéig a RE-SONATE vizsgálatban</w:t>
      </w:r>
    </w:p>
    <w:p w14:paraId="1B52821F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4248"/>
        <w:gridCol w:w="2834"/>
        <w:gridCol w:w="1977"/>
      </w:tblGrid>
      <w:tr w:rsidR="00945359" w14:paraId="57D21989" w14:textId="77777777" w:rsidTr="008F5A8D">
        <w:trPr>
          <w:trHeight w:val="505"/>
        </w:trPr>
        <w:tc>
          <w:tcPr>
            <w:tcW w:w="4248" w:type="dxa"/>
          </w:tcPr>
          <w:p w14:paraId="47568D9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  <w:tc>
          <w:tcPr>
            <w:tcW w:w="2834" w:type="dxa"/>
          </w:tcPr>
          <w:p w14:paraId="5E81D74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Dabigatrán-etexilát</w:t>
            </w:r>
          </w:p>
          <w:p w14:paraId="362BC1D0" w14:textId="01079FC5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naponta</w:t>
            </w:r>
            <w:r>
              <w:rPr>
                <w:spacing w:val="-6"/>
              </w:rPr>
              <w:t xml:space="preserve"> </w:t>
            </w:r>
            <w:r>
              <w:t>kétszer</w:t>
            </w:r>
            <w:r>
              <w:rPr>
                <w:spacing w:val="-6"/>
              </w:rPr>
              <w:t xml:space="preserve"> </w:t>
            </w:r>
            <w:r>
              <w:t>150</w:t>
            </w:r>
            <w:r w:rsidR="00294835">
              <w:rPr>
                <w:spacing w:val="-5"/>
              </w:rPr>
              <w:t> mg</w:t>
            </w:r>
          </w:p>
        </w:tc>
        <w:tc>
          <w:tcPr>
            <w:tcW w:w="1977" w:type="dxa"/>
          </w:tcPr>
          <w:p w14:paraId="47B7234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Placebo</w:t>
            </w:r>
          </w:p>
        </w:tc>
      </w:tr>
      <w:tr w:rsidR="00945359" w14:paraId="2CF7953D" w14:textId="77777777" w:rsidTr="008F5A8D">
        <w:trPr>
          <w:trHeight w:val="251"/>
        </w:trPr>
        <w:tc>
          <w:tcPr>
            <w:tcW w:w="4248" w:type="dxa"/>
          </w:tcPr>
          <w:p w14:paraId="322A916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Kezelt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betegek</w:t>
            </w:r>
          </w:p>
        </w:tc>
        <w:tc>
          <w:tcPr>
            <w:tcW w:w="2834" w:type="dxa"/>
          </w:tcPr>
          <w:p w14:paraId="261A220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681</w:t>
            </w:r>
          </w:p>
        </w:tc>
        <w:tc>
          <w:tcPr>
            <w:tcW w:w="1977" w:type="dxa"/>
          </w:tcPr>
          <w:p w14:paraId="5398EE3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5"/>
              </w:rPr>
              <w:t>662</w:t>
            </w:r>
          </w:p>
        </w:tc>
      </w:tr>
      <w:tr w:rsidR="00945359" w14:paraId="00FB3808" w14:textId="77777777" w:rsidTr="008F5A8D">
        <w:trPr>
          <w:trHeight w:val="505"/>
        </w:trPr>
        <w:tc>
          <w:tcPr>
            <w:tcW w:w="4248" w:type="dxa"/>
          </w:tcPr>
          <w:p w14:paraId="31251629" w14:textId="1C8904E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Visszatérő</w:t>
            </w:r>
            <w:r w:rsidR="009F1940">
              <w:t>,</w:t>
            </w:r>
            <w:r>
              <w:rPr>
                <w:spacing w:val="-8"/>
              </w:rPr>
              <w:t xml:space="preserve"> </w:t>
            </w:r>
            <w:r w:rsidR="00B532D6">
              <w:t>tünetekkel járó</w:t>
            </w:r>
            <w:r>
              <w:rPr>
                <w:spacing w:val="-6"/>
              </w:rPr>
              <w:t xml:space="preserve"> </w:t>
            </w:r>
            <w:r>
              <w:t>VTE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azzal</w:t>
            </w:r>
          </w:p>
          <w:p w14:paraId="76CFE3EE" w14:textId="35F9FF5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összefüggő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halál</w:t>
            </w:r>
            <w:r w:rsidR="00BD17B5">
              <w:rPr>
                <w:spacing w:val="-2"/>
              </w:rPr>
              <w:t>ozás</w:t>
            </w:r>
          </w:p>
        </w:tc>
        <w:tc>
          <w:tcPr>
            <w:tcW w:w="2834" w:type="dxa"/>
          </w:tcPr>
          <w:p w14:paraId="206814C7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 </w:t>
            </w:r>
            <w:r>
              <w:rPr>
                <w:spacing w:val="-2"/>
              </w:rPr>
              <w:t>(0,4%)</w:t>
            </w:r>
          </w:p>
        </w:tc>
        <w:tc>
          <w:tcPr>
            <w:tcW w:w="1977" w:type="dxa"/>
          </w:tcPr>
          <w:p w14:paraId="53F1DEB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37 </w:t>
            </w:r>
            <w:r>
              <w:rPr>
                <w:spacing w:val="-2"/>
              </w:rPr>
              <w:t>(5,6%)</w:t>
            </w:r>
          </w:p>
        </w:tc>
      </w:tr>
      <w:tr w:rsidR="00945359" w14:paraId="5B4A9735" w14:textId="77777777" w:rsidTr="008F5A8D">
        <w:trPr>
          <w:trHeight w:val="506"/>
        </w:trPr>
        <w:tc>
          <w:tcPr>
            <w:tcW w:w="4248" w:type="dxa"/>
          </w:tcPr>
          <w:p w14:paraId="40A13AF0" w14:textId="2F00436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Relatív</w:t>
            </w:r>
            <w:r>
              <w:rPr>
                <w:spacing w:val="-5"/>
              </w:rPr>
              <w:t xml:space="preserve"> </w:t>
            </w:r>
            <w:r>
              <w:t>hazárd</w:t>
            </w:r>
            <w:r>
              <w:rPr>
                <w:spacing w:val="-5"/>
              </w:rPr>
              <w:t xml:space="preserve"> </w:t>
            </w:r>
            <w:r w:rsidRPr="004F4A3C">
              <w:rPr>
                <w:i/>
                <w:iCs/>
              </w:rPr>
              <w:t>vs</w:t>
            </w:r>
            <w:r w:rsidR="00BD17B5" w:rsidRPr="004F4A3C">
              <w:rPr>
                <w:i/>
                <w:iCs/>
              </w:rPr>
              <w:t>.</w:t>
            </w:r>
            <w:r w:rsidRPr="004F4A3C">
              <w:rPr>
                <w:i/>
                <w:iCs/>
                <w:spacing w:val="-5"/>
              </w:rPr>
              <w:t xml:space="preserve"> </w:t>
            </w:r>
            <w:r>
              <w:rPr>
                <w:spacing w:val="-2"/>
              </w:rPr>
              <w:t>placebo</w:t>
            </w:r>
          </w:p>
          <w:p w14:paraId="045ECD3A" w14:textId="4F8D346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intervallum)</w:t>
            </w:r>
          </w:p>
        </w:tc>
        <w:tc>
          <w:tcPr>
            <w:tcW w:w="2834" w:type="dxa"/>
          </w:tcPr>
          <w:p w14:paraId="43F3E65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4"/>
              </w:rPr>
              <w:t>0,08</w:t>
            </w:r>
          </w:p>
          <w:p w14:paraId="7ED7666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(0,02,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0,25)</w:t>
            </w:r>
          </w:p>
        </w:tc>
        <w:tc>
          <w:tcPr>
            <w:tcW w:w="1977" w:type="dxa"/>
          </w:tcPr>
          <w:p w14:paraId="28804101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</w:p>
        </w:tc>
      </w:tr>
      <w:tr w:rsidR="00945359" w14:paraId="3BBB44A2" w14:textId="77777777" w:rsidTr="008F5A8D">
        <w:trPr>
          <w:trHeight w:val="253"/>
        </w:trPr>
        <w:tc>
          <w:tcPr>
            <w:tcW w:w="4248" w:type="dxa"/>
          </w:tcPr>
          <w:p w14:paraId="5797AFE8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A</w:t>
            </w:r>
            <w:r>
              <w:rPr>
                <w:spacing w:val="-10"/>
              </w:rPr>
              <w:t xml:space="preserve"> </w:t>
            </w:r>
            <w:r>
              <w:t>szuperioritásra</w:t>
            </w:r>
            <w:r>
              <w:rPr>
                <w:spacing w:val="-10"/>
              </w:rPr>
              <w:t xml:space="preserve"> </w:t>
            </w:r>
            <w:r>
              <w:t>vonatkozó</w:t>
            </w:r>
            <w:r>
              <w:rPr>
                <w:spacing w:val="-10"/>
              </w:rPr>
              <w:t xml:space="preserve"> </w:t>
            </w:r>
            <w:r>
              <w:t>p-</w:t>
            </w:r>
            <w:r>
              <w:rPr>
                <w:spacing w:val="-2"/>
              </w:rPr>
              <w:t>érték</w:t>
            </w:r>
          </w:p>
        </w:tc>
        <w:tc>
          <w:tcPr>
            <w:tcW w:w="2834" w:type="dxa"/>
          </w:tcPr>
          <w:p w14:paraId="71444772" w14:textId="77206B1B" w:rsidR="00945359" w:rsidRDefault="00B95CAF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&lt;</w:t>
            </w:r>
            <w:r w:rsidR="00220A43">
              <w:rPr>
                <w:spacing w:val="-2"/>
              </w:rPr>
              <w:t>0,0001</w:t>
            </w:r>
          </w:p>
        </w:tc>
        <w:tc>
          <w:tcPr>
            <w:tcW w:w="1977" w:type="dxa"/>
          </w:tcPr>
          <w:p w14:paraId="6375DD65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22A7B24E" w14:textId="77777777" w:rsidTr="008F5A8D">
        <w:trPr>
          <w:trHeight w:val="251"/>
        </w:trPr>
        <w:tc>
          <w:tcPr>
            <w:tcW w:w="4248" w:type="dxa"/>
          </w:tcPr>
          <w:p w14:paraId="1A44C5A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Szekunder</w:t>
            </w:r>
            <w:r>
              <w:rPr>
                <w:spacing w:val="-10"/>
              </w:rPr>
              <w:t xml:space="preserve"> </w:t>
            </w:r>
            <w:r>
              <w:t>hatásossági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végpontok</w:t>
            </w:r>
          </w:p>
        </w:tc>
        <w:tc>
          <w:tcPr>
            <w:tcW w:w="2834" w:type="dxa"/>
          </w:tcPr>
          <w:p w14:paraId="5B5E95F7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977" w:type="dxa"/>
          </w:tcPr>
          <w:p w14:paraId="56AC14D2" w14:textId="77777777" w:rsidR="00945359" w:rsidRDefault="00945359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z w:val="18"/>
              </w:rPr>
            </w:pPr>
          </w:p>
        </w:tc>
      </w:tr>
      <w:tr w:rsidR="00945359" w14:paraId="01697963" w14:textId="77777777" w:rsidTr="008F5A8D">
        <w:trPr>
          <w:trHeight w:val="254"/>
        </w:trPr>
        <w:tc>
          <w:tcPr>
            <w:tcW w:w="4248" w:type="dxa"/>
          </w:tcPr>
          <w:p w14:paraId="16701109" w14:textId="31B9F3EE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Visszatérő</w:t>
            </w:r>
            <w:r w:rsidR="009F1940">
              <w:t>,</w:t>
            </w:r>
            <w:r>
              <w:rPr>
                <w:spacing w:val="-7"/>
              </w:rPr>
              <w:t xml:space="preserve"> </w:t>
            </w:r>
            <w:r w:rsidR="00B532D6">
              <w:t>tünetekkel járó</w:t>
            </w:r>
            <w:r>
              <w:rPr>
                <w:spacing w:val="-6"/>
              </w:rPr>
              <w:t xml:space="preserve"> </w:t>
            </w:r>
            <w:r>
              <w:t>VTE</w:t>
            </w:r>
            <w:r>
              <w:rPr>
                <w:spacing w:val="-6"/>
              </w:rPr>
              <w:t xml:space="preserve"> </w:t>
            </w:r>
            <w:r>
              <w:t>és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összhalálozás</w:t>
            </w:r>
          </w:p>
        </w:tc>
        <w:tc>
          <w:tcPr>
            <w:tcW w:w="2834" w:type="dxa"/>
          </w:tcPr>
          <w:p w14:paraId="644A50A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 </w:t>
            </w:r>
            <w:r>
              <w:rPr>
                <w:spacing w:val="-2"/>
              </w:rPr>
              <w:t>(0,4%)</w:t>
            </w:r>
          </w:p>
        </w:tc>
        <w:tc>
          <w:tcPr>
            <w:tcW w:w="1977" w:type="dxa"/>
          </w:tcPr>
          <w:p w14:paraId="1205BE7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37 </w:t>
            </w:r>
            <w:r>
              <w:rPr>
                <w:spacing w:val="-2"/>
              </w:rPr>
              <w:t>(5,6%)</w:t>
            </w:r>
          </w:p>
        </w:tc>
      </w:tr>
      <w:tr w:rsidR="00945359" w14:paraId="1ABE5761" w14:textId="77777777" w:rsidTr="008F5A8D">
        <w:trPr>
          <w:trHeight w:val="253"/>
        </w:trPr>
        <w:tc>
          <w:tcPr>
            <w:tcW w:w="4248" w:type="dxa"/>
          </w:tcPr>
          <w:p w14:paraId="46627261" w14:textId="45CFB486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834" w:type="dxa"/>
          </w:tcPr>
          <w:p w14:paraId="49CABB8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0,09, </w:t>
            </w:r>
            <w:r>
              <w:rPr>
                <w:spacing w:val="-4"/>
              </w:rPr>
              <w:t>1,28</w:t>
            </w:r>
          </w:p>
        </w:tc>
        <w:tc>
          <w:tcPr>
            <w:tcW w:w="1977" w:type="dxa"/>
          </w:tcPr>
          <w:p w14:paraId="0189B3A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3,97, </w:t>
            </w:r>
            <w:r>
              <w:rPr>
                <w:spacing w:val="-4"/>
              </w:rPr>
              <w:t>7,62</w:t>
            </w:r>
          </w:p>
        </w:tc>
      </w:tr>
      <w:tr w:rsidR="00945359" w14:paraId="06042613" w14:textId="77777777" w:rsidTr="008F5A8D">
        <w:trPr>
          <w:trHeight w:val="251"/>
        </w:trPr>
        <w:tc>
          <w:tcPr>
            <w:tcW w:w="4248" w:type="dxa"/>
          </w:tcPr>
          <w:p w14:paraId="132AD6D2" w14:textId="4C4D41F6" w:rsidR="00945359" w:rsidRDefault="00B532D6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Tünetekkel járó</w:t>
            </w:r>
            <w:r w:rsidR="00220A43">
              <w:rPr>
                <w:spacing w:val="-10"/>
              </w:rPr>
              <w:t xml:space="preserve"> </w:t>
            </w:r>
            <w:r w:rsidR="00220A43">
              <w:rPr>
                <w:spacing w:val="-5"/>
              </w:rPr>
              <w:t>MVT</w:t>
            </w:r>
          </w:p>
        </w:tc>
        <w:tc>
          <w:tcPr>
            <w:tcW w:w="2834" w:type="dxa"/>
          </w:tcPr>
          <w:p w14:paraId="6D7FE63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(0,3%)</w:t>
            </w:r>
          </w:p>
        </w:tc>
        <w:tc>
          <w:tcPr>
            <w:tcW w:w="1977" w:type="dxa"/>
          </w:tcPr>
          <w:p w14:paraId="5EAF4C04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23 </w:t>
            </w:r>
            <w:r>
              <w:rPr>
                <w:spacing w:val="-2"/>
              </w:rPr>
              <w:t>(3,5%)</w:t>
            </w:r>
          </w:p>
        </w:tc>
      </w:tr>
      <w:tr w:rsidR="00945359" w14:paraId="21ABB81B" w14:textId="77777777" w:rsidTr="008F5A8D">
        <w:trPr>
          <w:trHeight w:val="254"/>
        </w:trPr>
        <w:tc>
          <w:tcPr>
            <w:tcW w:w="4248" w:type="dxa"/>
          </w:tcPr>
          <w:p w14:paraId="68355A9A" w14:textId="4AE84692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834" w:type="dxa"/>
          </w:tcPr>
          <w:p w14:paraId="61E1AC8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0,04, </w:t>
            </w:r>
            <w:r>
              <w:rPr>
                <w:spacing w:val="-4"/>
              </w:rPr>
              <w:t>1,06</w:t>
            </w:r>
          </w:p>
        </w:tc>
        <w:tc>
          <w:tcPr>
            <w:tcW w:w="1977" w:type="dxa"/>
          </w:tcPr>
          <w:p w14:paraId="29A45DB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2,21, </w:t>
            </w:r>
            <w:r>
              <w:rPr>
                <w:spacing w:val="-4"/>
              </w:rPr>
              <w:t>5,17</w:t>
            </w:r>
          </w:p>
        </w:tc>
      </w:tr>
      <w:tr w:rsidR="00945359" w14:paraId="77E38D21" w14:textId="77777777" w:rsidTr="008F5A8D">
        <w:trPr>
          <w:trHeight w:val="251"/>
        </w:trPr>
        <w:tc>
          <w:tcPr>
            <w:tcW w:w="4248" w:type="dxa"/>
          </w:tcPr>
          <w:p w14:paraId="53C2A4FF" w14:textId="4BE81E76" w:rsidR="00945359" w:rsidRDefault="00B532D6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Tünetekkel járó</w:t>
            </w:r>
            <w:r w:rsidR="00220A43">
              <w:rPr>
                <w:spacing w:val="-10"/>
              </w:rPr>
              <w:t xml:space="preserve"> </w:t>
            </w:r>
            <w:r w:rsidR="00220A43">
              <w:rPr>
                <w:spacing w:val="-5"/>
              </w:rPr>
              <w:t>PE</w:t>
            </w:r>
          </w:p>
        </w:tc>
        <w:tc>
          <w:tcPr>
            <w:tcW w:w="2834" w:type="dxa"/>
          </w:tcPr>
          <w:p w14:paraId="6D40A58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 </w:t>
            </w:r>
            <w:r>
              <w:rPr>
                <w:spacing w:val="-2"/>
              </w:rPr>
              <w:t>(0,1%)</w:t>
            </w:r>
          </w:p>
        </w:tc>
        <w:tc>
          <w:tcPr>
            <w:tcW w:w="1977" w:type="dxa"/>
          </w:tcPr>
          <w:p w14:paraId="641AEC2E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14 </w:t>
            </w:r>
            <w:r>
              <w:rPr>
                <w:spacing w:val="-2"/>
              </w:rPr>
              <w:t>(2,1%)</w:t>
            </w:r>
          </w:p>
        </w:tc>
      </w:tr>
      <w:tr w:rsidR="00945359" w14:paraId="1FDA6E0D" w14:textId="77777777" w:rsidTr="008F5A8D">
        <w:trPr>
          <w:trHeight w:val="254"/>
        </w:trPr>
        <w:tc>
          <w:tcPr>
            <w:tcW w:w="4248" w:type="dxa"/>
          </w:tcPr>
          <w:p w14:paraId="6FAA24D2" w14:textId="22E58363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834" w:type="dxa"/>
          </w:tcPr>
          <w:p w14:paraId="6D53739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0,82</w:t>
            </w:r>
          </w:p>
        </w:tc>
        <w:tc>
          <w:tcPr>
            <w:tcW w:w="1977" w:type="dxa"/>
          </w:tcPr>
          <w:p w14:paraId="35873A7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1,16, </w:t>
            </w:r>
            <w:r>
              <w:rPr>
                <w:spacing w:val="-4"/>
              </w:rPr>
              <w:t>3,52</w:t>
            </w:r>
          </w:p>
        </w:tc>
      </w:tr>
      <w:tr w:rsidR="00945359" w14:paraId="50B6078C" w14:textId="77777777" w:rsidTr="008F5A8D">
        <w:trPr>
          <w:trHeight w:val="251"/>
        </w:trPr>
        <w:tc>
          <w:tcPr>
            <w:tcW w:w="4248" w:type="dxa"/>
          </w:tcPr>
          <w:p w14:paraId="19BCB082" w14:textId="68417F5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VTE-vel</w:t>
            </w:r>
            <w:r>
              <w:rPr>
                <w:spacing w:val="-8"/>
              </w:rPr>
              <w:t xml:space="preserve"> </w:t>
            </w:r>
            <w:r>
              <w:t>összefüggő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halál</w:t>
            </w:r>
            <w:r w:rsidR="00BD17B5">
              <w:rPr>
                <w:spacing w:val="-2"/>
              </w:rPr>
              <w:t>ozás</w:t>
            </w:r>
          </w:p>
        </w:tc>
        <w:tc>
          <w:tcPr>
            <w:tcW w:w="2834" w:type="dxa"/>
          </w:tcPr>
          <w:p w14:paraId="76CC1F2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 </w:t>
            </w:r>
            <w:r>
              <w:rPr>
                <w:spacing w:val="-5"/>
              </w:rPr>
              <w:t>(0)</w:t>
            </w:r>
          </w:p>
        </w:tc>
        <w:tc>
          <w:tcPr>
            <w:tcW w:w="1977" w:type="dxa"/>
          </w:tcPr>
          <w:p w14:paraId="0FD3F04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 </w:t>
            </w:r>
            <w:r>
              <w:rPr>
                <w:spacing w:val="-5"/>
              </w:rPr>
              <w:t>(0)</w:t>
            </w:r>
          </w:p>
        </w:tc>
      </w:tr>
      <w:tr w:rsidR="00945359" w14:paraId="64B7A8B2" w14:textId="77777777" w:rsidTr="008F5A8D">
        <w:trPr>
          <w:trHeight w:val="254"/>
        </w:trPr>
        <w:tc>
          <w:tcPr>
            <w:tcW w:w="4248" w:type="dxa"/>
          </w:tcPr>
          <w:p w14:paraId="724C5654" w14:textId="59EE43BB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834" w:type="dxa"/>
          </w:tcPr>
          <w:p w14:paraId="7598D7D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0,54</w:t>
            </w:r>
          </w:p>
        </w:tc>
        <w:tc>
          <w:tcPr>
            <w:tcW w:w="1977" w:type="dxa"/>
          </w:tcPr>
          <w:p w14:paraId="039E232A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0,56</w:t>
            </w:r>
          </w:p>
        </w:tc>
      </w:tr>
      <w:tr w:rsidR="00945359" w14:paraId="789ECED8" w14:textId="77777777" w:rsidTr="008F5A8D">
        <w:trPr>
          <w:trHeight w:val="253"/>
        </w:trPr>
        <w:tc>
          <w:tcPr>
            <w:tcW w:w="4248" w:type="dxa"/>
          </w:tcPr>
          <w:p w14:paraId="74CF9578" w14:textId="47AB6178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Ismeretlen</w:t>
            </w:r>
            <w:r>
              <w:rPr>
                <w:spacing w:val="-7"/>
              </w:rPr>
              <w:t xml:space="preserve"> </w:t>
            </w:r>
            <w:r>
              <w:t>okú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halál</w:t>
            </w:r>
            <w:r w:rsidR="00BD17B5">
              <w:rPr>
                <w:spacing w:val="-2"/>
              </w:rPr>
              <w:t>ozás</w:t>
            </w:r>
          </w:p>
        </w:tc>
        <w:tc>
          <w:tcPr>
            <w:tcW w:w="2834" w:type="dxa"/>
          </w:tcPr>
          <w:p w14:paraId="5AA6108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 </w:t>
            </w:r>
            <w:r>
              <w:rPr>
                <w:spacing w:val="-5"/>
              </w:rPr>
              <w:t>(0)</w:t>
            </w:r>
          </w:p>
        </w:tc>
        <w:tc>
          <w:tcPr>
            <w:tcW w:w="1977" w:type="dxa"/>
          </w:tcPr>
          <w:p w14:paraId="2FD4251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(0,3%)</w:t>
            </w:r>
          </w:p>
        </w:tc>
      </w:tr>
      <w:tr w:rsidR="00945359" w14:paraId="60D20B81" w14:textId="77777777" w:rsidTr="008F5A8D">
        <w:trPr>
          <w:trHeight w:val="251"/>
        </w:trPr>
        <w:tc>
          <w:tcPr>
            <w:tcW w:w="4248" w:type="dxa"/>
          </w:tcPr>
          <w:p w14:paraId="7F723438" w14:textId="24A943D0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834" w:type="dxa"/>
          </w:tcPr>
          <w:p w14:paraId="5B4A3D01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0,54</w:t>
            </w:r>
          </w:p>
        </w:tc>
        <w:tc>
          <w:tcPr>
            <w:tcW w:w="1977" w:type="dxa"/>
          </w:tcPr>
          <w:p w14:paraId="4A134886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0,04, </w:t>
            </w:r>
            <w:r>
              <w:rPr>
                <w:spacing w:val="-4"/>
              </w:rPr>
              <w:t>1,09</w:t>
            </w:r>
          </w:p>
        </w:tc>
      </w:tr>
      <w:tr w:rsidR="00945359" w14:paraId="6FB248C7" w14:textId="77777777" w:rsidTr="008F5A8D">
        <w:trPr>
          <w:trHeight w:val="253"/>
        </w:trPr>
        <w:tc>
          <w:tcPr>
            <w:tcW w:w="4248" w:type="dxa"/>
          </w:tcPr>
          <w:p w14:paraId="751030FF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Összhalálozás</w:t>
            </w:r>
          </w:p>
        </w:tc>
        <w:tc>
          <w:tcPr>
            <w:tcW w:w="2834" w:type="dxa"/>
          </w:tcPr>
          <w:p w14:paraId="09349E60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 </w:t>
            </w:r>
            <w:r>
              <w:rPr>
                <w:spacing w:val="-5"/>
              </w:rPr>
              <w:t>(0)</w:t>
            </w:r>
          </w:p>
        </w:tc>
        <w:tc>
          <w:tcPr>
            <w:tcW w:w="1977" w:type="dxa"/>
          </w:tcPr>
          <w:p w14:paraId="42AC868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2 </w:t>
            </w:r>
            <w:r>
              <w:rPr>
                <w:spacing w:val="-2"/>
              </w:rPr>
              <w:t>(0,3%)</w:t>
            </w:r>
          </w:p>
        </w:tc>
      </w:tr>
      <w:tr w:rsidR="00945359" w14:paraId="0623217F" w14:textId="77777777" w:rsidTr="008F5A8D">
        <w:trPr>
          <w:trHeight w:val="251"/>
        </w:trPr>
        <w:tc>
          <w:tcPr>
            <w:tcW w:w="4248" w:type="dxa"/>
          </w:tcPr>
          <w:p w14:paraId="259EE2AC" w14:textId="0C9B451A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95%-os</w:t>
            </w:r>
            <w:r>
              <w:rPr>
                <w:spacing w:val="-9"/>
              </w:rPr>
              <w:t xml:space="preserve"> </w:t>
            </w:r>
            <w:r>
              <w:t>konfidencia</w:t>
            </w:r>
            <w:r>
              <w:rPr>
                <w:spacing w:val="-2"/>
              </w:rPr>
              <w:t>intervallum</w:t>
            </w:r>
          </w:p>
        </w:tc>
        <w:tc>
          <w:tcPr>
            <w:tcW w:w="2834" w:type="dxa"/>
          </w:tcPr>
          <w:p w14:paraId="5B6A9502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0,00, </w:t>
            </w:r>
            <w:r>
              <w:rPr>
                <w:spacing w:val="-4"/>
              </w:rPr>
              <w:t>0,54</w:t>
            </w:r>
          </w:p>
        </w:tc>
        <w:tc>
          <w:tcPr>
            <w:tcW w:w="1977" w:type="dxa"/>
          </w:tcPr>
          <w:p w14:paraId="22E3543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 xml:space="preserve">0,04, </w:t>
            </w:r>
            <w:r>
              <w:rPr>
                <w:spacing w:val="-4"/>
              </w:rPr>
              <w:t>1,09</w:t>
            </w:r>
          </w:p>
        </w:tc>
      </w:tr>
    </w:tbl>
    <w:p w14:paraId="0CC8B23F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0A6ADBB4" w14:textId="6B5680BF" w:rsidR="00945359" w:rsidRDefault="00220A43" w:rsidP="008F5A8D">
      <w:pPr>
        <w:pStyle w:val="Szvegtrzs"/>
        <w:tabs>
          <w:tab w:val="left" w:pos="567"/>
        </w:tabs>
        <w:rPr>
          <w:spacing w:val="-2"/>
          <w:u w:val="single"/>
        </w:rPr>
      </w:pPr>
      <w:r>
        <w:rPr>
          <w:u w:val="single"/>
        </w:rPr>
        <w:t>A</w:t>
      </w:r>
      <w:r>
        <w:rPr>
          <w:spacing w:val="-12"/>
          <w:u w:val="single"/>
        </w:rPr>
        <w:t xml:space="preserve"> </w:t>
      </w:r>
      <w:r>
        <w:rPr>
          <w:u w:val="single"/>
        </w:rPr>
        <w:t>thromboembolia</w:t>
      </w:r>
      <w:r>
        <w:rPr>
          <w:spacing w:val="-9"/>
          <w:u w:val="single"/>
        </w:rPr>
        <w:t xml:space="preserve"> </w:t>
      </w:r>
      <w:r>
        <w:rPr>
          <w:u w:val="single"/>
        </w:rPr>
        <w:t>megelőzésére</w:t>
      </w:r>
      <w:r>
        <w:rPr>
          <w:spacing w:val="-10"/>
          <w:u w:val="single"/>
        </w:rPr>
        <w:t xml:space="preserve"> </w:t>
      </w:r>
      <w:r>
        <w:rPr>
          <w:u w:val="single"/>
        </w:rPr>
        <w:t>irányuló</w:t>
      </w:r>
      <w:r>
        <w:rPr>
          <w:spacing w:val="-9"/>
          <w:u w:val="single"/>
        </w:rPr>
        <w:t xml:space="preserve"> </w:t>
      </w:r>
      <w:r>
        <w:rPr>
          <w:u w:val="single"/>
        </w:rPr>
        <w:t>klinikai</w:t>
      </w:r>
      <w:r>
        <w:rPr>
          <w:spacing w:val="-9"/>
          <w:u w:val="single"/>
        </w:rPr>
        <w:t xml:space="preserve"> </w:t>
      </w:r>
      <w:r>
        <w:rPr>
          <w:u w:val="single"/>
        </w:rPr>
        <w:t>vizsgálatok</w:t>
      </w:r>
      <w:r>
        <w:rPr>
          <w:spacing w:val="-10"/>
          <w:u w:val="single"/>
        </w:rPr>
        <w:t xml:space="preserve"> </w:t>
      </w:r>
      <w:r>
        <w:rPr>
          <w:u w:val="single"/>
        </w:rPr>
        <w:t>műbillentyű</w:t>
      </w:r>
      <w:r w:rsidR="00BD17B5">
        <w:rPr>
          <w:spacing w:val="-9"/>
          <w:u w:val="single"/>
        </w:rPr>
        <w:t>-</w:t>
      </w:r>
      <w:r>
        <w:rPr>
          <w:u w:val="single"/>
        </w:rPr>
        <w:t>beültet</w:t>
      </w:r>
      <w:r w:rsidR="00BD17B5">
        <w:rPr>
          <w:u w:val="single"/>
        </w:rPr>
        <w:t>ésen átesett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betegeknél</w:t>
      </w:r>
    </w:p>
    <w:p w14:paraId="77A5863D" w14:textId="77777777" w:rsidR="00BD17B5" w:rsidRDefault="00BD17B5" w:rsidP="008F5A8D">
      <w:pPr>
        <w:pStyle w:val="Szvegtrzs"/>
        <w:tabs>
          <w:tab w:val="left" w:pos="567"/>
        </w:tabs>
      </w:pPr>
    </w:p>
    <w:p w14:paraId="3932AF82" w14:textId="590C3666" w:rsidR="00945359" w:rsidRDefault="00220A43">
      <w:pPr>
        <w:pStyle w:val="Szvegtrzs"/>
        <w:tabs>
          <w:tab w:val="left" w:pos="567"/>
        </w:tabs>
      </w:pPr>
      <w:r>
        <w:t>Egy</w:t>
      </w:r>
      <w:r>
        <w:rPr>
          <w:spacing w:val="-3"/>
        </w:rPr>
        <w:t xml:space="preserve"> </w:t>
      </w:r>
      <w:r>
        <w:t>II.</w:t>
      </w:r>
      <w:r w:rsidR="00294835">
        <w:rPr>
          <w:spacing w:val="-2"/>
        </w:rPr>
        <w:t> fázis</w:t>
      </w:r>
      <w:r>
        <w:t>ú</w:t>
      </w:r>
      <w:r>
        <w:rPr>
          <w:spacing w:val="-2"/>
        </w:rPr>
        <w:t xml:space="preserve"> </w:t>
      </w:r>
      <w:r>
        <w:t>vizsgálat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dabigatrán-etexilátot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warfarint</w:t>
      </w:r>
      <w:r>
        <w:rPr>
          <w:spacing w:val="-3"/>
        </w:rPr>
        <w:t xml:space="preserve"> </w:t>
      </w:r>
      <w:r>
        <w:t>vizsgálta</w:t>
      </w:r>
      <w:r>
        <w:rPr>
          <w:spacing w:val="-3"/>
        </w:rPr>
        <w:t xml:space="preserve"> </w:t>
      </w:r>
      <w:r>
        <w:t>összesen</w:t>
      </w:r>
      <w:r>
        <w:rPr>
          <w:spacing w:val="-3"/>
        </w:rPr>
        <w:t xml:space="preserve"> </w:t>
      </w:r>
      <w:r>
        <w:t>252,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közelmúltban (pl. az aktuális kórházi kezelés során) mechanikusműbillentyű</w:t>
      </w:r>
      <w:r w:rsidR="00BD17B5">
        <w:t>-</w:t>
      </w:r>
      <w:r>
        <w:t>beültetésen átesett, valamint mechanikusműbillentyű</w:t>
      </w:r>
      <w:r w:rsidR="00BD17B5">
        <w:t>-</w:t>
      </w:r>
      <w:r>
        <w:t>beültetésen több mint három</w:t>
      </w:r>
      <w:r w:rsidR="002E2A7B">
        <w:t> hónap</w:t>
      </w:r>
      <w:r>
        <w:t>pal korábban átesett betegeknél. Több thromboemboliás eseményt (főként stroke-ot és szimptomatikus/aszimptomatikus</w:t>
      </w:r>
      <w:r w:rsidR="00BD17B5">
        <w:t xml:space="preserve"> </w:t>
      </w:r>
      <w:r>
        <w:t>műbillentyű-thrombosist) és több vérzéses eseményt figyeltek meg a dabigatrán-etexilátnál, mint a warfarinnál. A korai posztoperatív szakban lévő betegeknél a jelentős vérzéses események döntően véres pericardialis folyadékgyülem formájában jelentkeztek, különösen azoknál a betegeknél, akik a billentyűbeültetés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korán</w:t>
      </w:r>
      <w:r>
        <w:rPr>
          <w:spacing w:val="-3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3.</w:t>
      </w:r>
      <w:r w:rsidR="00294835">
        <w:rPr>
          <w:spacing w:val="-2"/>
        </w:rPr>
        <w:t> nap</w:t>
      </w:r>
      <w:r>
        <w:t>on)</w:t>
      </w:r>
      <w:r>
        <w:rPr>
          <w:spacing w:val="-3"/>
        </w:rPr>
        <w:t xml:space="preserve"> </w:t>
      </w:r>
      <w:r>
        <w:t>megkezdték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4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4.3</w:t>
      </w:r>
      <w:r w:rsidR="00294835">
        <w:rPr>
          <w:spacing w:val="-3"/>
        </w:rPr>
        <w:t> pont</w:t>
      </w:r>
      <w:r>
        <w:t>).</w:t>
      </w:r>
    </w:p>
    <w:p w14:paraId="7D4E49A6" w14:textId="77777777" w:rsidR="00304920" w:rsidRDefault="00304920" w:rsidP="008F5A8D">
      <w:pPr>
        <w:pStyle w:val="Szvegtrzs"/>
        <w:tabs>
          <w:tab w:val="left" w:pos="567"/>
        </w:tabs>
      </w:pPr>
    </w:p>
    <w:p w14:paraId="6883F34D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Gyermekek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serdülők</w:t>
      </w:r>
    </w:p>
    <w:p w14:paraId="2919D273" w14:textId="77777777" w:rsidR="00945359" w:rsidRDefault="00945359" w:rsidP="008F5A8D">
      <w:pPr>
        <w:pStyle w:val="Szvegtrzs"/>
        <w:tabs>
          <w:tab w:val="left" w:pos="567"/>
        </w:tabs>
        <w:rPr>
          <w:i/>
        </w:rPr>
      </w:pPr>
    </w:p>
    <w:p w14:paraId="5EAB5AD2" w14:textId="7147D807" w:rsidR="00945359" w:rsidRDefault="00220A43" w:rsidP="008F5A8D">
      <w:pPr>
        <w:tabs>
          <w:tab w:val="left" w:pos="567"/>
        </w:tabs>
        <w:rPr>
          <w:i/>
          <w:spacing w:val="-2"/>
          <w:u w:val="single"/>
        </w:rPr>
      </w:pPr>
      <w:r>
        <w:rPr>
          <w:i/>
          <w:u w:val="single"/>
        </w:rPr>
        <w:t>Klinikai</w:t>
      </w:r>
      <w:r>
        <w:rPr>
          <w:i/>
          <w:spacing w:val="-12"/>
          <w:u w:val="single"/>
        </w:rPr>
        <w:t xml:space="preserve"> </w:t>
      </w:r>
      <w:r>
        <w:rPr>
          <w:i/>
          <w:u w:val="single"/>
        </w:rPr>
        <w:t>vizsgálatok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nagyízületi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endoprotézis-műtéteket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követő</w:t>
      </w:r>
      <w:r>
        <w:rPr>
          <w:i/>
          <w:spacing w:val="-9"/>
          <w:u w:val="single"/>
        </w:rPr>
        <w:t xml:space="preserve"> </w:t>
      </w:r>
      <w:r>
        <w:rPr>
          <w:i/>
          <w:u w:val="single"/>
        </w:rPr>
        <w:t>VTE</w:t>
      </w:r>
      <w:r>
        <w:rPr>
          <w:i/>
          <w:spacing w:val="-9"/>
          <w:u w:val="single"/>
        </w:rPr>
        <w:t xml:space="preserve"> </w:t>
      </w:r>
      <w:r>
        <w:rPr>
          <w:i/>
          <w:spacing w:val="-2"/>
          <w:u w:val="single"/>
        </w:rPr>
        <w:t>megelőzésére</w:t>
      </w:r>
    </w:p>
    <w:p w14:paraId="6C378B1D" w14:textId="77777777" w:rsidR="00BD17B5" w:rsidRDefault="00BD17B5" w:rsidP="008F5A8D">
      <w:pPr>
        <w:tabs>
          <w:tab w:val="left" w:pos="567"/>
        </w:tabs>
        <w:rPr>
          <w:i/>
        </w:rPr>
      </w:pPr>
    </w:p>
    <w:p w14:paraId="6EC80A58" w14:textId="33C4D9CE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stroke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szisztémás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embolizáció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prevenciója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nem</w:t>
      </w:r>
      <w:r>
        <w:rPr>
          <w:i/>
          <w:spacing w:val="-3"/>
          <w:u w:val="single"/>
        </w:rPr>
        <w:t xml:space="preserve"> </w:t>
      </w:r>
      <w:r w:rsidR="00AB32E4">
        <w:rPr>
          <w:i/>
          <w:u w:val="single"/>
        </w:rPr>
        <w:t>billentyűeredetű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pitvarfibrillációban</w:t>
      </w:r>
      <w:r>
        <w:rPr>
          <w:i/>
          <w:spacing w:val="-3"/>
          <w:u w:val="single"/>
        </w:rPr>
        <w:t xml:space="preserve"> </w:t>
      </w:r>
      <w:r>
        <w:rPr>
          <w:i/>
          <w:u w:val="single"/>
        </w:rPr>
        <w:t>szenvedő,</w:t>
      </w:r>
      <w:r>
        <w:rPr>
          <w:i/>
        </w:rPr>
        <w:t xml:space="preserve"> </w:t>
      </w:r>
      <w:r>
        <w:rPr>
          <w:i/>
          <w:u w:val="single"/>
        </w:rPr>
        <w:t>egy vagy több rizikótényezővel rendelkező felnőtt betegeknél</w:t>
      </w:r>
    </w:p>
    <w:p w14:paraId="765F7CC8" w14:textId="0B3FFEBA" w:rsidR="00945359" w:rsidRDefault="00220A43" w:rsidP="008F5A8D">
      <w:pPr>
        <w:pStyle w:val="Szvegtrzs"/>
        <w:tabs>
          <w:tab w:val="left" w:pos="567"/>
        </w:tabs>
      </w:pPr>
      <w:r>
        <w:t>Az Európai Gyógyszerügynökség a gyermekek és serdülők esetén minden korosztálynál eltekint a</w:t>
      </w:r>
      <w:r w:rsidR="00BD17B5">
        <w:t xml:space="preserve"> dabigatrán-etexilát</w:t>
      </w:r>
      <w:r>
        <w:t xml:space="preserve"> vizsgálati eredményeinek benyújtási kötelezettségétől </w:t>
      </w:r>
      <w:r w:rsidR="00BD17B5">
        <w:t>„</w:t>
      </w:r>
      <w:r>
        <w:t xml:space="preserve">a VTE primer prevenciója elektív, teljes csípőízületi endoprotézis vagy teljes térdízületi </w:t>
      </w:r>
      <w:r w:rsidR="00067923">
        <w:t>endoprotézis-műtét</w:t>
      </w:r>
      <w:r>
        <w:t>en átesett betegeknél</w:t>
      </w:r>
      <w:r w:rsidR="00BD17B5">
        <w:t>”</w:t>
      </w:r>
      <w:r>
        <w:t xml:space="preserve">, valamint </w:t>
      </w:r>
      <w:r w:rsidR="00BD17B5">
        <w:t>„</w:t>
      </w:r>
      <w:r>
        <w:t xml:space="preserve">stroke és a szisztémás embolizáció prevenciója nem </w:t>
      </w:r>
      <w:r w:rsidR="00AB32E4">
        <w:t>billentyűeredetű</w:t>
      </w:r>
      <w:r>
        <w:t xml:space="preserve"> pitvarfibrillációban szenvedő</w:t>
      </w:r>
      <w:r>
        <w:rPr>
          <w:spacing w:val="-4"/>
        </w:rPr>
        <w:t xml:space="preserve"> </w:t>
      </w:r>
      <w:r>
        <w:t>betegeknél</w:t>
      </w:r>
      <w:r w:rsidR="00BD17B5">
        <w:t>”</w:t>
      </w:r>
      <w:r>
        <w:rPr>
          <w:spacing w:val="-4"/>
        </w:rPr>
        <w:t xml:space="preserve"> </w:t>
      </w:r>
      <w:r>
        <w:t>javallat</w:t>
      </w:r>
      <w:r>
        <w:rPr>
          <w:spacing w:val="-4"/>
        </w:rPr>
        <w:t xml:space="preserve"> </w:t>
      </w:r>
      <w:r>
        <w:t>esetén</w:t>
      </w:r>
      <w:r>
        <w:rPr>
          <w:spacing w:val="-4"/>
        </w:rPr>
        <w:t xml:space="preserve"> </w:t>
      </w:r>
      <w:r>
        <w:t>(lásd</w:t>
      </w:r>
      <w:r>
        <w:rPr>
          <w:spacing w:val="-4"/>
        </w:rPr>
        <w:t xml:space="preserve"> </w:t>
      </w:r>
      <w:r>
        <w:t>4.2</w:t>
      </w:r>
      <w:r w:rsidR="00294835">
        <w:rPr>
          <w:spacing w:val="-4"/>
        </w:rPr>
        <w:t> pont</w:t>
      </w:r>
      <w:r>
        <w:t>,</w:t>
      </w:r>
      <w:r>
        <w:rPr>
          <w:spacing w:val="-4"/>
        </w:rPr>
        <w:t xml:space="preserve"> </w:t>
      </w:r>
      <w:r>
        <w:t>gyermekgyógyászati</w:t>
      </w:r>
      <w:r>
        <w:rPr>
          <w:spacing w:val="-4"/>
        </w:rPr>
        <w:t xml:space="preserve"> </w:t>
      </w:r>
      <w:r>
        <w:t>alkalmazásra</w:t>
      </w:r>
      <w:r>
        <w:rPr>
          <w:spacing w:val="-4"/>
        </w:rPr>
        <w:t xml:space="preserve"> </w:t>
      </w:r>
      <w:r>
        <w:t xml:space="preserve">vonatkozó </w:t>
      </w:r>
      <w:r>
        <w:rPr>
          <w:spacing w:val="-2"/>
        </w:rPr>
        <w:t>információk).</w:t>
      </w:r>
    </w:p>
    <w:p w14:paraId="4842F8F2" w14:textId="77777777" w:rsidR="00945359" w:rsidRDefault="00945359" w:rsidP="008F5A8D">
      <w:pPr>
        <w:pStyle w:val="Szvegtrzs"/>
        <w:tabs>
          <w:tab w:val="left" w:pos="567"/>
        </w:tabs>
      </w:pPr>
    </w:p>
    <w:p w14:paraId="4C553228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VTE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kezelése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VTE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kiújulásának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megelőzése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gyermekeknél</w:t>
      </w:r>
      <w:r>
        <w:rPr>
          <w:i/>
          <w:spacing w:val="-7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6"/>
          <w:u w:val="single"/>
        </w:rPr>
        <w:t xml:space="preserve"> </w:t>
      </w:r>
      <w:r>
        <w:rPr>
          <w:i/>
          <w:spacing w:val="-2"/>
          <w:u w:val="single"/>
        </w:rPr>
        <w:t>serdülőknél</w:t>
      </w:r>
    </w:p>
    <w:p w14:paraId="7B7204FD" w14:textId="27FBD7FB" w:rsidR="00945359" w:rsidRDefault="00220A43" w:rsidP="008F5A8D">
      <w:pPr>
        <w:pStyle w:val="Szvegtrzs"/>
        <w:tabs>
          <w:tab w:val="left" w:pos="567"/>
        </w:tabs>
      </w:pPr>
      <w:r>
        <w:t>A DIVERSITY vizsgálatot azért végezték, hogy bizonyítsák a dabigatrán-etexilát hatásosságát és biztonságosságát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294835">
        <w:t>standard</w:t>
      </w:r>
      <w:r>
        <w:rPr>
          <w:spacing w:val="-3"/>
        </w:rPr>
        <w:t xml:space="preserve"> </w:t>
      </w:r>
      <w:r>
        <w:t>ellátással</w:t>
      </w:r>
      <w:r>
        <w:rPr>
          <w:spacing w:val="-3"/>
        </w:rPr>
        <w:t xml:space="preserve"> </w:t>
      </w:r>
      <w:r>
        <w:t>összehasonlítva</w:t>
      </w:r>
      <w:r>
        <w:rPr>
          <w:spacing w:val="-3"/>
        </w:rPr>
        <w:t xml:space="preserve"> </w:t>
      </w:r>
      <w:r>
        <w:t>VTE</w:t>
      </w:r>
      <w:r>
        <w:rPr>
          <w:spacing w:val="-3"/>
        </w:rPr>
        <w:t xml:space="preserve"> </w:t>
      </w:r>
      <w:r>
        <w:t>kezelésében</w:t>
      </w:r>
      <w:r>
        <w:rPr>
          <w:spacing w:val="-3"/>
        </w:rPr>
        <w:t xml:space="preserve"> </w:t>
      </w:r>
      <w:r>
        <w:t>gyermekeknél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serdülőknél a születéstől a 18.</w:t>
      </w:r>
      <w:r w:rsidR="00294835">
        <w:t> életév</w:t>
      </w:r>
      <w:r>
        <w:t xml:space="preserve"> betöltéséig. A vizsgálat nyílt elrendezésű, randomizált, parallel csoportos, </w:t>
      </w:r>
      <w:r w:rsidR="00BD17B5">
        <w:t>noninferior</w:t>
      </w:r>
      <w:r>
        <w:t>itási vizsgálat volt. A bevont betegeket 2:1 arányban randomizálták a dabigatrán-etexilát életkornak megfelelő gyógyszerformájára (kapszula, bevont granulátum vagy belsőleges oldat) (a</w:t>
      </w:r>
    </w:p>
    <w:p w14:paraId="219A06B7" w14:textId="3A81C863" w:rsidR="00945359" w:rsidRDefault="00220A43" w:rsidP="008F5A8D">
      <w:pPr>
        <w:pStyle w:val="Szvegtrzs"/>
        <w:tabs>
          <w:tab w:val="left" w:pos="567"/>
        </w:tabs>
      </w:pPr>
      <w:r>
        <w:lastRenderedPageBreak/>
        <w:t xml:space="preserve">dózist az életkorhoz és a testtömeghez igazították) vagy a </w:t>
      </w:r>
      <w:r w:rsidR="00294835">
        <w:t>standard</w:t>
      </w:r>
      <w:r>
        <w:t xml:space="preserve"> kezelésre, amely alacsony molekulatömegű</w:t>
      </w:r>
      <w:r>
        <w:rPr>
          <w:spacing w:val="-4"/>
        </w:rPr>
        <w:t xml:space="preserve"> </w:t>
      </w:r>
      <w:r>
        <w:t>heparin</w:t>
      </w:r>
      <w:r>
        <w:rPr>
          <w:spacing w:val="-4"/>
        </w:rPr>
        <w:t xml:space="preserve"> </w:t>
      </w:r>
      <w:r>
        <w:t>(LMWH)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K-</w:t>
      </w:r>
      <w:r w:rsidR="00B95CAF">
        <w:t>vitamin-ant</w:t>
      </w:r>
      <w:r>
        <w:t>agonista</w:t>
      </w:r>
      <w:r>
        <w:rPr>
          <w:spacing w:val="-4"/>
        </w:rPr>
        <w:t xml:space="preserve"> </w:t>
      </w:r>
      <w:r>
        <w:t>(KVA)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fondaparinux</w:t>
      </w:r>
      <w:r>
        <w:rPr>
          <w:spacing w:val="-4"/>
        </w:rPr>
        <w:t xml:space="preserve"> </w:t>
      </w:r>
      <w:r>
        <w:t>volt</w:t>
      </w:r>
      <w:r>
        <w:rPr>
          <w:spacing w:val="-4"/>
        </w:rPr>
        <w:t xml:space="preserve"> </w:t>
      </w:r>
      <w:r>
        <w:t>(egy 12</w:t>
      </w:r>
      <w:r w:rsidR="00294835">
        <w:t> éves</w:t>
      </w:r>
      <w:r w:rsidR="00B95CAF">
        <w:t> betegnél</w:t>
      </w:r>
      <w:r>
        <w:t>). Az elsődleges végpont egy összetett végpont volt, ami a thrombus teljes megszűnését, a VTE kiújulásának hiányát és a VTE miatti mortalitás hiányát foglalta magában. Az aktív meningitis, encephalitis és intracranialis abscessus kizáró tényezők voltak.</w:t>
      </w:r>
    </w:p>
    <w:p w14:paraId="2D00566D" w14:textId="69D27450" w:rsidR="00945359" w:rsidRDefault="00220A43" w:rsidP="008F5A8D">
      <w:pPr>
        <w:pStyle w:val="Szvegtrzs"/>
        <w:tabs>
          <w:tab w:val="left" w:pos="567"/>
        </w:tabs>
      </w:pPr>
      <w:r>
        <w:t>Összesen</w:t>
      </w:r>
      <w:r>
        <w:rPr>
          <w:spacing w:val="-2"/>
        </w:rPr>
        <w:t xml:space="preserve"> </w:t>
      </w:r>
      <w:r>
        <w:t>267</w:t>
      </w:r>
      <w:r w:rsidR="00BD17B5">
        <w:rPr>
          <w:spacing w:val="-5"/>
        </w:rPr>
        <w:t> </w:t>
      </w:r>
      <w:r>
        <w:t>beteget</w:t>
      </w:r>
      <w:r>
        <w:rPr>
          <w:spacing w:val="-3"/>
        </w:rPr>
        <w:t xml:space="preserve"> </w:t>
      </w:r>
      <w:r>
        <w:t>randomizáltak.</w:t>
      </w:r>
      <w:r>
        <w:rPr>
          <w:spacing w:val="-3"/>
        </w:rPr>
        <w:t xml:space="preserve"> </w:t>
      </w:r>
      <w:r>
        <w:t>Közülük</w:t>
      </w:r>
      <w:r>
        <w:rPr>
          <w:spacing w:val="-3"/>
        </w:rPr>
        <w:t xml:space="preserve"> </w:t>
      </w:r>
      <w:r>
        <w:t>176</w:t>
      </w:r>
      <w:r w:rsidR="00BD17B5">
        <w:rPr>
          <w:spacing w:val="-3"/>
        </w:rPr>
        <w:t> </w:t>
      </w:r>
      <w:r>
        <w:t>beteget</w:t>
      </w:r>
      <w:r>
        <w:rPr>
          <w:spacing w:val="-3"/>
        </w:rPr>
        <w:t xml:space="preserve"> </w:t>
      </w:r>
      <w:r>
        <w:t>kezeltek</w:t>
      </w:r>
      <w:r>
        <w:rPr>
          <w:spacing w:val="-3"/>
        </w:rPr>
        <w:t xml:space="preserve"> </w:t>
      </w:r>
      <w:r>
        <w:t>dabigatrán-etexiláttal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90</w:t>
      </w:r>
      <w:r w:rsidR="00BD17B5">
        <w:rPr>
          <w:spacing w:val="-2"/>
        </w:rPr>
        <w:t> </w:t>
      </w:r>
      <w:r>
        <w:t xml:space="preserve">beteget a </w:t>
      </w:r>
      <w:r w:rsidR="00294835">
        <w:t>standard</w:t>
      </w:r>
      <w:r>
        <w:t xml:space="preserve"> kezeléssel (1 randomizált beteget nem kezeltek). 168</w:t>
      </w:r>
      <w:r w:rsidR="00BD17B5">
        <w:t> </w:t>
      </w:r>
      <w:r>
        <w:t xml:space="preserve">beteg volt 12 – </w:t>
      </w:r>
      <w:r w:rsidR="00B95CAF">
        <w:t>&lt;</w:t>
      </w:r>
      <w:r>
        <w:t>18</w:t>
      </w:r>
      <w:r w:rsidR="00294835">
        <w:t> éves</w:t>
      </w:r>
      <w:r>
        <w:t>, 64</w:t>
      </w:r>
      <w:r w:rsidR="00BD17B5">
        <w:t> </w:t>
      </w:r>
      <w:r>
        <w:t xml:space="preserve">beteg volt 2 – </w:t>
      </w:r>
      <w:r w:rsidR="00B95CAF">
        <w:t>&lt;</w:t>
      </w:r>
      <w:r>
        <w:t>12</w:t>
      </w:r>
      <w:r w:rsidR="00294835">
        <w:t> éves</w:t>
      </w:r>
      <w:r>
        <w:t xml:space="preserve"> és 35</w:t>
      </w:r>
      <w:r w:rsidR="00BD17B5">
        <w:t> </w:t>
      </w:r>
      <w:r>
        <w:t>beteg volt 2</w:t>
      </w:r>
      <w:r w:rsidR="00294835">
        <w:t> éves</w:t>
      </w:r>
      <w:r>
        <w:t>nél fiatalabb.</w:t>
      </w:r>
    </w:p>
    <w:p w14:paraId="01005311" w14:textId="1459AD18" w:rsidR="00945359" w:rsidRDefault="00220A43" w:rsidP="008F5A8D">
      <w:pPr>
        <w:pStyle w:val="Szvegtrzs"/>
        <w:tabs>
          <w:tab w:val="left" w:pos="567"/>
        </w:tabs>
      </w:pPr>
      <w:r>
        <w:t>A 267 randomizált beteg közül a dabigatrán-etexilát csoportból 81</w:t>
      </w:r>
      <w:r w:rsidR="00BD17B5">
        <w:t> </w:t>
      </w:r>
      <w:r>
        <w:t xml:space="preserve">beteg (45,8%) és a </w:t>
      </w:r>
      <w:r w:rsidR="00294835">
        <w:t>standard</w:t>
      </w:r>
      <w:r>
        <w:t xml:space="preserve"> kezelési</w:t>
      </w:r>
      <w:r>
        <w:rPr>
          <w:spacing w:val="-3"/>
        </w:rPr>
        <w:t xml:space="preserve"> </w:t>
      </w:r>
      <w:r>
        <w:t>csoportból</w:t>
      </w:r>
      <w:r>
        <w:rPr>
          <w:spacing w:val="-3"/>
        </w:rPr>
        <w:t xml:space="preserve"> </w:t>
      </w:r>
      <w:r>
        <w:t>38</w:t>
      </w:r>
      <w:r w:rsidR="00BD17B5">
        <w:rPr>
          <w:spacing w:val="-6"/>
        </w:rPr>
        <w:t> </w:t>
      </w:r>
      <w:r>
        <w:t>beteg</w:t>
      </w:r>
      <w:r>
        <w:rPr>
          <w:spacing w:val="-3"/>
        </w:rPr>
        <w:t xml:space="preserve"> </w:t>
      </w:r>
      <w:r>
        <w:t>(42,2%)</w:t>
      </w:r>
      <w:r>
        <w:rPr>
          <w:spacing w:val="-4"/>
        </w:rPr>
        <w:t xml:space="preserve"> </w:t>
      </w:r>
      <w:r>
        <w:t>felelt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összetett</w:t>
      </w:r>
      <w:r>
        <w:rPr>
          <w:spacing w:val="-3"/>
        </w:rPr>
        <w:t xml:space="preserve"> </w:t>
      </w:r>
      <w:r>
        <w:t>elsődleges</w:t>
      </w:r>
      <w:r>
        <w:rPr>
          <w:spacing w:val="-3"/>
        </w:rPr>
        <w:t xml:space="preserve"> </w:t>
      </w:r>
      <w:r>
        <w:t>végpontnak</w:t>
      </w:r>
      <w:r>
        <w:rPr>
          <w:spacing w:val="-3"/>
        </w:rPr>
        <w:t xml:space="preserve"> </w:t>
      </w:r>
      <w:r>
        <w:t>(thrombus</w:t>
      </w:r>
      <w:r>
        <w:rPr>
          <w:spacing w:val="-3"/>
        </w:rPr>
        <w:t xml:space="preserve"> </w:t>
      </w:r>
      <w:r>
        <w:t xml:space="preserve">teljes megszűnése, VTE kiújulásának hiánya és VTE miatti mortalitás hiánya). A megfelelő arányok különbsége bizonyította a dabigatrán-etexilát </w:t>
      </w:r>
      <w:r w:rsidR="00BD17B5">
        <w:t>noninferior</w:t>
      </w:r>
      <w:r>
        <w:t xml:space="preserve">itását a </w:t>
      </w:r>
      <w:r w:rsidR="00294835">
        <w:t>standard</w:t>
      </w:r>
      <w:r>
        <w:t xml:space="preserve"> kezeléssel szemben.</w:t>
      </w:r>
    </w:p>
    <w:p w14:paraId="047F60E3" w14:textId="44DD1E0C" w:rsidR="00945359" w:rsidRDefault="00220A43" w:rsidP="008F5A8D">
      <w:pPr>
        <w:pStyle w:val="Szvegtrzs"/>
        <w:tabs>
          <w:tab w:val="left" w:pos="567"/>
        </w:tabs>
        <w:rPr>
          <w:spacing w:val="-2"/>
        </w:rPr>
      </w:pPr>
      <w:r>
        <w:t xml:space="preserve">Általánosságban konzisztens eredményeket figyeltek meg az alcsoportokban: nem volt szignifikáns különbség a kezelési hatásosságban az életkor, nem, régió és bizonyos kockázati tényezők megléte szerinti alcsoportokban. A 3, különböző életkor szerinti rétegnél az elsődleges hatásossági végpontot elért betegek aránya a dabigatrán-etexilát és a </w:t>
      </w:r>
      <w:r w:rsidR="00294835">
        <w:t>standard</w:t>
      </w:r>
      <w:r>
        <w:t xml:space="preserve"> kezelés csoportjában sorrendben a következő volt: születéstől </w:t>
      </w:r>
      <w:r w:rsidR="00B95CAF">
        <w:t>&lt;</w:t>
      </w:r>
      <w:r>
        <w:t>2</w:t>
      </w:r>
      <w:r w:rsidR="00294835">
        <w:t> éves</w:t>
      </w:r>
      <w:r>
        <w:t xml:space="preserve"> korig 13/22 (59,1%) és 7/13 (53,8%), 2</w:t>
      </w:r>
      <w:r w:rsidR="00294835">
        <w:t> év</w:t>
      </w:r>
      <w:r>
        <w:t xml:space="preserve">től </w:t>
      </w:r>
      <w:r w:rsidR="00B95CAF">
        <w:t>&lt;</w:t>
      </w:r>
      <w:r>
        <w:t>12</w:t>
      </w:r>
      <w:r w:rsidR="00294835">
        <w:t> éves</w:t>
      </w:r>
      <w:r>
        <w:t xml:space="preserve"> korig 21/43 (48,8%)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12/21</w:t>
      </w:r>
      <w:r>
        <w:rPr>
          <w:spacing w:val="-2"/>
        </w:rPr>
        <w:t xml:space="preserve"> </w:t>
      </w:r>
      <w:r>
        <w:t>(57,1%),</w:t>
      </w:r>
      <w:r>
        <w:rPr>
          <w:spacing w:val="-2"/>
        </w:rPr>
        <w:t xml:space="preserve"> </w:t>
      </w:r>
      <w:r>
        <w:t>illetve</w:t>
      </w:r>
      <w:r>
        <w:rPr>
          <w:spacing w:val="-2"/>
        </w:rPr>
        <w:t xml:space="preserve"> </w:t>
      </w:r>
      <w:r>
        <w:t>12</w:t>
      </w:r>
      <w:r w:rsidR="00294835">
        <w:rPr>
          <w:spacing w:val="-2"/>
        </w:rPr>
        <w:t> év</w:t>
      </w:r>
      <w:r>
        <w:t>től</w:t>
      </w:r>
      <w:r>
        <w:rPr>
          <w:spacing w:val="-2"/>
        </w:rPr>
        <w:t xml:space="preserve"> </w:t>
      </w:r>
      <w:r w:rsidR="00B95CAF">
        <w:t>&lt;</w:t>
      </w:r>
      <w:r>
        <w:t>18</w:t>
      </w:r>
      <w:r w:rsidR="00294835">
        <w:rPr>
          <w:spacing w:val="-4"/>
        </w:rPr>
        <w:t> éves</w:t>
      </w:r>
      <w:r>
        <w:rPr>
          <w:spacing w:val="-2"/>
        </w:rPr>
        <w:t xml:space="preserve"> </w:t>
      </w:r>
      <w:r>
        <w:t>korig</w:t>
      </w:r>
      <w:r>
        <w:rPr>
          <w:spacing w:val="-2"/>
        </w:rPr>
        <w:t xml:space="preserve"> </w:t>
      </w:r>
      <w:r>
        <w:t>47/112</w:t>
      </w:r>
      <w:r>
        <w:rPr>
          <w:spacing w:val="-2"/>
        </w:rPr>
        <w:t xml:space="preserve"> </w:t>
      </w:r>
      <w:r>
        <w:t>(42,0%)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19/56</w:t>
      </w:r>
      <w:r>
        <w:rPr>
          <w:spacing w:val="-2"/>
        </w:rPr>
        <w:t xml:space="preserve"> </w:t>
      </w:r>
      <w:r>
        <w:t>(33,9%). Major vérzésnek minősített eseteket 4</w:t>
      </w:r>
      <w:r w:rsidR="00B95CAF">
        <w:t> betegnél</w:t>
      </w:r>
      <w:r>
        <w:t xml:space="preserve"> (2,3%) jelentettek a dabigatrán-etexilát csoportban és 2</w:t>
      </w:r>
      <w:r w:rsidR="00B95CAF">
        <w:t> betegnél</w:t>
      </w:r>
      <w:r>
        <w:t xml:space="preserve"> (2,2%) a </w:t>
      </w:r>
      <w:r w:rsidR="00294835">
        <w:t>standard</w:t>
      </w:r>
      <w:r>
        <w:t xml:space="preserve"> kezelést kapó csoportban. Nem volt statisztikailag szignifikáns különbség az első major vérzéses eseményig eltelt időben. A dabigatrán-etexilát karon 38</w:t>
      </w:r>
      <w:r w:rsidR="00BD17B5">
        <w:t> </w:t>
      </w:r>
      <w:r>
        <w:t xml:space="preserve">beteg (21,6%) és a </w:t>
      </w:r>
      <w:r w:rsidR="00294835">
        <w:t>standard</w:t>
      </w:r>
      <w:r>
        <w:t xml:space="preserve"> kezelést kapó karon 22</w:t>
      </w:r>
      <w:r w:rsidR="00BD17B5">
        <w:t> </w:t>
      </w:r>
      <w:r>
        <w:t>beteg (24,4%) tapasztalt minősített vérzéses eseményt, ezek többségét minornak sorolták be. A minősített major vérzéses események (MVE) vagy a klinikailag releváns nem major (CRNM) vérzések (a kezelés</w:t>
      </w:r>
      <w:r w:rsidR="0099084B">
        <w:t xml:space="preserve"> során</w:t>
      </w:r>
      <w:r>
        <w:t>) összetett végpontját a dabigatrán-etexilát</w:t>
      </w:r>
      <w:r w:rsidR="00BD17B5">
        <w:t>-</w:t>
      </w:r>
      <w:r>
        <w:t>csoportban 6</w:t>
      </w:r>
      <w:r w:rsidR="00B95CAF">
        <w:t> betegnél</w:t>
      </w:r>
      <w:r>
        <w:t xml:space="preserve"> (3,4%) és a </w:t>
      </w:r>
      <w:r w:rsidR="00294835">
        <w:t>standard</w:t>
      </w:r>
      <w:r>
        <w:t xml:space="preserve"> kezelést kapó csoportban 3</w:t>
      </w:r>
      <w:r w:rsidR="00B95CAF">
        <w:t> betegnél</w:t>
      </w:r>
      <w:r>
        <w:t xml:space="preserve"> (3,3%) </w:t>
      </w:r>
      <w:r>
        <w:rPr>
          <w:spacing w:val="-2"/>
        </w:rPr>
        <w:t>jelentették.</w:t>
      </w:r>
    </w:p>
    <w:p w14:paraId="18003506" w14:textId="77777777" w:rsidR="00F46D20" w:rsidRDefault="00F46D20" w:rsidP="008F5A8D">
      <w:pPr>
        <w:pStyle w:val="Szvegtrzs"/>
        <w:tabs>
          <w:tab w:val="left" w:pos="567"/>
        </w:tabs>
      </w:pPr>
    </w:p>
    <w:p w14:paraId="25B4904D" w14:textId="789A4996" w:rsidR="00945359" w:rsidRDefault="00220A43" w:rsidP="008F5A8D">
      <w:pPr>
        <w:pStyle w:val="Szvegtrzs"/>
        <w:tabs>
          <w:tab w:val="left" w:pos="567"/>
        </w:tabs>
      </w:pPr>
      <w:r>
        <w:t>Egy nyílt elrendezésű, egykar</w:t>
      </w:r>
      <w:r w:rsidR="00BD17B5">
        <w:t>ú</w:t>
      </w:r>
      <w:r>
        <w:t>, biztonságossági prospektív kohorszos, multicentrikus III.</w:t>
      </w:r>
      <w:r w:rsidR="00294835">
        <w:t> fázis</w:t>
      </w:r>
      <w:r>
        <w:t>ú vizsgálatot (1160.108) végeztek a dabigatrán-etexilát biztonságosságának felmérésére a VTE kiújulásának prevenciójában gyermekeknél és serdülőknél a születéstől a 18.</w:t>
      </w:r>
      <w:r w:rsidR="00294835">
        <w:t> életév</w:t>
      </w:r>
      <w:r>
        <w:t xml:space="preserve"> betöltéséig. Az igazolt VTE elsődleges kezelésének teljesítése után klinikai kockázati tényezők megléte miatt további antikoagulálást (legalább 3</w:t>
      </w:r>
      <w:r w:rsidR="002E2A7B">
        <w:t> hónap</w:t>
      </w:r>
      <w:r>
        <w:t>ig) igénylő betegek, valamint a DIVERSITY vizsgálatot teljesítő betegek voltak bevonhatók a vizsgálatba. Az alkalmas betegek az életkoruk és testtömegük alapján korrigált</w:t>
      </w:r>
      <w:r>
        <w:rPr>
          <w:spacing w:val="-4"/>
        </w:rPr>
        <w:t xml:space="preserve"> </w:t>
      </w:r>
      <w:r>
        <w:t>dózisban</w:t>
      </w:r>
      <w:r>
        <w:rPr>
          <w:spacing w:val="-4"/>
        </w:rPr>
        <w:t xml:space="preserve"> </w:t>
      </w:r>
      <w:r>
        <w:t>dabigatrán-etexilátot</w:t>
      </w:r>
      <w:r>
        <w:rPr>
          <w:spacing w:val="-4"/>
        </w:rPr>
        <w:t xml:space="preserve"> </w:t>
      </w:r>
      <w:r>
        <w:t>kaptak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életkornak</w:t>
      </w:r>
      <w:r>
        <w:rPr>
          <w:spacing w:val="-4"/>
        </w:rPr>
        <w:t xml:space="preserve"> </w:t>
      </w:r>
      <w:r>
        <w:t>megfelelő</w:t>
      </w:r>
      <w:r>
        <w:rPr>
          <w:spacing w:val="-4"/>
        </w:rPr>
        <w:t xml:space="preserve"> </w:t>
      </w:r>
      <w:r>
        <w:t>gyógyszerformában</w:t>
      </w:r>
      <w:r>
        <w:rPr>
          <w:spacing w:val="-4"/>
        </w:rPr>
        <w:t xml:space="preserve"> </w:t>
      </w:r>
      <w:r>
        <w:t>(kapszula, bevont granulátum vagy belsőleges oldat), amíg a klinikai kockázati tényező meg nem szűnt, vagy legfeljebb 12</w:t>
      </w:r>
      <w:r w:rsidR="002E2A7B">
        <w:t> hónap</w:t>
      </w:r>
      <w:r>
        <w:t xml:space="preserve">ig. A vizsgálat elsődleges végpontjai közé tartoztak a VTE kiújulása, a major és a minor vérzéses események, valamint a mortalitás (teljes és a </w:t>
      </w:r>
      <w:r w:rsidR="00D32DEF">
        <w:t>thromboticus</w:t>
      </w:r>
      <w:r>
        <w:t xml:space="preserve"> vagy thromboemboliás eseményekkel összefüggő) a 6. és a 12.</w:t>
      </w:r>
      <w:r w:rsidR="002E2A7B">
        <w:t> hónap</w:t>
      </w:r>
      <w:r>
        <w:t>ra. A kimenet eseményeit egy független értékelő</w:t>
      </w:r>
      <w:r w:rsidR="0099084B">
        <w:t xml:space="preserve"> </w:t>
      </w:r>
      <w:r>
        <w:t>bizottság</w:t>
      </w:r>
      <w:r w:rsidR="00BD17B5">
        <w:t xml:space="preserve"> vakosítva értékelte</w:t>
      </w:r>
      <w:r>
        <w:t>.</w:t>
      </w:r>
    </w:p>
    <w:p w14:paraId="1B10A2EA" w14:textId="3739128F" w:rsidR="00945359" w:rsidRDefault="00220A43" w:rsidP="008F5A8D">
      <w:pPr>
        <w:pStyle w:val="Szvegtrzs"/>
        <w:tabs>
          <w:tab w:val="left" w:pos="567"/>
        </w:tabs>
      </w:pPr>
      <w:r>
        <w:t>Összesen</w:t>
      </w:r>
      <w:r>
        <w:rPr>
          <w:spacing w:val="-7"/>
        </w:rPr>
        <w:t xml:space="preserve"> </w:t>
      </w:r>
      <w:r>
        <w:t>214</w:t>
      </w:r>
      <w:r w:rsidR="00BD17B5">
        <w:t> </w:t>
      </w:r>
      <w:r>
        <w:t>beteg</w:t>
      </w:r>
      <w:r>
        <w:rPr>
          <w:spacing w:val="-5"/>
        </w:rPr>
        <w:t xml:space="preserve"> </w:t>
      </w:r>
      <w:r>
        <w:t>lépett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vizsgálatba,</w:t>
      </w:r>
      <w:r>
        <w:rPr>
          <w:spacing w:val="-5"/>
        </w:rPr>
        <w:t xml:space="preserve"> </w:t>
      </w:r>
      <w:r>
        <w:t>köztük</w:t>
      </w:r>
      <w:r>
        <w:rPr>
          <w:spacing w:val="-5"/>
        </w:rPr>
        <w:t xml:space="preserve"> </w:t>
      </w:r>
      <w:r>
        <w:t>162</w:t>
      </w:r>
      <w:r w:rsidR="00BD17B5">
        <w:rPr>
          <w:spacing w:val="-5"/>
        </w:rPr>
        <w:t> </w:t>
      </w:r>
      <w:r>
        <w:t>beteg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életkor</w:t>
      </w:r>
      <w:r>
        <w:rPr>
          <w:spacing w:val="-5"/>
        </w:rPr>
        <w:t xml:space="preserve"> </w:t>
      </w:r>
      <w:r>
        <w:t>szerinti</w:t>
      </w:r>
      <w:r>
        <w:rPr>
          <w:spacing w:val="-5"/>
        </w:rPr>
        <w:t xml:space="preserve"> </w:t>
      </w:r>
      <w:r>
        <w:t>1.</w:t>
      </w:r>
      <w:r w:rsidR="00BD17B5">
        <w:rPr>
          <w:spacing w:val="-6"/>
        </w:rPr>
        <w:t> </w:t>
      </w:r>
      <w:r>
        <w:rPr>
          <w:spacing w:val="-2"/>
        </w:rPr>
        <w:t>rétegbe</w:t>
      </w:r>
    </w:p>
    <w:p w14:paraId="6846A364" w14:textId="57E0F2F1" w:rsidR="00945359" w:rsidRDefault="00220A43" w:rsidP="008F5A8D">
      <w:pPr>
        <w:pStyle w:val="Szvegtrzs"/>
        <w:tabs>
          <w:tab w:val="left" w:pos="567"/>
        </w:tabs>
      </w:pPr>
      <w:r>
        <w:t xml:space="preserve">(12 – </w:t>
      </w:r>
      <w:r w:rsidR="00B95CAF">
        <w:t>&lt;</w:t>
      </w:r>
      <w:r>
        <w:t>18</w:t>
      </w:r>
      <w:r w:rsidR="00294835">
        <w:t> éves</w:t>
      </w:r>
      <w:r>
        <w:t xml:space="preserve"> kor), 43</w:t>
      </w:r>
      <w:r w:rsidR="00BD17B5">
        <w:t> </w:t>
      </w:r>
      <w:r>
        <w:t>beteg az életkor szerinti 2.</w:t>
      </w:r>
      <w:r w:rsidR="00BD17B5">
        <w:t> </w:t>
      </w:r>
      <w:r>
        <w:t xml:space="preserve">rétegbe (2 – </w:t>
      </w:r>
      <w:r w:rsidR="00B95CAF">
        <w:t>&lt;</w:t>
      </w:r>
      <w:r>
        <w:t>12</w:t>
      </w:r>
      <w:r w:rsidR="00294835">
        <w:t> éves</w:t>
      </w:r>
      <w:r>
        <w:t xml:space="preserve"> kor) és 9</w:t>
      </w:r>
      <w:r w:rsidR="00BD17B5">
        <w:t> </w:t>
      </w:r>
      <w:r>
        <w:t>beteg az életkor szerinti 3.</w:t>
      </w:r>
      <w:r w:rsidR="00BD17B5">
        <w:t> </w:t>
      </w:r>
      <w:r>
        <w:t xml:space="preserve">rétegbe (születés – </w:t>
      </w:r>
      <w:r w:rsidR="00B95CAF">
        <w:t>&lt;</w:t>
      </w:r>
      <w:r>
        <w:t>2</w:t>
      </w:r>
      <w:r w:rsidR="00294835">
        <w:t> éves</w:t>
      </w:r>
      <w:r>
        <w:t xml:space="preserve"> kor) tartozott. A kezelési időszakban, a kezelés kezdete utáni első 12</w:t>
      </w:r>
      <w:r w:rsidR="002E2A7B">
        <w:t> hónap</w:t>
      </w:r>
      <w:r>
        <w:t>ban 3</w:t>
      </w:r>
      <w:r w:rsidR="00B95CAF">
        <w:t> betegnél</w:t>
      </w:r>
      <w:r>
        <w:t xml:space="preserve"> (1,4%) újult ki a VTE, amit a bizottság is megerősített. A kezelési időszakban 48</w:t>
      </w:r>
      <w:r w:rsidR="00B95CAF">
        <w:t> betegnél</w:t>
      </w:r>
      <w:r>
        <w:t xml:space="preserve"> (22,5%) jelentettek megerősített vérzéses eseményt az első 12</w:t>
      </w:r>
      <w:r w:rsidR="002E2A7B">
        <w:t> hónap</w:t>
      </w:r>
      <w:r>
        <w:t>ban. A vérzéses</w:t>
      </w:r>
      <w:r>
        <w:rPr>
          <w:spacing w:val="-3"/>
        </w:rPr>
        <w:t xml:space="preserve"> </w:t>
      </w:r>
      <w:r>
        <w:t>események</w:t>
      </w:r>
      <w:r>
        <w:rPr>
          <w:spacing w:val="-3"/>
        </w:rPr>
        <w:t xml:space="preserve"> </w:t>
      </w:r>
      <w:r>
        <w:t>többsége</w:t>
      </w:r>
      <w:r>
        <w:rPr>
          <w:spacing w:val="-3"/>
        </w:rPr>
        <w:t xml:space="preserve"> </w:t>
      </w:r>
      <w:r>
        <w:t>minor</w:t>
      </w:r>
      <w:r>
        <w:rPr>
          <w:spacing w:val="-3"/>
        </w:rPr>
        <w:t xml:space="preserve"> </w:t>
      </w:r>
      <w:r>
        <w:t>volt.</w:t>
      </w:r>
      <w:r>
        <w:rPr>
          <w:spacing w:val="-3"/>
        </w:rPr>
        <w:t xml:space="preserve"> </w:t>
      </w:r>
      <w:r>
        <w:t>3</w:t>
      </w:r>
      <w:r w:rsidR="00B95CAF">
        <w:rPr>
          <w:spacing w:val="-5"/>
        </w:rPr>
        <w:t> betegnél</w:t>
      </w:r>
      <w:r>
        <w:rPr>
          <w:spacing w:val="-3"/>
        </w:rPr>
        <w:t xml:space="preserve"> </w:t>
      </w:r>
      <w:r>
        <w:t>(1,4%)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megerősített</w:t>
      </w:r>
      <w:r>
        <w:rPr>
          <w:spacing w:val="-3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vérzéses</w:t>
      </w:r>
      <w:r>
        <w:rPr>
          <w:spacing w:val="-3"/>
        </w:rPr>
        <w:t xml:space="preserve"> </w:t>
      </w:r>
      <w:r>
        <w:t>esemény jelentkezett az első 12</w:t>
      </w:r>
      <w:r w:rsidR="002E2A7B">
        <w:t> hónap</w:t>
      </w:r>
      <w:r>
        <w:t>ban. 3</w:t>
      </w:r>
      <w:r w:rsidR="00B95CAF">
        <w:t> betegnél</w:t>
      </w:r>
      <w:r>
        <w:t xml:space="preserve"> (1,4%) jelentkezett megerősített CRNM vérzés az első</w:t>
      </w:r>
      <w:r>
        <w:rPr>
          <w:spacing w:val="40"/>
        </w:rPr>
        <w:t xml:space="preserve"> </w:t>
      </w:r>
      <w:r>
        <w:t>12</w:t>
      </w:r>
      <w:r w:rsidR="002E2A7B">
        <w:t> hónap</w:t>
      </w:r>
      <w:r>
        <w:t>ban. A kezelés alatt nem következett be haláleset. A kezelési időszakban 3</w:t>
      </w:r>
      <w:r w:rsidR="00B95CAF">
        <w:t> betegnél</w:t>
      </w:r>
      <w:r>
        <w:t xml:space="preserve"> (1,4%) alakult ki post</w:t>
      </w:r>
      <w:r w:rsidR="00D32DEF">
        <w:t>thromboticus</w:t>
      </w:r>
      <w:r>
        <w:t xml:space="preserve"> szindróma (PTS) vagy rosszabbodott a PTS-e az első 12</w:t>
      </w:r>
      <w:r w:rsidR="002E2A7B">
        <w:t> hónap</w:t>
      </w:r>
      <w:r>
        <w:t>ban.</w:t>
      </w:r>
    </w:p>
    <w:p w14:paraId="78F7143F" w14:textId="77777777" w:rsidR="00945359" w:rsidRDefault="00945359" w:rsidP="008F5A8D">
      <w:pPr>
        <w:pStyle w:val="Szvegtrzs"/>
        <w:tabs>
          <w:tab w:val="left" w:pos="567"/>
        </w:tabs>
      </w:pPr>
    </w:p>
    <w:p w14:paraId="39D0A009" w14:textId="28AF9B77" w:rsidR="00945359" w:rsidRPr="00511F35" w:rsidRDefault="00002AA2" w:rsidP="00511F35">
      <w:r w:rsidRPr="00511F35">
        <w:rPr>
          <w:b/>
          <w:spacing w:val="-2"/>
        </w:rPr>
        <w:t>5.2</w:t>
      </w:r>
      <w:r w:rsidRPr="00511F35">
        <w:rPr>
          <w:b/>
          <w:spacing w:val="-2"/>
        </w:rPr>
        <w:tab/>
      </w:r>
      <w:r w:rsidR="00220A43" w:rsidRPr="00511F35">
        <w:rPr>
          <w:b/>
          <w:spacing w:val="-2"/>
        </w:rPr>
        <w:t>Farmakokinetikai</w:t>
      </w:r>
      <w:r w:rsidR="00220A43" w:rsidRPr="00511F35">
        <w:rPr>
          <w:b/>
          <w:spacing w:val="16"/>
        </w:rPr>
        <w:t xml:space="preserve"> </w:t>
      </w:r>
      <w:r w:rsidR="00220A43" w:rsidRPr="00511F35">
        <w:rPr>
          <w:b/>
          <w:spacing w:val="-2"/>
        </w:rPr>
        <w:t>tulajdonságok</w:t>
      </w:r>
    </w:p>
    <w:p w14:paraId="04ECBE1F" w14:textId="77777777" w:rsidR="00002AA2" w:rsidRPr="00511F35" w:rsidRDefault="00002AA2" w:rsidP="008F5A8D"/>
    <w:p w14:paraId="13984985" w14:textId="3F28B1E4" w:rsidR="00945359" w:rsidRDefault="00220A43" w:rsidP="008F5A8D">
      <w:pPr>
        <w:pStyle w:val="Szvegtrzs"/>
        <w:tabs>
          <w:tab w:val="left" w:pos="567"/>
        </w:tabs>
      </w:pPr>
      <w:r>
        <w:t>Szájon át történő alkalmazást követően a dabigatrán-etexilát gyorsan és teljes mértékben átalakul dabigatránná, ami a plazmában az aktív forma. Az elsődleges metabolikus út a dabigatrán-etexilát prodrug</w:t>
      </w:r>
      <w:r w:rsidR="00BD17B5">
        <w:rPr>
          <w:spacing w:val="-3"/>
        </w:rPr>
        <w:t>-</w:t>
      </w:r>
      <w:r>
        <w:t>észteráz</w:t>
      </w:r>
      <w:r>
        <w:rPr>
          <w:spacing w:val="-3"/>
        </w:rPr>
        <w:t xml:space="preserve"> </w:t>
      </w:r>
      <w:r>
        <w:t>által</w:t>
      </w:r>
      <w:r>
        <w:rPr>
          <w:spacing w:val="-3"/>
        </w:rPr>
        <w:t xml:space="preserve"> </w:t>
      </w:r>
      <w:r>
        <w:t>katalizált</w:t>
      </w:r>
      <w:r>
        <w:rPr>
          <w:spacing w:val="-3"/>
        </w:rPr>
        <w:t xml:space="preserve"> </w:t>
      </w:r>
      <w:r>
        <w:t>hidrolízisen</w:t>
      </w:r>
      <w:r>
        <w:rPr>
          <w:spacing w:val="-3"/>
        </w:rPr>
        <w:t xml:space="preserve"> </w:t>
      </w:r>
      <w:r>
        <w:t>keresztüli</w:t>
      </w:r>
      <w:r>
        <w:rPr>
          <w:spacing w:val="-3"/>
        </w:rPr>
        <w:t xml:space="preserve"> </w:t>
      </w:r>
      <w:r>
        <w:t>hasítása</w:t>
      </w:r>
      <w:r>
        <w:rPr>
          <w:spacing w:val="-3"/>
        </w:rPr>
        <w:t xml:space="preserve"> </w:t>
      </w:r>
      <w:r>
        <w:t>aktív</w:t>
      </w:r>
      <w:r>
        <w:rPr>
          <w:spacing w:val="-3"/>
        </w:rPr>
        <w:t xml:space="preserve"> </w:t>
      </w:r>
      <w:r>
        <w:t>dabigatránná.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="00BD17B5">
        <w:t xml:space="preserve">dabigatrán-etexilát </w:t>
      </w:r>
      <w:r w:rsidRPr="004F4A3C">
        <w:rPr>
          <w:i/>
          <w:iCs/>
        </w:rPr>
        <w:t>per</w:t>
      </w:r>
      <w:r w:rsidRPr="004F4A3C">
        <w:rPr>
          <w:i/>
          <w:iCs/>
          <w:spacing w:val="-2"/>
        </w:rPr>
        <w:t xml:space="preserve"> </w:t>
      </w:r>
      <w:r w:rsidRPr="004F4A3C">
        <w:rPr>
          <w:i/>
          <w:iCs/>
        </w:rPr>
        <w:t>os</w:t>
      </w:r>
      <w:r>
        <w:t xml:space="preserve"> alkalmazását követően a dabigatrán abszolút biohasznosulása körülbelül 6,5%.</w:t>
      </w:r>
    </w:p>
    <w:p w14:paraId="6300A131" w14:textId="76B212B9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3"/>
        </w:rPr>
        <w:t xml:space="preserve"> </w:t>
      </w:r>
      <w:r w:rsidR="00BD17B5">
        <w:t>dabigatrán-etexilát</w:t>
      </w:r>
      <w:r>
        <w:rPr>
          <w:spacing w:val="-3"/>
        </w:rPr>
        <w:t xml:space="preserve"> </w:t>
      </w:r>
      <w:r>
        <w:t>egészséges</w:t>
      </w:r>
      <w:r>
        <w:rPr>
          <w:spacing w:val="-3"/>
        </w:rPr>
        <w:t xml:space="preserve"> </w:t>
      </w:r>
      <w:r>
        <w:t>önkénteseknek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orális</w:t>
      </w:r>
      <w:r>
        <w:rPr>
          <w:spacing w:val="-3"/>
        </w:rPr>
        <w:t xml:space="preserve"> </w:t>
      </w:r>
      <w:r>
        <w:t>adása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farmakokinetikai</w:t>
      </w:r>
      <w:r>
        <w:rPr>
          <w:spacing w:val="-3"/>
        </w:rPr>
        <w:t xml:space="preserve"> </w:t>
      </w:r>
      <w:r>
        <w:t xml:space="preserve">profilját </w:t>
      </w:r>
      <w:r>
        <w:rPr>
          <w:position w:val="2"/>
        </w:rPr>
        <w:t>a plazmában a plazmakoncentráció gyors emelkedése jellemzi, a C</w:t>
      </w:r>
      <w:r>
        <w:rPr>
          <w:sz w:val="14"/>
        </w:rPr>
        <w:t>max</w:t>
      </w:r>
      <w:r>
        <w:rPr>
          <w:spacing w:val="25"/>
          <w:sz w:val="14"/>
        </w:rPr>
        <w:t xml:space="preserve"> </w:t>
      </w:r>
      <w:r>
        <w:rPr>
          <w:position w:val="2"/>
        </w:rPr>
        <w:t>0,5-2</w:t>
      </w:r>
      <w:r w:rsidR="002E2A7B">
        <w:rPr>
          <w:position w:val="2"/>
        </w:rPr>
        <w:t> órá</w:t>
      </w:r>
      <w:r>
        <w:rPr>
          <w:position w:val="2"/>
        </w:rPr>
        <w:t>n belül kialakul a</w:t>
      </w:r>
      <w:r w:rsidR="00184036">
        <w:t xml:space="preserve"> </w:t>
      </w:r>
      <w:r>
        <w:t>bevételt</w:t>
      </w:r>
      <w:r>
        <w:rPr>
          <w:spacing w:val="-8"/>
        </w:rPr>
        <w:t xml:space="preserve"> </w:t>
      </w:r>
      <w:r>
        <w:rPr>
          <w:spacing w:val="-2"/>
        </w:rPr>
        <w:t>követően.</w:t>
      </w:r>
    </w:p>
    <w:p w14:paraId="2A34BD54" w14:textId="77777777" w:rsidR="00945359" w:rsidRDefault="00945359" w:rsidP="008F5A8D">
      <w:pPr>
        <w:pStyle w:val="Szvegtrzs"/>
        <w:tabs>
          <w:tab w:val="left" w:pos="567"/>
        </w:tabs>
      </w:pPr>
    </w:p>
    <w:p w14:paraId="445001E7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Felszívódás</w:t>
      </w:r>
    </w:p>
    <w:p w14:paraId="793E2C8B" w14:textId="4FD2A60F" w:rsidR="00945359" w:rsidRDefault="00220A43" w:rsidP="008F5A8D">
      <w:pPr>
        <w:pStyle w:val="Szvegtrzs"/>
        <w:tabs>
          <w:tab w:val="left" w:pos="567"/>
        </w:tabs>
      </w:pPr>
      <w:r>
        <w:t>Egy, a dabigatrán-etexilát posztoperatív, a műtét után 1-3</w:t>
      </w:r>
      <w:r w:rsidR="002E2A7B">
        <w:t> órá</w:t>
      </w:r>
      <w:r>
        <w:t>val észlelhető felszívódását értékelő vizsgálat viszonylag lassú felszívódást mutatott egészséges önkéntesekkel összehasonlítva</w:t>
      </w:r>
      <w:r w:rsidR="00496413">
        <w:t>;</w:t>
      </w:r>
      <w:r>
        <w:t xml:space="preserve"> a plazmakoncentráció</w:t>
      </w:r>
      <w:r w:rsidR="006A386D">
        <w:t>–</w:t>
      </w:r>
      <w:r>
        <w:t>idő profil egyenletes volt, magas plazma</w:t>
      </w:r>
      <w:r w:rsidR="006A386D">
        <w:t>-</w:t>
      </w:r>
      <w:r>
        <w:t xml:space="preserve">csúcskoncentráció nélkül. A </w:t>
      </w:r>
      <w:r w:rsidR="00496413">
        <w:t xml:space="preserve">posztoperatív időszakban a </w:t>
      </w:r>
      <w:r>
        <w:t>plazma</w:t>
      </w:r>
      <w:r w:rsidR="006A386D">
        <w:t>-</w:t>
      </w:r>
      <w:r>
        <w:t>csúcskoncentráció</w:t>
      </w:r>
      <w:r>
        <w:rPr>
          <w:spacing w:val="-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függetlenül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orális</w:t>
      </w:r>
      <w:r>
        <w:rPr>
          <w:spacing w:val="-3"/>
        </w:rPr>
        <w:t xml:space="preserve"> </w:t>
      </w:r>
      <w:r>
        <w:t>gyógyszerformától</w:t>
      </w:r>
      <w:r>
        <w:rPr>
          <w:spacing w:val="-6"/>
        </w:rPr>
        <w:t xml:space="preserve"> </w:t>
      </w:r>
      <w:r>
        <w:t>–6</w:t>
      </w:r>
      <w:r w:rsidR="002E2A7B">
        <w:rPr>
          <w:spacing w:val="-2"/>
        </w:rPr>
        <w:t> órá</w:t>
      </w:r>
      <w:r>
        <w:t>val a beadást követően alakult ki</w:t>
      </w:r>
      <w:r w:rsidR="00496413">
        <w:t xml:space="preserve"> a</w:t>
      </w:r>
      <w:r w:rsidR="00496413">
        <w:rPr>
          <w:spacing w:val="-3"/>
        </w:rPr>
        <w:t xml:space="preserve"> </w:t>
      </w:r>
      <w:r w:rsidR="00496413">
        <w:t>következő</w:t>
      </w:r>
      <w:r w:rsidR="00496413">
        <w:rPr>
          <w:spacing w:val="-3"/>
        </w:rPr>
        <w:t xml:space="preserve"> </w:t>
      </w:r>
      <w:r w:rsidR="00496413">
        <w:t>tényezők</w:t>
      </w:r>
      <w:r w:rsidR="00496413">
        <w:rPr>
          <w:spacing w:val="-3"/>
        </w:rPr>
        <w:t xml:space="preserve"> </w:t>
      </w:r>
      <w:r w:rsidR="00496413">
        <w:t>miatt</w:t>
      </w:r>
      <w:r>
        <w:t>: anesztézia, GI paresis és a műtét hatásai. Egy másik vizsgálatban kimutatták, hogy lassú és elhúzódó felszívódás általában csak a műtét napján észlelhető. A további napokon a dabigatrán felszívódása gyors, és a plazma</w:t>
      </w:r>
      <w:r w:rsidR="006A386D">
        <w:t>-</w:t>
      </w:r>
      <w:r>
        <w:t>csúcskoncentráció</w:t>
      </w:r>
    </w:p>
    <w:p w14:paraId="613FC2E9" w14:textId="3E137FCB" w:rsidR="00945359" w:rsidRDefault="00220A43" w:rsidP="008F5A8D">
      <w:pPr>
        <w:pStyle w:val="Szvegtrzs"/>
        <w:tabs>
          <w:tab w:val="left" w:pos="567"/>
        </w:tabs>
      </w:pPr>
      <w:r>
        <w:t>2</w:t>
      </w:r>
      <w:r w:rsidR="002E2A7B">
        <w:rPr>
          <w:spacing w:val="-7"/>
        </w:rPr>
        <w:t> órá</w:t>
      </w:r>
      <w:r>
        <w:t>val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beadását</w:t>
      </w:r>
      <w:r>
        <w:rPr>
          <w:spacing w:val="-5"/>
        </w:rPr>
        <w:t xml:space="preserve"> </w:t>
      </w:r>
      <w:r>
        <w:t>követően</w:t>
      </w:r>
      <w:r>
        <w:rPr>
          <w:spacing w:val="-4"/>
        </w:rPr>
        <w:t xml:space="preserve"> </w:t>
      </w:r>
      <w:r>
        <w:rPr>
          <w:spacing w:val="-2"/>
        </w:rPr>
        <w:t>kialakul.</w:t>
      </w:r>
    </w:p>
    <w:p w14:paraId="66254C91" w14:textId="77777777" w:rsidR="00945359" w:rsidRDefault="00945359" w:rsidP="008F5A8D">
      <w:pPr>
        <w:pStyle w:val="Szvegtrzs"/>
        <w:tabs>
          <w:tab w:val="left" w:pos="567"/>
        </w:tabs>
      </w:pPr>
    </w:p>
    <w:p w14:paraId="3FF75468" w14:textId="06C59AAB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étkezés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befolyásolja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dabigatrán-etexilát</w:t>
      </w:r>
      <w:r>
        <w:rPr>
          <w:spacing w:val="-2"/>
        </w:rPr>
        <w:t xml:space="preserve"> </w:t>
      </w:r>
      <w:r>
        <w:t>biohasznosulását,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</w:t>
      </w:r>
      <w:r w:rsidR="002E2A7B">
        <w:rPr>
          <w:spacing w:val="-3"/>
        </w:rPr>
        <w:t> órá</w:t>
      </w:r>
      <w:r>
        <w:t>val</w:t>
      </w:r>
      <w:r>
        <w:rPr>
          <w:spacing w:val="-3"/>
        </w:rPr>
        <w:t xml:space="preserve"> </w:t>
      </w:r>
      <w:r>
        <w:t>megnyújtja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plazma</w:t>
      </w:r>
      <w:r w:rsidR="00496413">
        <w:t>-</w:t>
      </w:r>
      <w:r>
        <w:t>csúcskoncentráció kialakulásához szükséges időt.</w:t>
      </w:r>
    </w:p>
    <w:p w14:paraId="0E6DEBAE" w14:textId="77777777" w:rsidR="00945359" w:rsidRDefault="00220A43" w:rsidP="008F5A8D">
      <w:pPr>
        <w:pStyle w:val="Szvegtrzs"/>
        <w:tabs>
          <w:tab w:val="left" w:pos="567"/>
        </w:tabs>
      </w:pPr>
      <w:r>
        <w:rPr>
          <w:position w:val="2"/>
        </w:rPr>
        <w:t>A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C</w:t>
      </w:r>
      <w:r>
        <w:rPr>
          <w:sz w:val="14"/>
        </w:rPr>
        <w:t>max</w:t>
      </w:r>
      <w:r>
        <w:rPr>
          <w:spacing w:val="15"/>
          <w:sz w:val="14"/>
        </w:rPr>
        <w:t xml:space="preserve"> </w:t>
      </w:r>
      <w:r>
        <w:rPr>
          <w:position w:val="2"/>
        </w:rPr>
        <w:t>és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az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AUC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arányos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volt</w:t>
      </w:r>
      <w:r>
        <w:rPr>
          <w:spacing w:val="-3"/>
          <w:position w:val="2"/>
        </w:rPr>
        <w:t xml:space="preserve"> </w:t>
      </w:r>
      <w:r>
        <w:rPr>
          <w:position w:val="2"/>
        </w:rPr>
        <w:t>a</w:t>
      </w:r>
      <w:r>
        <w:rPr>
          <w:spacing w:val="-4"/>
          <w:position w:val="2"/>
        </w:rPr>
        <w:t xml:space="preserve"> </w:t>
      </w:r>
      <w:r>
        <w:rPr>
          <w:position w:val="2"/>
        </w:rPr>
        <w:t>beadott</w:t>
      </w:r>
      <w:r>
        <w:rPr>
          <w:spacing w:val="-3"/>
          <w:position w:val="2"/>
        </w:rPr>
        <w:t xml:space="preserve"> </w:t>
      </w:r>
      <w:r>
        <w:rPr>
          <w:spacing w:val="-2"/>
          <w:position w:val="2"/>
        </w:rPr>
        <w:t>dózissal.</w:t>
      </w:r>
    </w:p>
    <w:p w14:paraId="29F73A25" w14:textId="65CB5554" w:rsidR="00945359" w:rsidRDefault="00220A43">
      <w:pPr>
        <w:pStyle w:val="Szvegtrzs"/>
        <w:tabs>
          <w:tab w:val="left" w:pos="567"/>
        </w:tabs>
      </w:pPr>
      <w:r>
        <w:t>A referencia kapszulaformához viszonyítva az orális biohasznosulás egyszeri dózis után 75%-kal, dinamikus egyensúlyi állapotban 37%-kal nőhet, ha a pelleteket a hidroxi-propilmetil-cellulóz (HPMC)</w:t>
      </w:r>
      <w:r>
        <w:rPr>
          <w:spacing w:val="-3"/>
        </w:rPr>
        <w:t xml:space="preserve"> </w:t>
      </w:r>
      <w:r>
        <w:t>kapszulahéj</w:t>
      </w:r>
      <w:r>
        <w:rPr>
          <w:spacing w:val="-3"/>
        </w:rPr>
        <w:t xml:space="preserve"> </w:t>
      </w:r>
      <w:r>
        <w:t>nélkül</w:t>
      </w:r>
      <w:r>
        <w:rPr>
          <w:spacing w:val="-3"/>
        </w:rPr>
        <w:t xml:space="preserve"> </w:t>
      </w:r>
      <w:r>
        <w:t>veszik</w:t>
      </w:r>
      <w:r>
        <w:rPr>
          <w:spacing w:val="-3"/>
        </w:rPr>
        <w:t xml:space="preserve"> </w:t>
      </w:r>
      <w:r>
        <w:t>be.</w:t>
      </w:r>
      <w:r>
        <w:rPr>
          <w:spacing w:val="-3"/>
        </w:rPr>
        <w:t xml:space="preserve"> </w:t>
      </w:r>
      <w:r>
        <w:t>Ezért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alkalmazás</w:t>
      </w:r>
      <w:r>
        <w:rPr>
          <w:spacing w:val="-3"/>
        </w:rPr>
        <w:t xml:space="preserve"> </w:t>
      </w:r>
      <w:r>
        <w:t>során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HPMC</w:t>
      </w:r>
      <w:r>
        <w:rPr>
          <w:spacing w:val="-3"/>
        </w:rPr>
        <w:t xml:space="preserve"> </w:t>
      </w:r>
      <w:r>
        <w:t>kapszulák</w:t>
      </w:r>
      <w:r>
        <w:rPr>
          <w:spacing w:val="-3"/>
        </w:rPr>
        <w:t xml:space="preserve"> </w:t>
      </w:r>
      <w:r>
        <w:t>épségét mindig meg kell őrizni annak érdekében, hogy elkerüljék a dabigatrán-etexilát biohasznosulásának nem tervezett fokozódását (lásd 4.2</w:t>
      </w:r>
      <w:r w:rsidR="00294835">
        <w:t> pont</w:t>
      </w:r>
      <w:r>
        <w:t>).</w:t>
      </w:r>
    </w:p>
    <w:p w14:paraId="77E231DA" w14:textId="77777777" w:rsidR="00304920" w:rsidRDefault="00304920" w:rsidP="008F5A8D">
      <w:pPr>
        <w:pStyle w:val="Szvegtrzs"/>
        <w:tabs>
          <w:tab w:val="left" w:pos="567"/>
        </w:tabs>
      </w:pPr>
    </w:p>
    <w:p w14:paraId="0C7E5F4F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Eloszlás</w:t>
      </w:r>
    </w:p>
    <w:p w14:paraId="11E3FF65" w14:textId="34BA040B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</w:t>
      </w:r>
      <w:r>
        <w:rPr>
          <w:spacing w:val="-4"/>
        </w:rPr>
        <w:t xml:space="preserve"> </w:t>
      </w:r>
      <w:r>
        <w:t>emberi</w:t>
      </w:r>
      <w:r>
        <w:rPr>
          <w:spacing w:val="-4"/>
        </w:rPr>
        <w:t xml:space="preserve"> </w:t>
      </w:r>
      <w:r>
        <w:t>plazmafehérjékhez</w:t>
      </w:r>
      <w:r>
        <w:rPr>
          <w:spacing w:val="-4"/>
        </w:rPr>
        <w:t xml:space="preserve"> </w:t>
      </w:r>
      <w:r>
        <w:t>való</w:t>
      </w:r>
      <w:r>
        <w:rPr>
          <w:spacing w:val="-4"/>
        </w:rPr>
        <w:t xml:space="preserve"> </w:t>
      </w:r>
      <w:r>
        <w:t>alacsony</w:t>
      </w:r>
      <w:r>
        <w:rPr>
          <w:spacing w:val="-4"/>
        </w:rPr>
        <w:t xml:space="preserve"> </w:t>
      </w:r>
      <w:r>
        <w:t>(34-35%)</w:t>
      </w:r>
      <w:r>
        <w:rPr>
          <w:spacing w:val="-4"/>
        </w:rPr>
        <w:t xml:space="preserve"> </w:t>
      </w:r>
      <w:r>
        <w:t>koncentrációjú</w:t>
      </w:r>
      <w:r>
        <w:rPr>
          <w:spacing w:val="-4"/>
        </w:rPr>
        <w:t xml:space="preserve"> </w:t>
      </w:r>
      <w:r>
        <w:t>kötődését</w:t>
      </w:r>
      <w:r>
        <w:rPr>
          <w:spacing w:val="-4"/>
        </w:rPr>
        <w:t xml:space="preserve"> </w:t>
      </w:r>
      <w:r>
        <w:t>figyelték meg. A dabigatrán 60-70</w:t>
      </w:r>
      <w:r w:rsidR="00496413">
        <w:t> </w:t>
      </w:r>
      <w:r>
        <w:t xml:space="preserve">l-es megoszlási térfogata meghaladja a </w:t>
      </w:r>
      <w:r w:rsidR="002B2C85">
        <w:t>szervezet</w:t>
      </w:r>
      <w:r>
        <w:t xml:space="preserve"> teljes víztartalmát, ami a dabigatrán közepes mértékű szöveti megoszlására utal.</w:t>
      </w:r>
    </w:p>
    <w:p w14:paraId="72C98F1E" w14:textId="77777777" w:rsidR="00945359" w:rsidRDefault="00945359" w:rsidP="008F5A8D">
      <w:pPr>
        <w:pStyle w:val="Szvegtrzs"/>
        <w:tabs>
          <w:tab w:val="left" w:pos="567"/>
        </w:tabs>
      </w:pPr>
    </w:p>
    <w:p w14:paraId="39847267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Biotranszformáció</w:t>
      </w:r>
    </w:p>
    <w:p w14:paraId="2391DCB9" w14:textId="4BD95B19" w:rsidR="00945359" w:rsidRDefault="00220A43" w:rsidP="008F5A8D">
      <w:pPr>
        <w:pStyle w:val="Szvegtrzs"/>
        <w:tabs>
          <w:tab w:val="left" w:pos="567"/>
        </w:tabs>
      </w:pPr>
      <w:r>
        <w:t xml:space="preserve">A dabigatrán metabolizmusát és kiválasztódását egy </w:t>
      </w:r>
      <w:r w:rsidR="00496413">
        <w:t>egyszeri,</w:t>
      </w:r>
      <w:r>
        <w:t xml:space="preserve"> radioizotóppal</w:t>
      </w:r>
      <w:r>
        <w:rPr>
          <w:spacing w:val="40"/>
        </w:rPr>
        <w:t xml:space="preserve"> </w:t>
      </w:r>
      <w:r>
        <w:t>jelölt dabigatrán</w:t>
      </w:r>
      <w:r w:rsidR="00496413">
        <w:t>-dózis</w:t>
      </w:r>
      <w:r>
        <w:t xml:space="preserve"> </w:t>
      </w:r>
      <w:r w:rsidR="00496413">
        <w:t xml:space="preserve">intravénás </w:t>
      </w:r>
      <w:r>
        <w:t>beadását követően vizsgálták egészséges férfiaknál. Egyetlen intravénás adag után a dabigatránból</w:t>
      </w:r>
      <w:r>
        <w:rPr>
          <w:spacing w:val="-3"/>
        </w:rPr>
        <w:t xml:space="preserve"> </w:t>
      </w:r>
      <w:r>
        <w:t>származó</w:t>
      </w:r>
      <w:r>
        <w:rPr>
          <w:spacing w:val="-3"/>
        </w:rPr>
        <w:t xml:space="preserve"> </w:t>
      </w:r>
      <w:r>
        <w:t>radioaktivitás</w:t>
      </w:r>
      <w:r>
        <w:rPr>
          <w:spacing w:val="-3"/>
        </w:rPr>
        <w:t xml:space="preserve"> </w:t>
      </w:r>
      <w:r>
        <w:t>elsősorban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vizelettel</w:t>
      </w:r>
      <w:r>
        <w:rPr>
          <w:spacing w:val="-3"/>
        </w:rPr>
        <w:t xml:space="preserve"> </w:t>
      </w:r>
      <w:r>
        <w:t>ürült</w:t>
      </w:r>
      <w:r>
        <w:rPr>
          <w:spacing w:val="-3"/>
        </w:rPr>
        <w:t xml:space="preserve"> </w:t>
      </w:r>
      <w:r>
        <w:t>(85%).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beadott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6%-a</w:t>
      </w:r>
      <w:r>
        <w:rPr>
          <w:spacing w:val="-2"/>
        </w:rPr>
        <w:t xml:space="preserve"> </w:t>
      </w:r>
      <w:r>
        <w:t>ürült</w:t>
      </w:r>
      <w:r>
        <w:rPr>
          <w:spacing w:val="-2"/>
        </w:rPr>
        <w:t xml:space="preserve"> </w:t>
      </w:r>
      <w:r>
        <w:t>a széklettel. A beadott dózis 88-94%-ának megfelelő teljes radioaktivitás volt kinyerhető a beadást követően 168</w:t>
      </w:r>
      <w:r w:rsidR="002E2A7B">
        <w:t> órá</w:t>
      </w:r>
      <w:r>
        <w:t>val.</w:t>
      </w:r>
    </w:p>
    <w:p w14:paraId="2DCD70D0" w14:textId="2B030310" w:rsidR="00945359" w:rsidRDefault="00220A43">
      <w:pPr>
        <w:pStyle w:val="Szvegtrzs"/>
        <w:tabs>
          <w:tab w:val="left" w:pos="567"/>
        </w:tabs>
      </w:pPr>
      <w:r>
        <w:t>A</w:t>
      </w:r>
      <w:r>
        <w:rPr>
          <w:spacing w:val="-2"/>
        </w:rPr>
        <w:t xml:space="preserve"> </w:t>
      </w:r>
      <w:r>
        <w:t>dabigatrán</w:t>
      </w:r>
      <w:r>
        <w:rPr>
          <w:spacing w:val="-2"/>
        </w:rPr>
        <w:t xml:space="preserve"> </w:t>
      </w:r>
      <w:r>
        <w:t>farmakológiailag</w:t>
      </w:r>
      <w:r>
        <w:rPr>
          <w:spacing w:val="-2"/>
        </w:rPr>
        <w:t xml:space="preserve"> </w:t>
      </w:r>
      <w:r>
        <w:t>aktív</w:t>
      </w:r>
      <w:r>
        <w:rPr>
          <w:spacing w:val="-2"/>
        </w:rPr>
        <w:t xml:space="preserve"> </w:t>
      </w:r>
      <w:r>
        <w:t>acilglükuronidekké</w:t>
      </w:r>
      <w:r>
        <w:rPr>
          <w:spacing w:val="-2"/>
        </w:rPr>
        <w:t xml:space="preserve"> </w:t>
      </w:r>
      <w:r>
        <w:t>konjugálódik.</w:t>
      </w:r>
      <w:r>
        <w:rPr>
          <w:spacing w:val="-2"/>
        </w:rPr>
        <w:t xml:space="preserve"> </w:t>
      </w:r>
      <w:r>
        <w:t>Négy</w:t>
      </w:r>
      <w:r>
        <w:rPr>
          <w:spacing w:val="-2"/>
        </w:rPr>
        <w:t xml:space="preserve"> </w:t>
      </w:r>
      <w:r>
        <w:t>pozicionális</w:t>
      </w:r>
      <w:r>
        <w:rPr>
          <w:spacing w:val="-2"/>
        </w:rPr>
        <w:t xml:space="preserve"> </w:t>
      </w:r>
      <w:r>
        <w:t>izomer,</w:t>
      </w:r>
      <w:r>
        <w:rPr>
          <w:spacing w:val="-2"/>
        </w:rPr>
        <w:t xml:space="preserve"> </w:t>
      </w:r>
      <w:r>
        <w:t>1-O, 2-O, 3-O, 4-O-acilglükuronid létezik, amelyek az összes dabigatrán kevesebb mint 10%-át teszik ki a plazmában. Egyéb metabolitok nyomai csak nagyon érzékeny analitikai módszerekkel voltak kimutathatók.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elsősorban</w:t>
      </w:r>
      <w:r>
        <w:rPr>
          <w:spacing w:val="-3"/>
        </w:rPr>
        <w:t xml:space="preserve"> </w:t>
      </w:r>
      <w:r>
        <w:t>változatlan</w:t>
      </w:r>
      <w:r>
        <w:rPr>
          <w:spacing w:val="-3"/>
        </w:rPr>
        <w:t xml:space="preserve"> </w:t>
      </w:r>
      <w:r>
        <w:t>formában</w:t>
      </w:r>
      <w:r>
        <w:rPr>
          <w:spacing w:val="-3"/>
        </w:rPr>
        <w:t xml:space="preserve"> </w:t>
      </w:r>
      <w:r>
        <w:t>ürül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vizelettel,</w:t>
      </w:r>
      <w:r>
        <w:rPr>
          <w:spacing w:val="-3"/>
        </w:rPr>
        <w:t xml:space="preserve"> </w:t>
      </w:r>
      <w:r>
        <w:t>körülbelül</w:t>
      </w:r>
      <w:r>
        <w:rPr>
          <w:spacing w:val="-3"/>
        </w:rPr>
        <w:t xml:space="preserve"> </w:t>
      </w:r>
      <w:r>
        <w:t>100</w:t>
      </w:r>
      <w:r w:rsidR="00294835">
        <w:rPr>
          <w:spacing w:val="-4"/>
        </w:rPr>
        <w:t> ml</w:t>
      </w:r>
      <w:r>
        <w:t>/perces sebességgel, ami megfelel a glomerul</w:t>
      </w:r>
      <w:r w:rsidR="00496413">
        <w:t>us</w:t>
      </w:r>
      <w:r>
        <w:t>filtrációs rátának.</w:t>
      </w:r>
    </w:p>
    <w:p w14:paraId="67566418" w14:textId="77777777" w:rsidR="00304920" w:rsidRDefault="00304920" w:rsidP="008F5A8D">
      <w:pPr>
        <w:pStyle w:val="Szvegtrzs"/>
        <w:tabs>
          <w:tab w:val="left" w:pos="567"/>
        </w:tabs>
      </w:pPr>
    </w:p>
    <w:p w14:paraId="3D6D999B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Elimináció</w:t>
      </w:r>
    </w:p>
    <w:p w14:paraId="1AB29050" w14:textId="2D32702B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</w:t>
      </w:r>
      <w:r>
        <w:rPr>
          <w:spacing w:val="-4"/>
        </w:rPr>
        <w:t xml:space="preserve"> </w:t>
      </w:r>
      <w:r>
        <w:t>plazmakoncentráció</w:t>
      </w:r>
      <w:r w:rsidR="00496413">
        <w:t>ja</w:t>
      </w:r>
      <w:r>
        <w:rPr>
          <w:spacing w:val="-4"/>
        </w:rPr>
        <w:t xml:space="preserve"> </w:t>
      </w:r>
      <w:r>
        <w:t>biexponenciális</w:t>
      </w:r>
      <w:r>
        <w:rPr>
          <w:spacing w:val="-4"/>
        </w:rPr>
        <w:t xml:space="preserve"> </w:t>
      </w:r>
      <w:r>
        <w:t>csökkenést</w:t>
      </w:r>
      <w:r>
        <w:rPr>
          <w:spacing w:val="-4"/>
        </w:rPr>
        <w:t xml:space="preserve"> </w:t>
      </w:r>
      <w:r>
        <w:t>mut</w:t>
      </w:r>
      <w:r w:rsidR="00496413">
        <w:t>atott</w:t>
      </w:r>
      <w:r>
        <w:t>,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átlagos</w:t>
      </w:r>
      <w:r>
        <w:rPr>
          <w:spacing w:val="-4"/>
        </w:rPr>
        <w:t xml:space="preserve"> </w:t>
      </w:r>
      <w:r>
        <w:t>terminális</w:t>
      </w:r>
      <w:r>
        <w:rPr>
          <w:spacing w:val="-4"/>
        </w:rPr>
        <w:t xml:space="preserve"> </w:t>
      </w:r>
      <w:r>
        <w:t>felezési idő 11</w:t>
      </w:r>
      <w:r w:rsidR="00496413">
        <w:t> </w:t>
      </w:r>
      <w:r>
        <w:t>óra volt egészséges, idős vizsgálati személyeknél. Több dózist követően 12-14</w:t>
      </w:r>
      <w:r w:rsidR="002E2A7B">
        <w:t> órá</w:t>
      </w:r>
      <w:r>
        <w:t>s terminális felezési időt figyeltek meg. A felezési idő a dózistól független volt. A felezési idő megnyúlt, ha a vesefunkció károsodott, amint azt a 30.</w:t>
      </w:r>
      <w:r w:rsidR="00B95CAF">
        <w:t> táblázat</w:t>
      </w:r>
      <w:r>
        <w:t xml:space="preserve"> mutatja.</w:t>
      </w:r>
    </w:p>
    <w:p w14:paraId="4F570363" w14:textId="77777777" w:rsidR="00945359" w:rsidRDefault="00945359" w:rsidP="008F5A8D">
      <w:pPr>
        <w:pStyle w:val="Szvegtrzs"/>
        <w:tabs>
          <w:tab w:val="left" w:pos="567"/>
        </w:tabs>
      </w:pPr>
    </w:p>
    <w:p w14:paraId="5829BAE4" w14:textId="77777777" w:rsidR="00945359" w:rsidRDefault="00220A43" w:rsidP="008F5A8D">
      <w:pPr>
        <w:pStyle w:val="Szvegtrzs"/>
        <w:tabs>
          <w:tab w:val="left" w:pos="567"/>
        </w:tabs>
      </w:pPr>
      <w:r>
        <w:rPr>
          <w:u w:val="single"/>
        </w:rPr>
        <w:t>Különleges</w:t>
      </w:r>
      <w:r>
        <w:rPr>
          <w:spacing w:val="-10"/>
          <w:u w:val="single"/>
        </w:rPr>
        <w:t xml:space="preserve"> </w:t>
      </w:r>
      <w:r>
        <w:rPr>
          <w:spacing w:val="-2"/>
          <w:u w:val="single"/>
        </w:rPr>
        <w:t>betegcsoportok</w:t>
      </w:r>
    </w:p>
    <w:p w14:paraId="53F39312" w14:textId="77777777" w:rsidR="00945359" w:rsidRDefault="00945359" w:rsidP="008F5A8D">
      <w:pPr>
        <w:pStyle w:val="Szvegtrzs"/>
        <w:tabs>
          <w:tab w:val="left" w:pos="567"/>
        </w:tabs>
      </w:pPr>
    </w:p>
    <w:p w14:paraId="425DF600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Vesekárosodás</w:t>
      </w:r>
    </w:p>
    <w:p w14:paraId="29B33D63" w14:textId="6611952D" w:rsidR="00945359" w:rsidRDefault="00220A43" w:rsidP="008F5A8D">
      <w:pPr>
        <w:pStyle w:val="Szvegtrzs"/>
        <w:tabs>
          <w:tab w:val="left" w:pos="567"/>
        </w:tabs>
      </w:pPr>
      <w:r>
        <w:t>A</w:t>
      </w:r>
      <w:r w:rsidR="00496413">
        <w:t>z</w:t>
      </w:r>
      <w:r>
        <w:rPr>
          <w:spacing w:val="-2"/>
        </w:rPr>
        <w:t xml:space="preserve"> </w:t>
      </w:r>
      <w:r>
        <w:t>I.</w:t>
      </w:r>
      <w:r w:rsidR="00294835">
        <w:rPr>
          <w:spacing w:val="-3"/>
        </w:rPr>
        <w:t> fázis</w:t>
      </w:r>
      <w:r>
        <w:t>ú</w:t>
      </w:r>
      <w:r>
        <w:rPr>
          <w:spacing w:val="-4"/>
        </w:rPr>
        <w:t xml:space="preserve"> </w:t>
      </w:r>
      <w:r>
        <w:t>vizsgálatokban</w:t>
      </w:r>
      <w:r>
        <w:rPr>
          <w:spacing w:val="-4"/>
        </w:rPr>
        <w:t xml:space="preserve"> </w:t>
      </w:r>
      <w:r w:rsidR="00496413">
        <w:rPr>
          <w:spacing w:val="-4"/>
        </w:rPr>
        <w:t xml:space="preserve">a </w:t>
      </w:r>
      <w:r>
        <w:t>dabigatrán-expozíció</w:t>
      </w:r>
      <w:r>
        <w:rPr>
          <w:spacing w:val="-4"/>
        </w:rPr>
        <w:t xml:space="preserve"> </w:t>
      </w:r>
      <w:r>
        <w:t>(AUC)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szájon</w:t>
      </w:r>
      <w:r>
        <w:rPr>
          <w:spacing w:val="-4"/>
        </w:rPr>
        <w:t xml:space="preserve"> </w:t>
      </w:r>
      <w:r>
        <w:t>át</w:t>
      </w:r>
      <w:r>
        <w:rPr>
          <w:spacing w:val="-4"/>
        </w:rPr>
        <w:t xml:space="preserve"> </w:t>
      </w:r>
      <w:r>
        <w:t>történő alkalmazását követően</w:t>
      </w:r>
      <w:r>
        <w:rPr>
          <w:spacing w:val="-1"/>
        </w:rPr>
        <w:t xml:space="preserve"> </w:t>
      </w:r>
      <w:r>
        <w:t>körülbelül</w:t>
      </w:r>
      <w:r>
        <w:rPr>
          <w:spacing w:val="-1"/>
        </w:rPr>
        <w:t xml:space="preserve"> </w:t>
      </w:r>
      <w:r>
        <w:t>2,7-szer</w:t>
      </w:r>
      <w:r>
        <w:rPr>
          <w:spacing w:val="-1"/>
        </w:rPr>
        <w:t xml:space="preserve"> </w:t>
      </w:r>
      <w:r>
        <w:t>nagyobb</w:t>
      </w:r>
      <w:r>
        <w:rPr>
          <w:spacing w:val="-1"/>
        </w:rPr>
        <w:t xml:space="preserve"> </w:t>
      </w:r>
      <w:r>
        <w:t>közepesen</w:t>
      </w:r>
      <w:r>
        <w:rPr>
          <w:spacing w:val="-1"/>
        </w:rPr>
        <w:t xml:space="preserve"> </w:t>
      </w:r>
      <w:r>
        <w:t>súlyos</w:t>
      </w:r>
      <w:r>
        <w:rPr>
          <w:spacing w:val="-1"/>
        </w:rPr>
        <w:t xml:space="preserve"> </w:t>
      </w:r>
      <w:r>
        <w:t>fokú</w:t>
      </w:r>
      <w:r>
        <w:rPr>
          <w:spacing w:val="-1"/>
        </w:rPr>
        <w:t xml:space="preserve"> </w:t>
      </w:r>
      <w:r>
        <w:t>vesekárosodásban (kreatinin-clearance 30</w:t>
      </w:r>
      <w:r w:rsidR="00B532D6">
        <w:t>–</w:t>
      </w:r>
      <w:r>
        <w:t>50</w:t>
      </w:r>
      <w:r w:rsidR="00294835">
        <w:t> ml</w:t>
      </w:r>
      <w:r>
        <w:t>/perc) szenvedő felnőtt önkénteseknél, mint azoknál, akik nem szenvednek vesekárosodásban.</w:t>
      </w:r>
    </w:p>
    <w:p w14:paraId="2088BB98" w14:textId="34556775" w:rsidR="00945359" w:rsidRDefault="00220A43" w:rsidP="008F5A8D">
      <w:pPr>
        <w:pStyle w:val="Szvegtrzs"/>
        <w:tabs>
          <w:tab w:val="left" w:pos="567"/>
        </w:tabs>
      </w:pPr>
      <w:r>
        <w:t xml:space="preserve">A súlyos </w:t>
      </w:r>
      <w:r w:rsidRPr="00B532D6">
        <w:t>vese</w:t>
      </w:r>
      <w:r w:rsidR="00B532D6">
        <w:t>károsodásban</w:t>
      </w:r>
      <w:r>
        <w:t xml:space="preserve"> (kreatinin-clearance 10</w:t>
      </w:r>
      <w:r w:rsidR="00B532D6">
        <w:t>–</w:t>
      </w:r>
      <w:r>
        <w:t>30</w:t>
      </w:r>
      <w:r w:rsidR="00294835">
        <w:t> ml</w:t>
      </w:r>
      <w:r>
        <w:t>/perc) szenvedő felnőtt önkéntesek kis részénél a dabigatrán-expozíció (AUC) körülbelül 6-szor nagyobb, a felezési idő pedig 2-szer hosszabb</w:t>
      </w:r>
      <w:r>
        <w:rPr>
          <w:spacing w:val="-3"/>
        </w:rPr>
        <w:t xml:space="preserve"> </w:t>
      </w:r>
      <w:r>
        <w:t>volt,</w:t>
      </w:r>
      <w:r>
        <w:rPr>
          <w:spacing w:val="-3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 w:rsidRPr="00B532D6">
        <w:t>vese</w:t>
      </w:r>
      <w:r w:rsidR="00B532D6">
        <w:t>károsodásban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szenvedő</w:t>
      </w:r>
      <w:r>
        <w:rPr>
          <w:spacing w:val="-3"/>
        </w:rPr>
        <w:t xml:space="preserve"> </w:t>
      </w:r>
      <w:r>
        <w:t>populációnál</w:t>
      </w:r>
      <w:r>
        <w:rPr>
          <w:spacing w:val="-3"/>
        </w:rPr>
        <w:t xml:space="preserve"> </w:t>
      </w:r>
      <w:r>
        <w:t>megfigyelt</w:t>
      </w:r>
      <w:r>
        <w:rPr>
          <w:spacing w:val="-3"/>
        </w:rPr>
        <w:t xml:space="preserve"> </w:t>
      </w:r>
      <w:r>
        <w:t>érték</w:t>
      </w:r>
      <w:r>
        <w:rPr>
          <w:spacing w:val="-3"/>
        </w:rPr>
        <w:t xml:space="preserve"> </w:t>
      </w:r>
      <w:r>
        <w:t>(lásd</w:t>
      </w:r>
      <w:r>
        <w:rPr>
          <w:spacing w:val="-3"/>
        </w:rPr>
        <w:t xml:space="preserve"> </w:t>
      </w:r>
      <w:r>
        <w:t>4.2, 4.3 és 4.4</w:t>
      </w:r>
      <w:r w:rsidR="00294835">
        <w:t> pont</w:t>
      </w:r>
      <w:r>
        <w:t>).</w:t>
      </w:r>
    </w:p>
    <w:p w14:paraId="389179CE" w14:textId="77777777" w:rsidR="00945359" w:rsidRDefault="00945359" w:rsidP="008F5A8D">
      <w:pPr>
        <w:pStyle w:val="Szvegtrzs"/>
        <w:tabs>
          <w:tab w:val="left" w:pos="567"/>
        </w:tabs>
      </w:pPr>
    </w:p>
    <w:p w14:paraId="3FFAA788" w14:textId="30654E99" w:rsidR="00945359" w:rsidRPr="00511F35" w:rsidRDefault="00220A43" w:rsidP="008F5A8D">
      <w:r w:rsidRPr="00511F35">
        <w:rPr>
          <w:b/>
        </w:rPr>
        <w:t>30</w:t>
      </w:r>
      <w:r w:rsidR="00511F35">
        <w:rPr>
          <w:b/>
          <w:spacing w:val="-2"/>
        </w:rPr>
        <w:t>. </w:t>
      </w:r>
      <w:r w:rsidRPr="00511F35">
        <w:rPr>
          <w:b/>
        </w:rPr>
        <w:t>táblázat:</w:t>
      </w:r>
      <w:r w:rsidRPr="00511F35">
        <w:rPr>
          <w:b/>
          <w:spacing w:val="-14"/>
        </w:rPr>
        <w:t xml:space="preserve"> </w:t>
      </w:r>
      <w:r w:rsidRPr="00511F35">
        <w:rPr>
          <w:b/>
        </w:rPr>
        <w:t>Az</w:t>
      </w:r>
      <w:r w:rsidRPr="00511F35">
        <w:rPr>
          <w:b/>
          <w:spacing w:val="-3"/>
        </w:rPr>
        <w:t xml:space="preserve"> </w:t>
      </w:r>
      <w:r w:rsidRPr="00511F35">
        <w:rPr>
          <w:b/>
        </w:rPr>
        <w:t>összdabigatrán</w:t>
      </w:r>
      <w:r w:rsidRPr="00511F35">
        <w:rPr>
          <w:b/>
          <w:spacing w:val="-3"/>
        </w:rPr>
        <w:t xml:space="preserve"> </w:t>
      </w:r>
      <w:r w:rsidRPr="00511F35">
        <w:rPr>
          <w:b/>
        </w:rPr>
        <w:t>felezési</w:t>
      </w:r>
      <w:r w:rsidRPr="00511F35">
        <w:rPr>
          <w:b/>
          <w:spacing w:val="-3"/>
        </w:rPr>
        <w:t xml:space="preserve"> </w:t>
      </w:r>
      <w:r w:rsidRPr="00511F35">
        <w:rPr>
          <w:b/>
        </w:rPr>
        <w:t>ideje</w:t>
      </w:r>
      <w:r w:rsidRPr="00511F35">
        <w:rPr>
          <w:b/>
          <w:spacing w:val="-3"/>
        </w:rPr>
        <w:t xml:space="preserve"> </w:t>
      </w:r>
      <w:r w:rsidRPr="00511F35">
        <w:rPr>
          <w:b/>
        </w:rPr>
        <w:t>egészséges</w:t>
      </w:r>
      <w:r w:rsidRPr="00511F35">
        <w:rPr>
          <w:b/>
          <w:spacing w:val="-3"/>
        </w:rPr>
        <w:t xml:space="preserve"> </w:t>
      </w:r>
      <w:r w:rsidRPr="00511F35">
        <w:rPr>
          <w:b/>
        </w:rPr>
        <w:t>és</w:t>
      </w:r>
      <w:r w:rsidR="00496413">
        <w:rPr>
          <w:b/>
        </w:rPr>
        <w:t xml:space="preserve"> vesekárosodásban szenvedő</w:t>
      </w:r>
      <w:r w:rsidRPr="00511F35">
        <w:rPr>
          <w:b/>
          <w:spacing w:val="-3"/>
        </w:rPr>
        <w:t xml:space="preserve"> </w:t>
      </w:r>
      <w:r w:rsidRPr="00511F35">
        <w:rPr>
          <w:b/>
        </w:rPr>
        <w:t xml:space="preserve">vizsgálati </w:t>
      </w:r>
      <w:r w:rsidRPr="00511F35">
        <w:rPr>
          <w:b/>
          <w:spacing w:val="-2"/>
        </w:rPr>
        <w:t>személyeknél.</w:t>
      </w:r>
    </w:p>
    <w:p w14:paraId="0DF9E221" w14:textId="77777777" w:rsidR="00945359" w:rsidRDefault="00945359" w:rsidP="008F5A8D">
      <w:pPr>
        <w:pStyle w:val="Szvegtrzs"/>
        <w:tabs>
          <w:tab w:val="left" w:pos="567"/>
        </w:tabs>
        <w:rPr>
          <w:b/>
          <w:sz w:val="20"/>
        </w:rPr>
      </w:pPr>
    </w:p>
    <w:tbl>
      <w:tblPr>
        <w:tblStyle w:val="TableNormal1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2731"/>
        <w:gridCol w:w="6329"/>
      </w:tblGrid>
      <w:tr w:rsidR="00945359" w14:paraId="42A6017A" w14:textId="77777777" w:rsidTr="008F5A8D">
        <w:trPr>
          <w:trHeight w:val="758"/>
        </w:trPr>
        <w:tc>
          <w:tcPr>
            <w:tcW w:w="2731" w:type="dxa"/>
          </w:tcPr>
          <w:p w14:paraId="4664B7AC" w14:textId="42452FBA" w:rsidR="00945359" w:rsidRDefault="009B3CFA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G</w:t>
            </w:r>
            <w:r w:rsidR="00220A43">
              <w:t>lomerulusfiltrációs</w:t>
            </w:r>
            <w:r w:rsidR="00220A43">
              <w:rPr>
                <w:spacing w:val="-14"/>
              </w:rPr>
              <w:t xml:space="preserve"> </w:t>
            </w:r>
            <w:r w:rsidR="00220A43">
              <w:t xml:space="preserve">ráta </w:t>
            </w:r>
            <w:r w:rsidR="00220A43">
              <w:rPr>
                <w:spacing w:val="-2"/>
              </w:rPr>
              <w:t>(CrCl,)</w:t>
            </w:r>
          </w:p>
          <w:p w14:paraId="20E7175B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[ml/perc]</w:t>
            </w:r>
          </w:p>
        </w:tc>
        <w:tc>
          <w:tcPr>
            <w:tcW w:w="6329" w:type="dxa"/>
          </w:tcPr>
          <w:p w14:paraId="1E2F0D3D" w14:textId="7344C597" w:rsidR="00496413" w:rsidRDefault="00496413" w:rsidP="00496413">
            <w:pPr>
              <w:pStyle w:val="TableParagraph"/>
              <w:tabs>
                <w:tab w:val="left" w:pos="567"/>
              </w:tabs>
              <w:spacing w:line="240" w:lineRule="auto"/>
              <w:ind w:left="0"/>
              <w:rPr>
                <w:spacing w:val="-14"/>
              </w:rPr>
            </w:pPr>
            <w:r>
              <w:t>A felezési idő mértan</w:t>
            </w:r>
            <w:r w:rsidR="002B2C85">
              <w:t>i</w:t>
            </w:r>
            <w:r>
              <w:t xml:space="preserve"> á</w:t>
            </w:r>
            <w:r w:rsidR="00220A43">
              <w:t>tlag</w:t>
            </w:r>
            <w:r>
              <w:t xml:space="preserve">a </w:t>
            </w:r>
            <w:r w:rsidR="00CE461C">
              <w:rPr>
                <w:spacing w:val="-2"/>
              </w:rPr>
              <w:t>(</w:t>
            </w:r>
            <w:r>
              <w:rPr>
                <w:spacing w:val="-2"/>
              </w:rPr>
              <w:t>óra</w:t>
            </w:r>
            <w:r w:rsidR="00CE461C">
              <w:rPr>
                <w:spacing w:val="-2"/>
              </w:rPr>
              <w:t>)</w:t>
            </w:r>
          </w:p>
          <w:p w14:paraId="77CE5BD5" w14:textId="798095AB" w:rsidR="00945359" w:rsidRDefault="00220A43" w:rsidP="00496413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(</w:t>
            </w:r>
            <w:r w:rsidR="00496413">
              <w:t>variációs koefficiens [</w:t>
            </w:r>
            <w:r>
              <w:t>%</w:t>
            </w:r>
            <w:r w:rsidR="00496413">
              <w:t>]</w:t>
            </w:r>
            <w:r>
              <w:t>;</w:t>
            </w:r>
            <w:r>
              <w:rPr>
                <w:spacing w:val="-14"/>
              </w:rPr>
              <w:t xml:space="preserve"> </w:t>
            </w:r>
            <w:r>
              <w:t xml:space="preserve">tartomány) </w:t>
            </w:r>
          </w:p>
        </w:tc>
      </w:tr>
      <w:tr w:rsidR="00945359" w14:paraId="71B1C534" w14:textId="77777777" w:rsidTr="008F5A8D">
        <w:trPr>
          <w:trHeight w:val="253"/>
        </w:trPr>
        <w:tc>
          <w:tcPr>
            <w:tcW w:w="2731" w:type="dxa"/>
          </w:tcPr>
          <w:p w14:paraId="75936BFA" w14:textId="54FAAB98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6329" w:type="dxa"/>
          </w:tcPr>
          <w:p w14:paraId="33A23AA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13,4</w:t>
            </w:r>
            <w:r>
              <w:rPr>
                <w:spacing w:val="-8"/>
              </w:rPr>
              <w:t xml:space="preserve"> </w:t>
            </w:r>
            <w:r>
              <w:t>(25,7%;</w:t>
            </w:r>
            <w:r>
              <w:rPr>
                <w:spacing w:val="-7"/>
              </w:rPr>
              <w:t xml:space="preserve"> </w:t>
            </w:r>
            <w:r>
              <w:t>11,0-</w:t>
            </w:r>
            <w:r>
              <w:rPr>
                <w:spacing w:val="-2"/>
              </w:rPr>
              <w:t>21,6)</w:t>
            </w:r>
          </w:p>
        </w:tc>
      </w:tr>
      <w:tr w:rsidR="00945359" w14:paraId="7F84420E" w14:textId="77777777" w:rsidTr="008F5A8D">
        <w:trPr>
          <w:trHeight w:val="292"/>
        </w:trPr>
        <w:tc>
          <w:tcPr>
            <w:tcW w:w="2731" w:type="dxa"/>
          </w:tcPr>
          <w:p w14:paraId="4BE74B3C" w14:textId="5358694F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t>50 –</w:t>
            </w:r>
            <w:r w:rsidR="00B532D6">
              <w:t xml:space="preserve"> </w:t>
            </w:r>
            <w:r w:rsidR="00C92404">
              <w:rPr>
                <w:spacing w:val="-3"/>
              </w:rPr>
              <w:t>≤</w:t>
            </w:r>
            <w:r w:rsidR="00220A43">
              <w:rPr>
                <w:spacing w:val="1"/>
              </w:rPr>
              <w:t xml:space="preserve"> </w:t>
            </w:r>
            <w:r w:rsidR="00220A43">
              <w:rPr>
                <w:spacing w:val="-5"/>
              </w:rPr>
              <w:t>80</w:t>
            </w:r>
          </w:p>
        </w:tc>
        <w:tc>
          <w:tcPr>
            <w:tcW w:w="6329" w:type="dxa"/>
          </w:tcPr>
          <w:p w14:paraId="033E13A5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15,3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(42,7%;11,7-34,1)</w:t>
            </w:r>
          </w:p>
        </w:tc>
      </w:tr>
      <w:tr w:rsidR="00945359" w14:paraId="29513050" w14:textId="77777777" w:rsidTr="008F5A8D">
        <w:trPr>
          <w:trHeight w:val="251"/>
        </w:trPr>
        <w:tc>
          <w:tcPr>
            <w:tcW w:w="2731" w:type="dxa"/>
          </w:tcPr>
          <w:p w14:paraId="0FE71E3C" w14:textId="2466EF78" w:rsidR="00945359" w:rsidRDefault="00F532DD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&gt;</w:t>
            </w:r>
            <w:r w:rsidR="00220A43">
              <w:t>30 –</w:t>
            </w:r>
            <w:r w:rsidR="00B532D6">
              <w:t xml:space="preserve"> </w:t>
            </w:r>
            <w:r w:rsidR="00C92404">
              <w:rPr>
                <w:spacing w:val="-3"/>
              </w:rPr>
              <w:t>≤</w:t>
            </w:r>
            <w:r w:rsidR="00220A43">
              <w:rPr>
                <w:spacing w:val="1"/>
              </w:rPr>
              <w:t xml:space="preserve"> </w:t>
            </w:r>
            <w:r w:rsidR="00220A43">
              <w:rPr>
                <w:spacing w:val="-5"/>
              </w:rPr>
              <w:t>50</w:t>
            </w:r>
          </w:p>
        </w:tc>
        <w:tc>
          <w:tcPr>
            <w:tcW w:w="6329" w:type="dxa"/>
          </w:tcPr>
          <w:p w14:paraId="307F93AD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rPr>
                <w:spacing w:val="-2"/>
              </w:rPr>
              <w:t>18,4</w:t>
            </w:r>
            <w:r>
              <w:rPr>
                <w:spacing w:val="15"/>
              </w:rPr>
              <w:t xml:space="preserve"> </w:t>
            </w:r>
            <w:r>
              <w:rPr>
                <w:spacing w:val="-2"/>
              </w:rPr>
              <w:t>(18,5%;13,3-23,0)</w:t>
            </w:r>
          </w:p>
        </w:tc>
      </w:tr>
      <w:tr w:rsidR="00945359" w14:paraId="6BF39722" w14:textId="77777777" w:rsidTr="008F5A8D">
        <w:trPr>
          <w:trHeight w:val="253"/>
        </w:trPr>
        <w:tc>
          <w:tcPr>
            <w:tcW w:w="2731" w:type="dxa"/>
          </w:tcPr>
          <w:p w14:paraId="2AB72616" w14:textId="1BFD99AD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≤</w:t>
            </w:r>
            <w:r>
              <w:rPr>
                <w:spacing w:val="-5"/>
              </w:rPr>
              <w:t>30</w:t>
            </w:r>
          </w:p>
        </w:tc>
        <w:tc>
          <w:tcPr>
            <w:tcW w:w="6329" w:type="dxa"/>
          </w:tcPr>
          <w:p w14:paraId="4F3CD63C" w14:textId="77777777" w:rsidR="00945359" w:rsidRDefault="00220A43" w:rsidP="008F5A8D">
            <w:pPr>
              <w:pStyle w:val="TableParagraph"/>
              <w:tabs>
                <w:tab w:val="left" w:pos="567"/>
              </w:tabs>
              <w:spacing w:line="240" w:lineRule="auto"/>
              <w:ind w:left="0"/>
            </w:pPr>
            <w:r>
              <w:t>27,2</w:t>
            </w:r>
            <w:r>
              <w:rPr>
                <w:spacing w:val="-10"/>
              </w:rPr>
              <w:t xml:space="preserve"> </w:t>
            </w:r>
            <w:r>
              <w:t>(15,3%;</w:t>
            </w:r>
            <w:r>
              <w:rPr>
                <w:spacing w:val="-10"/>
              </w:rPr>
              <w:t xml:space="preserve"> </w:t>
            </w:r>
            <w:r>
              <w:t>21,6-</w:t>
            </w:r>
            <w:r>
              <w:rPr>
                <w:spacing w:val="-2"/>
              </w:rPr>
              <w:t>35,0)</w:t>
            </w:r>
          </w:p>
        </w:tc>
      </w:tr>
    </w:tbl>
    <w:p w14:paraId="472DEC42" w14:textId="77777777" w:rsidR="00496413" w:rsidRDefault="00496413" w:rsidP="008F5A8D">
      <w:pPr>
        <w:pStyle w:val="Szvegtrzs"/>
        <w:tabs>
          <w:tab w:val="left" w:pos="567"/>
        </w:tabs>
      </w:pPr>
    </w:p>
    <w:p w14:paraId="7AF9DD4C" w14:textId="3F25CCA8" w:rsidR="00945359" w:rsidRDefault="00220A43" w:rsidP="008F5A8D">
      <w:pPr>
        <w:pStyle w:val="Szvegtrzs"/>
        <w:tabs>
          <w:tab w:val="left" w:pos="567"/>
        </w:tabs>
      </w:pPr>
      <w:r>
        <w:t>Ezen</w:t>
      </w:r>
      <w:r>
        <w:rPr>
          <w:spacing w:val="-3"/>
        </w:rPr>
        <w:t xml:space="preserve"> </w:t>
      </w:r>
      <w:r>
        <w:t>kívül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prospektív,</w:t>
      </w:r>
      <w:r>
        <w:rPr>
          <w:spacing w:val="-3"/>
        </w:rPr>
        <w:t xml:space="preserve"> </w:t>
      </w:r>
      <w:r>
        <w:t>nyílt</w:t>
      </w:r>
      <w:r>
        <w:rPr>
          <w:spacing w:val="-3"/>
        </w:rPr>
        <w:t xml:space="preserve"> </w:t>
      </w:r>
      <w:r>
        <w:t>elrendezésű,</w:t>
      </w:r>
      <w:r>
        <w:rPr>
          <w:spacing w:val="-3"/>
        </w:rPr>
        <w:t xml:space="preserve"> </w:t>
      </w:r>
      <w:r>
        <w:t>randomizált</w:t>
      </w:r>
      <w:r>
        <w:rPr>
          <w:spacing w:val="-3"/>
        </w:rPr>
        <w:t xml:space="preserve"> </w:t>
      </w:r>
      <w:r>
        <w:t>farmakokinetikai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értékelték</w:t>
      </w:r>
      <w:r>
        <w:rPr>
          <w:spacing w:val="-3"/>
        </w:rPr>
        <w:t xml:space="preserve"> </w:t>
      </w:r>
      <w:r>
        <w:t xml:space="preserve">a dabigatrán-expozíciót (mélyponti érték és csúcsérték) nem </w:t>
      </w:r>
      <w:r w:rsidR="00AB32E4">
        <w:t>billentyűeredetű</w:t>
      </w:r>
      <w:r>
        <w:t xml:space="preserve"> pitvarfibrillációban szenvedő, súlyo</w:t>
      </w:r>
      <w:r w:rsidR="00CE461C">
        <w:t>s</w:t>
      </w:r>
      <w:r w:rsidR="002B2C85">
        <w:t xml:space="preserve"> </w:t>
      </w:r>
      <w:r>
        <w:t>ves</w:t>
      </w:r>
      <w:r w:rsidR="002B2C85">
        <w:t>ekárosodásban szenvedő</w:t>
      </w:r>
      <w:r>
        <w:t xml:space="preserve"> (meghatározás szerint 15</w:t>
      </w:r>
      <w:r w:rsidR="00496413">
        <w:t>–</w:t>
      </w:r>
      <w:r>
        <w:t>30</w:t>
      </w:r>
      <w:r w:rsidR="00294835">
        <w:t> ml</w:t>
      </w:r>
      <w:r>
        <w:t>/perc</w:t>
      </w:r>
    </w:p>
    <w:p w14:paraId="5EABA6D1" w14:textId="4EC99B10" w:rsidR="00945359" w:rsidRDefault="00220A43" w:rsidP="008F5A8D">
      <w:pPr>
        <w:pStyle w:val="Szvegtrzs"/>
        <w:tabs>
          <w:tab w:val="left" w:pos="567"/>
        </w:tabs>
      </w:pPr>
      <w:r>
        <w:t>kreatinin-clearance</w:t>
      </w:r>
      <w:r>
        <w:rPr>
          <w:spacing w:val="-4"/>
        </w:rPr>
        <w:t xml:space="preserve"> </w:t>
      </w:r>
      <w:r>
        <w:t>[CrCl])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bevonásával,</w:t>
      </w:r>
      <w:r>
        <w:rPr>
          <w:spacing w:val="-4"/>
        </w:rPr>
        <w:t xml:space="preserve"> </w:t>
      </w:r>
      <w:r>
        <w:t>akik</w:t>
      </w:r>
      <w:r>
        <w:rPr>
          <w:spacing w:val="-4"/>
        </w:rPr>
        <w:t xml:space="preserve"> </w:t>
      </w:r>
      <w:r>
        <w:t>75</w:t>
      </w:r>
      <w:r w:rsidR="00294835">
        <w:rPr>
          <w:spacing w:val="-4"/>
        </w:rPr>
        <w:t> mg</w:t>
      </w:r>
      <w:r>
        <w:rPr>
          <w:spacing w:val="-5"/>
        </w:rPr>
        <w:t xml:space="preserve"> </w:t>
      </w:r>
      <w:r>
        <w:t>dabigatrán-etexilátot</w:t>
      </w:r>
      <w:r>
        <w:rPr>
          <w:spacing w:val="-4"/>
        </w:rPr>
        <w:t xml:space="preserve"> </w:t>
      </w:r>
      <w:r>
        <w:t>kaptak</w:t>
      </w:r>
      <w:r>
        <w:rPr>
          <w:spacing w:val="-4"/>
        </w:rPr>
        <w:t xml:space="preserve"> </w:t>
      </w:r>
      <w:r>
        <w:t xml:space="preserve">naponta </w:t>
      </w:r>
      <w:r>
        <w:rPr>
          <w:spacing w:val="-2"/>
        </w:rPr>
        <w:t>kétszer.</w:t>
      </w:r>
    </w:p>
    <w:p w14:paraId="7A2B83A7" w14:textId="4E2573FF" w:rsidR="00945359" w:rsidRDefault="00220A43" w:rsidP="008F5A8D">
      <w:pPr>
        <w:pStyle w:val="Szvegtrzs"/>
        <w:tabs>
          <w:tab w:val="left" w:pos="567"/>
        </w:tabs>
      </w:pPr>
      <w:r>
        <w:t>Ez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kezelés</w:t>
      </w:r>
      <w:r>
        <w:rPr>
          <w:spacing w:val="-3"/>
        </w:rPr>
        <w:t xml:space="preserve"> </w:t>
      </w:r>
      <w:r>
        <w:t>155</w:t>
      </w:r>
      <w:r w:rsidR="00294835">
        <w:rPr>
          <w:spacing w:val="-2"/>
        </w:rPr>
        <w:t> ng</w:t>
      </w:r>
      <w:r>
        <w:t>/ml-es</w:t>
      </w:r>
      <w:r>
        <w:rPr>
          <w:spacing w:val="-2"/>
        </w:rPr>
        <w:t xml:space="preserve"> </w:t>
      </w:r>
      <w:r w:rsidR="00496413">
        <w:rPr>
          <w:spacing w:val="-2"/>
        </w:rPr>
        <w:t>(</w:t>
      </w:r>
      <w:r w:rsidR="00731512">
        <w:rPr>
          <w:spacing w:val="-2"/>
        </w:rPr>
        <w:t xml:space="preserve">mértani átlag; </w:t>
      </w:r>
      <w:r w:rsidR="00496413">
        <w:t xml:space="preserve">variációs koefficiens </w:t>
      </w:r>
      <w:r>
        <w:t>:</w:t>
      </w:r>
      <w:r>
        <w:rPr>
          <w:spacing w:val="-2"/>
        </w:rPr>
        <w:t xml:space="preserve"> </w:t>
      </w:r>
      <w:r>
        <w:t>76,9%)</w:t>
      </w:r>
      <w:r>
        <w:rPr>
          <w:spacing w:val="-3"/>
        </w:rPr>
        <w:t xml:space="preserve"> </w:t>
      </w:r>
      <w:r>
        <w:t>mélyponti</w:t>
      </w:r>
      <w:r>
        <w:rPr>
          <w:spacing w:val="-3"/>
        </w:rPr>
        <w:t xml:space="preserve"> </w:t>
      </w:r>
      <w:r>
        <w:t>koncentrációt</w:t>
      </w:r>
      <w:r>
        <w:rPr>
          <w:spacing w:val="-3"/>
        </w:rPr>
        <w:t xml:space="preserve"> </w:t>
      </w:r>
      <w:r>
        <w:t>eredményezett, amelyet közvetlenül a következő adag beadása előtt mértek, valamint 202</w:t>
      </w:r>
      <w:r w:rsidR="00294835">
        <w:t> ng</w:t>
      </w:r>
      <w:r>
        <w:t xml:space="preserve">/ml-es </w:t>
      </w:r>
      <w:r w:rsidR="00496413">
        <w:t>(</w:t>
      </w:r>
      <w:r w:rsidR="00731512">
        <w:t xml:space="preserve">mértani átlag; </w:t>
      </w:r>
      <w:r w:rsidR="00496413">
        <w:t xml:space="preserve">variációs koefficiens </w:t>
      </w:r>
      <w:r>
        <w:t>: 70,6%) csúcskoncentrációt, amelyet az utolsó adag beadása után két</w:t>
      </w:r>
      <w:r w:rsidR="002E2A7B">
        <w:t> órá</w:t>
      </w:r>
      <w:r>
        <w:t>val mértek.</w:t>
      </w:r>
    </w:p>
    <w:p w14:paraId="726694CD" w14:textId="77777777" w:rsidR="00945359" w:rsidRDefault="00945359" w:rsidP="008F5A8D">
      <w:pPr>
        <w:pStyle w:val="Szvegtrzs"/>
        <w:tabs>
          <w:tab w:val="left" w:pos="567"/>
        </w:tabs>
      </w:pPr>
    </w:p>
    <w:p w14:paraId="6467757B" w14:textId="322DE17D" w:rsidR="00945359" w:rsidRDefault="00220A43" w:rsidP="008F5A8D">
      <w:pPr>
        <w:pStyle w:val="Szvegtrzs"/>
        <w:tabs>
          <w:tab w:val="left" w:pos="567"/>
        </w:tabs>
      </w:pPr>
      <w:r>
        <w:t xml:space="preserve">A dabigatrán </w:t>
      </w:r>
      <w:r w:rsidR="00E004BD">
        <w:t>hemodialízis</w:t>
      </w:r>
      <w:r>
        <w:t>sel történő ürülését 7</w:t>
      </w:r>
      <w:r w:rsidR="00551F42">
        <w:t>,</w:t>
      </w:r>
      <w:r>
        <w:t xml:space="preserve"> végstádiumú vesebetegségben (ESRD) szenvedő, nem pitvarfibrilláló felnőtt beteg</w:t>
      </w:r>
      <w:r w:rsidR="00551F42">
        <w:t>nél</w:t>
      </w:r>
      <w:r>
        <w:t xml:space="preserve"> vizsgálták. A dialízist 700</w:t>
      </w:r>
      <w:r w:rsidR="00294835">
        <w:t> ml</w:t>
      </w:r>
      <w:r>
        <w:t>/perc dializáló oldat áramlási sebességgel</w:t>
      </w:r>
      <w:r>
        <w:rPr>
          <w:spacing w:val="-2"/>
        </w:rPr>
        <w:t xml:space="preserve"> </w:t>
      </w:r>
      <w:r>
        <w:t>végezték</w:t>
      </w:r>
      <w:r>
        <w:rPr>
          <w:spacing w:val="-2"/>
        </w:rPr>
        <w:t xml:space="preserve"> </w:t>
      </w:r>
      <w:r>
        <w:t>4</w:t>
      </w:r>
      <w:r w:rsidR="002E2A7B">
        <w:rPr>
          <w:spacing w:val="-3"/>
        </w:rPr>
        <w:t> órá</w:t>
      </w:r>
      <w:r>
        <w:t>n</w:t>
      </w:r>
      <w:r>
        <w:rPr>
          <w:spacing w:val="-2"/>
        </w:rPr>
        <w:t xml:space="preserve"> </w:t>
      </w:r>
      <w:r>
        <w:t>át</w:t>
      </w:r>
      <w:r w:rsidR="00551F42">
        <w:t>,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véráramlás</w:t>
      </w:r>
      <w:r>
        <w:rPr>
          <w:spacing w:val="-2"/>
        </w:rPr>
        <w:t xml:space="preserve"> </w:t>
      </w:r>
      <w:r>
        <w:t>sebessége</w:t>
      </w:r>
      <w:r>
        <w:rPr>
          <w:spacing w:val="-3"/>
        </w:rPr>
        <w:t xml:space="preserve"> </w:t>
      </w:r>
      <w:r>
        <w:t>200</w:t>
      </w:r>
      <w:r w:rsidR="00294835">
        <w:rPr>
          <w:spacing w:val="-2"/>
        </w:rPr>
        <w:t> ml</w:t>
      </w:r>
      <w:r>
        <w:t>/perc</w:t>
      </w:r>
      <w:r>
        <w:rPr>
          <w:spacing w:val="-2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350-390</w:t>
      </w:r>
      <w:r w:rsidR="00294835">
        <w:rPr>
          <w:spacing w:val="-2"/>
        </w:rPr>
        <w:t> ml</w:t>
      </w:r>
      <w:r>
        <w:t>/perc</w:t>
      </w:r>
      <w:r>
        <w:rPr>
          <w:spacing w:val="-2"/>
        </w:rPr>
        <w:t xml:space="preserve"> </w:t>
      </w:r>
      <w:r>
        <w:t>volt.</w:t>
      </w:r>
      <w:r>
        <w:rPr>
          <w:spacing w:val="-2"/>
        </w:rPr>
        <w:t xml:space="preserve"> </w:t>
      </w:r>
      <w:r>
        <w:t>Ez</w:t>
      </w:r>
      <w:r>
        <w:rPr>
          <w:spacing w:val="-3"/>
        </w:rPr>
        <w:t xml:space="preserve"> </w:t>
      </w:r>
      <w:r>
        <w:t>a dabigatrán-koncentrációt 200</w:t>
      </w:r>
      <w:r w:rsidR="00294835">
        <w:t> ml</w:t>
      </w:r>
      <w:r>
        <w:t>/perc esetén 50%-kal, 350-390</w:t>
      </w:r>
      <w:r w:rsidR="00294835">
        <w:t> ml</w:t>
      </w:r>
      <w:r>
        <w:t>/perc esetén pedig 60%-kal csökkentette. A dialízissel eltávolított gyógyszer mennyisége 300</w:t>
      </w:r>
      <w:r w:rsidR="00294835">
        <w:t> ml</w:t>
      </w:r>
      <w:r>
        <w:t>/perces véráramlási sebességig arányos a véráramlás sebességével. A dabigatrán antikoaguláns aktivitása a plazmakoncentráció csökkenésével csökkent és a PK/PD arányt az eljárás nem befolyásolta.</w:t>
      </w:r>
    </w:p>
    <w:p w14:paraId="7012D702" w14:textId="289DA02B" w:rsidR="00945359" w:rsidRDefault="00220A43" w:rsidP="008F5A8D">
      <w:pPr>
        <w:pStyle w:val="Szvegtrzs"/>
        <w:tabs>
          <w:tab w:val="left" w:pos="567"/>
        </w:tabs>
      </w:pPr>
      <w:r>
        <w:t>A</w:t>
      </w:r>
      <w:r w:rsidR="005A65DF">
        <w:t xml:space="preserve"> medián</w:t>
      </w:r>
      <w:r>
        <w:t xml:space="preserve"> kreatinin-clearance a RE-LY vizsgálatban 68,4</w:t>
      </w:r>
      <w:r w:rsidR="00294835">
        <w:t> ml</w:t>
      </w:r>
      <w:r>
        <w:t>/perc volt. A RE-LY betegeinek csaknem</w:t>
      </w:r>
      <w:r>
        <w:rPr>
          <w:spacing w:val="-3"/>
        </w:rPr>
        <w:t xml:space="preserve"> </w:t>
      </w:r>
      <w:r>
        <w:t>felének</w:t>
      </w:r>
      <w:r>
        <w:rPr>
          <w:spacing w:val="-3"/>
        </w:rPr>
        <w:t xml:space="preserve"> </w:t>
      </w:r>
      <w:r>
        <w:t>(45,8%)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kreatinin-clearence-e</w:t>
      </w:r>
      <w:r>
        <w:rPr>
          <w:spacing w:val="-2"/>
        </w:rPr>
        <w:t xml:space="preserve"> </w:t>
      </w:r>
      <w:r w:rsidR="00F532DD">
        <w:t>&gt;</w:t>
      </w:r>
      <w:r>
        <w:t>50</w:t>
      </w:r>
      <w:r>
        <w:rPr>
          <w:spacing w:val="-2"/>
        </w:rPr>
        <w:t xml:space="preserve"> </w:t>
      </w:r>
      <w:r w:rsidR="00551F42">
        <w:t>–</w:t>
      </w:r>
      <w:r>
        <w:rPr>
          <w:spacing w:val="-6"/>
        </w:rPr>
        <w:t xml:space="preserve"> </w:t>
      </w:r>
      <w:r w:rsidR="00B95CAF">
        <w:t>&lt;</w:t>
      </w:r>
      <w:r>
        <w:t>80</w:t>
      </w:r>
      <w:r w:rsidR="00294835">
        <w:rPr>
          <w:spacing w:val="-2"/>
        </w:rPr>
        <w:t> ml</w:t>
      </w:r>
      <w:r>
        <w:t>/perc.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köz</w:t>
      </w:r>
      <w:r w:rsidR="00551F42">
        <w:t>e</w:t>
      </w:r>
      <w:r>
        <w:t>pesen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 vesekárosodásban szenvedő betegeknél (CrCl 30</w:t>
      </w:r>
      <w:r w:rsidR="00551F42">
        <w:t>–</w:t>
      </w:r>
      <w:r>
        <w:t>50</w:t>
      </w:r>
      <w:r w:rsidR="00294835">
        <w:t> ml</w:t>
      </w:r>
      <w:r>
        <w:t xml:space="preserve">/perc) a dabigatrán plazmakoncentrációja az adagolás előtt 2,29-szer, adagolás után pedig 1,81-szer volt magasabb a normális veseműködésű betegekkel (CrCl </w:t>
      </w:r>
      <w:r w:rsidR="00294835">
        <w:t>≥</w:t>
      </w:r>
      <w:r>
        <w:t>80</w:t>
      </w:r>
      <w:r w:rsidR="00294835">
        <w:t> ml</w:t>
      </w:r>
      <w:r>
        <w:t>/perc)</w:t>
      </w:r>
      <w:r w:rsidR="00551F42">
        <w:t xml:space="preserve"> összehasonlítva</w:t>
      </w:r>
      <w:r>
        <w:t>.</w:t>
      </w:r>
    </w:p>
    <w:p w14:paraId="1DCF5413" w14:textId="77777777" w:rsidR="00945359" w:rsidRDefault="00945359" w:rsidP="008F5A8D">
      <w:pPr>
        <w:pStyle w:val="Szvegtrzs"/>
        <w:tabs>
          <w:tab w:val="left" w:pos="567"/>
        </w:tabs>
      </w:pPr>
    </w:p>
    <w:p w14:paraId="671BFF74" w14:textId="2C72E826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RE-COVER</w:t>
      </w:r>
      <w:r>
        <w:rPr>
          <w:spacing w:val="-4"/>
        </w:rPr>
        <w:t xml:space="preserve"> </w:t>
      </w:r>
      <w:r>
        <w:t>vizsgálatban</w:t>
      </w:r>
      <w:r>
        <w:rPr>
          <w:spacing w:val="-4"/>
        </w:rPr>
        <w:t xml:space="preserve"> </w:t>
      </w:r>
      <w:r>
        <w:t>a</w:t>
      </w:r>
      <w:r w:rsidR="005A65DF">
        <w:t xml:space="preserve"> medián</w:t>
      </w:r>
      <w:r>
        <w:rPr>
          <w:spacing w:val="-4"/>
        </w:rPr>
        <w:t xml:space="preserve"> </w:t>
      </w:r>
      <w:r>
        <w:t>kreatinin-clearance</w:t>
      </w:r>
      <w:r>
        <w:rPr>
          <w:spacing w:val="-4"/>
        </w:rPr>
        <w:t xml:space="preserve"> </w:t>
      </w:r>
      <w:r>
        <w:t>100,3</w:t>
      </w:r>
      <w:r w:rsidR="00294835">
        <w:rPr>
          <w:spacing w:val="-3"/>
        </w:rPr>
        <w:t> ml</w:t>
      </w:r>
      <w:r>
        <w:t>/perc</w:t>
      </w:r>
      <w:r>
        <w:rPr>
          <w:spacing w:val="-4"/>
        </w:rPr>
        <w:t xml:space="preserve"> </w:t>
      </w:r>
      <w:r>
        <w:t>volt.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 xml:space="preserve">betegek 21,7%-ának volt enyhe (CrCl </w:t>
      </w:r>
      <w:r w:rsidR="00F532DD">
        <w:t>&gt;</w:t>
      </w:r>
      <w:r>
        <w:t xml:space="preserve">50 </w:t>
      </w:r>
      <w:r w:rsidR="00551F42">
        <w:t>–</w:t>
      </w:r>
      <w:r>
        <w:t xml:space="preserve"> </w:t>
      </w:r>
      <w:r w:rsidR="00B95CAF">
        <w:t>&lt;</w:t>
      </w:r>
      <w:r>
        <w:t>80</w:t>
      </w:r>
      <w:r w:rsidR="00294835">
        <w:t> ml</w:t>
      </w:r>
      <w:r>
        <w:t>/perc), és 4,5%-ának közepesen súlyos (CrCl</w:t>
      </w:r>
      <w:r w:rsidR="00551F42">
        <w:t xml:space="preserve"> </w:t>
      </w:r>
      <w:r>
        <w:t>30</w:t>
      </w:r>
      <w:r w:rsidR="00551F42">
        <w:t>–</w:t>
      </w:r>
      <w:r>
        <w:t>50</w:t>
      </w:r>
      <w:r w:rsidR="00294835">
        <w:t> ml</w:t>
      </w:r>
      <w:r>
        <w:t>/perc)</w:t>
      </w:r>
      <w:r>
        <w:rPr>
          <w:spacing w:val="-3"/>
        </w:rPr>
        <w:t xml:space="preserve"> </w:t>
      </w:r>
      <w:r>
        <w:t>vesekárosodása.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enyhe</w:t>
      </w:r>
      <w:r>
        <w:rPr>
          <w:spacing w:val="-3"/>
        </w:rPr>
        <w:t xml:space="preserve"> </w:t>
      </w:r>
      <w:r>
        <w:t>vesekárosodásban</w:t>
      </w:r>
      <w:r>
        <w:rPr>
          <w:spacing w:val="-3"/>
        </w:rPr>
        <w:t xml:space="preserve"> </w:t>
      </w:r>
      <w:r>
        <w:t>1,7-szer,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köz</w:t>
      </w:r>
      <w:r w:rsidR="00551F42">
        <w:t>e</w:t>
      </w:r>
      <w:r>
        <w:t>pesen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 vesekárosodásban szenvedő betegeknél pedig 3,4-szer magasabb volt a dabigatrán dinamikus egyensúlyi</w:t>
      </w:r>
      <w:r>
        <w:rPr>
          <w:spacing w:val="-1"/>
        </w:rPr>
        <w:t xml:space="preserve"> </w:t>
      </w:r>
      <w:r>
        <w:t>állapotú</w:t>
      </w:r>
      <w:r>
        <w:rPr>
          <w:spacing w:val="-1"/>
        </w:rPr>
        <w:t xml:space="preserve"> </w:t>
      </w:r>
      <w:r>
        <w:t>plazmakoncentráció</w:t>
      </w:r>
      <w:r w:rsidR="00551F42">
        <w:t>ja</w:t>
      </w:r>
      <w:r>
        <w:t>,</w:t>
      </w:r>
      <w:r>
        <w:rPr>
          <w:spacing w:val="-1"/>
        </w:rPr>
        <w:t xml:space="preserve"> </w:t>
      </w:r>
      <w:r>
        <w:t>mint</w:t>
      </w:r>
      <w:r>
        <w:rPr>
          <w:spacing w:val="-3"/>
        </w:rPr>
        <w:t xml:space="preserve"> </w:t>
      </w:r>
      <w:r>
        <w:t>azoknál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betegeknél,</w:t>
      </w:r>
      <w:r>
        <w:rPr>
          <w:spacing w:val="-1"/>
        </w:rPr>
        <w:t xml:space="preserve"> </w:t>
      </w:r>
      <w:r>
        <w:t>akiknél</w:t>
      </w:r>
      <w:r>
        <w:rPr>
          <w:spacing w:val="-1"/>
        </w:rPr>
        <w:t xml:space="preserve"> </w:t>
      </w:r>
      <w:r>
        <w:t>80</w:t>
      </w:r>
      <w:r w:rsidR="00294835">
        <w:rPr>
          <w:spacing w:val="-1"/>
        </w:rPr>
        <w:t> ml</w:t>
      </w:r>
      <w:r>
        <w:t>/percnél</w:t>
      </w:r>
      <w:r>
        <w:rPr>
          <w:spacing w:val="-1"/>
        </w:rPr>
        <w:t xml:space="preserve"> </w:t>
      </w:r>
      <w:r>
        <w:t>magasabb volt a kreatinin-clearance. Hasonló értékeket kaptak a RE-COVER II vizsgálatban is.</w:t>
      </w:r>
    </w:p>
    <w:p w14:paraId="3824014C" w14:textId="77777777" w:rsidR="00945359" w:rsidRDefault="00945359" w:rsidP="008F5A8D">
      <w:pPr>
        <w:pStyle w:val="Szvegtrzs"/>
        <w:tabs>
          <w:tab w:val="left" w:pos="567"/>
        </w:tabs>
      </w:pPr>
    </w:p>
    <w:p w14:paraId="73DC60DE" w14:textId="044A1E83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RE-MEDY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RE-SONATE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a</w:t>
      </w:r>
      <w:r w:rsidR="005A65DF">
        <w:t xml:space="preserve"> medián</w:t>
      </w:r>
      <w:r>
        <w:rPr>
          <w:spacing w:val="-3"/>
        </w:rPr>
        <w:t xml:space="preserve"> </w:t>
      </w:r>
      <w:r>
        <w:t>kretainin-clearance</w:t>
      </w:r>
      <w:r>
        <w:rPr>
          <w:spacing w:val="-3"/>
        </w:rPr>
        <w:t xml:space="preserve"> </w:t>
      </w:r>
      <w:r>
        <w:t>99,0</w:t>
      </w:r>
      <w:r w:rsidR="00294835">
        <w:rPr>
          <w:spacing w:val="-3"/>
        </w:rPr>
        <w:t> ml</w:t>
      </w:r>
      <w:r>
        <w:t>/perc, illetve 99,7</w:t>
      </w:r>
      <w:r w:rsidR="00294835">
        <w:t> ml</w:t>
      </w:r>
      <w:r>
        <w:t>/perc volt. A kreatinin-clearance a betegek 22,9%-ánál</w:t>
      </w:r>
      <w:r w:rsidR="00551F42">
        <w:t>,</w:t>
      </w:r>
      <w:r>
        <w:t xml:space="preserve"> illetve 22,5%-ánál volt</w:t>
      </w:r>
      <w:r w:rsidR="00551F42">
        <w:t xml:space="preserve"> </w:t>
      </w:r>
      <w:r>
        <w:t>50</w:t>
      </w:r>
      <w:r w:rsidR="00551F42">
        <w:t>–</w:t>
      </w:r>
      <w:r>
        <w:t>80</w:t>
      </w:r>
      <w:r w:rsidR="00294835">
        <w:rPr>
          <w:spacing w:val="-1"/>
        </w:rPr>
        <w:t> ml</w:t>
      </w:r>
      <w:r>
        <w:t>/perc,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4,1%-ánál</w:t>
      </w:r>
      <w:r w:rsidR="00551F42">
        <w:t>,</w:t>
      </w:r>
      <w:r>
        <w:rPr>
          <w:spacing w:val="-3"/>
        </w:rPr>
        <w:t xml:space="preserve"> </w:t>
      </w:r>
      <w:r>
        <w:t>illetve</w:t>
      </w:r>
      <w:r>
        <w:rPr>
          <w:spacing w:val="-3"/>
        </w:rPr>
        <w:t xml:space="preserve"> </w:t>
      </w:r>
      <w:r>
        <w:t>4,8%-ánál</w:t>
      </w:r>
      <w:r>
        <w:rPr>
          <w:spacing w:val="-3"/>
        </w:rPr>
        <w:t xml:space="preserve"> </w:t>
      </w:r>
      <w:r>
        <w:t>volt</w:t>
      </w:r>
      <w:r>
        <w:rPr>
          <w:spacing w:val="-3"/>
        </w:rPr>
        <w:t xml:space="preserve"> </w:t>
      </w:r>
      <w:r>
        <w:t>30</w:t>
      </w:r>
      <w:r w:rsidR="00551F42">
        <w:t>–</w:t>
      </w:r>
      <w:r>
        <w:t>50</w:t>
      </w:r>
      <w:r w:rsidR="00294835">
        <w:rPr>
          <w:spacing w:val="-1"/>
        </w:rPr>
        <w:t> ml</w:t>
      </w:r>
      <w:r>
        <w:t>/perc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RE-MEDY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 RE-SONATE vizsgálat</w:t>
      </w:r>
      <w:r w:rsidR="00551F42">
        <w:t>ban</w:t>
      </w:r>
      <w:r>
        <w:t>.</w:t>
      </w:r>
    </w:p>
    <w:p w14:paraId="687D2B5E" w14:textId="77777777" w:rsidR="00945359" w:rsidRDefault="00945359" w:rsidP="008F5A8D">
      <w:pPr>
        <w:pStyle w:val="Szvegtrzs"/>
        <w:tabs>
          <w:tab w:val="left" w:pos="567"/>
        </w:tabs>
      </w:pPr>
    </w:p>
    <w:p w14:paraId="24F5A5C5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Idősek</w:t>
      </w:r>
    </w:p>
    <w:p w14:paraId="7EE52A43" w14:textId="51E11DFE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idős</w:t>
      </w:r>
      <w:r>
        <w:rPr>
          <w:spacing w:val="-3"/>
        </w:rPr>
        <w:t xml:space="preserve"> </w:t>
      </w:r>
      <w:r>
        <w:t>személyek</w:t>
      </w:r>
      <w:r w:rsidR="002B2C85">
        <w:t>kel</w:t>
      </w:r>
      <w:r>
        <w:rPr>
          <w:spacing w:val="-3"/>
        </w:rPr>
        <w:t xml:space="preserve"> </w:t>
      </w:r>
      <w:r>
        <w:t>végzett</w:t>
      </w:r>
      <w:r>
        <w:rPr>
          <w:spacing w:val="-3"/>
        </w:rPr>
        <w:t xml:space="preserve"> </w:t>
      </w:r>
      <w:r>
        <w:t>I.</w:t>
      </w:r>
      <w:r w:rsidR="00294835">
        <w:rPr>
          <w:spacing w:val="-3"/>
        </w:rPr>
        <w:t> fázis</w:t>
      </w:r>
      <w:r>
        <w:t>ú</w:t>
      </w:r>
      <w:r>
        <w:rPr>
          <w:spacing w:val="-3"/>
        </w:rPr>
        <w:t xml:space="preserve"> </w:t>
      </w:r>
      <w:r>
        <w:t>specifikus</w:t>
      </w:r>
      <w:r>
        <w:rPr>
          <w:spacing w:val="-2"/>
        </w:rPr>
        <w:t xml:space="preserve"> </w:t>
      </w:r>
      <w:r>
        <w:t>farmakokinetikai</w:t>
      </w:r>
      <w:r>
        <w:rPr>
          <w:spacing w:val="-3"/>
        </w:rPr>
        <w:t xml:space="preserve"> </w:t>
      </w:r>
      <w:r>
        <w:t>vizsgálatok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mutatták,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 xml:space="preserve">az </w:t>
      </w:r>
      <w:r>
        <w:rPr>
          <w:position w:val="2"/>
        </w:rPr>
        <w:t>AUC 40-60%-kal, és a C</w:t>
      </w:r>
      <w:r>
        <w:rPr>
          <w:sz w:val="14"/>
        </w:rPr>
        <w:t>max</w:t>
      </w:r>
      <w:r>
        <w:rPr>
          <w:spacing w:val="32"/>
          <w:sz w:val="14"/>
        </w:rPr>
        <w:t xml:space="preserve"> </w:t>
      </w:r>
      <w:r>
        <w:rPr>
          <w:position w:val="2"/>
        </w:rPr>
        <w:t>több mint 25%-kal növekedett a fiatal személyekhez képest.</w:t>
      </w:r>
    </w:p>
    <w:p w14:paraId="38935948" w14:textId="4776C001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3"/>
        </w:rPr>
        <w:t xml:space="preserve"> </w:t>
      </w:r>
      <w:r>
        <w:t>életkor</w:t>
      </w:r>
      <w:r>
        <w:rPr>
          <w:spacing w:val="-3"/>
        </w:rPr>
        <w:t xml:space="preserve"> </w:t>
      </w:r>
      <w:r>
        <w:t>hatását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dabigatrán-expozícióra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RE-LY</w:t>
      </w:r>
      <w:r>
        <w:rPr>
          <w:spacing w:val="-3"/>
        </w:rPr>
        <w:t xml:space="preserve"> </w:t>
      </w:r>
      <w:r>
        <w:t>vizsgálatban</w:t>
      </w:r>
      <w:r>
        <w:rPr>
          <w:spacing w:val="-3"/>
        </w:rPr>
        <w:t xml:space="preserve"> </w:t>
      </w:r>
      <w:r>
        <w:t>erősítették</w:t>
      </w:r>
      <w:r>
        <w:rPr>
          <w:spacing w:val="-3"/>
        </w:rPr>
        <w:t xml:space="preserve"> </w:t>
      </w:r>
      <w:r>
        <w:t>meg,</w:t>
      </w:r>
      <w:r>
        <w:rPr>
          <w:spacing w:val="-3"/>
        </w:rPr>
        <w:t xml:space="preserve"> </w:t>
      </w:r>
      <w:r>
        <w:t>körülbelül</w:t>
      </w:r>
      <w:r>
        <w:rPr>
          <w:spacing w:val="-3"/>
        </w:rPr>
        <w:t xml:space="preserve"> </w:t>
      </w:r>
      <w:r>
        <w:t>31%-kal magasabb</w:t>
      </w:r>
      <w:r>
        <w:rPr>
          <w:spacing w:val="-8"/>
        </w:rPr>
        <w:t xml:space="preserve"> </w:t>
      </w:r>
      <w:r>
        <w:t>mélyponti</w:t>
      </w:r>
      <w:r>
        <w:rPr>
          <w:spacing w:val="-7"/>
        </w:rPr>
        <w:t xml:space="preserve"> </w:t>
      </w:r>
      <w:r>
        <w:t>koncentrációt</w:t>
      </w:r>
      <w:r>
        <w:rPr>
          <w:spacing w:val="-7"/>
        </w:rPr>
        <w:t xml:space="preserve"> </w:t>
      </w:r>
      <w:r>
        <w:t>találtak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75</w:t>
      </w:r>
      <w:r w:rsidR="00294835">
        <w:rPr>
          <w:spacing w:val="-7"/>
        </w:rPr>
        <w:t> éves</w:t>
      </w:r>
      <w:r>
        <w:rPr>
          <w:spacing w:val="-8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annál</w:t>
      </w:r>
      <w:r>
        <w:rPr>
          <w:spacing w:val="-7"/>
        </w:rPr>
        <w:t xml:space="preserve"> </w:t>
      </w:r>
      <w:r>
        <w:t>idősebb</w:t>
      </w:r>
      <w:r>
        <w:rPr>
          <w:spacing w:val="-7"/>
        </w:rPr>
        <w:t xml:space="preserve"> </w:t>
      </w:r>
      <w:r>
        <w:t>vizsgálati</w:t>
      </w:r>
      <w:r>
        <w:rPr>
          <w:spacing w:val="-7"/>
        </w:rPr>
        <w:t xml:space="preserve"> </w:t>
      </w:r>
      <w:r>
        <w:t>személyeknél,</w:t>
      </w:r>
      <w:r>
        <w:rPr>
          <w:spacing w:val="-7"/>
        </w:rPr>
        <w:t xml:space="preserve"> </w:t>
      </w:r>
      <w:r>
        <w:rPr>
          <w:spacing w:val="-5"/>
        </w:rPr>
        <w:t>és</w:t>
      </w:r>
    </w:p>
    <w:p w14:paraId="0E78764C" w14:textId="3D56CCA7" w:rsidR="00945359" w:rsidRDefault="00220A43" w:rsidP="008F5A8D">
      <w:pPr>
        <w:pStyle w:val="Szvegtrzs"/>
        <w:tabs>
          <w:tab w:val="left" w:pos="567"/>
        </w:tabs>
      </w:pPr>
      <w:r>
        <w:t>körülbelül</w:t>
      </w:r>
      <w:r>
        <w:rPr>
          <w:spacing w:val="-4"/>
        </w:rPr>
        <w:t xml:space="preserve"> </w:t>
      </w:r>
      <w:r>
        <w:t>22%-kal</w:t>
      </w:r>
      <w:r>
        <w:rPr>
          <w:spacing w:val="-4"/>
        </w:rPr>
        <w:t xml:space="preserve"> </w:t>
      </w:r>
      <w:r>
        <w:t>alacsonyabb</w:t>
      </w:r>
      <w:r>
        <w:rPr>
          <w:spacing w:val="-4"/>
        </w:rPr>
        <w:t xml:space="preserve"> </w:t>
      </w:r>
      <w:r>
        <w:t>mélyponti</w:t>
      </w:r>
      <w:r>
        <w:rPr>
          <w:spacing w:val="-4"/>
        </w:rPr>
        <w:t xml:space="preserve"> </w:t>
      </w:r>
      <w:r>
        <w:t>koncentrációt</w:t>
      </w:r>
      <w:r>
        <w:rPr>
          <w:spacing w:val="-4"/>
        </w:rPr>
        <w:t xml:space="preserve"> </w:t>
      </w:r>
      <w:r>
        <w:t>mértek</w:t>
      </w:r>
      <w:r>
        <w:rPr>
          <w:spacing w:val="-4"/>
        </w:rPr>
        <w:t xml:space="preserve"> </w:t>
      </w:r>
      <w:r w:rsidR="00551F42">
        <w:rPr>
          <w:spacing w:val="-4"/>
        </w:rPr>
        <w:t xml:space="preserve">a </w:t>
      </w:r>
      <w:r>
        <w:t>65</w:t>
      </w:r>
      <w:r w:rsidR="00294835">
        <w:rPr>
          <w:spacing w:val="-4"/>
        </w:rPr>
        <w:t> év</w:t>
      </w:r>
      <w:r>
        <w:rPr>
          <w:spacing w:val="-4"/>
        </w:rPr>
        <w:t xml:space="preserve"> </w:t>
      </w:r>
      <w:r>
        <w:t>alatti</w:t>
      </w:r>
      <w:r>
        <w:rPr>
          <w:spacing w:val="-4"/>
        </w:rPr>
        <w:t xml:space="preserve"> </w:t>
      </w:r>
      <w:r>
        <w:t>vizsgálati személyeknél a 65 és 75</w:t>
      </w:r>
      <w:r w:rsidR="00294835">
        <w:t> év</w:t>
      </w:r>
      <w:r>
        <w:t xml:space="preserve"> közötti személyeknél mérthez képest (lásd 4.2 és 4.4</w:t>
      </w:r>
      <w:r w:rsidR="00294835">
        <w:t> pont</w:t>
      </w:r>
      <w:r>
        <w:t>).</w:t>
      </w:r>
    </w:p>
    <w:p w14:paraId="3E5EFEAD" w14:textId="77777777" w:rsidR="00945359" w:rsidRDefault="00945359" w:rsidP="008F5A8D">
      <w:pPr>
        <w:pStyle w:val="Szvegtrzs"/>
        <w:tabs>
          <w:tab w:val="left" w:pos="567"/>
        </w:tabs>
      </w:pPr>
    </w:p>
    <w:p w14:paraId="5D5D0E1C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Májkárosodás</w:t>
      </w:r>
    </w:p>
    <w:p w14:paraId="55F32B27" w14:textId="398D14D5" w:rsidR="00945359" w:rsidRDefault="00220A43">
      <w:pPr>
        <w:pStyle w:val="Szvegtrzs"/>
        <w:tabs>
          <w:tab w:val="left" w:pos="567"/>
        </w:tabs>
      </w:pPr>
      <w:r>
        <w:t>Nem</w:t>
      </w:r>
      <w:r>
        <w:rPr>
          <w:spacing w:val="-3"/>
        </w:rPr>
        <w:t xml:space="preserve"> </w:t>
      </w:r>
      <w:r>
        <w:t>észleltek</w:t>
      </w:r>
      <w:r>
        <w:rPr>
          <w:spacing w:val="-3"/>
        </w:rPr>
        <w:t xml:space="preserve"> </w:t>
      </w:r>
      <w:r>
        <w:t>változást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dabigatrán</w:t>
      </w:r>
      <w:r>
        <w:rPr>
          <w:spacing w:val="-3"/>
        </w:rPr>
        <w:t xml:space="preserve"> </w:t>
      </w:r>
      <w:r>
        <w:t>expozíciójában</w:t>
      </w:r>
      <w:r>
        <w:rPr>
          <w:spacing w:val="-3"/>
        </w:rPr>
        <w:t xml:space="preserve"> </w:t>
      </w:r>
      <w:r>
        <w:t>12,</w:t>
      </w:r>
      <w:r>
        <w:rPr>
          <w:spacing w:val="-3"/>
        </w:rPr>
        <w:t xml:space="preserve"> </w:t>
      </w:r>
      <w:r>
        <w:t>közepesen</w:t>
      </w:r>
      <w:r>
        <w:rPr>
          <w:spacing w:val="-3"/>
        </w:rPr>
        <w:t xml:space="preserve"> </w:t>
      </w:r>
      <w:r>
        <w:t>súlyos</w:t>
      </w:r>
      <w:r>
        <w:rPr>
          <w:spacing w:val="-3"/>
        </w:rPr>
        <w:t xml:space="preserve"> </w:t>
      </w:r>
      <w:r>
        <w:t>fokú</w:t>
      </w:r>
      <w:r>
        <w:rPr>
          <w:spacing w:val="-3"/>
        </w:rPr>
        <w:t xml:space="preserve"> </w:t>
      </w:r>
      <w:r>
        <w:t>májkárosodásban (Child</w:t>
      </w:r>
      <w:r w:rsidR="00551F42">
        <w:t>–</w:t>
      </w:r>
      <w:r>
        <w:t>Pugh</w:t>
      </w:r>
      <w:r w:rsidR="00551F42">
        <w:t> </w:t>
      </w:r>
      <w:r>
        <w:t>B) szenvedő felnőtt betegnél a 12 kontroll</w:t>
      </w:r>
      <w:r w:rsidR="00731512">
        <w:t>személlyel</w:t>
      </w:r>
      <w:r>
        <w:t xml:space="preserve"> összehasonlítva (lásd 4.2 és 4.4</w:t>
      </w:r>
      <w:r w:rsidR="00294835">
        <w:t> pont</w:t>
      </w:r>
      <w:r>
        <w:t>).</w:t>
      </w:r>
    </w:p>
    <w:p w14:paraId="3D50118A" w14:textId="77777777" w:rsidR="00304920" w:rsidRDefault="00304920" w:rsidP="008F5A8D">
      <w:pPr>
        <w:pStyle w:val="Szvegtrzs"/>
        <w:tabs>
          <w:tab w:val="left" w:pos="567"/>
        </w:tabs>
      </w:pPr>
    </w:p>
    <w:p w14:paraId="6CCB4EFB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2"/>
          <w:u w:val="single"/>
        </w:rPr>
        <w:t>Testtömeg</w:t>
      </w:r>
    </w:p>
    <w:p w14:paraId="4EA1EEE4" w14:textId="70B28213" w:rsidR="00945359" w:rsidRDefault="00220A43">
      <w:pPr>
        <w:pStyle w:val="Szvegtrzs"/>
        <w:tabs>
          <w:tab w:val="left" w:pos="567"/>
        </w:tabs>
        <w:rPr>
          <w:spacing w:val="-2"/>
        </w:rPr>
      </w:pPr>
      <w:r>
        <w:lastRenderedPageBreak/>
        <w:t>A dabigatrán mélyponti koncentráció</w:t>
      </w:r>
      <w:r w:rsidR="00551F42">
        <w:t>ja</w:t>
      </w:r>
      <w:r>
        <w:t xml:space="preserve"> körülbelül 20%-kal alacsonyabb volt a 100</w:t>
      </w:r>
      <w:r w:rsidR="00AB32E4">
        <w:t> kg</w:t>
      </w:r>
      <w:r>
        <w:t>-nál nagyobb testtömegű felnőtt betegeknél, mint az 50</w:t>
      </w:r>
      <w:r w:rsidR="00551F42">
        <w:t xml:space="preserve"> és </w:t>
      </w:r>
      <w:r>
        <w:t>100</w:t>
      </w:r>
      <w:r w:rsidR="00AB32E4">
        <w:t> kg</w:t>
      </w:r>
      <w:r>
        <w:t xml:space="preserve"> közöttieknél. A vizsgálati személyek többsége (80,8%)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 w:rsidR="00294835">
        <w:t>≥</w:t>
      </w:r>
      <w:r>
        <w:t>50</w:t>
      </w:r>
      <w:r w:rsidR="00AB32E4">
        <w:rPr>
          <w:spacing w:val="-1"/>
        </w:rPr>
        <w:t> kg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 w:rsidR="00B95CAF">
        <w:t>&lt;</w:t>
      </w:r>
      <w:r>
        <w:t>100</w:t>
      </w:r>
      <w:r w:rsidR="00AB32E4">
        <w:rPr>
          <w:spacing w:val="-1"/>
        </w:rPr>
        <w:t> kg</w:t>
      </w:r>
      <w:r>
        <w:rPr>
          <w:spacing w:val="-2"/>
        </w:rPr>
        <w:t xml:space="preserve"> </w:t>
      </w:r>
      <w:r>
        <w:t>kategóriába</w:t>
      </w:r>
      <w:r>
        <w:rPr>
          <w:spacing w:val="-2"/>
        </w:rPr>
        <w:t xml:space="preserve"> </w:t>
      </w:r>
      <w:r>
        <w:t>esett,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egyértelmű</w:t>
      </w:r>
      <w:r>
        <w:rPr>
          <w:spacing w:val="-2"/>
        </w:rPr>
        <w:t xml:space="preserve"> </w:t>
      </w:r>
      <w:r>
        <w:t>különbséget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mutattak</w:t>
      </w:r>
      <w:r>
        <w:rPr>
          <w:spacing w:val="-2"/>
        </w:rPr>
        <w:t xml:space="preserve"> </w:t>
      </w:r>
      <w:r>
        <w:t>ki</w:t>
      </w:r>
      <w:r>
        <w:rPr>
          <w:spacing w:val="-2"/>
        </w:rPr>
        <w:t xml:space="preserve"> </w:t>
      </w:r>
      <w:r>
        <w:t>(lásd</w:t>
      </w:r>
      <w:r>
        <w:rPr>
          <w:spacing w:val="-2"/>
        </w:rPr>
        <w:t xml:space="preserve"> </w:t>
      </w:r>
      <w:r>
        <w:t>4.2 és 4.4</w:t>
      </w:r>
      <w:r w:rsidR="00294835">
        <w:t> pont</w:t>
      </w:r>
      <w:r>
        <w:t>). Az 50</w:t>
      </w:r>
      <w:r w:rsidR="00AB32E4">
        <w:t> kg</w:t>
      </w:r>
      <w:r>
        <w:t>-nál kisebb testtömegű felnőtt betegekre vonatkozó klinikai adatok</w:t>
      </w:r>
      <w:r w:rsidRPr="004F4A3C">
        <w:t xml:space="preserve"> </w:t>
      </w:r>
      <w:r>
        <w:rPr>
          <w:spacing w:val="-2"/>
        </w:rPr>
        <w:t>korlátozottak.</w:t>
      </w:r>
    </w:p>
    <w:p w14:paraId="6ABE9701" w14:textId="77777777" w:rsidR="00304920" w:rsidRDefault="00304920" w:rsidP="008F5A8D">
      <w:pPr>
        <w:pStyle w:val="Szvegtrzs"/>
        <w:tabs>
          <w:tab w:val="left" w:pos="567"/>
        </w:tabs>
      </w:pPr>
    </w:p>
    <w:p w14:paraId="35567679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spacing w:val="-5"/>
          <w:u w:val="single"/>
        </w:rPr>
        <w:t>Nem</w:t>
      </w:r>
    </w:p>
    <w:p w14:paraId="510BCB09" w14:textId="7B1CC399" w:rsidR="00945359" w:rsidRDefault="00220A43" w:rsidP="008F5A8D">
      <w:pPr>
        <w:pStyle w:val="Szvegtrzs"/>
        <w:tabs>
          <w:tab w:val="left" w:pos="567"/>
        </w:tabs>
      </w:pPr>
      <w:r>
        <w:t xml:space="preserve">A hatóanyag-expozíció a primer </w:t>
      </w:r>
      <w:r w:rsidR="002E2A7B">
        <w:t>VTE-prevenció</w:t>
      </w:r>
      <w:r>
        <w:t>s vizsgálatokban nőknél körülbelül 40-50%-kal magasabb,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dózis</w:t>
      </w:r>
      <w:r>
        <w:rPr>
          <w:spacing w:val="-3"/>
        </w:rPr>
        <w:t xml:space="preserve"> </w:t>
      </w:r>
      <w:r>
        <w:t>módosítása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javasolt.</w:t>
      </w:r>
      <w:r>
        <w:rPr>
          <w:spacing w:val="-3"/>
        </w:rPr>
        <w:t xml:space="preserve"> </w:t>
      </w:r>
      <w:r>
        <w:t>Pitvarfibrilláló</w:t>
      </w:r>
      <w:r>
        <w:rPr>
          <w:spacing w:val="-3"/>
        </w:rPr>
        <w:t xml:space="preserve"> </w:t>
      </w:r>
      <w:r w:rsidR="00397BD3">
        <w:rPr>
          <w:spacing w:val="-3"/>
        </w:rPr>
        <w:t>nő</w:t>
      </w:r>
      <w:r>
        <w:t>betegeknél</w:t>
      </w:r>
      <w:r>
        <w:rPr>
          <w:spacing w:val="-3"/>
        </w:rPr>
        <w:t xml:space="preserve"> </w:t>
      </w:r>
      <w:r>
        <w:t>átlagosan</w:t>
      </w:r>
      <w:r>
        <w:rPr>
          <w:spacing w:val="-3"/>
        </w:rPr>
        <w:t xml:space="preserve"> </w:t>
      </w:r>
      <w:r>
        <w:t xml:space="preserve">30%-kal volt magasabb a mélyponti és </w:t>
      </w:r>
      <w:r w:rsidR="00AC3013">
        <w:t xml:space="preserve">az adagolás után mért </w:t>
      </w:r>
      <w:r>
        <w:t>koncentráció. A dózis módosítása nem szükséges</w:t>
      </w:r>
      <w:r>
        <w:rPr>
          <w:spacing w:val="40"/>
        </w:rPr>
        <w:t xml:space="preserve"> </w:t>
      </w:r>
      <w:r>
        <w:t>(lásd 4.2</w:t>
      </w:r>
      <w:r w:rsidR="00294835">
        <w:t> pont</w:t>
      </w:r>
      <w:r>
        <w:t>).</w:t>
      </w:r>
    </w:p>
    <w:p w14:paraId="4C78F242" w14:textId="77777777" w:rsidR="00945359" w:rsidRDefault="00945359" w:rsidP="008F5A8D">
      <w:pPr>
        <w:pStyle w:val="Szvegtrzs"/>
        <w:tabs>
          <w:tab w:val="left" w:pos="567"/>
        </w:tabs>
      </w:pPr>
    </w:p>
    <w:p w14:paraId="56F2AD96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Etnikai</w:t>
      </w:r>
      <w:r>
        <w:rPr>
          <w:i/>
          <w:spacing w:val="-7"/>
          <w:u w:val="single"/>
        </w:rPr>
        <w:t xml:space="preserve"> </w:t>
      </w:r>
      <w:r>
        <w:rPr>
          <w:i/>
          <w:spacing w:val="-2"/>
          <w:u w:val="single"/>
        </w:rPr>
        <w:t>származás:</w:t>
      </w:r>
    </w:p>
    <w:p w14:paraId="36FA24A4" w14:textId="1988C2C4" w:rsidR="00945359" w:rsidRDefault="00220A43">
      <w:pPr>
        <w:pStyle w:val="Szvegtrzs"/>
        <w:tabs>
          <w:tab w:val="left" w:pos="567"/>
        </w:tabs>
      </w:pPr>
      <w:r>
        <w:t>Nem figyeltek meg klinikailag releváns különbséget a dabigatrán farmakokinetikáját és farmakodinámiáját</w:t>
      </w:r>
      <w:r>
        <w:rPr>
          <w:spacing w:val="-4"/>
        </w:rPr>
        <w:t xml:space="preserve"> </w:t>
      </w:r>
      <w:r>
        <w:t>illetően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fehér</w:t>
      </w:r>
      <w:r w:rsidR="00397BD3">
        <w:t xml:space="preserve"> bőrű</w:t>
      </w:r>
      <w:r>
        <w:t>,</w:t>
      </w:r>
      <w:r>
        <w:rPr>
          <w:spacing w:val="-4"/>
        </w:rPr>
        <w:t xml:space="preserve"> </w:t>
      </w:r>
      <w:r w:rsidR="00397BD3">
        <w:rPr>
          <w:spacing w:val="-4"/>
        </w:rPr>
        <w:t xml:space="preserve">az </w:t>
      </w:r>
      <w:r>
        <w:t>afroamerikai,</w:t>
      </w:r>
      <w:r>
        <w:rPr>
          <w:spacing w:val="-4"/>
        </w:rPr>
        <w:t xml:space="preserve"> </w:t>
      </w:r>
      <w:r w:rsidR="00397BD3">
        <w:rPr>
          <w:spacing w:val="-4"/>
        </w:rPr>
        <w:t xml:space="preserve">a </w:t>
      </w:r>
      <w:r>
        <w:t>hispán,</w:t>
      </w:r>
      <w:r>
        <w:rPr>
          <w:spacing w:val="-4"/>
        </w:rPr>
        <w:t xml:space="preserve"> </w:t>
      </w:r>
      <w:r w:rsidR="00397BD3">
        <w:rPr>
          <w:spacing w:val="-4"/>
        </w:rPr>
        <w:t xml:space="preserve">a </w:t>
      </w:r>
      <w:r>
        <w:t>japán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 w:rsidR="00397BD3">
        <w:rPr>
          <w:spacing w:val="-4"/>
        </w:rPr>
        <w:t xml:space="preserve">a </w:t>
      </w:r>
      <w:r>
        <w:t>kínai</w:t>
      </w:r>
      <w:r>
        <w:rPr>
          <w:spacing w:val="-4"/>
        </w:rPr>
        <w:t xml:space="preserve"> </w:t>
      </w:r>
      <w:r>
        <w:t>betegek</w:t>
      </w:r>
      <w:r>
        <w:rPr>
          <w:spacing w:val="-4"/>
        </w:rPr>
        <w:t xml:space="preserve"> </w:t>
      </w:r>
      <w:r>
        <w:t>között.</w:t>
      </w:r>
    </w:p>
    <w:p w14:paraId="1A97B3EF" w14:textId="77777777" w:rsidR="00304920" w:rsidRDefault="00304920" w:rsidP="008F5A8D">
      <w:pPr>
        <w:pStyle w:val="Szvegtrzs"/>
        <w:tabs>
          <w:tab w:val="left" w:pos="567"/>
        </w:tabs>
      </w:pPr>
    </w:p>
    <w:p w14:paraId="355C768E" w14:textId="77777777" w:rsidR="00945359" w:rsidRDefault="00220A43" w:rsidP="008F5A8D">
      <w:pPr>
        <w:tabs>
          <w:tab w:val="left" w:pos="567"/>
        </w:tabs>
        <w:rPr>
          <w:i/>
        </w:rPr>
      </w:pPr>
      <w:r>
        <w:rPr>
          <w:i/>
          <w:u w:val="single"/>
        </w:rPr>
        <w:t>Gyermekek</w:t>
      </w:r>
      <w:r>
        <w:rPr>
          <w:i/>
          <w:spacing w:val="-6"/>
          <w:u w:val="single"/>
        </w:rPr>
        <w:t xml:space="preserve"> </w:t>
      </w:r>
      <w:r>
        <w:rPr>
          <w:i/>
          <w:u w:val="single"/>
        </w:rPr>
        <w:t>és</w:t>
      </w:r>
      <w:r>
        <w:rPr>
          <w:i/>
          <w:spacing w:val="-5"/>
          <w:u w:val="single"/>
        </w:rPr>
        <w:t xml:space="preserve"> </w:t>
      </w:r>
      <w:r>
        <w:rPr>
          <w:i/>
          <w:spacing w:val="-2"/>
          <w:u w:val="single"/>
        </w:rPr>
        <w:t>serdülők</w:t>
      </w:r>
    </w:p>
    <w:p w14:paraId="373CEA4C" w14:textId="25979578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4"/>
        </w:rPr>
        <w:t xml:space="preserve"> </w:t>
      </w:r>
      <w:r>
        <w:t>dabigatrán-etexilát</w:t>
      </w:r>
      <w:r>
        <w:rPr>
          <w:spacing w:val="-3"/>
        </w:rPr>
        <w:t xml:space="preserve"> </w:t>
      </w:r>
      <w:r>
        <w:t>protokollban</w:t>
      </w:r>
      <w:r>
        <w:rPr>
          <w:spacing w:val="-4"/>
        </w:rPr>
        <w:t xml:space="preserve"> </w:t>
      </w:r>
      <w:r>
        <w:t>meghatározott</w:t>
      </w:r>
      <w:r>
        <w:rPr>
          <w:spacing w:val="-4"/>
        </w:rPr>
        <w:t xml:space="preserve"> </w:t>
      </w:r>
      <w:r>
        <w:t>adagolási</w:t>
      </w:r>
      <w:r>
        <w:rPr>
          <w:spacing w:val="-4"/>
        </w:rPr>
        <w:t xml:space="preserve"> </w:t>
      </w:r>
      <w:r>
        <w:t>szabályok</w:t>
      </w:r>
      <w:r>
        <w:rPr>
          <w:spacing w:val="-4"/>
        </w:rPr>
        <w:t xml:space="preserve"> </w:t>
      </w:r>
      <w:r>
        <w:t>szerinti,</w:t>
      </w:r>
      <w:r>
        <w:rPr>
          <w:spacing w:val="-4"/>
        </w:rPr>
        <w:t xml:space="preserve"> </w:t>
      </w:r>
      <w:r>
        <w:t>orális</w:t>
      </w:r>
      <w:r>
        <w:rPr>
          <w:spacing w:val="-4"/>
        </w:rPr>
        <w:t xml:space="preserve"> </w:t>
      </w:r>
      <w:r>
        <w:t>alkalmazása</w:t>
      </w:r>
      <w:r>
        <w:rPr>
          <w:spacing w:val="-4"/>
        </w:rPr>
        <w:t xml:space="preserve"> </w:t>
      </w:r>
      <w:r>
        <w:t xml:space="preserve">az MVT/PE miatt kezelt felnőtteknél tapasztalt tartománynak megfelelő expozíciót eredményezett. A DIVERSITY és az 1160.108 vizsgálat összesített farmakokinetikai adatainak elemzése alapján a megfigyelt </w:t>
      </w:r>
      <w:r w:rsidRPr="00B532D6">
        <w:t>mélyponti expozíció</w:t>
      </w:r>
      <w:r>
        <w:t xml:space="preserve"> </w:t>
      </w:r>
      <w:r w:rsidR="00CF7BFA">
        <w:t>mértani</w:t>
      </w:r>
      <w:r>
        <w:t xml:space="preserve"> átlagértéke a 0 </w:t>
      </w:r>
      <w:r w:rsidR="00397BD3">
        <w:t>–</w:t>
      </w:r>
      <w:r>
        <w:t xml:space="preserve"> </w:t>
      </w:r>
      <w:r w:rsidR="00B95CAF">
        <w:t>&lt;</w:t>
      </w:r>
      <w:r>
        <w:t>2</w:t>
      </w:r>
      <w:r w:rsidR="00294835">
        <w:t> éves</w:t>
      </w:r>
      <w:r>
        <w:t>eknél 53,9</w:t>
      </w:r>
      <w:r w:rsidR="00294835">
        <w:t> ng</w:t>
      </w:r>
      <w:r>
        <w:t>/ml, a</w:t>
      </w:r>
    </w:p>
    <w:p w14:paraId="36F52EBE" w14:textId="7694C85E" w:rsidR="00945359" w:rsidRDefault="00220A43" w:rsidP="008F5A8D">
      <w:pPr>
        <w:pStyle w:val="Szvegtrzs"/>
        <w:tabs>
          <w:tab w:val="left" w:pos="567"/>
        </w:tabs>
      </w:pPr>
      <w:r>
        <w:t>2</w:t>
      </w:r>
      <w:r>
        <w:rPr>
          <w:spacing w:val="-1"/>
        </w:rPr>
        <w:t xml:space="preserve"> </w:t>
      </w:r>
      <w:r w:rsidR="00397BD3">
        <w:t xml:space="preserve">– </w:t>
      </w:r>
      <w:r w:rsidR="00B95CAF">
        <w:t>&lt;</w:t>
      </w:r>
      <w:r>
        <w:t>12</w:t>
      </w:r>
      <w:r w:rsidR="00294835">
        <w:rPr>
          <w:spacing w:val="-1"/>
        </w:rPr>
        <w:t> éves</w:t>
      </w:r>
      <w:r>
        <w:t>eknél</w:t>
      </w:r>
      <w:r>
        <w:rPr>
          <w:spacing w:val="-1"/>
        </w:rPr>
        <w:t xml:space="preserve"> </w:t>
      </w:r>
      <w:r>
        <w:t>63,0</w:t>
      </w:r>
      <w:r w:rsidR="00294835">
        <w:rPr>
          <w:spacing w:val="-1"/>
        </w:rPr>
        <w:t> ng</w:t>
      </w:r>
      <w:r>
        <w:t>/ml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12</w:t>
      </w:r>
      <w:r>
        <w:rPr>
          <w:spacing w:val="-2"/>
        </w:rPr>
        <w:t xml:space="preserve"> </w:t>
      </w:r>
      <w:r w:rsidR="00397BD3">
        <w:t xml:space="preserve">– </w:t>
      </w:r>
      <w:r w:rsidR="00B95CAF">
        <w:t>&lt;</w:t>
      </w:r>
      <w:r>
        <w:t>18</w:t>
      </w:r>
      <w:r w:rsidR="00294835">
        <w:rPr>
          <w:spacing w:val="-1"/>
        </w:rPr>
        <w:t> éves</w:t>
      </w:r>
      <w:r>
        <w:t>eknél</w:t>
      </w:r>
      <w:r>
        <w:rPr>
          <w:spacing w:val="-2"/>
        </w:rPr>
        <w:t xml:space="preserve"> </w:t>
      </w:r>
      <w:r>
        <w:t>99,1</w:t>
      </w:r>
      <w:r w:rsidR="00294835">
        <w:rPr>
          <w:spacing w:val="-2"/>
        </w:rPr>
        <w:t> ng</w:t>
      </w:r>
      <w:r>
        <w:t>/ml</w:t>
      </w:r>
      <w:r>
        <w:rPr>
          <w:spacing w:val="-2"/>
        </w:rPr>
        <w:t xml:space="preserve"> </w:t>
      </w:r>
      <w:r>
        <w:t>volt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gyermek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serdülő VTE-betegek körében.</w:t>
      </w:r>
    </w:p>
    <w:p w14:paraId="770EED49" w14:textId="77777777" w:rsidR="00945359" w:rsidRDefault="00945359" w:rsidP="008F5A8D">
      <w:pPr>
        <w:pStyle w:val="Szvegtrzs"/>
        <w:tabs>
          <w:tab w:val="left" w:pos="567"/>
        </w:tabs>
      </w:pPr>
    </w:p>
    <w:p w14:paraId="12B2078D" w14:textId="77777777" w:rsidR="00945359" w:rsidRDefault="00220A43" w:rsidP="008F5A8D">
      <w:pPr>
        <w:pStyle w:val="Szvegtrzs"/>
        <w:tabs>
          <w:tab w:val="left" w:pos="567"/>
        </w:tabs>
      </w:pPr>
      <w:r>
        <w:rPr>
          <w:spacing w:val="-2"/>
          <w:u w:val="single"/>
        </w:rPr>
        <w:t>Farmakokinetikai</w:t>
      </w:r>
      <w:r>
        <w:rPr>
          <w:spacing w:val="16"/>
          <w:u w:val="single"/>
        </w:rPr>
        <w:t xml:space="preserve"> </w:t>
      </w:r>
      <w:r>
        <w:rPr>
          <w:spacing w:val="-2"/>
          <w:u w:val="single"/>
        </w:rPr>
        <w:t>összefüggések</w:t>
      </w:r>
    </w:p>
    <w:p w14:paraId="52D873C7" w14:textId="2B8707AD" w:rsidR="00945359" w:rsidRDefault="00220A43" w:rsidP="008F5A8D">
      <w:pPr>
        <w:pStyle w:val="Szvegtrzs"/>
        <w:tabs>
          <w:tab w:val="left" w:pos="567"/>
        </w:tabs>
      </w:pPr>
      <w:r>
        <w:t xml:space="preserve">Az </w:t>
      </w:r>
      <w:r>
        <w:rPr>
          <w:i/>
        </w:rPr>
        <w:t xml:space="preserve">in vitro </w:t>
      </w:r>
      <w:r>
        <w:t>interakciós vizsgálatok nem igazolták a citokróm P450 fő izoenzimeinek gátlását vagy indukcióját.</w:t>
      </w:r>
      <w:r>
        <w:rPr>
          <w:spacing w:val="-4"/>
        </w:rPr>
        <w:t xml:space="preserve"> </w:t>
      </w:r>
      <w:r>
        <w:t>Ezt</w:t>
      </w:r>
      <w:r>
        <w:rPr>
          <w:spacing w:val="-4"/>
        </w:rPr>
        <w:t xml:space="preserve"> </w:t>
      </w:r>
      <w:r>
        <w:t>megerősítették</w:t>
      </w:r>
      <w:r>
        <w:rPr>
          <w:spacing w:val="-4"/>
        </w:rPr>
        <w:t xml:space="preserve"> </w:t>
      </w:r>
      <w:r>
        <w:t>egészséges</w:t>
      </w:r>
      <w:r>
        <w:rPr>
          <w:spacing w:val="-4"/>
        </w:rPr>
        <w:t xml:space="preserve"> </w:t>
      </w:r>
      <w:r>
        <w:t>önkéntesek</w:t>
      </w:r>
      <w:r w:rsidR="002B2C85">
        <w:t>kel</w:t>
      </w:r>
      <w:r>
        <w:rPr>
          <w:spacing w:val="-4"/>
        </w:rPr>
        <w:t xml:space="preserve"> </w:t>
      </w:r>
      <w:r>
        <w:t>végzett</w:t>
      </w:r>
      <w:r>
        <w:rPr>
          <w:spacing w:val="-4"/>
        </w:rPr>
        <w:t xml:space="preserve"> </w:t>
      </w:r>
      <w:r>
        <w:rPr>
          <w:i/>
        </w:rPr>
        <w:t>in</w:t>
      </w:r>
      <w:r>
        <w:rPr>
          <w:i/>
          <w:spacing w:val="-3"/>
        </w:rPr>
        <w:t xml:space="preserve"> </w:t>
      </w:r>
      <w:r>
        <w:rPr>
          <w:i/>
        </w:rPr>
        <w:t>vivo</w:t>
      </w:r>
      <w:r>
        <w:rPr>
          <w:i/>
          <w:spacing w:val="-3"/>
        </w:rPr>
        <w:t xml:space="preserve"> </w:t>
      </w:r>
      <w:r>
        <w:t>vizsgálatok,</w:t>
      </w:r>
      <w:r>
        <w:rPr>
          <w:spacing w:val="-4"/>
        </w:rPr>
        <w:t xml:space="preserve"> </w:t>
      </w:r>
      <w:r>
        <w:t>amelyekben</w:t>
      </w:r>
      <w:r>
        <w:rPr>
          <w:spacing w:val="-4"/>
        </w:rPr>
        <w:t xml:space="preserve"> </w:t>
      </w:r>
      <w:r>
        <w:t>nem észleltek interakciót a kezelés és a következő hatóanyagok adását követően: atorvasztatin (CYP3A4), digoxin (P-gp</w:t>
      </w:r>
      <w:r w:rsidR="00397BD3">
        <w:t>-</w:t>
      </w:r>
      <w:r>
        <w:t>transzporter</w:t>
      </w:r>
      <w:r w:rsidR="00397BD3">
        <w:t>-</w:t>
      </w:r>
      <w:r>
        <w:t>interakció) és diklofen</w:t>
      </w:r>
      <w:r w:rsidR="00397BD3">
        <w:t>á</w:t>
      </w:r>
      <w:r>
        <w:t>k (CYP2C9).</w:t>
      </w:r>
    </w:p>
    <w:p w14:paraId="54DE850A" w14:textId="77777777" w:rsidR="00945359" w:rsidRDefault="00945359" w:rsidP="008F5A8D">
      <w:pPr>
        <w:pStyle w:val="Szvegtrzs"/>
        <w:tabs>
          <w:tab w:val="left" w:pos="567"/>
        </w:tabs>
      </w:pPr>
    </w:p>
    <w:p w14:paraId="77A2B21D" w14:textId="12E4CD37" w:rsidR="00945359" w:rsidRPr="00511F35" w:rsidRDefault="00002AA2" w:rsidP="00511F35">
      <w:r w:rsidRPr="00511F35">
        <w:rPr>
          <w:b/>
        </w:rPr>
        <w:t>5.3</w:t>
      </w:r>
      <w:r w:rsidRPr="00511F35">
        <w:rPr>
          <w:b/>
        </w:rPr>
        <w:tab/>
      </w:r>
      <w:r w:rsidR="00220A43" w:rsidRPr="00511F35">
        <w:rPr>
          <w:b/>
        </w:rPr>
        <w:t>A</w:t>
      </w:r>
      <w:r w:rsidR="00220A43" w:rsidRPr="00511F35">
        <w:rPr>
          <w:b/>
          <w:spacing w:val="-12"/>
        </w:rPr>
        <w:t xml:space="preserve"> </w:t>
      </w:r>
      <w:r w:rsidR="00220A43" w:rsidRPr="00511F35">
        <w:rPr>
          <w:b/>
        </w:rPr>
        <w:t>preklinikai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biztonságossági</w:t>
      </w:r>
      <w:r w:rsidR="00220A43" w:rsidRPr="00511F35">
        <w:rPr>
          <w:b/>
          <w:spacing w:val="-10"/>
        </w:rPr>
        <w:t xml:space="preserve"> </w:t>
      </w:r>
      <w:r w:rsidR="00220A43" w:rsidRPr="00511F35">
        <w:rPr>
          <w:b/>
        </w:rPr>
        <w:t>vizsgálatok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  <w:spacing w:val="-2"/>
        </w:rPr>
        <w:t>eredményei</w:t>
      </w:r>
    </w:p>
    <w:p w14:paraId="70B2FBC3" w14:textId="77777777" w:rsidR="00002AA2" w:rsidRPr="00511F35" w:rsidRDefault="00002AA2" w:rsidP="008F5A8D"/>
    <w:p w14:paraId="3797E870" w14:textId="1E869527" w:rsidR="00945359" w:rsidRDefault="00220A43" w:rsidP="008F5A8D">
      <w:pPr>
        <w:pStyle w:val="Szvegtrzs"/>
        <w:tabs>
          <w:tab w:val="left" w:pos="567"/>
        </w:tabs>
      </w:pPr>
      <w:r>
        <w:t xml:space="preserve">A hagyományos – farmakológiai biztonságossági, ismételt </w:t>
      </w:r>
      <w:r w:rsidR="00397BD3">
        <w:t xml:space="preserve">adagolású </w:t>
      </w:r>
      <w:r>
        <w:t>dózistoxicitási és genotoxicitási – vizsgálatokból</w:t>
      </w:r>
      <w:r>
        <w:rPr>
          <w:spacing w:val="-3"/>
        </w:rPr>
        <w:t xml:space="preserve"> </w:t>
      </w:r>
      <w:r>
        <w:t>származó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klinikai</w:t>
      </w:r>
      <w:r>
        <w:rPr>
          <w:spacing w:val="-3"/>
        </w:rPr>
        <w:t xml:space="preserve"> </w:t>
      </w:r>
      <w:r>
        <w:t>jellegű</w:t>
      </w:r>
      <w:r>
        <w:rPr>
          <w:spacing w:val="-3"/>
        </w:rPr>
        <w:t xml:space="preserve"> </w:t>
      </w:r>
      <w:r>
        <w:t>adatok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igazolták,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készítmény</w:t>
      </w:r>
      <w:r>
        <w:rPr>
          <w:spacing w:val="-3"/>
        </w:rPr>
        <w:t xml:space="preserve"> </w:t>
      </w:r>
      <w:r>
        <w:t>alkalmazásakor humán vonatkozásban különleges kockázat nem várható.</w:t>
      </w:r>
    </w:p>
    <w:p w14:paraId="59BCEBB9" w14:textId="77777777" w:rsidR="00945359" w:rsidRDefault="00945359" w:rsidP="008F5A8D">
      <w:pPr>
        <w:pStyle w:val="Szvegtrzs"/>
        <w:tabs>
          <w:tab w:val="left" w:pos="567"/>
        </w:tabs>
      </w:pPr>
    </w:p>
    <w:p w14:paraId="3FAC0CA5" w14:textId="14964E45" w:rsidR="00945359" w:rsidRDefault="00220A43" w:rsidP="008F5A8D">
      <w:pPr>
        <w:pStyle w:val="Szvegtrzs"/>
        <w:tabs>
          <w:tab w:val="left" w:pos="567"/>
        </w:tabs>
      </w:pPr>
      <w:r>
        <w:t>Az</w:t>
      </w:r>
      <w:r>
        <w:rPr>
          <w:spacing w:val="-4"/>
        </w:rPr>
        <w:t xml:space="preserve"> </w:t>
      </w:r>
      <w:r>
        <w:t>ismételt</w:t>
      </w:r>
      <w:r>
        <w:rPr>
          <w:spacing w:val="-4"/>
        </w:rPr>
        <w:t xml:space="preserve"> </w:t>
      </w:r>
      <w:r w:rsidR="00397BD3">
        <w:rPr>
          <w:spacing w:val="-4"/>
        </w:rPr>
        <w:t xml:space="preserve">adagolású </w:t>
      </w:r>
      <w:r>
        <w:t>dózistoxicitási</w:t>
      </w:r>
      <w:r>
        <w:rPr>
          <w:spacing w:val="-4"/>
        </w:rPr>
        <w:t xml:space="preserve"> </w:t>
      </w:r>
      <w:r>
        <w:t>vizsgálatokban</w:t>
      </w:r>
      <w:r>
        <w:rPr>
          <w:spacing w:val="-4"/>
        </w:rPr>
        <w:t xml:space="preserve"> </w:t>
      </w:r>
      <w:r>
        <w:t>megfigyelt</w:t>
      </w:r>
      <w:r>
        <w:rPr>
          <w:spacing w:val="-4"/>
        </w:rPr>
        <w:t xml:space="preserve"> </w:t>
      </w:r>
      <w:r>
        <w:t>hatások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dabigatrán</w:t>
      </w:r>
      <w:r>
        <w:rPr>
          <w:spacing w:val="-4"/>
        </w:rPr>
        <w:t xml:space="preserve"> </w:t>
      </w:r>
      <w:r>
        <w:t>felerősödött farmakodinámiás hatásának következtében alakultak ki.</w:t>
      </w:r>
    </w:p>
    <w:p w14:paraId="466DFA1F" w14:textId="306B3CE3" w:rsidR="00945359" w:rsidRDefault="00220A43" w:rsidP="008F5A8D">
      <w:pPr>
        <w:pStyle w:val="Szvegtrzs"/>
        <w:tabs>
          <w:tab w:val="left" w:pos="567"/>
        </w:tabs>
      </w:pPr>
      <w:r>
        <w:t>Nőstények termékenységére kifejtett hatást figyeltek meg csökkent implantációs arány és a preimplantációs veszteség növekedésének formájában 70</w:t>
      </w:r>
      <w:r w:rsidR="00294835">
        <w:t> mg</w:t>
      </w:r>
      <w:r>
        <w:t xml:space="preserve">/ttkg-os (a betegeknél észlelhető </w:t>
      </w:r>
      <w:r w:rsidR="00B95CAF">
        <w:t>plazmaexp</w:t>
      </w:r>
      <w:r>
        <w:t>ozíciós szintnél 5-ször nagyobb érték) dózisnál. Anyai toxikus dózisok (a betegeknél észlelhető</w:t>
      </w:r>
      <w:r>
        <w:rPr>
          <w:spacing w:val="-3"/>
        </w:rPr>
        <w:t xml:space="preserve"> </w:t>
      </w:r>
      <w:r w:rsidR="00B95CAF">
        <w:t>plazmaexp</w:t>
      </w:r>
      <w:r>
        <w:t>ozíció</w:t>
      </w:r>
      <w:r>
        <w:rPr>
          <w:spacing w:val="-3"/>
        </w:rPr>
        <w:t xml:space="preserve"> </w:t>
      </w:r>
      <w:r>
        <w:t>5</w:t>
      </w:r>
      <w:r>
        <w:rPr>
          <w:sz w:val="24"/>
        </w:rPr>
        <w:t>-</w:t>
      </w:r>
      <w:r>
        <w:t>10</w:t>
      </w:r>
      <w:r>
        <w:rPr>
          <w:sz w:val="24"/>
        </w:rPr>
        <w:t>-</w:t>
      </w:r>
      <w:r>
        <w:t>szerese)</w:t>
      </w:r>
      <w:r>
        <w:rPr>
          <w:spacing w:val="-3"/>
        </w:rPr>
        <w:t xml:space="preserve"> </w:t>
      </w:r>
      <w:r>
        <w:t>esetén</w:t>
      </w:r>
      <w:r>
        <w:rPr>
          <w:spacing w:val="-3"/>
        </w:rPr>
        <w:t xml:space="preserve"> </w:t>
      </w:r>
      <w:r>
        <w:t>patkányoknál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nyulaknál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magzati</w:t>
      </w:r>
      <w:r>
        <w:rPr>
          <w:spacing w:val="-3"/>
        </w:rPr>
        <w:t xml:space="preserve"> </w:t>
      </w:r>
      <w:r>
        <w:t>testtömeg</w:t>
      </w:r>
      <w:r>
        <w:rPr>
          <w:spacing w:val="-5"/>
        </w:rPr>
        <w:t xml:space="preserve"> </w:t>
      </w:r>
      <w:r>
        <w:t>és életképesség csökkenését és a foetalis elváltozások számának növekedését figyelték meg. A pre-</w:t>
      </w:r>
      <w:r>
        <w:rPr>
          <w:spacing w:val="-1"/>
        </w:rPr>
        <w:t xml:space="preserve"> </w:t>
      </w:r>
      <w:r>
        <w:t>és postnat</w:t>
      </w:r>
      <w:r w:rsidR="00397BD3">
        <w:t>a</w:t>
      </w:r>
      <w:r>
        <w:t xml:space="preserve">lis vizsgálatban fokozott magzati mortalitást észleltek toxikus anyai dózisok esetén (ez a dózis megfelel a betegeknél megfigyelt dózisoknál 4-szer nagyobb </w:t>
      </w:r>
      <w:r w:rsidR="00B95CAF">
        <w:t>plazmaexp</w:t>
      </w:r>
      <w:r>
        <w:t>ozíciónak).</w:t>
      </w:r>
    </w:p>
    <w:p w14:paraId="04214B7C" w14:textId="77777777" w:rsidR="00945359" w:rsidRDefault="00945359" w:rsidP="008F5A8D">
      <w:pPr>
        <w:pStyle w:val="Szvegtrzs"/>
        <w:tabs>
          <w:tab w:val="left" w:pos="567"/>
        </w:tabs>
      </w:pPr>
    </w:p>
    <w:p w14:paraId="0C598DD2" w14:textId="1D0BAF54" w:rsidR="00945359" w:rsidRDefault="00220A43" w:rsidP="008F5A8D">
      <w:pPr>
        <w:pStyle w:val="Szvegtrzs"/>
        <w:tabs>
          <w:tab w:val="left" w:pos="567"/>
        </w:tabs>
      </w:pPr>
      <w:r>
        <w:t>Egy</w:t>
      </w:r>
      <w:r>
        <w:rPr>
          <w:spacing w:val="-8"/>
        </w:rPr>
        <w:t xml:space="preserve"> </w:t>
      </w:r>
      <w:r>
        <w:t>juvenilis</w:t>
      </w:r>
      <w:r>
        <w:rPr>
          <w:spacing w:val="-7"/>
        </w:rPr>
        <w:t xml:space="preserve"> </w:t>
      </w:r>
      <w:r>
        <w:t>toxicitási</w:t>
      </w:r>
      <w:r>
        <w:rPr>
          <w:spacing w:val="-7"/>
        </w:rPr>
        <w:t xml:space="preserve"> </w:t>
      </w:r>
      <w:r>
        <w:t>vizsgálatban,</w:t>
      </w:r>
      <w:r>
        <w:rPr>
          <w:spacing w:val="-7"/>
        </w:rPr>
        <w:t xml:space="preserve"> </w:t>
      </w:r>
      <w:r>
        <w:t>amelyet</w:t>
      </w:r>
      <w:r>
        <w:rPr>
          <w:spacing w:val="-7"/>
        </w:rPr>
        <w:t xml:space="preserve"> </w:t>
      </w:r>
      <w:r>
        <w:t>Han</w:t>
      </w:r>
      <w:r>
        <w:rPr>
          <w:spacing w:val="-7"/>
        </w:rPr>
        <w:t xml:space="preserve"> </w:t>
      </w:r>
      <w:r>
        <w:t>Wistar</w:t>
      </w:r>
      <w:r>
        <w:rPr>
          <w:spacing w:val="-7"/>
        </w:rPr>
        <w:t xml:space="preserve"> </w:t>
      </w:r>
      <w:r>
        <w:t>patkányok</w:t>
      </w:r>
      <w:r w:rsidR="00397BD3">
        <w:t>kal</w:t>
      </w:r>
      <w:r>
        <w:rPr>
          <w:spacing w:val="-7"/>
        </w:rPr>
        <w:t xml:space="preserve"> </w:t>
      </w:r>
      <w:r>
        <w:t>végeztek,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mortalitást</w:t>
      </w:r>
    </w:p>
    <w:p w14:paraId="0B42A1E7" w14:textId="77777777" w:rsidR="00945359" w:rsidRDefault="00220A43" w:rsidP="008F5A8D">
      <w:pPr>
        <w:pStyle w:val="Szvegtrzs"/>
        <w:tabs>
          <w:tab w:val="left" w:pos="567"/>
        </w:tabs>
      </w:pPr>
      <w:r>
        <w:t>összefüggésbe hozták azon vérzéses eseményekkel, amelyek ahhoz hasonló expozíciós szinteken történtek, amelyek esetén a felnőtt állatoknál vérzést tapasztaltak. Felnőtt és juvenilis patkányoknál is</w:t>
      </w:r>
      <w:r>
        <w:rPr>
          <w:spacing w:val="40"/>
        </w:rPr>
        <w:t xml:space="preserve"> </w:t>
      </w:r>
      <w:r>
        <w:t>a mortalitást a dabigatrán felerősödött farmakológiai hatásának tulajdonították, ami a beadással és kezeléssel</w:t>
      </w:r>
      <w:r>
        <w:rPr>
          <w:spacing w:val="-3"/>
        </w:rPr>
        <w:t xml:space="preserve"> </w:t>
      </w:r>
      <w:r>
        <w:t>összefüggő</w:t>
      </w:r>
      <w:r>
        <w:rPr>
          <w:spacing w:val="-3"/>
        </w:rPr>
        <w:t xml:space="preserve"> </w:t>
      </w:r>
      <w:r>
        <w:t>mechanikai</w:t>
      </w:r>
      <w:r>
        <w:rPr>
          <w:spacing w:val="-3"/>
        </w:rPr>
        <w:t xml:space="preserve"> </w:t>
      </w:r>
      <w:r>
        <w:t>erőhatásokkal</w:t>
      </w:r>
      <w:r>
        <w:rPr>
          <w:spacing w:val="-3"/>
        </w:rPr>
        <w:t xml:space="preserve"> </w:t>
      </w:r>
      <w:r>
        <w:t>állt</w:t>
      </w:r>
      <w:r>
        <w:rPr>
          <w:spacing w:val="-3"/>
        </w:rPr>
        <w:t xml:space="preserve"> </w:t>
      </w:r>
      <w:r>
        <w:t>összefüggésben.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juvenilis</w:t>
      </w:r>
      <w:r>
        <w:rPr>
          <w:spacing w:val="-3"/>
        </w:rPr>
        <w:t xml:space="preserve"> </w:t>
      </w:r>
      <w:r>
        <w:t>toxicitási</w:t>
      </w:r>
      <w:r>
        <w:rPr>
          <w:spacing w:val="-3"/>
        </w:rPr>
        <w:t xml:space="preserve"> </w:t>
      </w:r>
      <w:r>
        <w:t>vizsgálatok adatai nem utaltak a toxicitásra való fokozott érzékenységre, sem pedig juvenilis állatokra</w:t>
      </w:r>
      <w:r>
        <w:rPr>
          <w:spacing w:val="40"/>
        </w:rPr>
        <w:t xml:space="preserve"> </w:t>
      </w:r>
      <w:r>
        <w:t>specifikusan jellemző toxicitásra.</w:t>
      </w:r>
    </w:p>
    <w:p w14:paraId="1649E241" w14:textId="77777777" w:rsidR="00945359" w:rsidRDefault="00945359" w:rsidP="008F5A8D">
      <w:pPr>
        <w:pStyle w:val="Szvegtrzs"/>
        <w:tabs>
          <w:tab w:val="left" w:pos="567"/>
        </w:tabs>
      </w:pPr>
    </w:p>
    <w:p w14:paraId="2B798818" w14:textId="6451DB57" w:rsidR="00945359" w:rsidRDefault="00220A43" w:rsidP="008F5A8D">
      <w:pPr>
        <w:pStyle w:val="Szvegtrzs"/>
        <w:tabs>
          <w:tab w:val="left" w:pos="567"/>
        </w:tabs>
      </w:pPr>
      <w:r>
        <w:t>Patkányokkal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egerekkel</w:t>
      </w:r>
      <w:r>
        <w:rPr>
          <w:spacing w:val="-5"/>
        </w:rPr>
        <w:t xml:space="preserve"> </w:t>
      </w:r>
      <w:r>
        <w:t>végzett</w:t>
      </w:r>
      <w:r>
        <w:rPr>
          <w:spacing w:val="-5"/>
        </w:rPr>
        <w:t xml:space="preserve"> </w:t>
      </w:r>
      <w:r>
        <w:t>élethosszig</w:t>
      </w:r>
      <w:r>
        <w:rPr>
          <w:spacing w:val="-5"/>
        </w:rPr>
        <w:t xml:space="preserve"> </w:t>
      </w:r>
      <w:r>
        <w:t>tartó</w:t>
      </w:r>
      <w:r>
        <w:rPr>
          <w:spacing w:val="-5"/>
        </w:rPr>
        <w:t xml:space="preserve"> </w:t>
      </w:r>
      <w:r>
        <w:t>toxikológiai</w:t>
      </w:r>
      <w:r>
        <w:rPr>
          <w:spacing w:val="-5"/>
        </w:rPr>
        <w:t xml:space="preserve"> </w:t>
      </w:r>
      <w:r>
        <w:t>vizsgálatokban,</w:t>
      </w:r>
      <w:r>
        <w:rPr>
          <w:spacing w:val="-5"/>
        </w:rPr>
        <w:t xml:space="preserve"> </w:t>
      </w:r>
      <w:r>
        <w:t>maximum 200</w:t>
      </w:r>
      <w:r w:rsidR="00294835">
        <w:t> mg</w:t>
      </w:r>
      <w:r>
        <w:t>/kg-os dózisig nem találtak bizonyítékot a dabigatrán karcinogén potenciáljára.</w:t>
      </w:r>
    </w:p>
    <w:p w14:paraId="7066C833" w14:textId="77777777" w:rsidR="00945359" w:rsidRDefault="00945359" w:rsidP="008F5A8D">
      <w:pPr>
        <w:pStyle w:val="Szvegtrzs"/>
        <w:tabs>
          <w:tab w:val="left" w:pos="567"/>
        </w:tabs>
      </w:pPr>
    </w:p>
    <w:p w14:paraId="321B314F" w14:textId="335890CB" w:rsidR="00945359" w:rsidRDefault="00220A43" w:rsidP="008F5A8D">
      <w:pPr>
        <w:pStyle w:val="Szvegtrzs"/>
        <w:tabs>
          <w:tab w:val="left" w:pos="567"/>
        </w:tabs>
      </w:pPr>
      <w:r>
        <w:t>A</w:t>
      </w:r>
      <w:r>
        <w:rPr>
          <w:spacing w:val="-7"/>
        </w:rPr>
        <w:t xml:space="preserve"> </w:t>
      </w:r>
      <w:r>
        <w:t>dabigatrán,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dabigatrán-etexilát</w:t>
      </w:r>
      <w:r w:rsidR="000D6AF0">
        <w:rPr>
          <w:spacing w:val="-6"/>
        </w:rPr>
        <w:t>-</w:t>
      </w:r>
      <w:r>
        <w:t>mezilát</w:t>
      </w:r>
      <w:r>
        <w:rPr>
          <w:spacing w:val="-7"/>
        </w:rPr>
        <w:t xml:space="preserve"> </w:t>
      </w:r>
      <w:r>
        <w:t>aktív</w:t>
      </w:r>
      <w:r>
        <w:rPr>
          <w:spacing w:val="-7"/>
        </w:rPr>
        <w:t xml:space="preserve"> </w:t>
      </w:r>
      <w:r>
        <w:t>összetevője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környezetben</w:t>
      </w:r>
      <w:r>
        <w:rPr>
          <w:spacing w:val="-7"/>
        </w:rPr>
        <w:t xml:space="preserve"> </w:t>
      </w:r>
      <w:r>
        <w:t>nem</w:t>
      </w:r>
      <w:r>
        <w:rPr>
          <w:spacing w:val="-7"/>
        </w:rPr>
        <w:t xml:space="preserve"> </w:t>
      </w:r>
      <w:r>
        <w:t>bomlik</w:t>
      </w:r>
      <w:r>
        <w:rPr>
          <w:spacing w:val="-6"/>
        </w:rPr>
        <w:t xml:space="preserve"> </w:t>
      </w:r>
      <w:r>
        <w:rPr>
          <w:spacing w:val="-5"/>
        </w:rPr>
        <w:t>le.</w:t>
      </w:r>
    </w:p>
    <w:p w14:paraId="583F6303" w14:textId="77777777" w:rsidR="00945359" w:rsidRDefault="00945359" w:rsidP="008F5A8D">
      <w:pPr>
        <w:pStyle w:val="Szvegtrzs"/>
        <w:tabs>
          <w:tab w:val="left" w:pos="567"/>
        </w:tabs>
      </w:pPr>
    </w:p>
    <w:p w14:paraId="12C65697" w14:textId="77777777" w:rsidR="00945359" w:rsidRDefault="00945359" w:rsidP="008F5A8D">
      <w:pPr>
        <w:pStyle w:val="Szvegtrzs"/>
        <w:tabs>
          <w:tab w:val="left" w:pos="567"/>
        </w:tabs>
      </w:pPr>
    </w:p>
    <w:p w14:paraId="5DF492EE" w14:textId="7FC98CD7" w:rsidR="00945359" w:rsidRPr="00BC10BA" w:rsidRDefault="00002AA2" w:rsidP="008F5A8D">
      <w:r w:rsidRPr="00BC10BA">
        <w:rPr>
          <w:b/>
          <w:spacing w:val="-2"/>
        </w:rPr>
        <w:t>6.</w:t>
      </w:r>
      <w:r w:rsidRPr="00BC10BA">
        <w:rPr>
          <w:b/>
          <w:spacing w:val="-2"/>
        </w:rPr>
        <w:tab/>
      </w:r>
      <w:r w:rsidR="00220A43" w:rsidRPr="00BC10BA">
        <w:rPr>
          <w:b/>
          <w:spacing w:val="-2"/>
        </w:rPr>
        <w:t>GYÓGYSZERÉSZETI</w:t>
      </w:r>
      <w:r w:rsidR="00220A43" w:rsidRPr="00BC10BA">
        <w:rPr>
          <w:b/>
          <w:spacing w:val="15"/>
        </w:rPr>
        <w:t xml:space="preserve"> </w:t>
      </w:r>
      <w:r w:rsidR="00220A43" w:rsidRPr="00BC10BA">
        <w:rPr>
          <w:b/>
          <w:spacing w:val="-2"/>
        </w:rPr>
        <w:t>JELLEMZŐK</w:t>
      </w:r>
    </w:p>
    <w:p w14:paraId="0AB59785" w14:textId="77777777" w:rsidR="00945359" w:rsidRDefault="00945359" w:rsidP="008F5A8D">
      <w:pPr>
        <w:pStyle w:val="Szvegtrzs"/>
        <w:tabs>
          <w:tab w:val="left" w:pos="567"/>
        </w:tabs>
        <w:rPr>
          <w:b/>
        </w:rPr>
      </w:pPr>
    </w:p>
    <w:p w14:paraId="738281BC" w14:textId="64245B2E" w:rsidR="00945359" w:rsidRPr="00511F35" w:rsidRDefault="00002AA2" w:rsidP="008F5A8D">
      <w:r w:rsidRPr="00511F35">
        <w:rPr>
          <w:b/>
        </w:rPr>
        <w:t>6.1</w:t>
      </w:r>
      <w:r w:rsidRPr="00511F35">
        <w:rPr>
          <w:b/>
        </w:rPr>
        <w:tab/>
      </w:r>
      <w:r w:rsidR="00220A43" w:rsidRPr="00511F35">
        <w:rPr>
          <w:b/>
        </w:rPr>
        <w:t>Segédanyagok</w:t>
      </w:r>
      <w:r w:rsidR="00220A43" w:rsidRPr="00511F35">
        <w:rPr>
          <w:b/>
          <w:spacing w:val="-12"/>
        </w:rPr>
        <w:t xml:space="preserve"> </w:t>
      </w:r>
      <w:r w:rsidR="00220A43" w:rsidRPr="00511F35">
        <w:rPr>
          <w:b/>
          <w:spacing w:val="-2"/>
        </w:rPr>
        <w:t>felsorolása</w:t>
      </w:r>
    </w:p>
    <w:p w14:paraId="362732E6" w14:textId="77777777" w:rsidR="003F5430" w:rsidRDefault="003F5430" w:rsidP="008F5A8D">
      <w:pPr>
        <w:pStyle w:val="Szvegtrzs"/>
        <w:tabs>
          <w:tab w:val="left" w:pos="567"/>
        </w:tabs>
        <w:rPr>
          <w:spacing w:val="-2"/>
          <w:highlight w:val="yellow"/>
        </w:rPr>
      </w:pPr>
    </w:p>
    <w:p w14:paraId="7ED703A1" w14:textId="67B77CB5" w:rsidR="003F5430" w:rsidRPr="00836A76" w:rsidRDefault="003F5430" w:rsidP="008F5A8D">
      <w:pPr>
        <w:pStyle w:val="Szvegtrzs"/>
        <w:tabs>
          <w:tab w:val="left" w:pos="567"/>
        </w:tabs>
        <w:rPr>
          <w:spacing w:val="-2"/>
          <w:u w:val="single"/>
        </w:rPr>
      </w:pPr>
      <w:r w:rsidRPr="00836A76">
        <w:rPr>
          <w:spacing w:val="-2"/>
          <w:u w:val="single"/>
        </w:rPr>
        <w:t>Kapszulatartalom</w:t>
      </w:r>
      <w:r w:rsidR="005A65DF">
        <w:rPr>
          <w:spacing w:val="-2"/>
          <w:u w:val="single"/>
        </w:rPr>
        <w:t>:</w:t>
      </w:r>
    </w:p>
    <w:p w14:paraId="19B3378B" w14:textId="20FAE4ED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b</w:t>
      </w:r>
      <w:r w:rsidR="003F5430" w:rsidRPr="00836A76">
        <w:rPr>
          <w:spacing w:val="-2"/>
        </w:rPr>
        <w:t>orkősav pellet</w:t>
      </w:r>
    </w:p>
    <w:p w14:paraId="0B66934F" w14:textId="542D1025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h</w:t>
      </w:r>
      <w:r w:rsidR="003F5430" w:rsidRPr="00836A76">
        <w:rPr>
          <w:spacing w:val="-2"/>
        </w:rPr>
        <w:t>ipromellóz</w:t>
      </w:r>
    </w:p>
    <w:p w14:paraId="792DFFEF" w14:textId="66F3EA05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h</w:t>
      </w:r>
      <w:r w:rsidR="003F5430" w:rsidRPr="00836A76">
        <w:rPr>
          <w:spacing w:val="-2"/>
        </w:rPr>
        <w:t>idroxipropilcellulóz</w:t>
      </w:r>
    </w:p>
    <w:p w14:paraId="74C0638A" w14:textId="7732659F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t</w:t>
      </w:r>
      <w:r w:rsidR="003F5430" w:rsidRPr="00836A76">
        <w:rPr>
          <w:spacing w:val="-2"/>
        </w:rPr>
        <w:t>alkum</w:t>
      </w:r>
    </w:p>
    <w:p w14:paraId="13B79EBF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  <w:u w:val="single"/>
        </w:rPr>
      </w:pPr>
    </w:p>
    <w:p w14:paraId="0651B160" w14:textId="0538181B" w:rsidR="003F5430" w:rsidRPr="00836A76" w:rsidRDefault="003F5430" w:rsidP="008F5A8D">
      <w:pPr>
        <w:pStyle w:val="Szvegtrzs"/>
        <w:tabs>
          <w:tab w:val="left" w:pos="567"/>
        </w:tabs>
        <w:rPr>
          <w:spacing w:val="-2"/>
          <w:u w:val="single"/>
        </w:rPr>
      </w:pPr>
      <w:r w:rsidRPr="00836A76">
        <w:rPr>
          <w:spacing w:val="-2"/>
          <w:u w:val="single"/>
        </w:rPr>
        <w:t>Kapszulahéj</w:t>
      </w:r>
      <w:r w:rsidR="005A65DF">
        <w:rPr>
          <w:spacing w:val="-2"/>
          <w:u w:val="single"/>
        </w:rPr>
        <w:t>:</w:t>
      </w:r>
    </w:p>
    <w:p w14:paraId="5BBE5566" w14:textId="540169F2" w:rsidR="003F5430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i</w:t>
      </w:r>
      <w:r w:rsidR="003F5430" w:rsidRPr="003F5430">
        <w:rPr>
          <w:spacing w:val="-2"/>
        </w:rPr>
        <w:t xml:space="preserve">ndigókármin </w:t>
      </w:r>
      <w:r w:rsidR="005A65DF" w:rsidRPr="0084169B">
        <w:rPr>
          <w:szCs w:val="24"/>
        </w:rPr>
        <w:t>(E132)</w:t>
      </w:r>
    </w:p>
    <w:p w14:paraId="070E54E5" w14:textId="10F6384C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k</w:t>
      </w:r>
      <w:r w:rsidR="003F5430" w:rsidRPr="00836A76">
        <w:rPr>
          <w:spacing w:val="-2"/>
        </w:rPr>
        <w:t>arragén</w:t>
      </w:r>
    </w:p>
    <w:p w14:paraId="4BDB7E54" w14:textId="50DA7142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k</w:t>
      </w:r>
      <w:r w:rsidR="003F5430" w:rsidRPr="00836A76">
        <w:rPr>
          <w:spacing w:val="-2"/>
        </w:rPr>
        <w:t>álium-klorid</w:t>
      </w:r>
    </w:p>
    <w:p w14:paraId="76D21498" w14:textId="47BDBCEB" w:rsidR="0030492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t</w:t>
      </w:r>
      <w:r w:rsidR="003F5430" w:rsidRPr="00836A76">
        <w:rPr>
          <w:spacing w:val="-2"/>
        </w:rPr>
        <w:t>itán-dioxid</w:t>
      </w:r>
      <w:r w:rsidR="005A65DF">
        <w:rPr>
          <w:spacing w:val="-2"/>
        </w:rPr>
        <w:t xml:space="preserve"> </w:t>
      </w:r>
      <w:r w:rsidR="005A65DF" w:rsidRPr="0084169B">
        <w:rPr>
          <w:szCs w:val="24"/>
        </w:rPr>
        <w:t>(E171)</w:t>
      </w:r>
    </w:p>
    <w:p w14:paraId="55B90539" w14:textId="0801ACEA" w:rsidR="003F5430" w:rsidRPr="00836A76" w:rsidRDefault="00304920" w:rsidP="008F5A8D">
      <w:pPr>
        <w:pStyle w:val="Szvegtrzs"/>
        <w:tabs>
          <w:tab w:val="left" w:pos="567"/>
        </w:tabs>
        <w:rPr>
          <w:spacing w:val="-2"/>
        </w:rPr>
      </w:pPr>
      <w:r>
        <w:rPr>
          <w:spacing w:val="-2"/>
        </w:rPr>
        <w:t>h</w:t>
      </w:r>
      <w:r w:rsidR="003F5430" w:rsidRPr="00836A76">
        <w:rPr>
          <w:spacing w:val="-2"/>
        </w:rPr>
        <w:t>ipromellóz</w:t>
      </w:r>
    </w:p>
    <w:p w14:paraId="4580F22A" w14:textId="77777777" w:rsidR="003F5430" w:rsidRPr="00220A43" w:rsidRDefault="003F5430" w:rsidP="008F5A8D">
      <w:pPr>
        <w:pStyle w:val="Szvegtrzs"/>
        <w:tabs>
          <w:tab w:val="left" w:pos="567"/>
        </w:tabs>
        <w:rPr>
          <w:highlight w:val="yellow"/>
        </w:rPr>
      </w:pPr>
    </w:p>
    <w:p w14:paraId="61527B5A" w14:textId="77777777" w:rsidR="00945359" w:rsidRPr="00220A43" w:rsidRDefault="00945359" w:rsidP="008F5A8D">
      <w:pPr>
        <w:pStyle w:val="Szvegtrzs"/>
        <w:tabs>
          <w:tab w:val="left" w:pos="567"/>
        </w:tabs>
        <w:rPr>
          <w:highlight w:val="yellow"/>
        </w:rPr>
      </w:pPr>
    </w:p>
    <w:p w14:paraId="345309A8" w14:textId="076567A0" w:rsidR="00945359" w:rsidRDefault="00002AA2" w:rsidP="00511F35">
      <w:pPr>
        <w:rPr>
          <w:b/>
          <w:spacing w:val="-2"/>
        </w:rPr>
      </w:pPr>
      <w:r w:rsidRPr="00511F35">
        <w:rPr>
          <w:b/>
          <w:spacing w:val="-2"/>
        </w:rPr>
        <w:t>6.2</w:t>
      </w:r>
      <w:r w:rsidRPr="00511F35">
        <w:rPr>
          <w:b/>
          <w:spacing w:val="-2"/>
        </w:rPr>
        <w:tab/>
      </w:r>
      <w:r w:rsidR="00220A43" w:rsidRPr="00511F35">
        <w:rPr>
          <w:b/>
          <w:spacing w:val="-2"/>
        </w:rPr>
        <w:t>Inkompatibilitások</w:t>
      </w:r>
    </w:p>
    <w:p w14:paraId="640EB5C7" w14:textId="77777777" w:rsidR="00304920" w:rsidRPr="00511F35" w:rsidRDefault="00304920" w:rsidP="008F5A8D"/>
    <w:p w14:paraId="70A64353" w14:textId="77777777" w:rsidR="00945359" w:rsidRPr="003F5430" w:rsidRDefault="00220A43" w:rsidP="008F5A8D">
      <w:pPr>
        <w:pStyle w:val="Szvegtrzs"/>
        <w:tabs>
          <w:tab w:val="left" w:pos="567"/>
        </w:tabs>
      </w:pPr>
      <w:r w:rsidRPr="003F5430">
        <w:t>Nem</w:t>
      </w:r>
      <w:r w:rsidRPr="003F5430">
        <w:rPr>
          <w:spacing w:val="-3"/>
        </w:rPr>
        <w:t xml:space="preserve"> </w:t>
      </w:r>
      <w:r w:rsidRPr="003F5430">
        <w:rPr>
          <w:spacing w:val="-2"/>
        </w:rPr>
        <w:t>értelmezhető.</w:t>
      </w:r>
    </w:p>
    <w:p w14:paraId="3571CA6D" w14:textId="77777777" w:rsidR="00945359" w:rsidRPr="003F5430" w:rsidRDefault="00945359" w:rsidP="008F5A8D">
      <w:pPr>
        <w:pStyle w:val="Szvegtrzs"/>
        <w:tabs>
          <w:tab w:val="left" w:pos="567"/>
        </w:tabs>
      </w:pPr>
    </w:p>
    <w:p w14:paraId="696F9A6D" w14:textId="6482A772" w:rsidR="00945359" w:rsidRPr="00511F35" w:rsidRDefault="00002AA2" w:rsidP="008F5A8D">
      <w:r w:rsidRPr="00511F35">
        <w:rPr>
          <w:b/>
          <w:spacing w:val="-2"/>
        </w:rPr>
        <w:t>6.3</w:t>
      </w:r>
      <w:r w:rsidRPr="00511F35">
        <w:rPr>
          <w:b/>
          <w:spacing w:val="-2"/>
        </w:rPr>
        <w:tab/>
      </w:r>
      <w:r w:rsidR="00220A43" w:rsidRPr="00511F35">
        <w:rPr>
          <w:b/>
          <w:spacing w:val="-2"/>
        </w:rPr>
        <w:t>Felhasználhatósági</w:t>
      </w:r>
      <w:r w:rsidR="00220A43" w:rsidRPr="00511F35">
        <w:rPr>
          <w:b/>
          <w:spacing w:val="18"/>
        </w:rPr>
        <w:t xml:space="preserve"> </w:t>
      </w:r>
      <w:r w:rsidR="00220A43" w:rsidRPr="00511F35">
        <w:rPr>
          <w:b/>
          <w:spacing w:val="-2"/>
        </w:rPr>
        <w:t>időtartam</w:t>
      </w:r>
    </w:p>
    <w:p w14:paraId="605F10B0" w14:textId="77777777" w:rsidR="00945359" w:rsidRPr="003F5430" w:rsidRDefault="00945359" w:rsidP="008F5A8D">
      <w:pPr>
        <w:pStyle w:val="Szvegtrzs"/>
        <w:tabs>
          <w:tab w:val="left" w:pos="567"/>
        </w:tabs>
      </w:pPr>
    </w:p>
    <w:p w14:paraId="3A102B32" w14:textId="1F8D79A8" w:rsidR="00945359" w:rsidRPr="003F5430" w:rsidRDefault="003F5430" w:rsidP="008F5A8D">
      <w:pPr>
        <w:pStyle w:val="Szvegtrzs"/>
        <w:tabs>
          <w:tab w:val="left" w:pos="567"/>
        </w:tabs>
      </w:pPr>
      <w:r w:rsidRPr="003F5430">
        <w:t>2</w:t>
      </w:r>
      <w:r w:rsidR="00294835">
        <w:t> év</w:t>
      </w:r>
    </w:p>
    <w:p w14:paraId="22199EEC" w14:textId="77777777" w:rsidR="00945359" w:rsidRPr="003F5430" w:rsidRDefault="00945359" w:rsidP="008F5A8D">
      <w:pPr>
        <w:pStyle w:val="Szvegtrzs"/>
        <w:tabs>
          <w:tab w:val="left" w:pos="567"/>
        </w:tabs>
      </w:pPr>
    </w:p>
    <w:p w14:paraId="4BF291BC" w14:textId="46B4835F" w:rsidR="00945359" w:rsidRPr="00511F35" w:rsidRDefault="00002AA2" w:rsidP="008F5A8D">
      <w:r w:rsidRPr="00511F35">
        <w:rPr>
          <w:b/>
        </w:rPr>
        <w:t>6.4</w:t>
      </w:r>
      <w:r w:rsidRPr="00511F35">
        <w:rPr>
          <w:b/>
        </w:rPr>
        <w:tab/>
      </w:r>
      <w:r w:rsidR="00220A43" w:rsidRPr="00511F35">
        <w:rPr>
          <w:b/>
        </w:rPr>
        <w:t>Különleges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</w:rPr>
        <w:t>tárolási</w:t>
      </w:r>
      <w:r w:rsidR="00220A43" w:rsidRPr="00511F35">
        <w:rPr>
          <w:b/>
          <w:spacing w:val="-9"/>
        </w:rPr>
        <w:t xml:space="preserve"> </w:t>
      </w:r>
      <w:r w:rsidR="00220A43" w:rsidRPr="00511F35">
        <w:rPr>
          <w:b/>
          <w:spacing w:val="-2"/>
        </w:rPr>
        <w:t>előírások</w:t>
      </w:r>
    </w:p>
    <w:p w14:paraId="11A685C3" w14:textId="77777777" w:rsidR="003F5430" w:rsidRDefault="003F5430" w:rsidP="008F5A8D">
      <w:pPr>
        <w:pStyle w:val="Szvegtrzs"/>
        <w:tabs>
          <w:tab w:val="left" w:pos="567"/>
        </w:tabs>
        <w:rPr>
          <w:highlight w:val="yellow"/>
        </w:rPr>
      </w:pPr>
    </w:p>
    <w:p w14:paraId="0C19D249" w14:textId="694E69A8" w:rsidR="003F5430" w:rsidRPr="00836A76" w:rsidRDefault="003F5430" w:rsidP="008F5A8D">
      <w:pPr>
        <w:pStyle w:val="Szvegtrzs"/>
        <w:tabs>
          <w:tab w:val="left" w:pos="567"/>
        </w:tabs>
        <w:rPr>
          <w:spacing w:val="-2"/>
          <w:u w:val="single"/>
        </w:rPr>
      </w:pPr>
      <w:r w:rsidRPr="00836A76">
        <w:rPr>
          <w:spacing w:val="-2"/>
          <w:u w:val="single"/>
        </w:rPr>
        <w:t>Alumínium buborék</w:t>
      </w:r>
      <w:r w:rsidR="005A65DF">
        <w:rPr>
          <w:spacing w:val="-2"/>
          <w:u w:val="single"/>
        </w:rPr>
        <w:t>csomagolás nedvességmegkötő</w:t>
      </w:r>
      <w:r w:rsidRPr="00836A76">
        <w:rPr>
          <w:spacing w:val="-2"/>
          <w:u w:val="single"/>
        </w:rPr>
        <w:t xml:space="preserve"> bevonattal – </w:t>
      </w:r>
      <w:r w:rsidR="00B8180E">
        <w:rPr>
          <w:spacing w:val="-2"/>
          <w:u w:val="single"/>
        </w:rPr>
        <w:t>A</w:t>
      </w:r>
      <w:r w:rsidRPr="00836A76">
        <w:rPr>
          <w:spacing w:val="-2"/>
          <w:u w:val="single"/>
        </w:rPr>
        <w:t>lumínium (OPA/Al/PE//</w:t>
      </w:r>
      <w:r w:rsidR="009850A8">
        <w:rPr>
          <w:spacing w:val="-2"/>
          <w:u w:val="single"/>
        </w:rPr>
        <w:t xml:space="preserve"> </w:t>
      </w:r>
      <w:r w:rsidRPr="00836A76">
        <w:rPr>
          <w:spacing w:val="-2"/>
          <w:u w:val="single"/>
        </w:rPr>
        <w:t>PE/Al/LDPE)</w:t>
      </w:r>
    </w:p>
    <w:p w14:paraId="55A4E048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</w:p>
    <w:p w14:paraId="313D18FA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  <w:r w:rsidRPr="00836A76">
        <w:rPr>
          <w:spacing w:val="-2"/>
        </w:rPr>
        <w:t>Ez a gyógyszer nem igényel különleges tárolást.</w:t>
      </w:r>
    </w:p>
    <w:p w14:paraId="0FF3FB1A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</w:p>
    <w:p w14:paraId="1DF4C47A" w14:textId="4A7789F2" w:rsidR="003F5430" w:rsidRPr="00836A76" w:rsidRDefault="003F5430" w:rsidP="008F5A8D">
      <w:pPr>
        <w:pStyle w:val="Szvegtrzs"/>
        <w:tabs>
          <w:tab w:val="left" w:pos="567"/>
        </w:tabs>
        <w:rPr>
          <w:spacing w:val="-2"/>
          <w:u w:val="single"/>
        </w:rPr>
      </w:pPr>
      <w:r w:rsidRPr="00836A76">
        <w:rPr>
          <w:spacing w:val="-2"/>
          <w:u w:val="single"/>
        </w:rPr>
        <w:t xml:space="preserve">Alumínium – </w:t>
      </w:r>
      <w:r w:rsidR="00B8180E">
        <w:rPr>
          <w:spacing w:val="-2"/>
          <w:u w:val="single"/>
        </w:rPr>
        <w:t>A</w:t>
      </w:r>
      <w:r w:rsidRPr="00836A76">
        <w:rPr>
          <w:spacing w:val="-2"/>
          <w:u w:val="single"/>
        </w:rPr>
        <w:t>lumínium (</w:t>
      </w:r>
      <w:r w:rsidR="00AC018E">
        <w:rPr>
          <w:spacing w:val="-2"/>
          <w:u w:val="single"/>
        </w:rPr>
        <w:t>O</w:t>
      </w:r>
      <w:r w:rsidRPr="00836A76">
        <w:rPr>
          <w:spacing w:val="-2"/>
          <w:u w:val="single"/>
        </w:rPr>
        <w:t>PA/Al/PVC//Al)</w:t>
      </w:r>
      <w:r w:rsidR="005A65DF">
        <w:rPr>
          <w:spacing w:val="-2"/>
          <w:u w:val="single"/>
        </w:rPr>
        <w:t xml:space="preserve"> buborékcsomagolás</w:t>
      </w:r>
    </w:p>
    <w:p w14:paraId="5222405B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</w:p>
    <w:p w14:paraId="070BBA34" w14:textId="0CBE40AA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  <w:r w:rsidRPr="00836A76">
        <w:rPr>
          <w:spacing w:val="-2"/>
        </w:rPr>
        <w:t>Legfeljebb 30</w:t>
      </w:r>
      <w:r w:rsidR="005A65DF">
        <w:rPr>
          <w:spacing w:val="-2"/>
        </w:rPr>
        <w:t> </w:t>
      </w:r>
      <w:r w:rsidRPr="00836A76">
        <w:rPr>
          <w:spacing w:val="-2"/>
        </w:rPr>
        <w:t>°C-on tárolandó.</w:t>
      </w:r>
    </w:p>
    <w:p w14:paraId="67F319E1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</w:p>
    <w:p w14:paraId="7434C765" w14:textId="236AB8CC" w:rsidR="003F5430" w:rsidRPr="00836A76" w:rsidRDefault="003F5430" w:rsidP="008F5A8D">
      <w:pPr>
        <w:pStyle w:val="Szvegtrzs"/>
        <w:tabs>
          <w:tab w:val="left" w:pos="567"/>
        </w:tabs>
        <w:rPr>
          <w:spacing w:val="-2"/>
          <w:u w:val="single"/>
        </w:rPr>
      </w:pPr>
      <w:r w:rsidRPr="00836A76">
        <w:rPr>
          <w:spacing w:val="-2"/>
          <w:u w:val="single"/>
        </w:rPr>
        <w:t xml:space="preserve">Fehér HDPE </w:t>
      </w:r>
      <w:r w:rsidR="005A65DF">
        <w:rPr>
          <w:spacing w:val="-2"/>
          <w:u w:val="single"/>
        </w:rPr>
        <w:t>tartály</w:t>
      </w:r>
    </w:p>
    <w:p w14:paraId="27D254CB" w14:textId="77777777" w:rsidR="003F5430" w:rsidRPr="00836A76" w:rsidRDefault="003F5430" w:rsidP="008F5A8D">
      <w:pPr>
        <w:pStyle w:val="Szvegtrzs"/>
        <w:tabs>
          <w:tab w:val="left" w:pos="567"/>
        </w:tabs>
        <w:rPr>
          <w:spacing w:val="-2"/>
        </w:rPr>
      </w:pPr>
    </w:p>
    <w:p w14:paraId="3814AC11" w14:textId="240DB8FA" w:rsidR="003F5430" w:rsidRPr="00220A43" w:rsidRDefault="00620857" w:rsidP="008F5A8D">
      <w:pPr>
        <w:pStyle w:val="Szvegtrzs"/>
        <w:tabs>
          <w:tab w:val="left" w:pos="567"/>
        </w:tabs>
        <w:rPr>
          <w:highlight w:val="yellow"/>
        </w:rPr>
      </w:pPr>
      <w:r w:rsidRPr="00620857">
        <w:rPr>
          <w:spacing w:val="-2"/>
        </w:rPr>
        <w:t>Legfeljebb 30 °C-on tárolandó. </w:t>
      </w:r>
      <w:r w:rsidR="003F5430" w:rsidRPr="00836A76">
        <w:rPr>
          <w:spacing w:val="-2"/>
        </w:rPr>
        <w:t>A nedvességtől való védelem érdekében az eredeti csomagolásban tárolandó.</w:t>
      </w:r>
    </w:p>
    <w:p w14:paraId="5C279456" w14:textId="77777777" w:rsidR="00945359" w:rsidRPr="003F5430" w:rsidRDefault="00945359" w:rsidP="008F5A8D">
      <w:pPr>
        <w:pStyle w:val="Szvegtrzs"/>
        <w:tabs>
          <w:tab w:val="left" w:pos="567"/>
        </w:tabs>
      </w:pPr>
    </w:p>
    <w:p w14:paraId="757280A1" w14:textId="1DBE347F" w:rsidR="00945359" w:rsidRPr="00511F35" w:rsidRDefault="00002AA2" w:rsidP="008F5A8D">
      <w:r w:rsidRPr="00511F35">
        <w:rPr>
          <w:b/>
        </w:rPr>
        <w:t>6.5</w:t>
      </w:r>
      <w:r w:rsidRPr="00511F35">
        <w:rPr>
          <w:b/>
        </w:rPr>
        <w:tab/>
      </w:r>
      <w:r w:rsidR="00220A43" w:rsidRPr="00511F35">
        <w:rPr>
          <w:b/>
        </w:rPr>
        <w:t>Csomagolás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típusa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6"/>
        </w:rPr>
        <w:t xml:space="preserve"> </w:t>
      </w:r>
      <w:r w:rsidR="00220A43" w:rsidRPr="00511F35">
        <w:rPr>
          <w:b/>
          <w:spacing w:val="-2"/>
        </w:rPr>
        <w:t>kiszerelése</w:t>
      </w:r>
    </w:p>
    <w:p w14:paraId="3664DFE5" w14:textId="77777777" w:rsidR="003F5430" w:rsidRPr="003F5430" w:rsidRDefault="003F5430" w:rsidP="008F5A8D">
      <w:pPr>
        <w:pStyle w:val="Szvegtrzs"/>
        <w:tabs>
          <w:tab w:val="left" w:pos="567"/>
        </w:tabs>
      </w:pPr>
    </w:p>
    <w:p w14:paraId="347C4721" w14:textId="754CA9CA" w:rsidR="00AC018E" w:rsidRPr="003F2AAF" w:rsidRDefault="00AC018E" w:rsidP="00AC018E">
      <w:pPr>
        <w:pStyle w:val="Szvegtrzs"/>
        <w:tabs>
          <w:tab w:val="left" w:pos="567"/>
        </w:tabs>
        <w:rPr>
          <w:spacing w:val="-3"/>
          <w:szCs w:val="24"/>
          <w:lang w:val="en-US"/>
        </w:rPr>
      </w:pPr>
      <w:r w:rsidRPr="00863CB4">
        <w:rPr>
          <w:spacing w:val="-3"/>
          <w:szCs w:val="24"/>
          <w:lang w:val="en-US"/>
        </w:rPr>
        <w:t xml:space="preserve">Kapszulák </w:t>
      </w:r>
      <w:bookmarkStart w:id="2" w:name="_Hlk199767218"/>
      <w:r w:rsidRPr="0020302F">
        <w:rPr>
          <w:spacing w:val="-3"/>
          <w:szCs w:val="24"/>
          <w:lang w:val="en-US"/>
        </w:rPr>
        <w:t>nedvességmegkötő</w:t>
      </w:r>
      <w:bookmarkEnd w:id="2"/>
      <w:r>
        <w:rPr>
          <w:spacing w:val="-3"/>
          <w:szCs w:val="24"/>
          <w:lang w:val="en-US"/>
        </w:rPr>
        <w:t>t tartalmazó</w:t>
      </w:r>
      <w:r w:rsidRPr="0020302F">
        <w:rPr>
          <w:spacing w:val="-3"/>
          <w:szCs w:val="24"/>
          <w:lang w:val="en-US"/>
        </w:rPr>
        <w:t xml:space="preserve"> </w:t>
      </w:r>
      <w:r w:rsidRPr="00863CB4">
        <w:rPr>
          <w:spacing w:val="-3"/>
          <w:szCs w:val="24"/>
          <w:lang w:val="en-US"/>
        </w:rPr>
        <w:t xml:space="preserve">alumínium–alumínium (OPA/Al/PE// PE/Al/LDPE) </w:t>
      </w:r>
      <w:r>
        <w:rPr>
          <w:spacing w:val="-3"/>
          <w:szCs w:val="24"/>
          <w:lang w:val="en-US"/>
        </w:rPr>
        <w:t xml:space="preserve">buborékcsomagolásban </w:t>
      </w:r>
      <w:r w:rsidRPr="00863CB4">
        <w:rPr>
          <w:spacing w:val="-3"/>
          <w:szCs w:val="24"/>
          <w:lang w:val="en-US"/>
        </w:rPr>
        <w:t>(10, 30, 60, 100 és 180 kemény kapszula)</w:t>
      </w:r>
      <w:r>
        <w:rPr>
          <w:spacing w:val="-3"/>
          <w:szCs w:val="24"/>
          <w:lang w:val="en-US"/>
        </w:rPr>
        <w:t xml:space="preserve"> </w:t>
      </w:r>
      <w:r w:rsidRPr="00863CB4">
        <w:rPr>
          <w:spacing w:val="-3"/>
          <w:szCs w:val="24"/>
          <w:lang w:val="en-US"/>
        </w:rPr>
        <w:t xml:space="preserve">vagy </w:t>
      </w:r>
      <w:r>
        <w:rPr>
          <w:spacing w:val="-3"/>
          <w:szCs w:val="24"/>
          <w:lang w:val="en-US"/>
        </w:rPr>
        <w:t xml:space="preserve">adagonként perforált buborékcsomagolásban </w:t>
      </w:r>
      <w:r w:rsidRPr="00863CB4">
        <w:rPr>
          <w:spacing w:val="-3"/>
          <w:szCs w:val="24"/>
          <w:lang w:val="en-US"/>
        </w:rPr>
        <w:t>(10×1, 30×1, 60×1 kemény kapszula)</w:t>
      </w:r>
      <w:r>
        <w:rPr>
          <w:spacing w:val="-3"/>
          <w:szCs w:val="24"/>
          <w:lang w:val="en-US"/>
        </w:rPr>
        <w:t xml:space="preserve">; vagy </w:t>
      </w:r>
      <w:r w:rsidRPr="00863CB4">
        <w:rPr>
          <w:spacing w:val="-3"/>
          <w:szCs w:val="24"/>
          <w:lang w:val="en-US"/>
        </w:rPr>
        <w:t>alumínium</w:t>
      </w:r>
      <w:r>
        <w:rPr>
          <w:spacing w:val="-3"/>
          <w:szCs w:val="24"/>
          <w:lang w:val="en-US"/>
        </w:rPr>
        <w:t>–</w:t>
      </w:r>
      <w:r w:rsidRPr="00863CB4">
        <w:rPr>
          <w:spacing w:val="-3"/>
          <w:szCs w:val="24"/>
          <w:lang w:val="en-US"/>
        </w:rPr>
        <w:t>alumínium (</w:t>
      </w:r>
      <w:r>
        <w:rPr>
          <w:spacing w:val="-3"/>
          <w:szCs w:val="24"/>
          <w:lang w:val="en-US"/>
        </w:rPr>
        <w:t>O</w:t>
      </w:r>
      <w:r w:rsidRPr="00863CB4">
        <w:rPr>
          <w:spacing w:val="-3"/>
          <w:szCs w:val="24"/>
          <w:lang w:val="en-US"/>
        </w:rPr>
        <w:t xml:space="preserve">PA/Al/PVC//Al) </w:t>
      </w:r>
      <w:r>
        <w:rPr>
          <w:spacing w:val="-3"/>
          <w:szCs w:val="24"/>
          <w:lang w:val="en-US"/>
        </w:rPr>
        <w:t xml:space="preserve">buborékcsomagolásban </w:t>
      </w:r>
      <w:r w:rsidRPr="00863CB4">
        <w:rPr>
          <w:spacing w:val="-3"/>
          <w:szCs w:val="24"/>
          <w:lang w:val="en-US"/>
        </w:rPr>
        <w:t>(10, 30, 60, 100 és 180 kemény kapszula)</w:t>
      </w:r>
      <w:r>
        <w:rPr>
          <w:spacing w:val="-3"/>
          <w:szCs w:val="24"/>
          <w:lang w:val="en-US"/>
        </w:rPr>
        <w:t xml:space="preserve"> vagy </w:t>
      </w:r>
      <w:r w:rsidRPr="00863CB4">
        <w:rPr>
          <w:spacing w:val="-3"/>
          <w:szCs w:val="24"/>
          <w:lang w:val="en-US"/>
        </w:rPr>
        <w:t xml:space="preserve">adagonként perforált </w:t>
      </w:r>
      <w:r>
        <w:rPr>
          <w:spacing w:val="-3"/>
          <w:szCs w:val="24"/>
          <w:lang w:val="en-US"/>
        </w:rPr>
        <w:t xml:space="preserve">buborékcsomagolásban </w:t>
      </w:r>
      <w:r w:rsidRPr="00863CB4">
        <w:rPr>
          <w:spacing w:val="-3"/>
          <w:szCs w:val="24"/>
          <w:lang w:val="en-US"/>
        </w:rPr>
        <w:t>(10×1, 30×1, 60×1 kemény kapszula)</w:t>
      </w:r>
      <w:r>
        <w:rPr>
          <w:spacing w:val="-3"/>
          <w:szCs w:val="24"/>
          <w:lang w:val="en-US"/>
        </w:rPr>
        <w:t>;</w:t>
      </w:r>
      <w:r>
        <w:rPr>
          <w:color w:val="000000" w:themeColor="text1"/>
          <w:spacing w:val="-3"/>
          <w:szCs w:val="24"/>
        </w:rPr>
        <w:t xml:space="preserve"> vagy </w:t>
      </w:r>
      <w:r w:rsidRPr="0020302F">
        <w:rPr>
          <w:color w:val="000000" w:themeColor="text1"/>
          <w:spacing w:val="-3"/>
          <w:szCs w:val="24"/>
        </w:rPr>
        <w:t xml:space="preserve">szilikagél </w:t>
      </w:r>
      <w:r w:rsidRPr="0020302F">
        <w:rPr>
          <w:spacing w:val="-3"/>
          <w:szCs w:val="24"/>
          <w:lang w:val="en-US"/>
        </w:rPr>
        <w:t>nedvességmegkötő betétet tartalmazó</w:t>
      </w:r>
      <w:r w:rsidRPr="0020302F">
        <w:rPr>
          <w:color w:val="FF0000"/>
          <w:spacing w:val="-3"/>
          <w:szCs w:val="24"/>
        </w:rPr>
        <w:t xml:space="preserve"> </w:t>
      </w:r>
      <w:r w:rsidRPr="0020302F">
        <w:rPr>
          <w:color w:val="000000" w:themeColor="text1"/>
          <w:spacing w:val="-3"/>
          <w:szCs w:val="24"/>
        </w:rPr>
        <w:t>polipropilén (PP) kupakkal lezárt, fehér HDPE tartályban</w:t>
      </w:r>
      <w:r>
        <w:rPr>
          <w:color w:val="000000" w:themeColor="text1"/>
          <w:spacing w:val="-3"/>
          <w:szCs w:val="24"/>
        </w:rPr>
        <w:t xml:space="preserve"> (</w:t>
      </w:r>
      <w:r w:rsidR="00A57E4B">
        <w:rPr>
          <w:color w:val="000000" w:themeColor="text1"/>
          <w:spacing w:val="-3"/>
          <w:szCs w:val="24"/>
        </w:rPr>
        <w:t xml:space="preserve">60, </w:t>
      </w:r>
      <w:r w:rsidRPr="009E4CF5">
        <w:t>100</w:t>
      </w:r>
      <w:r>
        <w:t> </w:t>
      </w:r>
      <w:r w:rsidRPr="009E4CF5">
        <w:t>kemény kapszula</w:t>
      </w:r>
      <w:r>
        <w:t>)</w:t>
      </w:r>
      <w:r w:rsidRPr="0020302F">
        <w:rPr>
          <w:color w:val="000000" w:themeColor="text1"/>
          <w:spacing w:val="-3"/>
          <w:szCs w:val="24"/>
        </w:rPr>
        <w:t>.</w:t>
      </w:r>
    </w:p>
    <w:p w14:paraId="72FBB9F4" w14:textId="77777777" w:rsidR="003F5430" w:rsidRPr="003F5430" w:rsidRDefault="003F5430" w:rsidP="008F5A8D">
      <w:pPr>
        <w:pStyle w:val="Szvegtrzs"/>
        <w:tabs>
          <w:tab w:val="left" w:pos="567"/>
        </w:tabs>
      </w:pPr>
    </w:p>
    <w:p w14:paraId="46001811" w14:textId="0CA814BA" w:rsidR="003F5430" w:rsidRDefault="003F5430">
      <w:pPr>
        <w:pStyle w:val="Szvegtrzs"/>
        <w:tabs>
          <w:tab w:val="left" w:pos="567"/>
        </w:tabs>
      </w:pPr>
      <w:r w:rsidRPr="003F5430">
        <w:t>Nem feltétlenül mindegyik kiszerelés kerül kereskedelmi forgalomba.</w:t>
      </w:r>
    </w:p>
    <w:p w14:paraId="7F634FA8" w14:textId="77777777" w:rsidR="00BC10BA" w:rsidRPr="003F5430" w:rsidRDefault="00BC10BA" w:rsidP="008F5A8D">
      <w:pPr>
        <w:pStyle w:val="Szvegtrzs"/>
        <w:tabs>
          <w:tab w:val="left" w:pos="567"/>
        </w:tabs>
      </w:pPr>
    </w:p>
    <w:p w14:paraId="774C3196" w14:textId="4CD67646" w:rsidR="00945359" w:rsidRPr="00511F35" w:rsidRDefault="00002AA2" w:rsidP="00511F35">
      <w:r w:rsidRPr="00511F35">
        <w:rPr>
          <w:b/>
        </w:rPr>
        <w:t>6.6</w:t>
      </w:r>
      <w:r w:rsidRPr="00511F35">
        <w:rPr>
          <w:b/>
        </w:rPr>
        <w:tab/>
      </w:r>
      <w:r w:rsidR="00220A43" w:rsidRPr="00511F35">
        <w:rPr>
          <w:b/>
        </w:rPr>
        <w:t>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megsemmisítésre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vonatkozó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különleges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óvintézkedések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és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egyéb,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>a</w:t>
      </w:r>
      <w:r w:rsidR="00220A43" w:rsidRPr="00511F35">
        <w:rPr>
          <w:b/>
          <w:spacing w:val="-4"/>
        </w:rPr>
        <w:t xml:space="preserve"> </w:t>
      </w:r>
      <w:r w:rsidR="00220A43" w:rsidRPr="00511F35">
        <w:rPr>
          <w:b/>
        </w:rPr>
        <w:t xml:space="preserve">készítmény </w:t>
      </w:r>
      <w:r w:rsidR="00220A43" w:rsidRPr="00511F35">
        <w:rPr>
          <w:b/>
        </w:rPr>
        <w:lastRenderedPageBreak/>
        <w:t>kezelésével kapcsolatos információk</w:t>
      </w:r>
    </w:p>
    <w:p w14:paraId="0EF047FC" w14:textId="77777777" w:rsidR="00002AA2" w:rsidRPr="00511F35" w:rsidRDefault="00002AA2" w:rsidP="008F5A8D"/>
    <w:p w14:paraId="6DAEC83E" w14:textId="77777777" w:rsidR="00945359" w:rsidRDefault="00220A43" w:rsidP="008F5A8D">
      <w:pPr>
        <w:pStyle w:val="Szvegtrzs"/>
        <w:tabs>
          <w:tab w:val="left" w:pos="567"/>
        </w:tabs>
      </w:pPr>
      <w:r w:rsidRPr="003F5430">
        <w:t>Bármilyen</w:t>
      </w:r>
      <w:r w:rsidRPr="003F5430">
        <w:rPr>
          <w:spacing w:val="-3"/>
        </w:rPr>
        <w:t xml:space="preserve"> </w:t>
      </w:r>
      <w:r w:rsidRPr="003F5430">
        <w:t>fel</w:t>
      </w:r>
      <w:r w:rsidRPr="003F5430">
        <w:rPr>
          <w:spacing w:val="-3"/>
        </w:rPr>
        <w:t xml:space="preserve"> </w:t>
      </w:r>
      <w:r w:rsidRPr="003F5430">
        <w:t>nem</w:t>
      </w:r>
      <w:r w:rsidRPr="003F5430">
        <w:rPr>
          <w:spacing w:val="-3"/>
        </w:rPr>
        <w:t xml:space="preserve"> </w:t>
      </w:r>
      <w:r w:rsidRPr="003F5430">
        <w:t>használt</w:t>
      </w:r>
      <w:r w:rsidRPr="003F5430">
        <w:rPr>
          <w:spacing w:val="-3"/>
        </w:rPr>
        <w:t xml:space="preserve"> </w:t>
      </w:r>
      <w:r w:rsidRPr="003F5430">
        <w:t>gyógyszer,</w:t>
      </w:r>
      <w:r w:rsidRPr="003F5430">
        <w:rPr>
          <w:spacing w:val="-3"/>
        </w:rPr>
        <w:t xml:space="preserve"> </w:t>
      </w:r>
      <w:r w:rsidRPr="003F5430">
        <w:t>illetve</w:t>
      </w:r>
      <w:r w:rsidRPr="003F5430">
        <w:rPr>
          <w:spacing w:val="-3"/>
        </w:rPr>
        <w:t xml:space="preserve"> </w:t>
      </w:r>
      <w:r w:rsidRPr="003F5430">
        <w:t>hulladékanyag</w:t>
      </w:r>
      <w:r w:rsidRPr="003F5430">
        <w:rPr>
          <w:spacing w:val="-3"/>
        </w:rPr>
        <w:t xml:space="preserve"> </w:t>
      </w:r>
      <w:r w:rsidRPr="003F5430">
        <w:t>megsemmisítését</w:t>
      </w:r>
      <w:r w:rsidRPr="003F5430">
        <w:rPr>
          <w:spacing w:val="-3"/>
        </w:rPr>
        <w:t xml:space="preserve"> </w:t>
      </w:r>
      <w:r w:rsidRPr="003F5430">
        <w:t>a</w:t>
      </w:r>
      <w:r w:rsidRPr="003F5430">
        <w:rPr>
          <w:spacing w:val="-3"/>
        </w:rPr>
        <w:t xml:space="preserve"> </w:t>
      </w:r>
      <w:r w:rsidRPr="003F5430">
        <w:t>gyógyszerekre vonatkozó előírások szerint kell végrehajtani.</w:t>
      </w:r>
    </w:p>
    <w:p w14:paraId="6544E7A2" w14:textId="734D1A76" w:rsidR="00945359" w:rsidRDefault="00945359" w:rsidP="008F5A8D">
      <w:pPr>
        <w:pStyle w:val="Szvegtrzs"/>
        <w:tabs>
          <w:tab w:val="left" w:pos="567"/>
        </w:tabs>
      </w:pPr>
    </w:p>
    <w:p w14:paraId="6FFD2018" w14:textId="0DDDF847" w:rsidR="007C0F34" w:rsidRDefault="007C0F34" w:rsidP="008F5A8D">
      <w:pPr>
        <w:pStyle w:val="Szvegtrzs"/>
        <w:tabs>
          <w:tab w:val="left" w:pos="567"/>
        </w:tabs>
      </w:pPr>
      <w:r w:rsidRPr="004F4A3C">
        <w:rPr>
          <w:b/>
          <w:bCs/>
        </w:rPr>
        <w:t>Megjegyzés:</w:t>
      </w:r>
      <w:r w:rsidRPr="007C0F34">
        <w:t xml:space="preserve"> </w:t>
      </w:r>
      <w:r w:rsidRPr="00D94099">
        <w:rPr>
          <w:b/>
        </w:rPr>
        <w:sym w:font="Wingdings" w:char="F058"/>
      </w:r>
      <w:r w:rsidRPr="007C0F34">
        <w:t xml:space="preserve"> (</w:t>
      </w:r>
      <w:r>
        <w:t>egy</w:t>
      </w:r>
      <w:r w:rsidRPr="007C0F34">
        <w:t xml:space="preserve"> kereszt</w:t>
      </w:r>
      <w:r>
        <w:t>es</w:t>
      </w:r>
      <w:r w:rsidRPr="007C0F34">
        <w:t>)</w:t>
      </w:r>
    </w:p>
    <w:p w14:paraId="369B794B" w14:textId="77777777" w:rsidR="007C0F34" w:rsidRDefault="007C0F34" w:rsidP="004F4A3C">
      <w:pPr>
        <w:pStyle w:val="Cmsor2"/>
        <w:ind w:left="0"/>
      </w:pPr>
      <w:r>
        <w:t>Osztályozás: II./1. csoport</w:t>
      </w:r>
    </w:p>
    <w:p w14:paraId="178A7D82" w14:textId="5AFEF8A0" w:rsidR="007C0F34" w:rsidRDefault="007C0F34" w:rsidP="007C0F34">
      <w:pPr>
        <w:pStyle w:val="Szvegtrzs"/>
        <w:tabs>
          <w:tab w:val="left" w:pos="567"/>
        </w:tabs>
      </w:pPr>
      <w:r>
        <w:t>Korlátozott érvényű orvosi rendelvényhez kötött, szakorvosi/kórházi diagnózist követő járóbeteg-ellátásban alkalmazható gyógyszer (J).</w:t>
      </w:r>
    </w:p>
    <w:p w14:paraId="0294FCFA" w14:textId="77777777" w:rsidR="00F46D20" w:rsidRDefault="00F46D20" w:rsidP="007C0F34">
      <w:pPr>
        <w:pStyle w:val="Szvegtrzs"/>
        <w:tabs>
          <w:tab w:val="left" w:pos="567"/>
        </w:tabs>
      </w:pPr>
    </w:p>
    <w:p w14:paraId="1F772E76" w14:textId="77777777" w:rsidR="00945359" w:rsidRDefault="00945359" w:rsidP="008F5A8D">
      <w:pPr>
        <w:pStyle w:val="Szvegtrzs"/>
        <w:tabs>
          <w:tab w:val="left" w:pos="567"/>
        </w:tabs>
      </w:pPr>
    </w:p>
    <w:p w14:paraId="3A3E1AF7" w14:textId="3729E62E" w:rsidR="00945359" w:rsidRPr="00BC10BA" w:rsidRDefault="00002AA2" w:rsidP="008F5A8D">
      <w:r w:rsidRPr="00BC10BA">
        <w:rPr>
          <w:b/>
        </w:rPr>
        <w:t>7.</w:t>
      </w:r>
      <w:r w:rsidRPr="00BC10BA">
        <w:rPr>
          <w:b/>
        </w:rPr>
        <w:tab/>
      </w:r>
      <w:r w:rsidR="00220A43" w:rsidRPr="00BC10BA">
        <w:rPr>
          <w:b/>
        </w:rPr>
        <w:t>A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FORGALOMBA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HOZATALI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ENGEDÉLY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  <w:spacing w:val="-2"/>
        </w:rPr>
        <w:t>JOGOSULTJA</w:t>
      </w:r>
    </w:p>
    <w:p w14:paraId="1BDDA20B" w14:textId="77777777" w:rsidR="00220A43" w:rsidRDefault="00220A43" w:rsidP="008F5A8D">
      <w:pPr>
        <w:pStyle w:val="Szvegtrzs"/>
        <w:tabs>
          <w:tab w:val="left" w:pos="567"/>
        </w:tabs>
      </w:pPr>
    </w:p>
    <w:p w14:paraId="46A919EC" w14:textId="3A81AD2E" w:rsidR="00220A43" w:rsidRDefault="00220A43" w:rsidP="009558F7">
      <w:pPr>
        <w:pStyle w:val="Szvegtrzs"/>
        <w:tabs>
          <w:tab w:val="left" w:pos="567"/>
        </w:tabs>
        <w:ind w:left="2268" w:hanging="2268"/>
      </w:pPr>
      <w:r>
        <w:t>Laboratorios Liconsa, S.A.</w:t>
      </w:r>
    </w:p>
    <w:p w14:paraId="605444B4" w14:textId="77777777" w:rsidR="00220A43" w:rsidRDefault="00220A43" w:rsidP="008F5A8D">
      <w:pPr>
        <w:pStyle w:val="Szvegtrzs"/>
        <w:tabs>
          <w:tab w:val="left" w:pos="567"/>
        </w:tabs>
      </w:pPr>
      <w:r>
        <w:t xml:space="preserve">C/Dulcinea S/N, </w:t>
      </w:r>
    </w:p>
    <w:p w14:paraId="1BDCA2A8" w14:textId="77777777" w:rsidR="00220A43" w:rsidRDefault="00220A43" w:rsidP="008F5A8D">
      <w:pPr>
        <w:pStyle w:val="Szvegtrzs"/>
        <w:tabs>
          <w:tab w:val="left" w:pos="567"/>
        </w:tabs>
      </w:pPr>
      <w:r>
        <w:t>28805, Alcalá de Henares, Madrid</w:t>
      </w:r>
    </w:p>
    <w:p w14:paraId="205F6C6B" w14:textId="7A58C4C5" w:rsidR="00945359" w:rsidRDefault="00220A43" w:rsidP="008F5A8D">
      <w:pPr>
        <w:pStyle w:val="Szvegtrzs"/>
        <w:tabs>
          <w:tab w:val="left" w:pos="567"/>
        </w:tabs>
      </w:pPr>
      <w:r>
        <w:t>Spanyolország</w:t>
      </w:r>
    </w:p>
    <w:p w14:paraId="07CF0876" w14:textId="77777777" w:rsidR="00945359" w:rsidRDefault="00945359" w:rsidP="008F5A8D">
      <w:pPr>
        <w:pStyle w:val="Szvegtrzs"/>
        <w:tabs>
          <w:tab w:val="left" w:pos="567"/>
        </w:tabs>
      </w:pPr>
    </w:p>
    <w:p w14:paraId="71688C45" w14:textId="77777777" w:rsidR="00220A43" w:rsidRDefault="00220A43" w:rsidP="008F5A8D">
      <w:pPr>
        <w:pStyle w:val="Szvegtrzs"/>
        <w:tabs>
          <w:tab w:val="left" w:pos="567"/>
        </w:tabs>
      </w:pPr>
    </w:p>
    <w:p w14:paraId="2C844433" w14:textId="39D2524D" w:rsidR="00945359" w:rsidRPr="00BC10BA" w:rsidRDefault="00002AA2" w:rsidP="008F5A8D">
      <w:r w:rsidRPr="00BC10BA">
        <w:rPr>
          <w:b/>
        </w:rPr>
        <w:t>8.</w:t>
      </w:r>
      <w:r w:rsidRPr="00BC10BA">
        <w:rPr>
          <w:b/>
        </w:rPr>
        <w:tab/>
      </w:r>
      <w:r w:rsidR="00220A43" w:rsidRPr="00BC10BA">
        <w:rPr>
          <w:b/>
        </w:rPr>
        <w:t>A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FORGALOMBA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HOZATALI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ENGEDÉLY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  <w:spacing w:val="-2"/>
        </w:rPr>
        <w:t>SZÁMA(I)</w:t>
      </w:r>
    </w:p>
    <w:p w14:paraId="49B96C49" w14:textId="553688D4" w:rsidR="00945359" w:rsidRPr="00552FF0" w:rsidRDefault="00945359" w:rsidP="008F5A8D">
      <w:pPr>
        <w:pStyle w:val="Szvegtrzs"/>
        <w:tabs>
          <w:tab w:val="left" w:pos="567"/>
        </w:tabs>
      </w:pPr>
    </w:p>
    <w:p w14:paraId="60F902F6" w14:textId="4CBF0592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OGYI-T-24619/18</w:t>
      </w:r>
      <w:r w:rsidRPr="00552FF0">
        <w:rPr>
          <w:lang w:eastAsia="hu-HU"/>
        </w:rPr>
        <w:tab/>
        <w:t>10×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OPA/Al/PE// PE/Al/LDPE buborékcsomagolásban</w:t>
      </w:r>
    </w:p>
    <w:p w14:paraId="40BE3CDD" w14:textId="3ED5E0C7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OGYI-T-24619/19</w:t>
      </w:r>
      <w:r w:rsidRPr="00552FF0">
        <w:rPr>
          <w:lang w:eastAsia="hu-HU"/>
        </w:rPr>
        <w:tab/>
        <w:t>10×1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adagonként perforált OPA/Al/PE// PE/Al/LDPE</w:t>
      </w:r>
    </w:p>
    <w:p w14:paraId="4BF37FBE" w14:textId="3DA01123" w:rsidR="009558F7" w:rsidRPr="00552FF0" w:rsidRDefault="009558F7" w:rsidP="00552FF0">
      <w:pPr>
        <w:ind w:left="2835" w:firstLine="567"/>
        <w:rPr>
          <w:lang w:eastAsia="hu-HU"/>
        </w:rPr>
      </w:pPr>
      <w:r w:rsidRPr="00552FF0">
        <w:rPr>
          <w:lang w:eastAsia="hu-HU"/>
        </w:rPr>
        <w:t>buborékcsomagolásban</w:t>
      </w:r>
    </w:p>
    <w:p w14:paraId="577876D6" w14:textId="0361CA72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OGYI-T-24619/20</w:t>
      </w:r>
      <w:r w:rsidRPr="00552FF0">
        <w:rPr>
          <w:lang w:eastAsia="hu-HU"/>
        </w:rPr>
        <w:tab/>
        <w:t>10×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OPA/Al/PVC//Al buborékcsomagolásban</w:t>
      </w:r>
    </w:p>
    <w:p w14:paraId="3CA87DAB" w14:textId="3ABC8FC4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OGYI-T-24619/21</w:t>
      </w:r>
      <w:r w:rsidRPr="00552FF0">
        <w:rPr>
          <w:lang w:eastAsia="hu-HU"/>
        </w:rPr>
        <w:tab/>
        <w:t>10×1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adagonként perforált OPA/Al/PVC//Al</w:t>
      </w:r>
    </w:p>
    <w:p w14:paraId="4373CF47" w14:textId="54AE4561" w:rsidR="009558F7" w:rsidRPr="00552FF0" w:rsidRDefault="009558F7" w:rsidP="00552FF0">
      <w:pPr>
        <w:ind w:left="2835" w:firstLine="567"/>
        <w:rPr>
          <w:lang w:eastAsia="hu-HU"/>
        </w:rPr>
      </w:pPr>
      <w:r w:rsidRPr="00552FF0">
        <w:rPr>
          <w:lang w:eastAsia="hu-HU"/>
        </w:rPr>
        <w:t>buborékcsomagolásban</w:t>
      </w:r>
    </w:p>
    <w:p w14:paraId="4CE3A0F9" w14:textId="637533E1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OGYI-T-24619/22</w:t>
      </w:r>
      <w:r w:rsidRPr="00552FF0">
        <w:rPr>
          <w:lang w:eastAsia="hu-HU"/>
        </w:rPr>
        <w:tab/>
        <w:t>30×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OPA/Al/PE// PE/Al/LDPE buborékcsomagolásban</w:t>
      </w:r>
    </w:p>
    <w:p w14:paraId="77E4A39E" w14:textId="07A4B31F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OGYI-T-24619/23</w:t>
      </w:r>
      <w:r w:rsidRPr="00552FF0">
        <w:rPr>
          <w:lang w:eastAsia="hu-HU"/>
        </w:rPr>
        <w:tab/>
        <w:t>30×1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adagonként perforált OPA/Al/PE// PE/Al/LDPE</w:t>
      </w:r>
    </w:p>
    <w:p w14:paraId="53A3438D" w14:textId="0705784C" w:rsidR="009558F7" w:rsidRPr="00552FF0" w:rsidRDefault="009558F7" w:rsidP="00552FF0">
      <w:pPr>
        <w:ind w:left="2835" w:firstLine="567"/>
        <w:rPr>
          <w:lang w:eastAsia="hu-HU"/>
        </w:rPr>
      </w:pPr>
      <w:r w:rsidRPr="00552FF0">
        <w:rPr>
          <w:lang w:eastAsia="hu-HU"/>
        </w:rPr>
        <w:t>buborékcsomagolásban</w:t>
      </w:r>
    </w:p>
    <w:p w14:paraId="396362EC" w14:textId="52A5A98B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OGYI-T-24619/24</w:t>
      </w:r>
      <w:r w:rsidRPr="00552FF0">
        <w:rPr>
          <w:lang w:eastAsia="hu-HU"/>
        </w:rPr>
        <w:tab/>
        <w:t>30×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OPA/Al/PVC//Al buborékcsomagolásban</w:t>
      </w:r>
    </w:p>
    <w:p w14:paraId="3328ED43" w14:textId="14116E9B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OGYI-T-24619/25</w:t>
      </w:r>
      <w:r w:rsidRPr="00552FF0">
        <w:rPr>
          <w:lang w:eastAsia="hu-HU"/>
        </w:rPr>
        <w:tab/>
        <w:t>30×1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adagonként perforált OPA/Al/PVC//Al</w:t>
      </w:r>
    </w:p>
    <w:p w14:paraId="34D6C463" w14:textId="46D34C75" w:rsidR="009558F7" w:rsidRPr="00552FF0" w:rsidRDefault="009558F7" w:rsidP="00552FF0">
      <w:pPr>
        <w:ind w:left="2835" w:firstLine="567"/>
        <w:rPr>
          <w:lang w:eastAsia="hu-HU"/>
        </w:rPr>
      </w:pPr>
      <w:r w:rsidRPr="00552FF0">
        <w:rPr>
          <w:lang w:eastAsia="hu-HU"/>
        </w:rPr>
        <w:t>buborékcsomagolásban</w:t>
      </w:r>
    </w:p>
    <w:p w14:paraId="2E38DCD6" w14:textId="50DCBFAB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OGYI-T-24619/26</w:t>
      </w:r>
      <w:r w:rsidRPr="00552FF0">
        <w:rPr>
          <w:lang w:eastAsia="hu-HU"/>
        </w:rPr>
        <w:tab/>
        <w:t>60×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OPA/Al/PE// PE/Al/LDPE buborékcsomagolásban</w:t>
      </w:r>
    </w:p>
    <w:p w14:paraId="53317525" w14:textId="2C637D57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OGYI-T-24619/27</w:t>
      </w:r>
      <w:r w:rsidRPr="00552FF0">
        <w:rPr>
          <w:lang w:eastAsia="hu-HU"/>
        </w:rPr>
        <w:tab/>
        <w:t>60×1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adagonként perforált OPA/Al/PE// PE/Al/LDPE</w:t>
      </w:r>
    </w:p>
    <w:p w14:paraId="567CD389" w14:textId="5F4AC9ED" w:rsidR="009558F7" w:rsidRPr="00552FF0" w:rsidRDefault="009558F7" w:rsidP="00552FF0">
      <w:pPr>
        <w:ind w:left="2835" w:firstLine="567"/>
        <w:rPr>
          <w:lang w:eastAsia="hu-HU"/>
        </w:rPr>
      </w:pPr>
      <w:r w:rsidRPr="00552FF0">
        <w:rPr>
          <w:lang w:eastAsia="hu-HU"/>
        </w:rPr>
        <w:t>buborékcsomagolásban</w:t>
      </w:r>
    </w:p>
    <w:p w14:paraId="0DCC07CA" w14:textId="34F54508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OGYI-T-24619/28</w:t>
      </w:r>
      <w:r w:rsidRPr="00552FF0">
        <w:rPr>
          <w:lang w:eastAsia="hu-HU"/>
        </w:rPr>
        <w:tab/>
        <w:t>60×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OPA/Al/PVC//Al buborékcsomagolásban</w:t>
      </w:r>
    </w:p>
    <w:p w14:paraId="662D2745" w14:textId="7CB59577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OGYI-T-24619/29</w:t>
      </w:r>
      <w:r w:rsidRPr="00552FF0">
        <w:rPr>
          <w:lang w:eastAsia="hu-HU"/>
        </w:rPr>
        <w:tab/>
        <w:t>60×1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adagonként perforált OPA/Al/PVC//Al</w:t>
      </w:r>
    </w:p>
    <w:p w14:paraId="67537BC4" w14:textId="27AB0009" w:rsidR="009558F7" w:rsidRDefault="009558F7" w:rsidP="00552FF0">
      <w:pPr>
        <w:ind w:left="2835" w:firstLine="567"/>
        <w:rPr>
          <w:lang w:eastAsia="hu-HU"/>
        </w:rPr>
      </w:pPr>
      <w:r w:rsidRPr="00552FF0">
        <w:rPr>
          <w:lang w:eastAsia="hu-HU"/>
        </w:rPr>
        <w:t>buborékcsomagolásban</w:t>
      </w:r>
    </w:p>
    <w:p w14:paraId="13D41DAC" w14:textId="31930F87" w:rsidR="004562B6" w:rsidRDefault="004562B6" w:rsidP="004562B6">
      <w:pPr>
        <w:tabs>
          <w:tab w:val="left" w:pos="2268"/>
          <w:tab w:val="left" w:pos="3402"/>
        </w:tabs>
        <w:ind w:left="2835" w:hanging="2835"/>
        <w:rPr>
          <w:lang w:eastAsia="hu-HU"/>
        </w:rPr>
      </w:pPr>
      <w:r w:rsidRPr="004562B6">
        <w:rPr>
          <w:lang w:eastAsia="hu-HU"/>
        </w:rPr>
        <w:t>OGYI-T-24619/</w:t>
      </w:r>
      <w:r>
        <w:rPr>
          <w:lang w:eastAsia="hu-HU"/>
        </w:rPr>
        <w:t>51</w:t>
      </w:r>
      <w:r>
        <w:rPr>
          <w:lang w:eastAsia="hu-HU"/>
        </w:rPr>
        <w:tab/>
        <w:t>60</w:t>
      </w:r>
      <w:r w:rsidRPr="004562B6">
        <w:rPr>
          <w:lang w:eastAsia="hu-HU"/>
        </w:rPr>
        <w:t>×</w:t>
      </w:r>
      <w:r w:rsidRPr="004562B6">
        <w:rPr>
          <w:lang w:eastAsia="hu-HU"/>
        </w:rPr>
        <w:tab/>
      </w:r>
      <w:r w:rsidRPr="004562B6">
        <w:rPr>
          <w:lang w:eastAsia="hu-HU"/>
        </w:rPr>
        <w:tab/>
        <w:t>fehér HDPE tartályban</w:t>
      </w:r>
    </w:p>
    <w:p w14:paraId="305ABC75" w14:textId="77777777" w:rsidR="00B267DD" w:rsidRPr="00552FF0" w:rsidRDefault="00B267DD" w:rsidP="006F63D0">
      <w:pPr>
        <w:tabs>
          <w:tab w:val="left" w:pos="2268"/>
          <w:tab w:val="left" w:pos="3402"/>
        </w:tabs>
        <w:ind w:left="2835" w:hanging="2835"/>
        <w:rPr>
          <w:lang w:eastAsia="hu-HU"/>
        </w:rPr>
      </w:pPr>
    </w:p>
    <w:p w14:paraId="08BFEE91" w14:textId="31F9E8B7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OGYI-T-24619/30</w:t>
      </w:r>
      <w:r w:rsidRPr="00552FF0">
        <w:rPr>
          <w:lang w:eastAsia="hu-HU"/>
        </w:rPr>
        <w:tab/>
        <w:t>100×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OPA/Al/PE// PE/Al/LDPE buborékcsomagolásban</w:t>
      </w:r>
    </w:p>
    <w:p w14:paraId="462FD46B" w14:textId="291F7605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OGYI-T-24619/31</w:t>
      </w:r>
      <w:r w:rsidRPr="00552FF0">
        <w:rPr>
          <w:lang w:eastAsia="hu-HU"/>
        </w:rPr>
        <w:tab/>
        <w:t>100×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OPA/Al/PVC//Al buborékcsomagolásban</w:t>
      </w:r>
    </w:p>
    <w:p w14:paraId="33F4D900" w14:textId="5EB48E3A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OGYI-T-24619/32</w:t>
      </w:r>
      <w:r w:rsidRPr="00552FF0">
        <w:rPr>
          <w:lang w:eastAsia="hu-HU"/>
        </w:rPr>
        <w:tab/>
        <w:t>100×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fehér HDPE tartályban</w:t>
      </w:r>
    </w:p>
    <w:p w14:paraId="53359D74" w14:textId="4EF73DD3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OGYI-T-24619/33</w:t>
      </w:r>
      <w:r w:rsidRPr="00552FF0">
        <w:rPr>
          <w:lang w:eastAsia="hu-HU"/>
        </w:rPr>
        <w:tab/>
        <w:t>180×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OPA/Al/PE// PE/Al/LDPE buborékcsomagolásban</w:t>
      </w:r>
    </w:p>
    <w:p w14:paraId="4AE65DC8" w14:textId="75F8F6E6" w:rsidR="009558F7" w:rsidRPr="00552FF0" w:rsidRDefault="009558F7" w:rsidP="00552FF0">
      <w:pPr>
        <w:ind w:left="2268" w:hanging="2268"/>
        <w:rPr>
          <w:lang w:eastAsia="hu-HU"/>
        </w:rPr>
      </w:pPr>
      <w:r w:rsidRPr="00552FF0">
        <w:rPr>
          <w:lang w:eastAsia="hu-HU"/>
        </w:rPr>
        <w:t>OGYI-T-24619/34</w:t>
      </w:r>
      <w:r w:rsidRPr="00552FF0">
        <w:rPr>
          <w:lang w:eastAsia="hu-HU"/>
        </w:rPr>
        <w:tab/>
        <w:t>180×</w:t>
      </w:r>
      <w:r w:rsidRPr="00552FF0">
        <w:rPr>
          <w:lang w:eastAsia="hu-HU"/>
        </w:rPr>
        <w:tab/>
      </w:r>
      <w:r w:rsidRPr="00552FF0">
        <w:rPr>
          <w:lang w:eastAsia="hu-HU"/>
        </w:rPr>
        <w:tab/>
        <w:t>OPA/Al/PVC//Al buborékcsomagolásban</w:t>
      </w:r>
    </w:p>
    <w:p w14:paraId="282C1AA3" w14:textId="77777777" w:rsidR="009558F7" w:rsidRPr="00552FF0" w:rsidRDefault="009558F7" w:rsidP="008F5A8D">
      <w:pPr>
        <w:pStyle w:val="Szvegtrzs"/>
        <w:tabs>
          <w:tab w:val="left" w:pos="567"/>
        </w:tabs>
      </w:pPr>
    </w:p>
    <w:p w14:paraId="314554FD" w14:textId="77777777" w:rsidR="00220A43" w:rsidRDefault="00220A43" w:rsidP="008F5A8D">
      <w:pPr>
        <w:pStyle w:val="Szvegtrzs"/>
        <w:tabs>
          <w:tab w:val="left" w:pos="567"/>
        </w:tabs>
      </w:pPr>
    </w:p>
    <w:p w14:paraId="54383E2C" w14:textId="3C61B63A" w:rsidR="00945359" w:rsidRPr="00BC10BA" w:rsidRDefault="00002AA2" w:rsidP="008F5A8D">
      <w:r w:rsidRPr="00BC10BA">
        <w:rPr>
          <w:b/>
        </w:rPr>
        <w:t>9.</w:t>
      </w:r>
      <w:r w:rsidRPr="00BC10BA">
        <w:rPr>
          <w:b/>
        </w:rPr>
        <w:tab/>
      </w:r>
      <w:r w:rsidR="00220A43" w:rsidRPr="00BC10BA">
        <w:rPr>
          <w:b/>
        </w:rPr>
        <w:t>A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</w:rPr>
        <w:t>FORGALOMBA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</w:rPr>
        <w:t>HOZATALI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</w:rPr>
        <w:t>ENGEDÉLY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</w:rPr>
        <w:t>ELSŐ</w:t>
      </w:r>
      <w:r w:rsidR="00220A43" w:rsidRPr="00BC10BA">
        <w:rPr>
          <w:b/>
          <w:spacing w:val="-6"/>
        </w:rPr>
        <w:t xml:space="preserve"> </w:t>
      </w:r>
      <w:r w:rsidR="00220A43" w:rsidRPr="00BC10BA">
        <w:rPr>
          <w:b/>
        </w:rPr>
        <w:t>KIADÁSÁNAK/ MEGÚJÍTÁSÁNAK DÁTUMA</w:t>
      </w:r>
    </w:p>
    <w:p w14:paraId="063B62AA" w14:textId="7464876E" w:rsidR="00945359" w:rsidRDefault="00945359" w:rsidP="008F5A8D">
      <w:pPr>
        <w:pStyle w:val="Szvegtrzs"/>
        <w:tabs>
          <w:tab w:val="left" w:pos="567"/>
        </w:tabs>
      </w:pPr>
    </w:p>
    <w:p w14:paraId="5D08D847" w14:textId="77777777" w:rsidR="009558F7" w:rsidRDefault="009558F7" w:rsidP="009558F7">
      <w:pPr>
        <w:pStyle w:val="Szvegtrzs"/>
        <w:tabs>
          <w:tab w:val="left" w:pos="567"/>
        </w:tabs>
      </w:pPr>
      <w:r w:rsidRPr="006A1D0D">
        <w:t>A forgalomba hozatali engedély első kiadásának dátuma:</w:t>
      </w:r>
      <w:r>
        <w:t xml:space="preserve"> 2025. szeptember 19.</w:t>
      </w:r>
    </w:p>
    <w:p w14:paraId="4FAC7721" w14:textId="77777777" w:rsidR="009558F7" w:rsidRDefault="009558F7" w:rsidP="008F5A8D">
      <w:pPr>
        <w:pStyle w:val="Szvegtrzs"/>
        <w:tabs>
          <w:tab w:val="left" w:pos="567"/>
        </w:tabs>
      </w:pPr>
    </w:p>
    <w:p w14:paraId="6382A360" w14:textId="77777777" w:rsidR="00220A43" w:rsidRDefault="00220A43" w:rsidP="008F5A8D">
      <w:pPr>
        <w:pStyle w:val="Szvegtrzs"/>
        <w:tabs>
          <w:tab w:val="left" w:pos="567"/>
        </w:tabs>
      </w:pPr>
    </w:p>
    <w:p w14:paraId="0D2C6CFA" w14:textId="4DE45F5D" w:rsidR="00945359" w:rsidRPr="00BC10BA" w:rsidRDefault="00002AA2" w:rsidP="008F5A8D">
      <w:r w:rsidRPr="00BC10BA">
        <w:rPr>
          <w:b/>
        </w:rPr>
        <w:t>10.</w:t>
      </w:r>
      <w:r w:rsidRPr="00BC10BA">
        <w:rPr>
          <w:b/>
        </w:rPr>
        <w:tab/>
      </w:r>
      <w:r w:rsidR="00220A43" w:rsidRPr="00BC10BA">
        <w:rPr>
          <w:b/>
        </w:rPr>
        <w:t>A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SZÖVEG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</w:rPr>
        <w:t>ELLENŐRZÉSÉNEK</w:t>
      </w:r>
      <w:r w:rsidR="00220A43" w:rsidRPr="00BC10BA">
        <w:rPr>
          <w:b/>
          <w:spacing w:val="-7"/>
        </w:rPr>
        <w:t xml:space="preserve"> </w:t>
      </w:r>
      <w:r w:rsidR="00220A43" w:rsidRPr="00BC10BA">
        <w:rPr>
          <w:b/>
          <w:spacing w:val="-2"/>
        </w:rPr>
        <w:t>DÁTUMA</w:t>
      </w:r>
    </w:p>
    <w:p w14:paraId="72D0DE46" w14:textId="0BE1C01E" w:rsidR="00A76255" w:rsidRDefault="00A76255" w:rsidP="008F5A8D"/>
    <w:p w14:paraId="6E93E7BB" w14:textId="0034DC73" w:rsidR="009558F7" w:rsidRPr="00BC10BA" w:rsidRDefault="00783908" w:rsidP="009558F7">
      <w:pPr>
        <w:pStyle w:val="Szvegtrzs"/>
        <w:tabs>
          <w:tab w:val="left" w:pos="567"/>
        </w:tabs>
      </w:pPr>
      <w:r>
        <w:t>2026. március 13.</w:t>
      </w:r>
    </w:p>
    <w:sectPr w:rsidR="009558F7" w:rsidRPr="00BC10BA" w:rsidSect="004F4A3C">
      <w:headerReference w:type="default" r:id="rId8"/>
      <w:footerReference w:type="first" r:id="rId9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569DB" w14:textId="77777777" w:rsidR="0024025D" w:rsidRDefault="0024025D">
      <w:r>
        <w:separator/>
      </w:r>
    </w:p>
  </w:endnote>
  <w:endnote w:type="continuationSeparator" w:id="0">
    <w:p w14:paraId="707DF554" w14:textId="77777777" w:rsidR="0024025D" w:rsidRDefault="00240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29CC1" w14:textId="43B87944" w:rsidR="00D81CAD" w:rsidRDefault="00252680">
    <w:pPr>
      <w:pStyle w:val="llb"/>
      <w:rPr>
        <w:sz w:val="18"/>
        <w:szCs w:val="18"/>
      </w:rPr>
    </w:pPr>
    <w:r w:rsidRPr="00252680">
      <w:rPr>
        <w:sz w:val="18"/>
        <w:szCs w:val="18"/>
      </w:rPr>
      <w:t>NNGYK/ETGY/9798/2026</w:t>
    </w:r>
  </w:p>
  <w:p w14:paraId="604DED41" w14:textId="60B55FA7" w:rsidR="00252680" w:rsidRPr="004F4A3C" w:rsidRDefault="00252680">
    <w:pPr>
      <w:pStyle w:val="llb"/>
      <w:rPr>
        <w:sz w:val="18"/>
        <w:szCs w:val="18"/>
      </w:rPr>
    </w:pPr>
    <w:r w:rsidRPr="00252680">
      <w:rPr>
        <w:sz w:val="18"/>
        <w:szCs w:val="18"/>
      </w:rPr>
      <w:t>NNGYK/ETGY/9810/2026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D953E" w14:textId="77777777" w:rsidR="0024025D" w:rsidRDefault="0024025D">
      <w:r>
        <w:separator/>
      </w:r>
    </w:p>
  </w:footnote>
  <w:footnote w:type="continuationSeparator" w:id="0">
    <w:p w14:paraId="57DD9FE4" w14:textId="77777777" w:rsidR="0024025D" w:rsidRDefault="00240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9775983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296ED9E8" w14:textId="50BC0D31" w:rsidR="003811EA" w:rsidRPr="004F4A3C" w:rsidRDefault="003811EA">
        <w:pPr>
          <w:pStyle w:val="lfej"/>
          <w:jc w:val="center"/>
          <w:rPr>
            <w:sz w:val="18"/>
            <w:szCs w:val="18"/>
          </w:rPr>
        </w:pPr>
        <w:r w:rsidRPr="004F4A3C">
          <w:rPr>
            <w:sz w:val="18"/>
            <w:szCs w:val="18"/>
          </w:rPr>
          <w:fldChar w:fldCharType="begin"/>
        </w:r>
        <w:r w:rsidRPr="004F4A3C">
          <w:rPr>
            <w:sz w:val="18"/>
            <w:szCs w:val="18"/>
          </w:rPr>
          <w:instrText>PAGE   \* MERGEFORMAT</w:instrText>
        </w:r>
        <w:r w:rsidRPr="004F4A3C">
          <w:rPr>
            <w:sz w:val="18"/>
            <w:szCs w:val="18"/>
          </w:rPr>
          <w:fldChar w:fldCharType="separate"/>
        </w:r>
        <w:r w:rsidRPr="004F4A3C">
          <w:rPr>
            <w:sz w:val="18"/>
            <w:szCs w:val="18"/>
          </w:rPr>
          <w:t>2</w:t>
        </w:r>
        <w:r w:rsidRPr="004F4A3C">
          <w:rPr>
            <w:sz w:val="18"/>
            <w:szCs w:val="18"/>
          </w:rPr>
          <w:fldChar w:fldCharType="end"/>
        </w:r>
      </w:p>
    </w:sdtContent>
  </w:sdt>
  <w:p w14:paraId="20B2C031" w14:textId="77777777" w:rsidR="003811EA" w:rsidRDefault="003811E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122D4"/>
    <w:multiLevelType w:val="hybridMultilevel"/>
    <w:tmpl w:val="CC4C0124"/>
    <w:lvl w:ilvl="0" w:tplc="32A2021A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23CB264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21588E9C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5D0059B4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BE740338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E5C4187E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1E62E26A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984063F0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609CA726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1" w15:restartNumberingAfterBreak="0">
    <w:nsid w:val="0D1464A6"/>
    <w:multiLevelType w:val="hybridMultilevel"/>
    <w:tmpl w:val="FBD48C12"/>
    <w:lvl w:ilvl="0" w:tplc="09648D7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995AB3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142E9F2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7C60DB0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3906143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E16C6C9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70062FC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B0A997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DFA482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10EA0833"/>
    <w:multiLevelType w:val="hybridMultilevel"/>
    <w:tmpl w:val="93AE1444"/>
    <w:lvl w:ilvl="0" w:tplc="CA36F48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688A954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8F3C6B4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6CFEE522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33A772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6E6ED8A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1454387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BFE43EB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5049AFA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11A3D2C"/>
    <w:multiLevelType w:val="hybridMultilevel"/>
    <w:tmpl w:val="1534E316"/>
    <w:lvl w:ilvl="0" w:tplc="40B249D2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88C0D278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F0A6AF0E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5404946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6206F24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B224862E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1A30FFFC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087E17F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FA25C3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A170870"/>
    <w:multiLevelType w:val="hybridMultilevel"/>
    <w:tmpl w:val="B95815CC"/>
    <w:lvl w:ilvl="0" w:tplc="926E0AB6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738F0D2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5E2881F6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3788ADA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3A1EF310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46E67B8C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32C4C8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6172D6C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366C24A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5" w15:restartNumberingAfterBreak="0">
    <w:nsid w:val="20756642"/>
    <w:multiLevelType w:val="hybridMultilevel"/>
    <w:tmpl w:val="7C369FB4"/>
    <w:lvl w:ilvl="0" w:tplc="663438B6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0ECBD6E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A0A2046C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FD22C56A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02829302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3FB683B4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241CBE26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3342EABC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D15C7112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20CE2CAC"/>
    <w:multiLevelType w:val="multilevel"/>
    <w:tmpl w:val="13366522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60005E4"/>
    <w:multiLevelType w:val="hybridMultilevel"/>
    <w:tmpl w:val="604A4FB6"/>
    <w:lvl w:ilvl="0" w:tplc="665EAC9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CD847F4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DBF284B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B28A0F0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E892CEC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20CC85AA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68A8703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5C78CC2A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F920E636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267222E1"/>
    <w:multiLevelType w:val="hybridMultilevel"/>
    <w:tmpl w:val="ACDE4DE2"/>
    <w:lvl w:ilvl="0" w:tplc="5F081BAC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F4E10A8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A82020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F0F0DDC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7FE02C78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6C8E170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A69C387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51629A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E6E2A7A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E9C5B11"/>
    <w:multiLevelType w:val="hybridMultilevel"/>
    <w:tmpl w:val="E27E805A"/>
    <w:lvl w:ilvl="0" w:tplc="9EE67806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1989E5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4956F8C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E7F4417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7810671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DB9C7A6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D287184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3E7ED716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F3360E7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31293806"/>
    <w:multiLevelType w:val="hybridMultilevel"/>
    <w:tmpl w:val="F1D8AA8C"/>
    <w:lvl w:ilvl="0" w:tplc="68724ABA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2C693D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0742E1F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EF5ADA6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BF6A010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988916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DD546F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B7D60E84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5622C6C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34795514"/>
    <w:multiLevelType w:val="hybridMultilevel"/>
    <w:tmpl w:val="35BCC40E"/>
    <w:lvl w:ilvl="0" w:tplc="EDBE1916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E8E66B4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6ADC10D6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216814BC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CFB00BD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BEAC527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538077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26ADC7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45647DD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70B4E4C"/>
    <w:multiLevelType w:val="hybridMultilevel"/>
    <w:tmpl w:val="08B0A3CE"/>
    <w:lvl w:ilvl="0" w:tplc="C1F439CA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A0E4952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28E08DE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C226DD2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50DC865A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CD5CD13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3F76153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608EB42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70467F2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3DBE5E1B"/>
    <w:multiLevelType w:val="hybridMultilevel"/>
    <w:tmpl w:val="E946D98C"/>
    <w:lvl w:ilvl="0" w:tplc="4B06892A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8BA9AAC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2" w:tplc="5B6E0CF4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59823178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82221FA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FF0C18A0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F7BC731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6F4078E0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CE622E02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43AF4173"/>
    <w:multiLevelType w:val="hybridMultilevel"/>
    <w:tmpl w:val="1590B3DA"/>
    <w:lvl w:ilvl="0" w:tplc="414671B8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FDA2088">
      <w:numFmt w:val="bullet"/>
      <w:lvlText w:val="•"/>
      <w:lvlJc w:val="left"/>
      <w:pPr>
        <w:ind w:left="1205" w:hanging="567"/>
      </w:pPr>
      <w:rPr>
        <w:rFonts w:hint="default"/>
        <w:lang w:val="hu-HU" w:eastAsia="en-US" w:bidi="ar-SA"/>
      </w:rPr>
    </w:lvl>
    <w:lvl w:ilvl="2" w:tplc="6344BFD2">
      <w:numFmt w:val="bullet"/>
      <w:lvlText w:val="•"/>
      <w:lvlJc w:val="left"/>
      <w:pPr>
        <w:ind w:left="1731" w:hanging="567"/>
      </w:pPr>
      <w:rPr>
        <w:rFonts w:hint="default"/>
        <w:lang w:val="hu-HU" w:eastAsia="en-US" w:bidi="ar-SA"/>
      </w:rPr>
    </w:lvl>
    <w:lvl w:ilvl="3" w:tplc="832A75A8">
      <w:numFmt w:val="bullet"/>
      <w:lvlText w:val="•"/>
      <w:lvlJc w:val="left"/>
      <w:pPr>
        <w:ind w:left="2256" w:hanging="567"/>
      </w:pPr>
      <w:rPr>
        <w:rFonts w:hint="default"/>
        <w:lang w:val="hu-HU" w:eastAsia="en-US" w:bidi="ar-SA"/>
      </w:rPr>
    </w:lvl>
    <w:lvl w:ilvl="4" w:tplc="2E7EE906">
      <w:numFmt w:val="bullet"/>
      <w:lvlText w:val="•"/>
      <w:lvlJc w:val="left"/>
      <w:pPr>
        <w:ind w:left="2782" w:hanging="567"/>
      </w:pPr>
      <w:rPr>
        <w:rFonts w:hint="default"/>
        <w:lang w:val="hu-HU" w:eastAsia="en-US" w:bidi="ar-SA"/>
      </w:rPr>
    </w:lvl>
    <w:lvl w:ilvl="5" w:tplc="4F7CAAA8">
      <w:numFmt w:val="bullet"/>
      <w:lvlText w:val="•"/>
      <w:lvlJc w:val="left"/>
      <w:pPr>
        <w:ind w:left="3307" w:hanging="567"/>
      </w:pPr>
      <w:rPr>
        <w:rFonts w:hint="default"/>
        <w:lang w:val="hu-HU" w:eastAsia="en-US" w:bidi="ar-SA"/>
      </w:rPr>
    </w:lvl>
    <w:lvl w:ilvl="6" w:tplc="58900C1A">
      <w:numFmt w:val="bullet"/>
      <w:lvlText w:val="•"/>
      <w:lvlJc w:val="left"/>
      <w:pPr>
        <w:ind w:left="3833" w:hanging="567"/>
      </w:pPr>
      <w:rPr>
        <w:rFonts w:hint="default"/>
        <w:lang w:val="hu-HU" w:eastAsia="en-US" w:bidi="ar-SA"/>
      </w:rPr>
    </w:lvl>
    <w:lvl w:ilvl="7" w:tplc="B8FC0F40">
      <w:numFmt w:val="bullet"/>
      <w:lvlText w:val="•"/>
      <w:lvlJc w:val="left"/>
      <w:pPr>
        <w:ind w:left="4358" w:hanging="567"/>
      </w:pPr>
      <w:rPr>
        <w:rFonts w:hint="default"/>
        <w:lang w:val="hu-HU" w:eastAsia="en-US" w:bidi="ar-SA"/>
      </w:rPr>
    </w:lvl>
    <w:lvl w:ilvl="8" w:tplc="4D08A38E">
      <w:numFmt w:val="bullet"/>
      <w:lvlText w:val="•"/>
      <w:lvlJc w:val="left"/>
      <w:pPr>
        <w:ind w:left="4884" w:hanging="567"/>
      </w:pPr>
      <w:rPr>
        <w:rFonts w:hint="default"/>
        <w:lang w:val="hu-HU" w:eastAsia="en-US" w:bidi="ar-SA"/>
      </w:rPr>
    </w:lvl>
  </w:abstractNum>
  <w:abstractNum w:abstractNumId="15" w15:restartNumberingAfterBreak="0">
    <w:nsid w:val="448A175A"/>
    <w:multiLevelType w:val="hybridMultilevel"/>
    <w:tmpl w:val="1B422468"/>
    <w:lvl w:ilvl="0" w:tplc="0E2E397A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5D341A18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58D42844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067C036E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F08CB2A4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C4FC9CC6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FBB4F51A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78CCA734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1C4269F8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47E4390A"/>
    <w:multiLevelType w:val="hybridMultilevel"/>
    <w:tmpl w:val="E0E6683E"/>
    <w:lvl w:ilvl="0" w:tplc="72EC23E2">
      <w:start w:val="1"/>
      <w:numFmt w:val="upperRoman"/>
      <w:lvlText w:val="%1."/>
      <w:lvlJc w:val="left"/>
      <w:pPr>
        <w:ind w:left="3438" w:hanging="197"/>
        <w:jc w:val="right"/>
      </w:pPr>
      <w:rPr>
        <w:rFonts w:hint="default"/>
        <w:spacing w:val="0"/>
        <w:w w:val="100"/>
        <w:lang w:val="hu-HU" w:eastAsia="en-US" w:bidi="ar-SA"/>
      </w:rPr>
    </w:lvl>
    <w:lvl w:ilvl="1" w:tplc="EF2027C6">
      <w:numFmt w:val="bullet"/>
      <w:lvlText w:val="•"/>
      <w:lvlJc w:val="left"/>
      <w:pPr>
        <w:ind w:left="4052" w:hanging="197"/>
      </w:pPr>
      <w:rPr>
        <w:rFonts w:hint="default"/>
        <w:lang w:val="hu-HU" w:eastAsia="en-US" w:bidi="ar-SA"/>
      </w:rPr>
    </w:lvl>
    <w:lvl w:ilvl="2" w:tplc="3C74A4CA">
      <w:numFmt w:val="bullet"/>
      <w:lvlText w:val="•"/>
      <w:lvlJc w:val="left"/>
      <w:pPr>
        <w:ind w:left="4665" w:hanging="197"/>
      </w:pPr>
      <w:rPr>
        <w:rFonts w:hint="default"/>
        <w:lang w:val="hu-HU" w:eastAsia="en-US" w:bidi="ar-SA"/>
      </w:rPr>
    </w:lvl>
    <w:lvl w:ilvl="3" w:tplc="522A9D06">
      <w:numFmt w:val="bullet"/>
      <w:lvlText w:val="•"/>
      <w:lvlJc w:val="left"/>
      <w:pPr>
        <w:ind w:left="5277" w:hanging="197"/>
      </w:pPr>
      <w:rPr>
        <w:rFonts w:hint="default"/>
        <w:lang w:val="hu-HU" w:eastAsia="en-US" w:bidi="ar-SA"/>
      </w:rPr>
    </w:lvl>
    <w:lvl w:ilvl="4" w:tplc="57967408">
      <w:numFmt w:val="bullet"/>
      <w:lvlText w:val="•"/>
      <w:lvlJc w:val="left"/>
      <w:pPr>
        <w:ind w:left="5890" w:hanging="197"/>
      </w:pPr>
      <w:rPr>
        <w:rFonts w:hint="default"/>
        <w:lang w:val="hu-HU" w:eastAsia="en-US" w:bidi="ar-SA"/>
      </w:rPr>
    </w:lvl>
    <w:lvl w:ilvl="5" w:tplc="DB32C7C2">
      <w:numFmt w:val="bullet"/>
      <w:lvlText w:val="•"/>
      <w:lvlJc w:val="left"/>
      <w:pPr>
        <w:ind w:left="6502" w:hanging="197"/>
      </w:pPr>
      <w:rPr>
        <w:rFonts w:hint="default"/>
        <w:lang w:val="hu-HU" w:eastAsia="en-US" w:bidi="ar-SA"/>
      </w:rPr>
    </w:lvl>
    <w:lvl w:ilvl="6" w:tplc="0FF23C74">
      <w:numFmt w:val="bullet"/>
      <w:lvlText w:val="•"/>
      <w:lvlJc w:val="left"/>
      <w:pPr>
        <w:ind w:left="7115" w:hanging="197"/>
      </w:pPr>
      <w:rPr>
        <w:rFonts w:hint="default"/>
        <w:lang w:val="hu-HU" w:eastAsia="en-US" w:bidi="ar-SA"/>
      </w:rPr>
    </w:lvl>
    <w:lvl w:ilvl="7" w:tplc="C0C873EA">
      <w:numFmt w:val="bullet"/>
      <w:lvlText w:val="•"/>
      <w:lvlJc w:val="left"/>
      <w:pPr>
        <w:ind w:left="7727" w:hanging="197"/>
      </w:pPr>
      <w:rPr>
        <w:rFonts w:hint="default"/>
        <w:lang w:val="hu-HU" w:eastAsia="en-US" w:bidi="ar-SA"/>
      </w:rPr>
    </w:lvl>
    <w:lvl w:ilvl="8" w:tplc="30DA91E6">
      <w:numFmt w:val="bullet"/>
      <w:lvlText w:val="•"/>
      <w:lvlJc w:val="left"/>
      <w:pPr>
        <w:ind w:left="8340" w:hanging="197"/>
      </w:pPr>
      <w:rPr>
        <w:rFonts w:hint="default"/>
        <w:lang w:val="hu-HU" w:eastAsia="en-US" w:bidi="ar-SA"/>
      </w:rPr>
    </w:lvl>
  </w:abstractNum>
  <w:abstractNum w:abstractNumId="17" w15:restartNumberingAfterBreak="0">
    <w:nsid w:val="4AE16D20"/>
    <w:multiLevelType w:val="hybridMultilevel"/>
    <w:tmpl w:val="78A4D14A"/>
    <w:lvl w:ilvl="0" w:tplc="88A0D3A6">
      <w:start w:val="1"/>
      <w:numFmt w:val="upperLetter"/>
      <w:lvlText w:val="%1)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/>
        <w:iCs/>
        <w:spacing w:val="-1"/>
        <w:w w:val="100"/>
        <w:sz w:val="22"/>
        <w:szCs w:val="22"/>
        <w:lang w:val="hu-HU" w:eastAsia="en-US" w:bidi="ar-SA"/>
      </w:rPr>
    </w:lvl>
    <w:lvl w:ilvl="1" w:tplc="32F4079E">
      <w:start w:val="1"/>
      <w:numFmt w:val="decimal"/>
      <w:lvlText w:val="%2."/>
      <w:lvlJc w:val="left"/>
      <w:pPr>
        <w:ind w:left="479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030C36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00C4A3E0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481CB4B8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9D94E49C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0AAD774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182A4474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9F32B732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4F385300"/>
    <w:multiLevelType w:val="hybridMultilevel"/>
    <w:tmpl w:val="BBB6B02A"/>
    <w:lvl w:ilvl="0" w:tplc="AEE6228C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D6ECB76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F2F2F8F4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68E21FC8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884A016E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353EDF86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A42A8E9A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190AD320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15247244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513E0663"/>
    <w:multiLevelType w:val="hybridMultilevel"/>
    <w:tmpl w:val="83B4F58C"/>
    <w:lvl w:ilvl="0" w:tplc="9216DB28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52CA53E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AF88807A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4C70FB16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26A6FF42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368059B6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ECCE28BC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25BA9D2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95BE23D6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52B76B32"/>
    <w:multiLevelType w:val="hybridMultilevel"/>
    <w:tmpl w:val="46B05162"/>
    <w:lvl w:ilvl="0" w:tplc="7212B6A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A323980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6E147BA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D17ACBA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BB3A2B38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5D88B61E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170E280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CC05BCA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BD2CD352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542F4894"/>
    <w:multiLevelType w:val="hybridMultilevel"/>
    <w:tmpl w:val="3AD67FF2"/>
    <w:lvl w:ilvl="0" w:tplc="D3F4C9A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622E0E0">
      <w:numFmt w:val="bullet"/>
      <w:lvlText w:val="-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B67E8C74">
      <w:numFmt w:val="bullet"/>
      <w:lvlText w:val=""/>
      <w:lvlJc w:val="left"/>
      <w:pPr>
        <w:ind w:left="1391" w:hanging="56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 w:tplc="D1DEDCDA">
      <w:numFmt w:val="bullet"/>
      <w:lvlText w:val="•"/>
      <w:lvlJc w:val="left"/>
      <w:pPr>
        <w:ind w:left="3214" w:hanging="567"/>
      </w:pPr>
      <w:rPr>
        <w:rFonts w:hint="default"/>
        <w:lang w:val="hu-HU" w:eastAsia="en-US" w:bidi="ar-SA"/>
      </w:rPr>
    </w:lvl>
    <w:lvl w:ilvl="4" w:tplc="558420A0">
      <w:numFmt w:val="bullet"/>
      <w:lvlText w:val="•"/>
      <w:lvlJc w:val="left"/>
      <w:pPr>
        <w:ind w:left="4121" w:hanging="567"/>
      </w:pPr>
      <w:rPr>
        <w:rFonts w:hint="default"/>
        <w:lang w:val="hu-HU" w:eastAsia="en-US" w:bidi="ar-SA"/>
      </w:rPr>
    </w:lvl>
    <w:lvl w:ilvl="5" w:tplc="FB10340E">
      <w:numFmt w:val="bullet"/>
      <w:lvlText w:val="•"/>
      <w:lvlJc w:val="left"/>
      <w:pPr>
        <w:ind w:left="5028" w:hanging="567"/>
      </w:pPr>
      <w:rPr>
        <w:rFonts w:hint="default"/>
        <w:lang w:val="hu-HU" w:eastAsia="en-US" w:bidi="ar-SA"/>
      </w:rPr>
    </w:lvl>
    <w:lvl w:ilvl="6" w:tplc="45A067D8">
      <w:numFmt w:val="bullet"/>
      <w:lvlText w:val="•"/>
      <w:lvlJc w:val="left"/>
      <w:pPr>
        <w:ind w:left="5936" w:hanging="567"/>
      </w:pPr>
      <w:rPr>
        <w:rFonts w:hint="default"/>
        <w:lang w:val="hu-HU" w:eastAsia="en-US" w:bidi="ar-SA"/>
      </w:rPr>
    </w:lvl>
    <w:lvl w:ilvl="7" w:tplc="3110A4B8">
      <w:numFmt w:val="bullet"/>
      <w:lvlText w:val="•"/>
      <w:lvlJc w:val="left"/>
      <w:pPr>
        <w:ind w:left="6843" w:hanging="567"/>
      </w:pPr>
      <w:rPr>
        <w:rFonts w:hint="default"/>
        <w:lang w:val="hu-HU" w:eastAsia="en-US" w:bidi="ar-SA"/>
      </w:rPr>
    </w:lvl>
    <w:lvl w:ilvl="8" w:tplc="B05898A0">
      <w:numFmt w:val="bullet"/>
      <w:lvlText w:val="•"/>
      <w:lvlJc w:val="left"/>
      <w:pPr>
        <w:ind w:left="7750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5801705F"/>
    <w:multiLevelType w:val="hybridMultilevel"/>
    <w:tmpl w:val="842051FE"/>
    <w:lvl w:ilvl="0" w:tplc="F8E86278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E64315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B106D8E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86F4C114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D3AE507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0D026154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5D667DE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731A287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DD28E99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3" w15:restartNumberingAfterBreak="0">
    <w:nsid w:val="5C091045"/>
    <w:multiLevelType w:val="hybridMultilevel"/>
    <w:tmpl w:val="9A1A83FC"/>
    <w:lvl w:ilvl="0" w:tplc="D4BCE274">
      <w:start w:val="1"/>
      <w:numFmt w:val="upperLetter"/>
      <w:lvlText w:val="%1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271475D6">
      <w:numFmt w:val="bullet"/>
      <w:lvlText w:val="•"/>
      <w:lvlJc w:val="left"/>
      <w:pPr>
        <w:ind w:left="4628" w:hanging="269"/>
      </w:pPr>
      <w:rPr>
        <w:rFonts w:hint="default"/>
        <w:lang w:val="hu-HU" w:eastAsia="en-US" w:bidi="ar-SA"/>
      </w:rPr>
    </w:lvl>
    <w:lvl w:ilvl="2" w:tplc="31F6F0CE">
      <w:numFmt w:val="bullet"/>
      <w:lvlText w:val="•"/>
      <w:lvlJc w:val="left"/>
      <w:pPr>
        <w:ind w:left="5177" w:hanging="269"/>
      </w:pPr>
      <w:rPr>
        <w:rFonts w:hint="default"/>
        <w:lang w:val="hu-HU" w:eastAsia="en-US" w:bidi="ar-SA"/>
      </w:rPr>
    </w:lvl>
    <w:lvl w:ilvl="3" w:tplc="BFEEB9B0">
      <w:numFmt w:val="bullet"/>
      <w:lvlText w:val="•"/>
      <w:lvlJc w:val="left"/>
      <w:pPr>
        <w:ind w:left="5725" w:hanging="269"/>
      </w:pPr>
      <w:rPr>
        <w:rFonts w:hint="default"/>
        <w:lang w:val="hu-HU" w:eastAsia="en-US" w:bidi="ar-SA"/>
      </w:rPr>
    </w:lvl>
    <w:lvl w:ilvl="4" w:tplc="16B4493A">
      <w:numFmt w:val="bullet"/>
      <w:lvlText w:val="•"/>
      <w:lvlJc w:val="left"/>
      <w:pPr>
        <w:ind w:left="6274" w:hanging="269"/>
      </w:pPr>
      <w:rPr>
        <w:rFonts w:hint="default"/>
        <w:lang w:val="hu-HU" w:eastAsia="en-US" w:bidi="ar-SA"/>
      </w:rPr>
    </w:lvl>
    <w:lvl w:ilvl="5" w:tplc="AD52AE56">
      <w:numFmt w:val="bullet"/>
      <w:lvlText w:val="•"/>
      <w:lvlJc w:val="left"/>
      <w:pPr>
        <w:ind w:left="6822" w:hanging="269"/>
      </w:pPr>
      <w:rPr>
        <w:rFonts w:hint="default"/>
        <w:lang w:val="hu-HU" w:eastAsia="en-US" w:bidi="ar-SA"/>
      </w:rPr>
    </w:lvl>
    <w:lvl w:ilvl="6" w:tplc="C1B48C20">
      <w:numFmt w:val="bullet"/>
      <w:lvlText w:val="•"/>
      <w:lvlJc w:val="left"/>
      <w:pPr>
        <w:ind w:left="7371" w:hanging="269"/>
      </w:pPr>
      <w:rPr>
        <w:rFonts w:hint="default"/>
        <w:lang w:val="hu-HU" w:eastAsia="en-US" w:bidi="ar-SA"/>
      </w:rPr>
    </w:lvl>
    <w:lvl w:ilvl="7" w:tplc="126C37E0">
      <w:numFmt w:val="bullet"/>
      <w:lvlText w:val="•"/>
      <w:lvlJc w:val="left"/>
      <w:pPr>
        <w:ind w:left="7919" w:hanging="269"/>
      </w:pPr>
      <w:rPr>
        <w:rFonts w:hint="default"/>
        <w:lang w:val="hu-HU" w:eastAsia="en-US" w:bidi="ar-SA"/>
      </w:rPr>
    </w:lvl>
    <w:lvl w:ilvl="8" w:tplc="EA2E849E">
      <w:numFmt w:val="bullet"/>
      <w:lvlText w:val="•"/>
      <w:lvlJc w:val="left"/>
      <w:pPr>
        <w:ind w:left="8468" w:hanging="269"/>
      </w:pPr>
      <w:rPr>
        <w:rFonts w:hint="default"/>
        <w:lang w:val="hu-HU" w:eastAsia="en-US" w:bidi="ar-SA"/>
      </w:rPr>
    </w:lvl>
  </w:abstractNum>
  <w:abstractNum w:abstractNumId="24" w15:restartNumberingAfterBreak="0">
    <w:nsid w:val="5E437CC7"/>
    <w:multiLevelType w:val="multilevel"/>
    <w:tmpl w:val="7B1EA9CE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5" w15:restartNumberingAfterBreak="0">
    <w:nsid w:val="63131AFF"/>
    <w:multiLevelType w:val="hybridMultilevel"/>
    <w:tmpl w:val="CA9A08CE"/>
    <w:lvl w:ilvl="0" w:tplc="29EEFDD0">
      <w:numFmt w:val="bullet"/>
      <w:lvlText w:val=""/>
      <w:lvlJc w:val="left"/>
      <w:pPr>
        <w:ind w:left="1391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17E9F0C">
      <w:numFmt w:val="bullet"/>
      <w:lvlText w:val="•"/>
      <w:lvlJc w:val="left"/>
      <w:pPr>
        <w:ind w:left="2261" w:hanging="567"/>
      </w:pPr>
      <w:rPr>
        <w:rFonts w:hint="default"/>
        <w:lang w:val="hu-HU" w:eastAsia="en-US" w:bidi="ar-SA"/>
      </w:rPr>
    </w:lvl>
    <w:lvl w:ilvl="2" w:tplc="38DA601C">
      <w:numFmt w:val="bullet"/>
      <w:lvlText w:val="•"/>
      <w:lvlJc w:val="left"/>
      <w:pPr>
        <w:ind w:left="3136" w:hanging="567"/>
      </w:pPr>
      <w:rPr>
        <w:rFonts w:hint="default"/>
        <w:lang w:val="hu-HU" w:eastAsia="en-US" w:bidi="ar-SA"/>
      </w:rPr>
    </w:lvl>
    <w:lvl w:ilvl="3" w:tplc="7B34E768">
      <w:numFmt w:val="bullet"/>
      <w:lvlText w:val="•"/>
      <w:lvlJc w:val="left"/>
      <w:pPr>
        <w:ind w:left="4010" w:hanging="567"/>
      </w:pPr>
      <w:rPr>
        <w:rFonts w:hint="default"/>
        <w:lang w:val="hu-HU" w:eastAsia="en-US" w:bidi="ar-SA"/>
      </w:rPr>
    </w:lvl>
    <w:lvl w:ilvl="4" w:tplc="1512C3E2">
      <w:numFmt w:val="bullet"/>
      <w:lvlText w:val="•"/>
      <w:lvlJc w:val="left"/>
      <w:pPr>
        <w:ind w:left="4885" w:hanging="567"/>
      </w:pPr>
      <w:rPr>
        <w:rFonts w:hint="default"/>
        <w:lang w:val="hu-HU" w:eastAsia="en-US" w:bidi="ar-SA"/>
      </w:rPr>
    </w:lvl>
    <w:lvl w:ilvl="5" w:tplc="3DE86CD2">
      <w:numFmt w:val="bullet"/>
      <w:lvlText w:val="•"/>
      <w:lvlJc w:val="left"/>
      <w:pPr>
        <w:ind w:left="5759" w:hanging="567"/>
      </w:pPr>
      <w:rPr>
        <w:rFonts w:hint="default"/>
        <w:lang w:val="hu-HU" w:eastAsia="en-US" w:bidi="ar-SA"/>
      </w:rPr>
    </w:lvl>
    <w:lvl w:ilvl="6" w:tplc="200CB976">
      <w:numFmt w:val="bullet"/>
      <w:lvlText w:val="•"/>
      <w:lvlJc w:val="left"/>
      <w:pPr>
        <w:ind w:left="6634" w:hanging="567"/>
      </w:pPr>
      <w:rPr>
        <w:rFonts w:hint="default"/>
        <w:lang w:val="hu-HU" w:eastAsia="en-US" w:bidi="ar-SA"/>
      </w:rPr>
    </w:lvl>
    <w:lvl w:ilvl="7" w:tplc="59FEDBFE">
      <w:numFmt w:val="bullet"/>
      <w:lvlText w:val="•"/>
      <w:lvlJc w:val="left"/>
      <w:pPr>
        <w:ind w:left="7508" w:hanging="567"/>
      </w:pPr>
      <w:rPr>
        <w:rFonts w:hint="default"/>
        <w:lang w:val="hu-HU" w:eastAsia="en-US" w:bidi="ar-SA"/>
      </w:rPr>
    </w:lvl>
    <w:lvl w:ilvl="8" w:tplc="35789894">
      <w:numFmt w:val="bullet"/>
      <w:lvlText w:val="•"/>
      <w:lvlJc w:val="left"/>
      <w:pPr>
        <w:ind w:left="8383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6A3C46BE"/>
    <w:multiLevelType w:val="hybridMultilevel"/>
    <w:tmpl w:val="52B096A2"/>
    <w:lvl w:ilvl="0" w:tplc="4420CF8A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C628BD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018EDB98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050031E2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4146A30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4E6E63A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9E18A01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42BA6BB6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A330D1C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27" w15:restartNumberingAfterBreak="0">
    <w:nsid w:val="6A550D37"/>
    <w:multiLevelType w:val="hybridMultilevel"/>
    <w:tmpl w:val="5DE0DA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F13D58"/>
    <w:multiLevelType w:val="hybridMultilevel"/>
    <w:tmpl w:val="235E39DA"/>
    <w:lvl w:ilvl="0" w:tplc="CA28109A">
      <w:start w:val="2"/>
      <w:numFmt w:val="decimal"/>
      <w:lvlText w:val="%1."/>
      <w:lvlJc w:val="left"/>
      <w:pPr>
        <w:ind w:left="1676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3DC522C">
      <w:numFmt w:val="bullet"/>
      <w:lvlText w:val="•"/>
      <w:lvlJc w:val="left"/>
      <w:pPr>
        <w:ind w:left="2468" w:hanging="221"/>
      </w:pPr>
      <w:rPr>
        <w:rFonts w:hint="default"/>
        <w:lang w:val="hu-HU" w:eastAsia="en-US" w:bidi="ar-SA"/>
      </w:rPr>
    </w:lvl>
    <w:lvl w:ilvl="2" w:tplc="B644D3F8">
      <w:numFmt w:val="bullet"/>
      <w:lvlText w:val="•"/>
      <w:lvlJc w:val="left"/>
      <w:pPr>
        <w:ind w:left="3257" w:hanging="221"/>
      </w:pPr>
      <w:rPr>
        <w:rFonts w:hint="default"/>
        <w:lang w:val="hu-HU" w:eastAsia="en-US" w:bidi="ar-SA"/>
      </w:rPr>
    </w:lvl>
    <w:lvl w:ilvl="3" w:tplc="58AC2606">
      <w:numFmt w:val="bullet"/>
      <w:lvlText w:val="•"/>
      <w:lvlJc w:val="left"/>
      <w:pPr>
        <w:ind w:left="4045" w:hanging="221"/>
      </w:pPr>
      <w:rPr>
        <w:rFonts w:hint="default"/>
        <w:lang w:val="hu-HU" w:eastAsia="en-US" w:bidi="ar-SA"/>
      </w:rPr>
    </w:lvl>
    <w:lvl w:ilvl="4" w:tplc="17F8EA1E">
      <w:numFmt w:val="bullet"/>
      <w:lvlText w:val="•"/>
      <w:lvlJc w:val="left"/>
      <w:pPr>
        <w:ind w:left="4834" w:hanging="221"/>
      </w:pPr>
      <w:rPr>
        <w:rFonts w:hint="default"/>
        <w:lang w:val="hu-HU" w:eastAsia="en-US" w:bidi="ar-SA"/>
      </w:rPr>
    </w:lvl>
    <w:lvl w:ilvl="5" w:tplc="120A4854">
      <w:numFmt w:val="bullet"/>
      <w:lvlText w:val="•"/>
      <w:lvlJc w:val="left"/>
      <w:pPr>
        <w:ind w:left="5622" w:hanging="221"/>
      </w:pPr>
      <w:rPr>
        <w:rFonts w:hint="default"/>
        <w:lang w:val="hu-HU" w:eastAsia="en-US" w:bidi="ar-SA"/>
      </w:rPr>
    </w:lvl>
    <w:lvl w:ilvl="6" w:tplc="13064342">
      <w:numFmt w:val="bullet"/>
      <w:lvlText w:val="•"/>
      <w:lvlJc w:val="left"/>
      <w:pPr>
        <w:ind w:left="6411" w:hanging="221"/>
      </w:pPr>
      <w:rPr>
        <w:rFonts w:hint="default"/>
        <w:lang w:val="hu-HU" w:eastAsia="en-US" w:bidi="ar-SA"/>
      </w:rPr>
    </w:lvl>
    <w:lvl w:ilvl="7" w:tplc="A8AEBF80">
      <w:numFmt w:val="bullet"/>
      <w:lvlText w:val="•"/>
      <w:lvlJc w:val="left"/>
      <w:pPr>
        <w:ind w:left="7199" w:hanging="221"/>
      </w:pPr>
      <w:rPr>
        <w:rFonts w:hint="default"/>
        <w:lang w:val="hu-HU" w:eastAsia="en-US" w:bidi="ar-SA"/>
      </w:rPr>
    </w:lvl>
    <w:lvl w:ilvl="8" w:tplc="1C065D70">
      <w:numFmt w:val="bullet"/>
      <w:lvlText w:val="•"/>
      <w:lvlJc w:val="left"/>
      <w:pPr>
        <w:ind w:left="7988" w:hanging="221"/>
      </w:pPr>
      <w:rPr>
        <w:rFonts w:hint="default"/>
        <w:lang w:val="hu-HU" w:eastAsia="en-US" w:bidi="ar-SA"/>
      </w:rPr>
    </w:lvl>
  </w:abstractNum>
  <w:abstractNum w:abstractNumId="29" w15:restartNumberingAfterBreak="0">
    <w:nsid w:val="6F3351F0"/>
    <w:multiLevelType w:val="hybridMultilevel"/>
    <w:tmpl w:val="6E04FC04"/>
    <w:lvl w:ilvl="0" w:tplc="B0229858">
      <w:numFmt w:val="bullet"/>
      <w:lvlText w:val="-"/>
      <w:lvlJc w:val="left"/>
      <w:pPr>
        <w:ind w:left="824" w:hanging="567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E82034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E6829930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56D80A78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ECAAB32C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3342D970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2FA669F0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84CE560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6452326E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0" w15:restartNumberingAfterBreak="0">
    <w:nsid w:val="709C54D0"/>
    <w:multiLevelType w:val="hybridMultilevel"/>
    <w:tmpl w:val="126E8CC0"/>
    <w:lvl w:ilvl="0" w:tplc="4AAC3112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06820E22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A078C0EA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48AE985A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6412A322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FCE21A76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66182390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BA8641B4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E4CAB1F6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1" w15:restartNumberingAfterBreak="0">
    <w:nsid w:val="70AC5814"/>
    <w:multiLevelType w:val="hybridMultilevel"/>
    <w:tmpl w:val="8CB0DD40"/>
    <w:lvl w:ilvl="0" w:tplc="966A0B78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18051E8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B91CFE94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162E4B08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DA905E6E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076AC6F2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CC88040C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A7F62528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D73A4D52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32" w15:restartNumberingAfterBreak="0">
    <w:nsid w:val="70FF2E75"/>
    <w:multiLevelType w:val="multilevel"/>
    <w:tmpl w:val="D0EC9B84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3" w15:restartNumberingAfterBreak="0">
    <w:nsid w:val="718A188E"/>
    <w:multiLevelType w:val="hybridMultilevel"/>
    <w:tmpl w:val="866EA52E"/>
    <w:lvl w:ilvl="0" w:tplc="78A4A76C">
      <w:start w:val="1"/>
      <w:numFmt w:val="decimal"/>
      <w:lvlText w:val="%1."/>
      <w:lvlJc w:val="left"/>
      <w:pPr>
        <w:ind w:left="479" w:hanging="22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470F46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5406EAC4">
      <w:numFmt w:val="bullet"/>
      <w:lvlText w:val="•"/>
      <w:lvlJc w:val="left"/>
      <w:pPr>
        <w:ind w:left="1791" w:hanging="567"/>
      </w:pPr>
      <w:rPr>
        <w:rFonts w:hint="default"/>
        <w:lang w:val="hu-HU" w:eastAsia="en-US" w:bidi="ar-SA"/>
      </w:rPr>
    </w:lvl>
    <w:lvl w:ilvl="3" w:tplc="17989892">
      <w:numFmt w:val="bullet"/>
      <w:lvlText w:val="•"/>
      <w:lvlJc w:val="left"/>
      <w:pPr>
        <w:ind w:left="2763" w:hanging="567"/>
      </w:pPr>
      <w:rPr>
        <w:rFonts w:hint="default"/>
        <w:lang w:val="hu-HU" w:eastAsia="en-US" w:bidi="ar-SA"/>
      </w:rPr>
    </w:lvl>
    <w:lvl w:ilvl="4" w:tplc="99D037AE">
      <w:numFmt w:val="bullet"/>
      <w:lvlText w:val="•"/>
      <w:lvlJc w:val="left"/>
      <w:pPr>
        <w:ind w:left="3735" w:hanging="567"/>
      </w:pPr>
      <w:rPr>
        <w:rFonts w:hint="default"/>
        <w:lang w:val="hu-HU" w:eastAsia="en-US" w:bidi="ar-SA"/>
      </w:rPr>
    </w:lvl>
    <w:lvl w:ilvl="5" w:tplc="A14A19A2">
      <w:numFmt w:val="bullet"/>
      <w:lvlText w:val="•"/>
      <w:lvlJc w:val="left"/>
      <w:pPr>
        <w:ind w:left="4706" w:hanging="567"/>
      </w:pPr>
      <w:rPr>
        <w:rFonts w:hint="default"/>
        <w:lang w:val="hu-HU" w:eastAsia="en-US" w:bidi="ar-SA"/>
      </w:rPr>
    </w:lvl>
    <w:lvl w:ilvl="6" w:tplc="C1F67DFE">
      <w:numFmt w:val="bullet"/>
      <w:lvlText w:val="•"/>
      <w:lvlJc w:val="left"/>
      <w:pPr>
        <w:ind w:left="5678" w:hanging="567"/>
      </w:pPr>
      <w:rPr>
        <w:rFonts w:hint="default"/>
        <w:lang w:val="hu-HU" w:eastAsia="en-US" w:bidi="ar-SA"/>
      </w:rPr>
    </w:lvl>
    <w:lvl w:ilvl="7" w:tplc="0F7AFCE2">
      <w:numFmt w:val="bullet"/>
      <w:lvlText w:val="•"/>
      <w:lvlJc w:val="left"/>
      <w:pPr>
        <w:ind w:left="6650" w:hanging="567"/>
      </w:pPr>
      <w:rPr>
        <w:rFonts w:hint="default"/>
        <w:lang w:val="hu-HU" w:eastAsia="en-US" w:bidi="ar-SA"/>
      </w:rPr>
    </w:lvl>
    <w:lvl w:ilvl="8" w:tplc="00FC3EBC">
      <w:numFmt w:val="bullet"/>
      <w:lvlText w:val="•"/>
      <w:lvlJc w:val="left"/>
      <w:pPr>
        <w:ind w:left="7621" w:hanging="567"/>
      </w:pPr>
      <w:rPr>
        <w:rFonts w:hint="default"/>
        <w:lang w:val="hu-HU" w:eastAsia="en-US" w:bidi="ar-SA"/>
      </w:rPr>
    </w:lvl>
  </w:abstractNum>
  <w:abstractNum w:abstractNumId="34" w15:restartNumberingAfterBreak="0">
    <w:nsid w:val="72394822"/>
    <w:multiLevelType w:val="hybridMultilevel"/>
    <w:tmpl w:val="0D189012"/>
    <w:lvl w:ilvl="0" w:tplc="9D0E97B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B143FA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45729048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A39034B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2D1CD3F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34AF076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6ACCB3D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DDF0E3D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071625D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5" w15:restartNumberingAfterBreak="0">
    <w:nsid w:val="73695E46"/>
    <w:multiLevelType w:val="multilevel"/>
    <w:tmpl w:val="D1ECC1FE"/>
    <w:lvl w:ilvl="0">
      <w:start w:val="5"/>
      <w:numFmt w:val="decimal"/>
      <w:lvlText w:val="%1"/>
      <w:lvlJc w:val="left"/>
      <w:pPr>
        <w:ind w:left="824" w:hanging="567"/>
      </w:pPr>
      <w:rPr>
        <w:rFonts w:hint="default"/>
        <w:lang w:val="hu-HU" w:eastAsia="en-US" w:bidi="ar-SA"/>
      </w:rPr>
    </w:lvl>
    <w:lvl w:ilvl="1">
      <w:start w:val="2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6" w15:restartNumberingAfterBreak="0">
    <w:nsid w:val="7383433F"/>
    <w:multiLevelType w:val="multilevel"/>
    <w:tmpl w:val="15326DF2"/>
    <w:lvl w:ilvl="0">
      <w:start w:val="1"/>
      <w:numFmt w:val="decimal"/>
      <w:lvlText w:val="%1."/>
      <w:lvlJc w:val="left"/>
      <w:pPr>
        <w:ind w:left="1676" w:hanging="221"/>
      </w:pPr>
      <w:rPr>
        <w:rFonts w:hint="default"/>
        <w:spacing w:val="0"/>
        <w:w w:val="100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556" w:hanging="567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432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84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6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3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12" w:hanging="567"/>
      </w:pPr>
      <w:rPr>
        <w:rFonts w:hint="default"/>
        <w:lang w:val="hu-HU" w:eastAsia="en-US" w:bidi="ar-SA"/>
      </w:rPr>
    </w:lvl>
  </w:abstractNum>
  <w:abstractNum w:abstractNumId="37" w15:restartNumberingAfterBreak="0">
    <w:nsid w:val="74897343"/>
    <w:multiLevelType w:val="hybridMultilevel"/>
    <w:tmpl w:val="48A07AA0"/>
    <w:lvl w:ilvl="0" w:tplc="CE32F18E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12AC20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DEC6F92E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10D880FA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87DC8D44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ED127232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4D3A249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1386516C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0C520DF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38" w15:restartNumberingAfterBreak="0">
    <w:nsid w:val="74D72C71"/>
    <w:multiLevelType w:val="multilevel"/>
    <w:tmpl w:val="47A03C5A"/>
    <w:lvl w:ilvl="0">
      <w:start w:val="4"/>
      <w:numFmt w:val="decimal"/>
      <w:lvlText w:val="%1"/>
      <w:lvlJc w:val="left"/>
      <w:pPr>
        <w:ind w:left="258" w:hanging="332"/>
      </w:pPr>
      <w:rPr>
        <w:rFonts w:hint="default"/>
        <w:lang w:val="hu-HU" w:eastAsia="en-US" w:bidi="ar-SA"/>
      </w:rPr>
    </w:lvl>
    <w:lvl w:ilvl="1">
      <w:start w:val="4"/>
      <w:numFmt w:val="decimal"/>
      <w:lvlText w:val="%1.%2"/>
      <w:lvlJc w:val="left"/>
      <w:pPr>
        <w:ind w:left="258" w:hanging="332"/>
      </w:pPr>
      <w:rPr>
        <w:rFonts w:hint="default"/>
        <w:spacing w:val="0"/>
        <w:w w:val="100"/>
        <w:lang w:val="hu-HU" w:eastAsia="en-US" w:bidi="ar-SA"/>
      </w:rPr>
    </w:lvl>
    <w:lvl w:ilvl="2">
      <w:numFmt w:val="bullet"/>
      <w:lvlText w:val="•"/>
      <w:lvlJc w:val="left"/>
      <w:pPr>
        <w:ind w:left="2121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051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982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912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843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77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04" w:hanging="332"/>
      </w:pPr>
      <w:rPr>
        <w:rFonts w:hint="default"/>
        <w:lang w:val="hu-HU" w:eastAsia="en-US" w:bidi="ar-SA"/>
      </w:rPr>
    </w:lvl>
  </w:abstractNum>
  <w:abstractNum w:abstractNumId="39" w15:restartNumberingAfterBreak="0">
    <w:nsid w:val="763474BC"/>
    <w:multiLevelType w:val="hybridMultilevel"/>
    <w:tmpl w:val="206AC5D8"/>
    <w:lvl w:ilvl="0" w:tplc="8B1A0D10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84FC1EE8">
      <w:numFmt w:val="bullet"/>
      <w:lvlText w:val="•"/>
      <w:lvlJc w:val="left"/>
      <w:pPr>
        <w:ind w:left="1201" w:hanging="567"/>
      </w:pPr>
      <w:rPr>
        <w:rFonts w:hint="default"/>
        <w:lang w:val="hu-HU" w:eastAsia="en-US" w:bidi="ar-SA"/>
      </w:rPr>
    </w:lvl>
    <w:lvl w:ilvl="2" w:tplc="201AD0F2">
      <w:numFmt w:val="bullet"/>
      <w:lvlText w:val="•"/>
      <w:lvlJc w:val="left"/>
      <w:pPr>
        <w:ind w:left="1722" w:hanging="567"/>
      </w:pPr>
      <w:rPr>
        <w:rFonts w:hint="default"/>
        <w:lang w:val="hu-HU" w:eastAsia="en-US" w:bidi="ar-SA"/>
      </w:rPr>
    </w:lvl>
    <w:lvl w:ilvl="3" w:tplc="59B2636E">
      <w:numFmt w:val="bullet"/>
      <w:lvlText w:val="•"/>
      <w:lvlJc w:val="left"/>
      <w:pPr>
        <w:ind w:left="2243" w:hanging="567"/>
      </w:pPr>
      <w:rPr>
        <w:rFonts w:hint="default"/>
        <w:lang w:val="hu-HU" w:eastAsia="en-US" w:bidi="ar-SA"/>
      </w:rPr>
    </w:lvl>
    <w:lvl w:ilvl="4" w:tplc="FBDCB632">
      <w:numFmt w:val="bullet"/>
      <w:lvlText w:val="•"/>
      <w:lvlJc w:val="left"/>
      <w:pPr>
        <w:ind w:left="2764" w:hanging="567"/>
      </w:pPr>
      <w:rPr>
        <w:rFonts w:hint="default"/>
        <w:lang w:val="hu-HU" w:eastAsia="en-US" w:bidi="ar-SA"/>
      </w:rPr>
    </w:lvl>
    <w:lvl w:ilvl="5" w:tplc="2938C438">
      <w:numFmt w:val="bullet"/>
      <w:lvlText w:val="•"/>
      <w:lvlJc w:val="left"/>
      <w:pPr>
        <w:ind w:left="3285" w:hanging="567"/>
      </w:pPr>
      <w:rPr>
        <w:rFonts w:hint="default"/>
        <w:lang w:val="hu-HU" w:eastAsia="en-US" w:bidi="ar-SA"/>
      </w:rPr>
    </w:lvl>
    <w:lvl w:ilvl="6" w:tplc="1A3A9A18">
      <w:numFmt w:val="bullet"/>
      <w:lvlText w:val="•"/>
      <w:lvlJc w:val="left"/>
      <w:pPr>
        <w:ind w:left="3806" w:hanging="567"/>
      </w:pPr>
      <w:rPr>
        <w:rFonts w:hint="default"/>
        <w:lang w:val="hu-HU" w:eastAsia="en-US" w:bidi="ar-SA"/>
      </w:rPr>
    </w:lvl>
    <w:lvl w:ilvl="7" w:tplc="0D5E2B36">
      <w:numFmt w:val="bullet"/>
      <w:lvlText w:val="•"/>
      <w:lvlJc w:val="left"/>
      <w:pPr>
        <w:ind w:left="4327" w:hanging="567"/>
      </w:pPr>
      <w:rPr>
        <w:rFonts w:hint="default"/>
        <w:lang w:val="hu-HU" w:eastAsia="en-US" w:bidi="ar-SA"/>
      </w:rPr>
    </w:lvl>
    <w:lvl w:ilvl="8" w:tplc="FC943E1A">
      <w:numFmt w:val="bullet"/>
      <w:lvlText w:val="•"/>
      <w:lvlJc w:val="left"/>
      <w:pPr>
        <w:ind w:left="4848" w:hanging="567"/>
      </w:pPr>
      <w:rPr>
        <w:rFonts w:hint="default"/>
        <w:lang w:val="hu-HU" w:eastAsia="en-US" w:bidi="ar-SA"/>
      </w:rPr>
    </w:lvl>
  </w:abstractNum>
  <w:abstractNum w:abstractNumId="40" w15:restartNumberingAfterBreak="0">
    <w:nsid w:val="770A1BED"/>
    <w:multiLevelType w:val="multilevel"/>
    <w:tmpl w:val="2CFC2B5E"/>
    <w:lvl w:ilvl="0">
      <w:start w:val="1"/>
      <w:numFmt w:val="decimal"/>
      <w:lvlText w:val="%1."/>
      <w:lvlJc w:val="left"/>
      <w:pPr>
        <w:ind w:left="966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2872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828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84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40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696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652" w:hanging="567"/>
      </w:pPr>
      <w:rPr>
        <w:rFonts w:hint="default"/>
        <w:lang w:val="hu-HU" w:eastAsia="en-US" w:bidi="ar-SA"/>
      </w:rPr>
    </w:lvl>
  </w:abstractNum>
  <w:abstractNum w:abstractNumId="41" w15:restartNumberingAfterBreak="0">
    <w:nsid w:val="779D0300"/>
    <w:multiLevelType w:val="hybridMultilevel"/>
    <w:tmpl w:val="83F4AB52"/>
    <w:lvl w:ilvl="0" w:tplc="10CCA252">
      <w:start w:val="1"/>
      <w:numFmt w:val="decimal"/>
      <w:lvlText w:val="%1."/>
      <w:lvlJc w:val="left"/>
      <w:pPr>
        <w:ind w:left="1676" w:hanging="221"/>
      </w:pPr>
      <w:rPr>
        <w:rFonts w:hint="default"/>
        <w:spacing w:val="0"/>
        <w:w w:val="100"/>
        <w:lang w:val="hu-HU" w:eastAsia="en-US" w:bidi="ar-SA"/>
      </w:rPr>
    </w:lvl>
    <w:lvl w:ilvl="1" w:tplc="B9AECC9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36E2FDA6">
      <w:numFmt w:val="bullet"/>
      <w:lvlText w:val="•"/>
      <w:lvlJc w:val="left"/>
      <w:pPr>
        <w:ind w:left="2556" w:hanging="567"/>
      </w:pPr>
      <w:rPr>
        <w:rFonts w:hint="default"/>
        <w:lang w:val="hu-HU" w:eastAsia="en-US" w:bidi="ar-SA"/>
      </w:rPr>
    </w:lvl>
    <w:lvl w:ilvl="3" w:tplc="75768DE2">
      <w:numFmt w:val="bullet"/>
      <w:lvlText w:val="•"/>
      <w:lvlJc w:val="left"/>
      <w:pPr>
        <w:ind w:left="3432" w:hanging="567"/>
      </w:pPr>
      <w:rPr>
        <w:rFonts w:hint="default"/>
        <w:lang w:val="hu-HU" w:eastAsia="en-US" w:bidi="ar-SA"/>
      </w:rPr>
    </w:lvl>
    <w:lvl w:ilvl="4" w:tplc="B2DE8204">
      <w:numFmt w:val="bullet"/>
      <w:lvlText w:val="•"/>
      <w:lvlJc w:val="left"/>
      <w:pPr>
        <w:ind w:left="4308" w:hanging="567"/>
      </w:pPr>
      <w:rPr>
        <w:rFonts w:hint="default"/>
        <w:lang w:val="hu-HU" w:eastAsia="en-US" w:bidi="ar-SA"/>
      </w:rPr>
    </w:lvl>
    <w:lvl w:ilvl="5" w:tplc="4410A56A">
      <w:numFmt w:val="bullet"/>
      <w:lvlText w:val="•"/>
      <w:lvlJc w:val="left"/>
      <w:pPr>
        <w:ind w:left="5184" w:hanging="567"/>
      </w:pPr>
      <w:rPr>
        <w:rFonts w:hint="default"/>
        <w:lang w:val="hu-HU" w:eastAsia="en-US" w:bidi="ar-SA"/>
      </w:rPr>
    </w:lvl>
    <w:lvl w:ilvl="6" w:tplc="5CE2C8D4">
      <w:numFmt w:val="bullet"/>
      <w:lvlText w:val="•"/>
      <w:lvlJc w:val="left"/>
      <w:pPr>
        <w:ind w:left="6060" w:hanging="567"/>
      </w:pPr>
      <w:rPr>
        <w:rFonts w:hint="default"/>
        <w:lang w:val="hu-HU" w:eastAsia="en-US" w:bidi="ar-SA"/>
      </w:rPr>
    </w:lvl>
    <w:lvl w:ilvl="7" w:tplc="271016DE">
      <w:numFmt w:val="bullet"/>
      <w:lvlText w:val="•"/>
      <w:lvlJc w:val="left"/>
      <w:pPr>
        <w:ind w:left="6936" w:hanging="567"/>
      </w:pPr>
      <w:rPr>
        <w:rFonts w:hint="default"/>
        <w:lang w:val="hu-HU" w:eastAsia="en-US" w:bidi="ar-SA"/>
      </w:rPr>
    </w:lvl>
    <w:lvl w:ilvl="8" w:tplc="93EEA0F4">
      <w:numFmt w:val="bullet"/>
      <w:lvlText w:val="•"/>
      <w:lvlJc w:val="left"/>
      <w:pPr>
        <w:ind w:left="7812" w:hanging="567"/>
      </w:pPr>
      <w:rPr>
        <w:rFonts w:hint="default"/>
        <w:lang w:val="hu-HU" w:eastAsia="en-US" w:bidi="ar-SA"/>
      </w:rPr>
    </w:lvl>
  </w:abstractNum>
  <w:abstractNum w:abstractNumId="42" w15:restartNumberingAfterBreak="0">
    <w:nsid w:val="79051237"/>
    <w:multiLevelType w:val="hybridMultilevel"/>
    <w:tmpl w:val="DADEF8A4"/>
    <w:lvl w:ilvl="0" w:tplc="5AE46E76">
      <w:numFmt w:val="bullet"/>
      <w:lvlText w:val="•"/>
      <w:lvlJc w:val="left"/>
      <w:pPr>
        <w:ind w:left="824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9D8809C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3E18955C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EAC82B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125822A6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901CF61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B3B01242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C9F43938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814A9304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3" w15:restartNumberingAfterBreak="0">
    <w:nsid w:val="7B152686"/>
    <w:multiLevelType w:val="hybridMultilevel"/>
    <w:tmpl w:val="57FE3C1A"/>
    <w:lvl w:ilvl="0" w:tplc="04F68E90">
      <w:numFmt w:val="bullet"/>
      <w:lvlText w:val=""/>
      <w:lvlJc w:val="left"/>
      <w:pPr>
        <w:ind w:left="67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682EB12">
      <w:numFmt w:val="bullet"/>
      <w:lvlText w:val="•"/>
      <w:lvlJc w:val="left"/>
      <w:pPr>
        <w:ind w:left="1177" w:hanging="567"/>
      </w:pPr>
      <w:rPr>
        <w:rFonts w:hint="default"/>
        <w:lang w:val="hu-HU" w:eastAsia="en-US" w:bidi="ar-SA"/>
      </w:rPr>
    </w:lvl>
    <w:lvl w:ilvl="2" w:tplc="C9707098">
      <w:numFmt w:val="bullet"/>
      <w:lvlText w:val="•"/>
      <w:lvlJc w:val="left"/>
      <w:pPr>
        <w:ind w:left="1675" w:hanging="567"/>
      </w:pPr>
      <w:rPr>
        <w:rFonts w:hint="default"/>
        <w:lang w:val="hu-HU" w:eastAsia="en-US" w:bidi="ar-SA"/>
      </w:rPr>
    </w:lvl>
    <w:lvl w:ilvl="3" w:tplc="15326F4C">
      <w:numFmt w:val="bullet"/>
      <w:lvlText w:val="•"/>
      <w:lvlJc w:val="left"/>
      <w:pPr>
        <w:ind w:left="2173" w:hanging="567"/>
      </w:pPr>
      <w:rPr>
        <w:rFonts w:hint="default"/>
        <w:lang w:val="hu-HU" w:eastAsia="en-US" w:bidi="ar-SA"/>
      </w:rPr>
    </w:lvl>
    <w:lvl w:ilvl="4" w:tplc="2B804B40">
      <w:numFmt w:val="bullet"/>
      <w:lvlText w:val="•"/>
      <w:lvlJc w:val="left"/>
      <w:pPr>
        <w:ind w:left="2671" w:hanging="567"/>
      </w:pPr>
      <w:rPr>
        <w:rFonts w:hint="default"/>
        <w:lang w:val="hu-HU" w:eastAsia="en-US" w:bidi="ar-SA"/>
      </w:rPr>
    </w:lvl>
    <w:lvl w:ilvl="5" w:tplc="36ACEBBA">
      <w:numFmt w:val="bullet"/>
      <w:lvlText w:val="•"/>
      <w:lvlJc w:val="left"/>
      <w:pPr>
        <w:ind w:left="3169" w:hanging="567"/>
      </w:pPr>
      <w:rPr>
        <w:rFonts w:hint="default"/>
        <w:lang w:val="hu-HU" w:eastAsia="en-US" w:bidi="ar-SA"/>
      </w:rPr>
    </w:lvl>
    <w:lvl w:ilvl="6" w:tplc="D068D788">
      <w:numFmt w:val="bullet"/>
      <w:lvlText w:val="•"/>
      <w:lvlJc w:val="left"/>
      <w:pPr>
        <w:ind w:left="3667" w:hanging="567"/>
      </w:pPr>
      <w:rPr>
        <w:rFonts w:hint="default"/>
        <w:lang w:val="hu-HU" w:eastAsia="en-US" w:bidi="ar-SA"/>
      </w:rPr>
    </w:lvl>
    <w:lvl w:ilvl="7" w:tplc="048A79F6">
      <w:numFmt w:val="bullet"/>
      <w:lvlText w:val="•"/>
      <w:lvlJc w:val="left"/>
      <w:pPr>
        <w:ind w:left="4165" w:hanging="567"/>
      </w:pPr>
      <w:rPr>
        <w:rFonts w:hint="default"/>
        <w:lang w:val="hu-HU" w:eastAsia="en-US" w:bidi="ar-SA"/>
      </w:rPr>
    </w:lvl>
    <w:lvl w:ilvl="8" w:tplc="310AD576">
      <w:numFmt w:val="bullet"/>
      <w:lvlText w:val="•"/>
      <w:lvlJc w:val="left"/>
      <w:pPr>
        <w:ind w:left="4663" w:hanging="567"/>
      </w:pPr>
      <w:rPr>
        <w:rFonts w:hint="default"/>
        <w:lang w:val="hu-HU" w:eastAsia="en-US" w:bidi="ar-SA"/>
      </w:rPr>
    </w:lvl>
  </w:abstractNum>
  <w:abstractNum w:abstractNumId="44" w15:restartNumberingAfterBreak="0">
    <w:nsid w:val="7D337053"/>
    <w:multiLevelType w:val="hybridMultilevel"/>
    <w:tmpl w:val="0096B264"/>
    <w:lvl w:ilvl="0" w:tplc="20FA7A54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2DE5566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98CE84BA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4656BA66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8320F27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C742C548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D4D8F38E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3FDC42EE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19B24720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abstractNum w:abstractNumId="45" w15:restartNumberingAfterBreak="0">
    <w:nsid w:val="7FB50918"/>
    <w:multiLevelType w:val="hybridMultilevel"/>
    <w:tmpl w:val="06740C40"/>
    <w:lvl w:ilvl="0" w:tplc="40404CEC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35E649A">
      <w:numFmt w:val="bullet"/>
      <w:lvlText w:val="•"/>
      <w:lvlJc w:val="left"/>
      <w:pPr>
        <w:ind w:left="1694" w:hanging="567"/>
      </w:pPr>
      <w:rPr>
        <w:rFonts w:hint="default"/>
        <w:lang w:val="hu-HU" w:eastAsia="en-US" w:bidi="ar-SA"/>
      </w:rPr>
    </w:lvl>
    <w:lvl w:ilvl="2" w:tplc="CB703014">
      <w:numFmt w:val="bullet"/>
      <w:lvlText w:val="•"/>
      <w:lvlJc w:val="left"/>
      <w:pPr>
        <w:ind w:left="2569" w:hanging="567"/>
      </w:pPr>
      <w:rPr>
        <w:rFonts w:hint="default"/>
        <w:lang w:val="hu-HU" w:eastAsia="en-US" w:bidi="ar-SA"/>
      </w:rPr>
    </w:lvl>
    <w:lvl w:ilvl="3" w:tplc="FC5CF0D0">
      <w:numFmt w:val="bullet"/>
      <w:lvlText w:val="•"/>
      <w:lvlJc w:val="left"/>
      <w:pPr>
        <w:ind w:left="3443" w:hanging="567"/>
      </w:pPr>
      <w:rPr>
        <w:rFonts w:hint="default"/>
        <w:lang w:val="hu-HU" w:eastAsia="en-US" w:bidi="ar-SA"/>
      </w:rPr>
    </w:lvl>
    <w:lvl w:ilvl="4" w:tplc="F1A883C2">
      <w:numFmt w:val="bullet"/>
      <w:lvlText w:val="•"/>
      <w:lvlJc w:val="left"/>
      <w:pPr>
        <w:ind w:left="4318" w:hanging="567"/>
      </w:pPr>
      <w:rPr>
        <w:rFonts w:hint="default"/>
        <w:lang w:val="hu-HU" w:eastAsia="en-US" w:bidi="ar-SA"/>
      </w:rPr>
    </w:lvl>
    <w:lvl w:ilvl="5" w:tplc="51B61A2C">
      <w:numFmt w:val="bullet"/>
      <w:lvlText w:val="•"/>
      <w:lvlJc w:val="left"/>
      <w:pPr>
        <w:ind w:left="5192" w:hanging="567"/>
      </w:pPr>
      <w:rPr>
        <w:rFonts w:hint="default"/>
        <w:lang w:val="hu-HU" w:eastAsia="en-US" w:bidi="ar-SA"/>
      </w:rPr>
    </w:lvl>
    <w:lvl w:ilvl="6" w:tplc="88A81948">
      <w:numFmt w:val="bullet"/>
      <w:lvlText w:val="•"/>
      <w:lvlJc w:val="left"/>
      <w:pPr>
        <w:ind w:left="6067" w:hanging="567"/>
      </w:pPr>
      <w:rPr>
        <w:rFonts w:hint="default"/>
        <w:lang w:val="hu-HU" w:eastAsia="en-US" w:bidi="ar-SA"/>
      </w:rPr>
    </w:lvl>
    <w:lvl w:ilvl="7" w:tplc="2EE8EC30">
      <w:numFmt w:val="bullet"/>
      <w:lvlText w:val="•"/>
      <w:lvlJc w:val="left"/>
      <w:pPr>
        <w:ind w:left="6941" w:hanging="567"/>
      </w:pPr>
      <w:rPr>
        <w:rFonts w:hint="default"/>
        <w:lang w:val="hu-HU" w:eastAsia="en-US" w:bidi="ar-SA"/>
      </w:rPr>
    </w:lvl>
    <w:lvl w:ilvl="8" w:tplc="AF86581C">
      <w:numFmt w:val="bullet"/>
      <w:lvlText w:val="•"/>
      <w:lvlJc w:val="left"/>
      <w:pPr>
        <w:ind w:left="7816" w:hanging="567"/>
      </w:pPr>
      <w:rPr>
        <w:rFonts w:hint="default"/>
        <w:lang w:val="hu-HU" w:eastAsia="en-US" w:bidi="ar-SA"/>
      </w:rPr>
    </w:lvl>
  </w:abstractNum>
  <w:num w:numId="1" w16cid:durableId="1460882938">
    <w:abstractNumId w:val="42"/>
  </w:num>
  <w:num w:numId="2" w16cid:durableId="562839741">
    <w:abstractNumId w:val="17"/>
  </w:num>
  <w:num w:numId="3" w16cid:durableId="255405065">
    <w:abstractNumId w:val="26"/>
  </w:num>
  <w:num w:numId="4" w16cid:durableId="1924872745">
    <w:abstractNumId w:val="10"/>
  </w:num>
  <w:num w:numId="5" w16cid:durableId="536746059">
    <w:abstractNumId w:val="13"/>
  </w:num>
  <w:num w:numId="6" w16cid:durableId="550651662">
    <w:abstractNumId w:val="12"/>
  </w:num>
  <w:num w:numId="7" w16cid:durableId="555316377">
    <w:abstractNumId w:val="11"/>
  </w:num>
  <w:num w:numId="8" w16cid:durableId="1747338827">
    <w:abstractNumId w:val="9"/>
  </w:num>
  <w:num w:numId="9" w16cid:durableId="277371934">
    <w:abstractNumId w:val="2"/>
  </w:num>
  <w:num w:numId="10" w16cid:durableId="1943485722">
    <w:abstractNumId w:val="19"/>
  </w:num>
  <w:num w:numId="11" w16cid:durableId="1375496931">
    <w:abstractNumId w:val="20"/>
  </w:num>
  <w:num w:numId="12" w16cid:durableId="135949155">
    <w:abstractNumId w:val="8"/>
  </w:num>
  <w:num w:numId="13" w16cid:durableId="934291226">
    <w:abstractNumId w:val="29"/>
  </w:num>
  <w:num w:numId="14" w16cid:durableId="1455444662">
    <w:abstractNumId w:val="45"/>
  </w:num>
  <w:num w:numId="15" w16cid:durableId="1478958492">
    <w:abstractNumId w:val="21"/>
  </w:num>
  <w:num w:numId="16" w16cid:durableId="261231913">
    <w:abstractNumId w:val="44"/>
  </w:num>
  <w:num w:numId="17" w16cid:durableId="1540048317">
    <w:abstractNumId w:val="3"/>
  </w:num>
  <w:num w:numId="18" w16cid:durableId="69885949">
    <w:abstractNumId w:val="23"/>
  </w:num>
  <w:num w:numId="19" w16cid:durableId="1171682067">
    <w:abstractNumId w:val="7"/>
  </w:num>
  <w:num w:numId="20" w16cid:durableId="678774009">
    <w:abstractNumId w:val="30"/>
  </w:num>
  <w:num w:numId="21" w16cid:durableId="284695694">
    <w:abstractNumId w:val="31"/>
  </w:num>
  <w:num w:numId="22" w16cid:durableId="1138958798">
    <w:abstractNumId w:val="39"/>
  </w:num>
  <w:num w:numId="23" w16cid:durableId="666785584">
    <w:abstractNumId w:val="4"/>
  </w:num>
  <w:num w:numId="24" w16cid:durableId="419520234">
    <w:abstractNumId w:val="33"/>
  </w:num>
  <w:num w:numId="25" w16cid:durableId="409548521">
    <w:abstractNumId w:val="6"/>
  </w:num>
  <w:num w:numId="26" w16cid:durableId="245458462">
    <w:abstractNumId w:val="24"/>
  </w:num>
  <w:num w:numId="27" w16cid:durableId="1704938285">
    <w:abstractNumId w:val="35"/>
  </w:num>
  <w:num w:numId="28" w16cid:durableId="216625001">
    <w:abstractNumId w:val="22"/>
  </w:num>
  <w:num w:numId="29" w16cid:durableId="1579245570">
    <w:abstractNumId w:val="25"/>
  </w:num>
  <w:num w:numId="30" w16cid:durableId="778448310">
    <w:abstractNumId w:val="1"/>
  </w:num>
  <w:num w:numId="31" w16cid:durableId="961959374">
    <w:abstractNumId w:val="43"/>
  </w:num>
  <w:num w:numId="32" w16cid:durableId="1352295933">
    <w:abstractNumId w:val="18"/>
  </w:num>
  <w:num w:numId="33" w16cid:durableId="1164392127">
    <w:abstractNumId w:val="15"/>
  </w:num>
  <w:num w:numId="34" w16cid:durableId="612133211">
    <w:abstractNumId w:val="34"/>
  </w:num>
  <w:num w:numId="35" w16cid:durableId="1328560725">
    <w:abstractNumId w:val="36"/>
  </w:num>
  <w:num w:numId="36" w16cid:durableId="521169086">
    <w:abstractNumId w:val="40"/>
  </w:num>
  <w:num w:numId="37" w16cid:durableId="395706522">
    <w:abstractNumId w:val="37"/>
  </w:num>
  <w:num w:numId="38" w16cid:durableId="1921719572">
    <w:abstractNumId w:val="38"/>
  </w:num>
  <w:num w:numId="39" w16cid:durableId="1798523109">
    <w:abstractNumId w:val="0"/>
  </w:num>
  <w:num w:numId="40" w16cid:durableId="1427114970">
    <w:abstractNumId w:val="5"/>
  </w:num>
  <w:num w:numId="41" w16cid:durableId="1046098537">
    <w:abstractNumId w:val="14"/>
  </w:num>
  <w:num w:numId="42" w16cid:durableId="1865166651">
    <w:abstractNumId w:val="28"/>
  </w:num>
  <w:num w:numId="43" w16cid:durableId="1598751808">
    <w:abstractNumId w:val="41"/>
  </w:num>
  <w:num w:numId="44" w16cid:durableId="466120672">
    <w:abstractNumId w:val="32"/>
  </w:num>
  <w:num w:numId="45" w16cid:durableId="926841499">
    <w:abstractNumId w:val="16"/>
  </w:num>
  <w:num w:numId="46" w16cid:durableId="1422216600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59"/>
    <w:rsid w:val="00002AA2"/>
    <w:rsid w:val="000220FB"/>
    <w:rsid w:val="00035751"/>
    <w:rsid w:val="00043989"/>
    <w:rsid w:val="000458CD"/>
    <w:rsid w:val="00067923"/>
    <w:rsid w:val="00072EAE"/>
    <w:rsid w:val="00094D04"/>
    <w:rsid w:val="000D0128"/>
    <w:rsid w:val="000D6AF0"/>
    <w:rsid w:val="000F4D8E"/>
    <w:rsid w:val="000F67EB"/>
    <w:rsid w:val="00115B93"/>
    <w:rsid w:val="00122B24"/>
    <w:rsid w:val="00157FAE"/>
    <w:rsid w:val="001602BE"/>
    <w:rsid w:val="00184036"/>
    <w:rsid w:val="001940BD"/>
    <w:rsid w:val="00220A43"/>
    <w:rsid w:val="00223531"/>
    <w:rsid w:val="0023771E"/>
    <w:rsid w:val="0024025D"/>
    <w:rsid w:val="00252680"/>
    <w:rsid w:val="002605DD"/>
    <w:rsid w:val="00266D03"/>
    <w:rsid w:val="002754FF"/>
    <w:rsid w:val="00281258"/>
    <w:rsid w:val="00291CF6"/>
    <w:rsid w:val="00294835"/>
    <w:rsid w:val="00296615"/>
    <w:rsid w:val="002A1D60"/>
    <w:rsid w:val="002A543B"/>
    <w:rsid w:val="002B0D02"/>
    <w:rsid w:val="002B2C85"/>
    <w:rsid w:val="002B35BE"/>
    <w:rsid w:val="002D6A7E"/>
    <w:rsid w:val="002D7C56"/>
    <w:rsid w:val="002E05FA"/>
    <w:rsid w:val="002E1BDE"/>
    <w:rsid w:val="002E2A7B"/>
    <w:rsid w:val="00303D5E"/>
    <w:rsid w:val="00304920"/>
    <w:rsid w:val="00324467"/>
    <w:rsid w:val="00333EE9"/>
    <w:rsid w:val="003811EA"/>
    <w:rsid w:val="00397BD3"/>
    <w:rsid w:val="003B2FE8"/>
    <w:rsid w:val="003D1C9F"/>
    <w:rsid w:val="003E1A8F"/>
    <w:rsid w:val="003F2074"/>
    <w:rsid w:val="003F5430"/>
    <w:rsid w:val="00406B91"/>
    <w:rsid w:val="004156EC"/>
    <w:rsid w:val="00425D7B"/>
    <w:rsid w:val="00440155"/>
    <w:rsid w:val="004562B6"/>
    <w:rsid w:val="0047205B"/>
    <w:rsid w:val="0048288C"/>
    <w:rsid w:val="004936C7"/>
    <w:rsid w:val="00494782"/>
    <w:rsid w:val="00496413"/>
    <w:rsid w:val="004C6959"/>
    <w:rsid w:val="004D28B9"/>
    <w:rsid w:val="004D28E3"/>
    <w:rsid w:val="004E17CD"/>
    <w:rsid w:val="004F4A3C"/>
    <w:rsid w:val="00511F35"/>
    <w:rsid w:val="00551F42"/>
    <w:rsid w:val="00552FF0"/>
    <w:rsid w:val="005568D3"/>
    <w:rsid w:val="00557363"/>
    <w:rsid w:val="0058272A"/>
    <w:rsid w:val="00595690"/>
    <w:rsid w:val="005A65DF"/>
    <w:rsid w:val="005B0E5A"/>
    <w:rsid w:val="005C5C9B"/>
    <w:rsid w:val="005D6030"/>
    <w:rsid w:val="005D62D1"/>
    <w:rsid w:val="00600279"/>
    <w:rsid w:val="00620857"/>
    <w:rsid w:val="006562C8"/>
    <w:rsid w:val="0067328B"/>
    <w:rsid w:val="006A386D"/>
    <w:rsid w:val="006C2A98"/>
    <w:rsid w:val="006D73BD"/>
    <w:rsid w:val="006F46D6"/>
    <w:rsid w:val="006F63D0"/>
    <w:rsid w:val="00701BD2"/>
    <w:rsid w:val="00703531"/>
    <w:rsid w:val="00731512"/>
    <w:rsid w:val="0074336D"/>
    <w:rsid w:val="0075692F"/>
    <w:rsid w:val="00783908"/>
    <w:rsid w:val="007A316E"/>
    <w:rsid w:val="007C0F34"/>
    <w:rsid w:val="007D0E63"/>
    <w:rsid w:val="007D2525"/>
    <w:rsid w:val="007F3711"/>
    <w:rsid w:val="00844090"/>
    <w:rsid w:val="00872F42"/>
    <w:rsid w:val="00891449"/>
    <w:rsid w:val="008A28A3"/>
    <w:rsid w:val="008B2815"/>
    <w:rsid w:val="008D4345"/>
    <w:rsid w:val="008F5A8D"/>
    <w:rsid w:val="00930933"/>
    <w:rsid w:val="00945359"/>
    <w:rsid w:val="009465F3"/>
    <w:rsid w:val="009558F7"/>
    <w:rsid w:val="0096739F"/>
    <w:rsid w:val="00977927"/>
    <w:rsid w:val="009850A8"/>
    <w:rsid w:val="0099084B"/>
    <w:rsid w:val="00991911"/>
    <w:rsid w:val="009B3CFA"/>
    <w:rsid w:val="009B71C7"/>
    <w:rsid w:val="009F1940"/>
    <w:rsid w:val="00A308E9"/>
    <w:rsid w:val="00A57E4B"/>
    <w:rsid w:val="00A740E6"/>
    <w:rsid w:val="00A76255"/>
    <w:rsid w:val="00A872AA"/>
    <w:rsid w:val="00A9240D"/>
    <w:rsid w:val="00A95579"/>
    <w:rsid w:val="00AA0A83"/>
    <w:rsid w:val="00AB32E4"/>
    <w:rsid w:val="00AB49C5"/>
    <w:rsid w:val="00AC018E"/>
    <w:rsid w:val="00AC3013"/>
    <w:rsid w:val="00AE4C8D"/>
    <w:rsid w:val="00B13915"/>
    <w:rsid w:val="00B249D8"/>
    <w:rsid w:val="00B267DD"/>
    <w:rsid w:val="00B532D6"/>
    <w:rsid w:val="00B60AA8"/>
    <w:rsid w:val="00B761F5"/>
    <w:rsid w:val="00B8180E"/>
    <w:rsid w:val="00B900F2"/>
    <w:rsid w:val="00B95CAF"/>
    <w:rsid w:val="00BC10BA"/>
    <w:rsid w:val="00BD17B5"/>
    <w:rsid w:val="00BE2AF7"/>
    <w:rsid w:val="00BE5924"/>
    <w:rsid w:val="00BF466F"/>
    <w:rsid w:val="00C03502"/>
    <w:rsid w:val="00C0576A"/>
    <w:rsid w:val="00C05FFC"/>
    <w:rsid w:val="00C337EA"/>
    <w:rsid w:val="00C4427F"/>
    <w:rsid w:val="00C52723"/>
    <w:rsid w:val="00C747CD"/>
    <w:rsid w:val="00C92404"/>
    <w:rsid w:val="00CA14F7"/>
    <w:rsid w:val="00CE461C"/>
    <w:rsid w:val="00CF7BFA"/>
    <w:rsid w:val="00D32DEF"/>
    <w:rsid w:val="00D75833"/>
    <w:rsid w:val="00D81CAD"/>
    <w:rsid w:val="00DA2E67"/>
    <w:rsid w:val="00DB725A"/>
    <w:rsid w:val="00DD1173"/>
    <w:rsid w:val="00E004BD"/>
    <w:rsid w:val="00E142C6"/>
    <w:rsid w:val="00E27176"/>
    <w:rsid w:val="00E32C4C"/>
    <w:rsid w:val="00E40DDA"/>
    <w:rsid w:val="00E44D56"/>
    <w:rsid w:val="00EC3149"/>
    <w:rsid w:val="00ED3263"/>
    <w:rsid w:val="00EF46B4"/>
    <w:rsid w:val="00F02CD6"/>
    <w:rsid w:val="00F02D44"/>
    <w:rsid w:val="00F04C0A"/>
    <w:rsid w:val="00F1122B"/>
    <w:rsid w:val="00F420ED"/>
    <w:rsid w:val="00F464B5"/>
    <w:rsid w:val="00F46D20"/>
    <w:rsid w:val="00F532DD"/>
    <w:rsid w:val="00F76AE3"/>
    <w:rsid w:val="00F80633"/>
    <w:rsid w:val="00F954A1"/>
    <w:rsid w:val="00FD0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9B039A"/>
  <w15:docId w15:val="{B21816C7-AEED-4B6F-8746-E93B4963B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ind w:left="258"/>
      <w:outlineLvl w:val="0"/>
    </w:pPr>
    <w:rPr>
      <w:sz w:val="24"/>
      <w:szCs w:val="24"/>
    </w:rPr>
  </w:style>
  <w:style w:type="paragraph" w:styleId="Cmsor2">
    <w:name w:val="heading 2"/>
    <w:basedOn w:val="Norml"/>
    <w:uiPriority w:val="9"/>
    <w:unhideWhenUsed/>
    <w:qFormat/>
    <w:pPr>
      <w:spacing w:before="20"/>
      <w:ind w:left="107"/>
      <w:outlineLvl w:val="1"/>
    </w:pPr>
    <w:rPr>
      <w:b/>
      <w:bCs/>
    </w:rPr>
  </w:style>
  <w:style w:type="paragraph" w:styleId="Cmsor3">
    <w:name w:val="heading 3"/>
    <w:basedOn w:val="Norml"/>
    <w:uiPriority w:val="9"/>
    <w:unhideWhenUsed/>
    <w:qFormat/>
    <w:pPr>
      <w:ind w:left="366"/>
      <w:outlineLvl w:val="2"/>
    </w:pPr>
    <w:rPr>
      <w:b/>
      <w:bCs/>
    </w:rPr>
  </w:style>
  <w:style w:type="paragraph" w:styleId="Cmsor4">
    <w:name w:val="heading 4"/>
    <w:basedOn w:val="Norml"/>
    <w:uiPriority w:val="9"/>
    <w:unhideWhenUsed/>
    <w:qFormat/>
    <w:pPr>
      <w:ind w:left="258"/>
      <w:outlineLvl w:val="3"/>
    </w:pPr>
    <w:rPr>
      <w:b/>
      <w:bCs/>
      <w:i/>
      <w:iCs/>
      <w:u w:val="single" w:color="000000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F466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6"/>
    </w:pPr>
  </w:style>
  <w:style w:type="paragraph" w:customStyle="1" w:styleId="TableParagraph">
    <w:name w:val="Table Paragraph"/>
    <w:basedOn w:val="Norml"/>
    <w:uiPriority w:val="1"/>
    <w:qFormat/>
    <w:pPr>
      <w:spacing w:line="234" w:lineRule="exact"/>
      <w:ind w:left="107"/>
    </w:pPr>
  </w:style>
  <w:style w:type="character" w:styleId="Hiperhivatkozs">
    <w:name w:val="Hyperlink"/>
    <w:rsid w:val="00D75833"/>
    <w:rPr>
      <w:color w:val="0000FF"/>
      <w:u w:val="single"/>
    </w:rPr>
  </w:style>
  <w:style w:type="table" w:styleId="Rcsostblzat">
    <w:name w:val="Table Grid"/>
    <w:basedOn w:val="Normltblzat"/>
    <w:rsid w:val="00D75833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basedOn w:val="Bekezdsalapbettpusa"/>
    <w:link w:val="Szvegtrzs"/>
    <w:uiPriority w:val="1"/>
    <w:rsid w:val="003F5430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406B91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F466F"/>
    <w:rPr>
      <w:rFonts w:asciiTheme="majorHAnsi" w:eastAsiaTheme="majorEastAsia" w:hAnsiTheme="majorHAnsi" w:cstheme="majorBidi"/>
      <w:color w:val="365F91" w:themeColor="accent1" w:themeShade="BF"/>
      <w:lang w:val="hu-HU"/>
    </w:rPr>
  </w:style>
  <w:style w:type="paragraph" w:styleId="Buborkszveg">
    <w:name w:val="Balloon Text"/>
    <w:basedOn w:val="Norml"/>
    <w:link w:val="BuborkszvegChar"/>
    <w:unhideWhenUsed/>
    <w:rsid w:val="00CF7BF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CF7BFA"/>
    <w:rPr>
      <w:rFonts w:ascii="Segoe UI" w:eastAsia="Times New Roman" w:hAnsi="Segoe UI" w:cs="Segoe UI"/>
      <w:sz w:val="18"/>
      <w:szCs w:val="18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29483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29483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294835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9483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94835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paragraph" w:styleId="lfej">
    <w:name w:val="header"/>
    <w:basedOn w:val="Norml"/>
    <w:link w:val="lfejChar"/>
    <w:uiPriority w:val="99"/>
    <w:unhideWhenUsed/>
    <w:rsid w:val="00303D5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03D5E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303D5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03D5E"/>
    <w:rPr>
      <w:rFonts w:ascii="Times New Roman" w:eastAsia="Times New Roman" w:hAnsi="Times New Roman" w:cs="Times New Roman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5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41</Pages>
  <Words>16091</Words>
  <Characters>111032</Characters>
  <Application>Microsoft Office Word</Application>
  <DocSecurity>0</DocSecurity>
  <Lines>925</Lines>
  <Paragraphs>253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Pradaxa, INN-dabigatran etexilate</vt:lpstr>
      <vt:lpstr>Pradaxa, INN-dabigatran etexilate</vt:lpstr>
      <vt:lpstr>Pradaxa, INN-dabigatran etexilate</vt:lpstr>
    </vt:vector>
  </TitlesOfParts>
  <Company/>
  <LinksUpToDate>false</LinksUpToDate>
  <CharactersWithSpaces>126870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Pradaxa, INN-dabigatran etexilate</dc:title>
  <dc:subject>EPAR</dc:subject>
  <dc:creator>CHMP</dc:creator>
  <cp:keywords>Pradaxa, INN-dabigatran etexilate</cp:keywords>
  <cp:lastModifiedBy>OGYI_62.1</cp:lastModifiedBy>
  <cp:revision>15</cp:revision>
  <dcterms:created xsi:type="dcterms:W3CDTF">2025-07-09T21:08:00Z</dcterms:created>
  <dcterms:modified xsi:type="dcterms:W3CDTF">2026-06-09T10:57:00Z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Creator">
    <vt:lpwstr>LIQUENT InSight Rendering</vt:lpwstr>
  </property>
  <property fmtid="{D5CDD505-2E9C-101B-9397-08002B2CF9AE}" pid="4" name="LastSaved">
    <vt:filetime>2025-03-25T00:00:00Z</vt:filetime>
  </property>
  <property fmtid="{D5CDD505-2E9C-101B-9397-08002B2CF9AE}" pid="5" name="Producer">
    <vt:lpwstr>Amyuni PDF Converter version 6.0.1.1; Amyuni PDF Creator 6.0.1.1 rev 10834 CDIntf</vt:lpwstr>
  </property>
</Properties>
</file>