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7B86BE" w14:textId="77777777" w:rsidR="00735A04" w:rsidRPr="00030ED3" w:rsidRDefault="00735A04" w:rsidP="00030ED3">
      <w:pPr>
        <w:pStyle w:val="Cmsor3"/>
        <w:keepNext w:val="0"/>
        <w:jc w:val="left"/>
        <w:rPr>
          <w:sz w:val="22"/>
          <w:szCs w:val="22"/>
        </w:rPr>
      </w:pPr>
      <w:r w:rsidRPr="00030ED3">
        <w:rPr>
          <w:sz w:val="22"/>
          <w:szCs w:val="22"/>
        </w:rPr>
        <w:t>1.</w:t>
      </w:r>
      <w:r w:rsidRPr="00030ED3">
        <w:rPr>
          <w:sz w:val="22"/>
          <w:szCs w:val="22"/>
        </w:rPr>
        <w:tab/>
        <w:t>A GYÓGYSZER NEVE</w:t>
      </w:r>
    </w:p>
    <w:p w14:paraId="23ECEDAF" w14:textId="77777777" w:rsidR="00735A04" w:rsidRPr="00030ED3" w:rsidRDefault="00735A04" w:rsidP="00030ED3">
      <w:pPr>
        <w:tabs>
          <w:tab w:val="left" w:pos="2190"/>
        </w:tabs>
        <w:rPr>
          <w:sz w:val="22"/>
          <w:szCs w:val="22"/>
        </w:rPr>
      </w:pPr>
    </w:p>
    <w:p w14:paraId="53671110" w14:textId="6FFE23DA" w:rsidR="00735A04" w:rsidRPr="00030ED3" w:rsidRDefault="00DE4C0D" w:rsidP="00030ED3">
      <w:pPr>
        <w:tabs>
          <w:tab w:val="right" w:pos="8313"/>
        </w:tabs>
        <w:rPr>
          <w:sz w:val="22"/>
          <w:szCs w:val="22"/>
        </w:rPr>
      </w:pPr>
      <w:r w:rsidRPr="00030ED3">
        <w:rPr>
          <w:sz w:val="22"/>
          <w:szCs w:val="22"/>
        </w:rPr>
        <w:t>Pantoprazole Stada</w:t>
      </w:r>
      <w:r w:rsidR="00FC275E" w:rsidRPr="00030ED3">
        <w:rPr>
          <w:sz w:val="22"/>
          <w:szCs w:val="22"/>
        </w:rPr>
        <w:t xml:space="preserve"> 40</w:t>
      </w:r>
      <w:r w:rsidR="00D94B8D" w:rsidRPr="00030ED3">
        <w:rPr>
          <w:sz w:val="22"/>
          <w:szCs w:val="22"/>
        </w:rPr>
        <w:t> </w:t>
      </w:r>
      <w:r w:rsidR="00FC275E" w:rsidRPr="00030ED3">
        <w:rPr>
          <w:sz w:val="22"/>
          <w:szCs w:val="22"/>
        </w:rPr>
        <w:t>mg por oldatos injekcióhoz</w:t>
      </w:r>
    </w:p>
    <w:p w14:paraId="34067F62" w14:textId="77777777" w:rsidR="00735A04" w:rsidRPr="00030ED3" w:rsidRDefault="00735A04" w:rsidP="00030ED3">
      <w:pPr>
        <w:tabs>
          <w:tab w:val="right" w:pos="8313"/>
        </w:tabs>
        <w:rPr>
          <w:sz w:val="22"/>
          <w:szCs w:val="22"/>
        </w:rPr>
      </w:pPr>
    </w:p>
    <w:p w14:paraId="7851B401" w14:textId="77777777" w:rsidR="00735A04" w:rsidRPr="00030ED3" w:rsidRDefault="00735A04" w:rsidP="00030ED3">
      <w:pPr>
        <w:tabs>
          <w:tab w:val="right" w:pos="8313"/>
        </w:tabs>
        <w:rPr>
          <w:sz w:val="22"/>
          <w:szCs w:val="22"/>
        </w:rPr>
      </w:pPr>
    </w:p>
    <w:p w14:paraId="71738FA8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2.</w:t>
      </w:r>
      <w:r w:rsidRPr="00030ED3">
        <w:rPr>
          <w:b/>
          <w:sz w:val="22"/>
          <w:szCs w:val="22"/>
        </w:rPr>
        <w:tab/>
        <w:t>MINŐSÉGI ÉS MENNYISÉGI ÖSSZETÉTEL</w:t>
      </w:r>
    </w:p>
    <w:p w14:paraId="795B25A0" w14:textId="77777777" w:rsidR="00735A04" w:rsidRPr="00030ED3" w:rsidRDefault="00735A04" w:rsidP="00030ED3">
      <w:pPr>
        <w:rPr>
          <w:sz w:val="22"/>
          <w:szCs w:val="22"/>
        </w:rPr>
      </w:pPr>
    </w:p>
    <w:p w14:paraId="13F03799" w14:textId="4BFD4810" w:rsidR="00B229F1" w:rsidRPr="00030ED3" w:rsidRDefault="00B229F1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B229F1">
        <w:rPr>
          <w:rFonts w:ascii="Times New Roman" w:hAnsi="Times New Roman"/>
          <w:szCs w:val="22"/>
          <w:lang w:val="hu-HU"/>
        </w:rPr>
        <w:t>40</w:t>
      </w:r>
      <w:r>
        <w:rPr>
          <w:rFonts w:ascii="Times New Roman" w:hAnsi="Times New Roman"/>
          <w:szCs w:val="22"/>
          <w:lang w:val="hu-HU"/>
        </w:rPr>
        <w:t> </w:t>
      </w:r>
      <w:r w:rsidRPr="00B229F1">
        <w:rPr>
          <w:rFonts w:ascii="Times New Roman" w:hAnsi="Times New Roman"/>
          <w:szCs w:val="22"/>
          <w:lang w:val="hu-HU"/>
        </w:rPr>
        <w:t>mg pantoprazolt tartalmaz (nátrium-szeszkvihidrát formájában) injekciós üvegenként.</w:t>
      </w:r>
    </w:p>
    <w:p w14:paraId="23579522" w14:textId="77777777" w:rsidR="00D94B8D" w:rsidRPr="00030ED3" w:rsidRDefault="00D94B8D" w:rsidP="00030ED3">
      <w:pPr>
        <w:rPr>
          <w:sz w:val="22"/>
          <w:szCs w:val="22"/>
        </w:rPr>
      </w:pPr>
    </w:p>
    <w:p w14:paraId="72011057" w14:textId="77777777" w:rsidR="00735A04" w:rsidRPr="00030ED3" w:rsidRDefault="00B85943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s</w:t>
      </w:r>
      <w:r w:rsidR="00735A04" w:rsidRPr="00030ED3">
        <w:rPr>
          <w:sz w:val="22"/>
          <w:szCs w:val="22"/>
        </w:rPr>
        <w:t>egédanyagok teljes listáját lásd a 6.1</w:t>
      </w:r>
      <w:r w:rsidR="00DF38AC" w:rsidRPr="00030ED3">
        <w:rPr>
          <w:sz w:val="22"/>
          <w:szCs w:val="22"/>
        </w:rPr>
        <w:t> </w:t>
      </w:r>
      <w:r w:rsidR="00735A04" w:rsidRPr="00030ED3">
        <w:rPr>
          <w:sz w:val="22"/>
          <w:szCs w:val="22"/>
        </w:rPr>
        <w:t>pontban.</w:t>
      </w:r>
    </w:p>
    <w:p w14:paraId="2DDCD563" w14:textId="77777777" w:rsidR="00735A04" w:rsidRPr="00030ED3" w:rsidRDefault="00735A04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</w:p>
    <w:p w14:paraId="0BF31381" w14:textId="77777777" w:rsidR="00735A04" w:rsidRPr="00030ED3" w:rsidRDefault="00735A04" w:rsidP="00030ED3">
      <w:pPr>
        <w:rPr>
          <w:sz w:val="22"/>
          <w:szCs w:val="22"/>
        </w:rPr>
      </w:pPr>
    </w:p>
    <w:p w14:paraId="073FFBDB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3.</w:t>
      </w:r>
      <w:r w:rsidRPr="00030ED3">
        <w:rPr>
          <w:b/>
          <w:sz w:val="22"/>
          <w:szCs w:val="22"/>
        </w:rPr>
        <w:tab/>
        <w:t>GYÓGYSZERFORMA</w:t>
      </w:r>
    </w:p>
    <w:p w14:paraId="3CADB8AE" w14:textId="77777777" w:rsidR="00735A04" w:rsidRPr="00030ED3" w:rsidRDefault="00735A04" w:rsidP="00030ED3">
      <w:pPr>
        <w:rPr>
          <w:sz w:val="22"/>
          <w:szCs w:val="22"/>
        </w:rPr>
      </w:pPr>
    </w:p>
    <w:p w14:paraId="6F92C6EC" w14:textId="77777777" w:rsidR="00D94B8D" w:rsidRPr="00030ED3" w:rsidRDefault="00D94B8D" w:rsidP="00030ED3">
      <w:pPr>
        <w:rPr>
          <w:bCs/>
          <w:sz w:val="22"/>
          <w:szCs w:val="22"/>
        </w:rPr>
      </w:pPr>
      <w:r w:rsidRPr="00030ED3">
        <w:rPr>
          <w:bCs/>
          <w:sz w:val="22"/>
          <w:szCs w:val="22"/>
        </w:rPr>
        <w:t>Por oldatos injekcióhoz.</w:t>
      </w:r>
    </w:p>
    <w:p w14:paraId="6CE63229" w14:textId="77777777" w:rsidR="00B85943" w:rsidRPr="00030ED3" w:rsidRDefault="00B85943" w:rsidP="00030ED3">
      <w:pPr>
        <w:rPr>
          <w:bCs/>
          <w:sz w:val="22"/>
          <w:szCs w:val="22"/>
        </w:rPr>
      </w:pPr>
    </w:p>
    <w:p w14:paraId="062AF1DF" w14:textId="56136A03" w:rsidR="00735A04" w:rsidRPr="00030ED3" w:rsidRDefault="00E43875" w:rsidP="00030ED3">
      <w:pPr>
        <w:rPr>
          <w:sz w:val="22"/>
          <w:szCs w:val="22"/>
        </w:rPr>
      </w:pPr>
      <w:r w:rsidRPr="00E43875">
        <w:rPr>
          <w:sz w:val="22"/>
          <w:szCs w:val="22"/>
        </w:rPr>
        <w:t>Fehér vagy csaknem fehér por vagy pogácsa.</w:t>
      </w:r>
    </w:p>
    <w:p w14:paraId="388DBB4C" w14:textId="77777777" w:rsidR="00735A04" w:rsidRPr="00030ED3" w:rsidRDefault="00735A04" w:rsidP="00030ED3">
      <w:pPr>
        <w:rPr>
          <w:sz w:val="22"/>
          <w:szCs w:val="22"/>
        </w:rPr>
      </w:pPr>
    </w:p>
    <w:p w14:paraId="305730CC" w14:textId="77777777" w:rsidR="00735A04" w:rsidRPr="00030ED3" w:rsidRDefault="00735A04" w:rsidP="00030ED3">
      <w:pPr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4.</w:t>
      </w:r>
      <w:r w:rsidRPr="00030ED3">
        <w:rPr>
          <w:b/>
          <w:sz w:val="22"/>
          <w:szCs w:val="22"/>
        </w:rPr>
        <w:tab/>
        <w:t>KLINIKAI JELLEMZŐK</w:t>
      </w:r>
    </w:p>
    <w:p w14:paraId="1BF7C1F3" w14:textId="77777777" w:rsidR="00735A04" w:rsidRPr="00030ED3" w:rsidRDefault="00735A04" w:rsidP="00030ED3">
      <w:pPr>
        <w:rPr>
          <w:sz w:val="22"/>
          <w:szCs w:val="22"/>
        </w:rPr>
      </w:pPr>
    </w:p>
    <w:p w14:paraId="0AD857D4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4.1</w:t>
      </w:r>
      <w:r w:rsidRPr="00030ED3">
        <w:rPr>
          <w:b/>
          <w:sz w:val="22"/>
          <w:szCs w:val="22"/>
        </w:rPr>
        <w:tab/>
        <w:t>Terápiás javallatok</w:t>
      </w:r>
    </w:p>
    <w:p w14:paraId="28AE1D9C" w14:textId="77777777" w:rsidR="0045753C" w:rsidRPr="00030ED3" w:rsidRDefault="0045753C" w:rsidP="00030ED3">
      <w:pPr>
        <w:rPr>
          <w:b/>
          <w:sz w:val="22"/>
          <w:szCs w:val="22"/>
        </w:rPr>
      </w:pPr>
    </w:p>
    <w:p w14:paraId="3AB2A8FD" w14:textId="5EACFCBE" w:rsidR="00735A04" w:rsidRPr="00030ED3" w:rsidRDefault="0045753C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</w:t>
      </w:r>
      <w:r w:rsidR="00DE4C0D" w:rsidRPr="00030ED3">
        <w:rPr>
          <w:sz w:val="22"/>
          <w:szCs w:val="22"/>
        </w:rPr>
        <w:t>Pantoprazole Stada</w:t>
      </w:r>
      <w:r w:rsidRPr="00030ED3">
        <w:rPr>
          <w:sz w:val="22"/>
          <w:szCs w:val="22"/>
        </w:rPr>
        <w:t xml:space="preserve"> felnőttek számára javallott az alábbi indikációkban:</w:t>
      </w:r>
    </w:p>
    <w:p w14:paraId="7309B80A" w14:textId="2D68DD24" w:rsidR="00D94B8D" w:rsidRPr="00030ED3" w:rsidRDefault="00270DC3" w:rsidP="00030ED3">
      <w:pPr>
        <w:numPr>
          <w:ilvl w:val="0"/>
          <w:numId w:val="7"/>
        </w:numPr>
        <w:ind w:left="567" w:hanging="567"/>
        <w:rPr>
          <w:sz w:val="22"/>
          <w:szCs w:val="22"/>
        </w:rPr>
      </w:pPr>
      <w:r w:rsidRPr="00030ED3">
        <w:rPr>
          <w:sz w:val="22"/>
          <w:szCs w:val="22"/>
        </w:rPr>
        <w:t>r</w:t>
      </w:r>
      <w:r w:rsidR="00D94B8D" w:rsidRPr="00030ED3">
        <w:rPr>
          <w:sz w:val="22"/>
          <w:szCs w:val="22"/>
        </w:rPr>
        <w:t>eflux oesophagitis,</w:t>
      </w:r>
    </w:p>
    <w:p w14:paraId="56E6586F" w14:textId="2AF878EF" w:rsidR="00D94B8D" w:rsidRPr="00030ED3" w:rsidRDefault="00270DC3" w:rsidP="00030ED3">
      <w:pPr>
        <w:numPr>
          <w:ilvl w:val="0"/>
          <w:numId w:val="7"/>
        </w:numPr>
        <w:ind w:left="567" w:hanging="567"/>
        <w:rPr>
          <w:sz w:val="22"/>
          <w:szCs w:val="22"/>
        </w:rPr>
      </w:pPr>
      <w:r w:rsidRPr="00030ED3">
        <w:rPr>
          <w:sz w:val="22"/>
          <w:szCs w:val="22"/>
        </w:rPr>
        <w:t>g</w:t>
      </w:r>
      <w:r w:rsidR="00735A04" w:rsidRPr="00030ED3">
        <w:rPr>
          <w:sz w:val="22"/>
          <w:szCs w:val="22"/>
        </w:rPr>
        <w:t>yomor</w:t>
      </w:r>
      <w:r w:rsidR="00D94B8D" w:rsidRPr="00030ED3">
        <w:rPr>
          <w:sz w:val="22"/>
          <w:szCs w:val="22"/>
        </w:rPr>
        <w:t>- és nyombélfekély,</w:t>
      </w:r>
    </w:p>
    <w:p w14:paraId="5DDB7D74" w14:textId="77777777" w:rsidR="00735A04" w:rsidRPr="00030ED3" w:rsidRDefault="00735A04" w:rsidP="00030ED3">
      <w:pPr>
        <w:numPr>
          <w:ilvl w:val="0"/>
          <w:numId w:val="7"/>
        </w:numPr>
        <w:ind w:left="567" w:hanging="567"/>
        <w:rPr>
          <w:sz w:val="22"/>
          <w:szCs w:val="22"/>
        </w:rPr>
      </w:pPr>
      <w:r w:rsidRPr="00030ED3">
        <w:rPr>
          <w:sz w:val="22"/>
          <w:szCs w:val="22"/>
        </w:rPr>
        <w:t>Zollinger</w:t>
      </w:r>
      <w:r w:rsidR="00230885" w:rsidRPr="00030ED3">
        <w:rPr>
          <w:sz w:val="22"/>
          <w:szCs w:val="22"/>
        </w:rPr>
        <w:t>–</w:t>
      </w:r>
      <w:r w:rsidRPr="00030ED3">
        <w:rPr>
          <w:sz w:val="22"/>
          <w:szCs w:val="22"/>
        </w:rPr>
        <w:t>Ellison</w:t>
      </w:r>
      <w:r w:rsidR="00230885" w:rsidRPr="00030ED3">
        <w:rPr>
          <w:sz w:val="22"/>
          <w:szCs w:val="22"/>
        </w:rPr>
        <w:t>-</w:t>
      </w:r>
      <w:r w:rsidRPr="00030ED3">
        <w:rPr>
          <w:sz w:val="22"/>
          <w:szCs w:val="22"/>
        </w:rPr>
        <w:t xml:space="preserve">szindróma és egyéb kóros </w:t>
      </w:r>
      <w:r w:rsidR="00D94B8D" w:rsidRPr="00030ED3">
        <w:rPr>
          <w:sz w:val="22"/>
          <w:szCs w:val="22"/>
        </w:rPr>
        <w:t xml:space="preserve">gyomorsav-túltermeléssel járó </w:t>
      </w:r>
      <w:r w:rsidRPr="00030ED3">
        <w:rPr>
          <w:sz w:val="22"/>
          <w:szCs w:val="22"/>
        </w:rPr>
        <w:t>állapotok.</w:t>
      </w:r>
    </w:p>
    <w:p w14:paraId="4868B0E5" w14:textId="77777777" w:rsidR="00735A04" w:rsidRPr="00030ED3" w:rsidRDefault="00735A04" w:rsidP="00030ED3">
      <w:pPr>
        <w:rPr>
          <w:sz w:val="22"/>
          <w:szCs w:val="22"/>
          <w:shd w:val="clear" w:color="auto" w:fill="FFFF00"/>
        </w:rPr>
      </w:pPr>
    </w:p>
    <w:p w14:paraId="73570E4A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4.2</w:t>
      </w:r>
      <w:r w:rsidRPr="00030ED3">
        <w:rPr>
          <w:b/>
          <w:sz w:val="22"/>
          <w:szCs w:val="22"/>
        </w:rPr>
        <w:tab/>
        <w:t>A</w:t>
      </w:r>
      <w:r w:rsidR="00A46164" w:rsidRPr="00030ED3">
        <w:rPr>
          <w:b/>
          <w:sz w:val="22"/>
          <w:szCs w:val="22"/>
        </w:rPr>
        <w:t>dagolás</w:t>
      </w:r>
      <w:r w:rsidRPr="00030ED3">
        <w:rPr>
          <w:b/>
          <w:sz w:val="22"/>
          <w:szCs w:val="22"/>
        </w:rPr>
        <w:t xml:space="preserve"> és alkalmazás</w:t>
      </w:r>
    </w:p>
    <w:p w14:paraId="6DCC2990" w14:textId="77777777" w:rsidR="00735A04" w:rsidRPr="00030ED3" w:rsidRDefault="00735A04" w:rsidP="00030ED3">
      <w:pPr>
        <w:rPr>
          <w:sz w:val="22"/>
          <w:szCs w:val="22"/>
        </w:rPr>
      </w:pPr>
    </w:p>
    <w:p w14:paraId="4C635CBE" w14:textId="77777777" w:rsidR="00D94B8D" w:rsidRPr="00030ED3" w:rsidRDefault="00D94B8D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Ezt a gyógyszert </w:t>
      </w:r>
      <w:r w:rsidR="00CB3B70" w:rsidRPr="00030ED3">
        <w:rPr>
          <w:sz w:val="22"/>
          <w:szCs w:val="22"/>
        </w:rPr>
        <w:t xml:space="preserve">csak </w:t>
      </w:r>
      <w:r w:rsidRPr="00030ED3">
        <w:rPr>
          <w:sz w:val="22"/>
          <w:szCs w:val="22"/>
        </w:rPr>
        <w:t>egészségügyi szakember alkalmazhatja, megfelelő orvosi felügyelet mellett.</w:t>
      </w:r>
    </w:p>
    <w:p w14:paraId="1AE9C05D" w14:textId="77777777" w:rsidR="00D94B8D" w:rsidRPr="00030ED3" w:rsidRDefault="00D94B8D" w:rsidP="00030ED3">
      <w:pPr>
        <w:rPr>
          <w:sz w:val="22"/>
          <w:szCs w:val="22"/>
        </w:rPr>
      </w:pPr>
    </w:p>
    <w:p w14:paraId="14857360" w14:textId="45570765" w:rsidR="00735A04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</w:t>
      </w:r>
      <w:r w:rsidR="00DE4C0D" w:rsidRPr="00030ED3">
        <w:rPr>
          <w:sz w:val="22"/>
          <w:szCs w:val="22"/>
        </w:rPr>
        <w:t>Pantoprazole Stada</w:t>
      </w:r>
      <w:r w:rsidRPr="00030ED3">
        <w:rPr>
          <w:sz w:val="22"/>
          <w:szCs w:val="22"/>
        </w:rPr>
        <w:t xml:space="preserve"> i</w:t>
      </w:r>
      <w:r w:rsidR="00D94B8D" w:rsidRPr="00030ED3">
        <w:rPr>
          <w:sz w:val="22"/>
          <w:szCs w:val="22"/>
        </w:rPr>
        <w:t>ntra</w:t>
      </w:r>
      <w:r w:rsidRPr="00030ED3">
        <w:rPr>
          <w:sz w:val="22"/>
          <w:szCs w:val="22"/>
        </w:rPr>
        <w:t>v</w:t>
      </w:r>
      <w:r w:rsidR="00D94B8D" w:rsidRPr="00030ED3">
        <w:rPr>
          <w:sz w:val="22"/>
          <w:szCs w:val="22"/>
        </w:rPr>
        <w:t>énás</w:t>
      </w:r>
      <w:r w:rsidRPr="00030ED3">
        <w:rPr>
          <w:sz w:val="22"/>
          <w:szCs w:val="22"/>
        </w:rPr>
        <w:t xml:space="preserve"> </w:t>
      </w:r>
      <w:r w:rsidR="0078737B">
        <w:rPr>
          <w:sz w:val="22"/>
          <w:szCs w:val="22"/>
        </w:rPr>
        <w:t>alkalmazása</w:t>
      </w:r>
      <w:r w:rsidR="0078737B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 xml:space="preserve">akkor </w:t>
      </w:r>
      <w:r w:rsidR="00D94B8D" w:rsidRPr="00030ED3">
        <w:rPr>
          <w:sz w:val="22"/>
          <w:szCs w:val="22"/>
        </w:rPr>
        <w:t>ajánlott</w:t>
      </w:r>
      <w:r w:rsidRPr="00030ED3">
        <w:rPr>
          <w:sz w:val="22"/>
          <w:szCs w:val="22"/>
        </w:rPr>
        <w:t xml:space="preserve">, ha a </w:t>
      </w:r>
      <w:r w:rsidRPr="00030ED3">
        <w:rPr>
          <w:i/>
          <w:sz w:val="22"/>
          <w:szCs w:val="22"/>
        </w:rPr>
        <w:t>per os</w:t>
      </w:r>
      <w:r w:rsidRPr="00030ED3">
        <w:rPr>
          <w:sz w:val="22"/>
          <w:szCs w:val="22"/>
        </w:rPr>
        <w:t xml:space="preserve"> gyógyszer</w:t>
      </w:r>
      <w:r w:rsidR="0078737B">
        <w:rPr>
          <w:sz w:val="22"/>
          <w:szCs w:val="22"/>
        </w:rPr>
        <w:t>alkalmazás</w:t>
      </w:r>
      <w:r w:rsidRPr="00030ED3">
        <w:rPr>
          <w:sz w:val="22"/>
          <w:szCs w:val="22"/>
        </w:rPr>
        <w:t xml:space="preserve"> nem lehetséges.</w:t>
      </w:r>
      <w:r w:rsidR="00A21B4A" w:rsidRPr="00030ED3">
        <w:rPr>
          <w:sz w:val="22"/>
          <w:szCs w:val="22"/>
        </w:rPr>
        <w:t xml:space="preserve"> </w:t>
      </w:r>
      <w:r w:rsidR="00D94B8D" w:rsidRPr="00030ED3">
        <w:rPr>
          <w:sz w:val="22"/>
          <w:szCs w:val="22"/>
        </w:rPr>
        <w:t>Az intravénás alkalmazással kapcsolatosan legfeljebb 7 nap</w:t>
      </w:r>
      <w:r w:rsidR="0078737B">
        <w:rPr>
          <w:sz w:val="22"/>
          <w:szCs w:val="22"/>
        </w:rPr>
        <w:t>ig tartó kezelésre vonatkozóan</w:t>
      </w:r>
      <w:r w:rsidR="00D94B8D" w:rsidRPr="00030ED3">
        <w:rPr>
          <w:sz w:val="22"/>
          <w:szCs w:val="22"/>
        </w:rPr>
        <w:t xml:space="preserve"> állnak rendelkezésre adatok. Ezért amilyen hamar csak lehetséges a </w:t>
      </w:r>
      <w:r w:rsidR="00D94B8D" w:rsidRPr="00030ED3">
        <w:rPr>
          <w:i/>
          <w:sz w:val="22"/>
          <w:szCs w:val="22"/>
        </w:rPr>
        <w:t>per os</w:t>
      </w:r>
      <w:r w:rsidR="00D94B8D" w:rsidRPr="00030ED3">
        <w:rPr>
          <w:sz w:val="22"/>
          <w:szCs w:val="22"/>
        </w:rPr>
        <w:t xml:space="preserve"> kezelés, a </w:t>
      </w:r>
      <w:r w:rsidR="00AC05AD" w:rsidRPr="00030ED3">
        <w:rPr>
          <w:sz w:val="22"/>
          <w:szCs w:val="22"/>
        </w:rPr>
        <w:t>p</w:t>
      </w:r>
      <w:r w:rsidR="005A40C1" w:rsidRPr="00030ED3">
        <w:rPr>
          <w:sz w:val="22"/>
          <w:szCs w:val="22"/>
        </w:rPr>
        <w:t>ant</w:t>
      </w:r>
      <w:r w:rsidR="00AC05AD" w:rsidRPr="00030ED3">
        <w:rPr>
          <w:sz w:val="22"/>
          <w:szCs w:val="22"/>
        </w:rPr>
        <w:t>oprazol</w:t>
      </w:r>
      <w:r w:rsidR="002A00C7" w:rsidRPr="00030ED3">
        <w:rPr>
          <w:sz w:val="22"/>
          <w:szCs w:val="22"/>
        </w:rPr>
        <w:t xml:space="preserve"> </w:t>
      </w:r>
      <w:r w:rsidR="00013319" w:rsidRPr="00030ED3">
        <w:rPr>
          <w:i/>
          <w:sz w:val="22"/>
          <w:szCs w:val="22"/>
        </w:rPr>
        <w:t>i</w:t>
      </w:r>
      <w:r w:rsidR="00D94B8D" w:rsidRPr="00030ED3">
        <w:rPr>
          <w:i/>
          <w:sz w:val="22"/>
          <w:szCs w:val="22"/>
        </w:rPr>
        <w:t>v</w:t>
      </w:r>
      <w:r w:rsidR="006C15F5" w:rsidRPr="00030ED3">
        <w:rPr>
          <w:i/>
          <w:sz w:val="22"/>
          <w:szCs w:val="22"/>
        </w:rPr>
        <w:t>.</w:t>
      </w:r>
      <w:r w:rsidR="00D94B8D" w:rsidRPr="00030ED3">
        <w:rPr>
          <w:sz w:val="22"/>
          <w:szCs w:val="22"/>
        </w:rPr>
        <w:t xml:space="preserve"> </w:t>
      </w:r>
      <w:r w:rsidR="0078737B">
        <w:rPr>
          <w:sz w:val="22"/>
          <w:szCs w:val="22"/>
        </w:rPr>
        <w:t>alkalmazását</w:t>
      </w:r>
      <w:r w:rsidR="0078737B" w:rsidRPr="00030ED3">
        <w:rPr>
          <w:sz w:val="22"/>
          <w:szCs w:val="22"/>
        </w:rPr>
        <w:t xml:space="preserve"> </w:t>
      </w:r>
      <w:r w:rsidR="00D94B8D" w:rsidRPr="00030ED3">
        <w:rPr>
          <w:sz w:val="22"/>
          <w:szCs w:val="22"/>
        </w:rPr>
        <w:t xml:space="preserve">abba kell hagyni és helyette 40 mg </w:t>
      </w:r>
      <w:r w:rsidR="00D94B8D" w:rsidRPr="00030ED3">
        <w:rPr>
          <w:i/>
          <w:sz w:val="22"/>
          <w:szCs w:val="22"/>
        </w:rPr>
        <w:t>per os</w:t>
      </w:r>
      <w:r w:rsidR="00D94B8D" w:rsidRPr="00030ED3">
        <w:rPr>
          <w:sz w:val="22"/>
          <w:szCs w:val="22"/>
        </w:rPr>
        <w:t xml:space="preserve"> pantoprazolt kell adni.</w:t>
      </w:r>
    </w:p>
    <w:p w14:paraId="5EA7D734" w14:textId="77777777" w:rsidR="00735A04" w:rsidRPr="00030ED3" w:rsidRDefault="00735A04" w:rsidP="00030ED3">
      <w:pPr>
        <w:rPr>
          <w:sz w:val="22"/>
          <w:szCs w:val="22"/>
        </w:rPr>
      </w:pPr>
    </w:p>
    <w:p w14:paraId="67F7E1F8" w14:textId="77777777" w:rsidR="00735A04" w:rsidRPr="00030ED3" w:rsidRDefault="00735A04" w:rsidP="00030ED3">
      <w:pPr>
        <w:rPr>
          <w:b/>
          <w:bCs/>
          <w:sz w:val="22"/>
          <w:szCs w:val="22"/>
          <w:u w:val="single"/>
        </w:rPr>
      </w:pPr>
      <w:r w:rsidRPr="00030ED3">
        <w:rPr>
          <w:b/>
          <w:bCs/>
          <w:sz w:val="22"/>
          <w:szCs w:val="22"/>
          <w:u w:val="single"/>
        </w:rPr>
        <w:t>Adagolás</w:t>
      </w:r>
    </w:p>
    <w:p w14:paraId="2BA4DF81" w14:textId="77777777" w:rsidR="008F7091" w:rsidRPr="00030ED3" w:rsidRDefault="008F7091" w:rsidP="00030ED3">
      <w:pPr>
        <w:rPr>
          <w:sz w:val="22"/>
          <w:szCs w:val="22"/>
          <w:u w:val="single"/>
        </w:rPr>
      </w:pPr>
    </w:p>
    <w:p w14:paraId="6F1F2DBB" w14:textId="77777777" w:rsidR="00735A04" w:rsidRPr="00030ED3" w:rsidRDefault="00013319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Gyomor- és nyombélfekély,</w:t>
      </w:r>
      <w:r w:rsidR="00735A04" w:rsidRPr="00030ED3">
        <w:rPr>
          <w:sz w:val="22"/>
          <w:szCs w:val="22"/>
          <w:u w:val="single"/>
        </w:rPr>
        <w:t xml:space="preserve"> reflux oesophagitis</w:t>
      </w:r>
    </w:p>
    <w:p w14:paraId="1A2A3EEB" w14:textId="012290C2" w:rsidR="00735A04" w:rsidRPr="00030ED3" w:rsidRDefault="00013319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Az ajánlott</w:t>
      </w:r>
      <w:r w:rsidR="00A21B4A" w:rsidRPr="00030ED3">
        <w:rPr>
          <w:sz w:val="22"/>
          <w:szCs w:val="22"/>
        </w:rPr>
        <w:t xml:space="preserve"> intravénás </w:t>
      </w:r>
      <w:r w:rsidR="00735A04" w:rsidRPr="00030ED3">
        <w:rPr>
          <w:sz w:val="22"/>
          <w:szCs w:val="22"/>
        </w:rPr>
        <w:t>d</w:t>
      </w:r>
      <w:r w:rsidR="00DF38AC" w:rsidRPr="00030ED3">
        <w:rPr>
          <w:sz w:val="22"/>
          <w:szCs w:val="22"/>
        </w:rPr>
        <w:t>ózis</w:t>
      </w:r>
      <w:r w:rsidR="00735A04" w:rsidRPr="00030ED3">
        <w:rPr>
          <w:sz w:val="22"/>
          <w:szCs w:val="22"/>
        </w:rPr>
        <w:t xml:space="preserve"> napi 1 </w:t>
      </w:r>
      <w:r w:rsidR="009D3EDD" w:rsidRPr="00030ED3">
        <w:rPr>
          <w:sz w:val="22"/>
          <w:szCs w:val="22"/>
        </w:rPr>
        <w:t xml:space="preserve">injekciós üveg </w:t>
      </w:r>
      <w:r w:rsidR="00DE4C0D" w:rsidRPr="00030ED3">
        <w:rPr>
          <w:sz w:val="22"/>
          <w:szCs w:val="22"/>
        </w:rPr>
        <w:t>Pantoprazole Stada</w:t>
      </w:r>
      <w:r w:rsidR="00A21B4A" w:rsidRPr="00030ED3">
        <w:rPr>
          <w:sz w:val="22"/>
          <w:szCs w:val="22"/>
        </w:rPr>
        <w:t xml:space="preserve"> </w:t>
      </w:r>
      <w:r w:rsidR="00735A04" w:rsidRPr="00030ED3">
        <w:rPr>
          <w:sz w:val="22"/>
          <w:szCs w:val="22"/>
        </w:rPr>
        <w:t>(40</w:t>
      </w:r>
      <w:r w:rsidRPr="00030ED3">
        <w:rPr>
          <w:sz w:val="22"/>
          <w:szCs w:val="22"/>
        </w:rPr>
        <w:t> </w:t>
      </w:r>
      <w:r w:rsidR="00735A04" w:rsidRPr="00030ED3">
        <w:rPr>
          <w:sz w:val="22"/>
          <w:szCs w:val="22"/>
        </w:rPr>
        <w:t>mg pantoprazol).</w:t>
      </w:r>
    </w:p>
    <w:p w14:paraId="61BC8B12" w14:textId="77777777" w:rsidR="00013319" w:rsidRPr="00030ED3" w:rsidRDefault="00013319" w:rsidP="00030ED3">
      <w:pPr>
        <w:rPr>
          <w:sz w:val="22"/>
          <w:szCs w:val="22"/>
        </w:rPr>
      </w:pPr>
    </w:p>
    <w:p w14:paraId="1930193E" w14:textId="77777777" w:rsidR="00735A04" w:rsidRPr="00030ED3" w:rsidRDefault="00735A04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Zollinger</w:t>
      </w:r>
      <w:r w:rsidR="00B43BE0" w:rsidRPr="00030ED3">
        <w:rPr>
          <w:sz w:val="22"/>
          <w:szCs w:val="22"/>
          <w:u w:val="single"/>
        </w:rPr>
        <w:t>–</w:t>
      </w:r>
      <w:r w:rsidRPr="00030ED3">
        <w:rPr>
          <w:sz w:val="22"/>
          <w:szCs w:val="22"/>
          <w:u w:val="single"/>
        </w:rPr>
        <w:t>Ellison</w:t>
      </w:r>
      <w:r w:rsidR="00B43BE0" w:rsidRPr="00030ED3">
        <w:rPr>
          <w:sz w:val="22"/>
          <w:szCs w:val="22"/>
          <w:u w:val="single"/>
        </w:rPr>
        <w:t>-</w:t>
      </w:r>
      <w:r w:rsidRPr="00030ED3">
        <w:rPr>
          <w:sz w:val="22"/>
          <w:szCs w:val="22"/>
          <w:u w:val="single"/>
        </w:rPr>
        <w:t xml:space="preserve">szindróma és egyéb kóros </w:t>
      </w:r>
      <w:r w:rsidR="00013319" w:rsidRPr="00030ED3">
        <w:rPr>
          <w:sz w:val="22"/>
          <w:szCs w:val="22"/>
          <w:u w:val="single"/>
        </w:rPr>
        <w:t xml:space="preserve">gyomorsav-túltermeléssel járó </w:t>
      </w:r>
      <w:r w:rsidRPr="00030ED3">
        <w:rPr>
          <w:sz w:val="22"/>
          <w:szCs w:val="22"/>
          <w:u w:val="single"/>
        </w:rPr>
        <w:t>állapotok</w:t>
      </w:r>
    </w:p>
    <w:p w14:paraId="654521FC" w14:textId="1D13E4DE" w:rsidR="00735A04" w:rsidRPr="00030ED3" w:rsidRDefault="00735A04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030ED3">
        <w:rPr>
          <w:rFonts w:ascii="Times New Roman" w:hAnsi="Times New Roman"/>
          <w:szCs w:val="22"/>
          <w:lang w:val="hu-HU"/>
        </w:rPr>
        <w:t xml:space="preserve">A </w:t>
      </w:r>
      <w:r w:rsidR="00013319" w:rsidRPr="00030ED3">
        <w:rPr>
          <w:rFonts w:ascii="Times New Roman" w:hAnsi="Times New Roman"/>
          <w:szCs w:val="22"/>
          <w:lang w:val="hu-HU"/>
        </w:rPr>
        <w:t>Zollinger</w:t>
      </w:r>
      <w:r w:rsidR="00B43BE0" w:rsidRPr="00030ED3">
        <w:rPr>
          <w:rFonts w:ascii="Times New Roman" w:hAnsi="Times New Roman"/>
          <w:szCs w:val="22"/>
          <w:lang w:val="hu-HU"/>
        </w:rPr>
        <w:t>–</w:t>
      </w:r>
      <w:r w:rsidR="00013319" w:rsidRPr="00030ED3">
        <w:rPr>
          <w:rFonts w:ascii="Times New Roman" w:hAnsi="Times New Roman"/>
          <w:szCs w:val="22"/>
          <w:lang w:val="hu-HU"/>
        </w:rPr>
        <w:t>Ellison</w:t>
      </w:r>
      <w:r w:rsidR="00B43BE0" w:rsidRPr="00030ED3">
        <w:rPr>
          <w:rFonts w:ascii="Times New Roman" w:hAnsi="Times New Roman"/>
          <w:szCs w:val="22"/>
          <w:lang w:val="hu-HU"/>
        </w:rPr>
        <w:t>-</w:t>
      </w:r>
      <w:r w:rsidR="00013319" w:rsidRPr="00030ED3">
        <w:rPr>
          <w:rFonts w:ascii="Times New Roman" w:hAnsi="Times New Roman"/>
          <w:szCs w:val="22"/>
          <w:lang w:val="hu-HU"/>
        </w:rPr>
        <w:t xml:space="preserve">szindróma </w:t>
      </w:r>
      <w:r w:rsidR="0078737B">
        <w:rPr>
          <w:rFonts w:ascii="Times New Roman" w:hAnsi="Times New Roman"/>
          <w:szCs w:val="22"/>
          <w:lang w:val="hu-HU"/>
        </w:rPr>
        <w:t>hosszú távú</w:t>
      </w:r>
      <w:r w:rsidR="0078737B" w:rsidRPr="00030ED3">
        <w:rPr>
          <w:rFonts w:ascii="Times New Roman" w:hAnsi="Times New Roman"/>
          <w:szCs w:val="22"/>
          <w:lang w:val="hu-HU"/>
        </w:rPr>
        <w:t xml:space="preserve"> </w:t>
      </w:r>
      <w:r w:rsidR="00013319" w:rsidRPr="00030ED3">
        <w:rPr>
          <w:rFonts w:ascii="Times New Roman" w:hAnsi="Times New Roman"/>
          <w:szCs w:val="22"/>
          <w:lang w:val="hu-HU"/>
        </w:rPr>
        <w:t xml:space="preserve">kezelése és egyéb, kóros gyomorsav-túltermeléssel </w:t>
      </w:r>
      <w:r w:rsidR="00A677F9" w:rsidRPr="00030ED3">
        <w:rPr>
          <w:rFonts w:ascii="Times New Roman" w:hAnsi="Times New Roman"/>
          <w:szCs w:val="22"/>
          <w:lang w:val="hu-HU"/>
        </w:rPr>
        <w:t xml:space="preserve">járó </w:t>
      </w:r>
      <w:r w:rsidR="00013319" w:rsidRPr="00030ED3">
        <w:rPr>
          <w:rFonts w:ascii="Times New Roman" w:hAnsi="Times New Roman"/>
          <w:szCs w:val="22"/>
          <w:lang w:val="hu-HU"/>
        </w:rPr>
        <w:t xml:space="preserve">állapotok esetén a </w:t>
      </w:r>
      <w:r w:rsidRPr="00030ED3">
        <w:rPr>
          <w:rFonts w:ascii="Times New Roman" w:hAnsi="Times New Roman"/>
          <w:szCs w:val="22"/>
          <w:lang w:val="hu-HU"/>
        </w:rPr>
        <w:t xml:space="preserve">betegek kezelését napi </w:t>
      </w:r>
      <w:r w:rsidR="00013319" w:rsidRPr="00030ED3">
        <w:rPr>
          <w:rFonts w:ascii="Times New Roman" w:hAnsi="Times New Roman"/>
          <w:szCs w:val="22"/>
          <w:lang w:val="hu-HU"/>
        </w:rPr>
        <w:t>80 mg</w:t>
      </w:r>
      <w:r w:rsidRPr="00030ED3">
        <w:rPr>
          <w:rFonts w:ascii="Times New Roman" w:hAnsi="Times New Roman"/>
          <w:szCs w:val="22"/>
          <w:lang w:val="hu-HU"/>
        </w:rPr>
        <w:t xml:space="preserve"> </w:t>
      </w:r>
      <w:r w:rsidR="0095258B" w:rsidRPr="00030ED3">
        <w:rPr>
          <w:rFonts w:ascii="Times New Roman" w:hAnsi="Times New Roman"/>
          <w:szCs w:val="22"/>
          <w:lang w:val="hu-HU"/>
        </w:rPr>
        <w:t>pantoprazol</w:t>
      </w:r>
      <w:r w:rsidRPr="00030ED3">
        <w:rPr>
          <w:rFonts w:ascii="Times New Roman" w:hAnsi="Times New Roman"/>
          <w:szCs w:val="22"/>
          <w:lang w:val="hu-HU"/>
        </w:rPr>
        <w:t xml:space="preserve"> adásával kell kezdeni. Ezt követően a </w:t>
      </w:r>
      <w:r w:rsidR="0078737B">
        <w:rPr>
          <w:rFonts w:ascii="Times New Roman" w:hAnsi="Times New Roman"/>
          <w:szCs w:val="22"/>
          <w:lang w:val="hu-HU"/>
        </w:rPr>
        <w:t>dózist</w:t>
      </w:r>
      <w:r w:rsidRPr="00030ED3">
        <w:rPr>
          <w:rFonts w:ascii="Times New Roman" w:hAnsi="Times New Roman"/>
          <w:szCs w:val="22"/>
          <w:lang w:val="hu-HU"/>
        </w:rPr>
        <w:t xml:space="preserve"> a gyomorsav-szekréció függvényében kell beállítani. A 80</w:t>
      </w:r>
      <w:r w:rsidR="004E5756" w:rsidRPr="00030ED3">
        <w:rPr>
          <w:rFonts w:ascii="Times New Roman" w:hAnsi="Times New Roman"/>
          <w:szCs w:val="22"/>
          <w:lang w:val="hu-HU"/>
        </w:rPr>
        <w:t> </w:t>
      </w:r>
      <w:r w:rsidRPr="00030ED3">
        <w:rPr>
          <w:rFonts w:ascii="Times New Roman" w:hAnsi="Times New Roman"/>
          <w:szCs w:val="22"/>
          <w:lang w:val="hu-HU"/>
        </w:rPr>
        <w:t xml:space="preserve">mg feletti napi adagokat két részletben kell beadni. A pantoprazol </w:t>
      </w:r>
      <w:r w:rsidR="0078737B">
        <w:rPr>
          <w:rFonts w:ascii="Times New Roman" w:hAnsi="Times New Roman"/>
          <w:szCs w:val="22"/>
          <w:lang w:val="hu-HU"/>
        </w:rPr>
        <w:t>dózisát</w:t>
      </w:r>
      <w:r w:rsidR="0078737B" w:rsidRPr="00030ED3">
        <w:rPr>
          <w:rFonts w:ascii="Times New Roman" w:hAnsi="Times New Roman"/>
          <w:szCs w:val="22"/>
          <w:lang w:val="hu-HU"/>
        </w:rPr>
        <w:t xml:space="preserve"> </w:t>
      </w:r>
      <w:r w:rsidRPr="00030ED3">
        <w:rPr>
          <w:rFonts w:ascii="Times New Roman" w:hAnsi="Times New Roman"/>
          <w:szCs w:val="22"/>
          <w:lang w:val="hu-HU"/>
        </w:rPr>
        <w:t>id</w:t>
      </w:r>
      <w:r w:rsidR="0078737B">
        <w:rPr>
          <w:rFonts w:ascii="Times New Roman" w:hAnsi="Times New Roman"/>
          <w:szCs w:val="22"/>
          <w:lang w:val="hu-HU"/>
        </w:rPr>
        <w:t>eiglen</w:t>
      </w:r>
      <w:r w:rsidRPr="00030ED3">
        <w:rPr>
          <w:rFonts w:ascii="Times New Roman" w:hAnsi="Times New Roman"/>
          <w:szCs w:val="22"/>
          <w:lang w:val="hu-HU"/>
        </w:rPr>
        <w:t>esen fel lehet emelni napi 160</w:t>
      </w:r>
      <w:r w:rsidR="00013319" w:rsidRPr="00030ED3">
        <w:rPr>
          <w:rFonts w:ascii="Times New Roman" w:hAnsi="Times New Roman"/>
          <w:szCs w:val="22"/>
          <w:lang w:val="hu-HU"/>
        </w:rPr>
        <w:t> </w:t>
      </w:r>
      <w:r w:rsidRPr="00030ED3">
        <w:rPr>
          <w:rFonts w:ascii="Times New Roman" w:hAnsi="Times New Roman"/>
          <w:szCs w:val="22"/>
          <w:lang w:val="hu-HU"/>
        </w:rPr>
        <w:t xml:space="preserve">mg fölé, azonban </w:t>
      </w:r>
      <w:r w:rsidR="00013319" w:rsidRPr="00030ED3">
        <w:rPr>
          <w:rFonts w:ascii="Times New Roman" w:hAnsi="Times New Roman"/>
          <w:szCs w:val="22"/>
          <w:lang w:val="hu-HU"/>
        </w:rPr>
        <w:t>ezt a</w:t>
      </w:r>
      <w:r w:rsidR="0078737B">
        <w:rPr>
          <w:rFonts w:ascii="Times New Roman" w:hAnsi="Times New Roman"/>
          <w:szCs w:val="22"/>
          <w:lang w:val="hu-HU"/>
        </w:rPr>
        <w:t xml:space="preserve"> dózist</w:t>
      </w:r>
      <w:r w:rsidR="00013319" w:rsidRPr="00030ED3">
        <w:rPr>
          <w:rFonts w:ascii="Times New Roman" w:hAnsi="Times New Roman"/>
          <w:szCs w:val="22"/>
          <w:lang w:val="hu-HU"/>
        </w:rPr>
        <w:t xml:space="preserve"> </w:t>
      </w:r>
      <w:r w:rsidR="00013319" w:rsidRPr="00030ED3">
        <w:rPr>
          <w:rFonts w:ascii="Times New Roman" w:hAnsi="Times New Roman"/>
          <w:bCs/>
          <w:szCs w:val="22"/>
          <w:lang w:val="hu-HU"/>
        </w:rPr>
        <w:t>a megfelelő sav-kontroll eléréséig szükséges időnél hosszabb ideig nem szabad alkalmazni</w:t>
      </w:r>
      <w:r w:rsidRPr="00030ED3">
        <w:rPr>
          <w:rFonts w:ascii="Times New Roman" w:hAnsi="Times New Roman"/>
          <w:szCs w:val="22"/>
          <w:lang w:val="hu-HU"/>
        </w:rPr>
        <w:t>.</w:t>
      </w:r>
    </w:p>
    <w:p w14:paraId="28359ECF" w14:textId="77777777" w:rsidR="0095258B" w:rsidRPr="00030ED3" w:rsidRDefault="0095258B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</w:p>
    <w:p w14:paraId="2C1A3202" w14:textId="1F3FCA54" w:rsidR="00735A04" w:rsidRPr="00030ED3" w:rsidRDefault="00735A04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030ED3">
        <w:rPr>
          <w:rFonts w:ascii="Times New Roman" w:hAnsi="Times New Roman"/>
          <w:szCs w:val="22"/>
          <w:lang w:val="hu-HU"/>
        </w:rPr>
        <w:t xml:space="preserve">Amennyiben gyors sav-kontroll szükséges, a kezdő </w:t>
      </w:r>
      <w:r w:rsidR="00122534">
        <w:rPr>
          <w:rFonts w:ascii="Times New Roman" w:hAnsi="Times New Roman"/>
          <w:szCs w:val="22"/>
          <w:lang w:val="hu-HU"/>
        </w:rPr>
        <w:t>dózis</w:t>
      </w:r>
      <w:r w:rsidRPr="00030ED3">
        <w:rPr>
          <w:rFonts w:ascii="Times New Roman" w:hAnsi="Times New Roman"/>
          <w:szCs w:val="22"/>
          <w:lang w:val="hu-HU"/>
        </w:rPr>
        <w:t>ként alkalmazott 2-szer 80</w:t>
      </w:r>
      <w:r w:rsidR="004E5756" w:rsidRPr="00030ED3">
        <w:rPr>
          <w:rFonts w:ascii="Times New Roman" w:hAnsi="Times New Roman"/>
          <w:szCs w:val="22"/>
          <w:lang w:val="hu-HU"/>
        </w:rPr>
        <w:t> </w:t>
      </w:r>
      <w:r w:rsidRPr="00030ED3">
        <w:rPr>
          <w:rFonts w:ascii="Times New Roman" w:hAnsi="Times New Roman"/>
          <w:szCs w:val="22"/>
          <w:lang w:val="hu-HU"/>
        </w:rPr>
        <w:t xml:space="preserve">mg </w:t>
      </w:r>
      <w:r w:rsidR="00DE4C0D" w:rsidRPr="00030ED3">
        <w:rPr>
          <w:rFonts w:ascii="Times New Roman" w:hAnsi="Times New Roman"/>
          <w:szCs w:val="22"/>
          <w:lang w:val="hu-HU"/>
        </w:rPr>
        <w:t>Pantoprazole Stada</w:t>
      </w:r>
      <w:r w:rsidRPr="00030ED3">
        <w:rPr>
          <w:rFonts w:ascii="Times New Roman" w:hAnsi="Times New Roman"/>
          <w:szCs w:val="22"/>
          <w:lang w:val="hu-HU"/>
        </w:rPr>
        <w:t xml:space="preserve"> a betegek többségénél elegendő ahhoz, hogy a savszekréció 1</w:t>
      </w:r>
      <w:r w:rsidR="00013319" w:rsidRPr="00030ED3">
        <w:rPr>
          <w:rFonts w:ascii="Times New Roman" w:hAnsi="Times New Roman"/>
          <w:szCs w:val="22"/>
          <w:lang w:val="hu-HU"/>
        </w:rPr>
        <w:t> </w:t>
      </w:r>
      <w:r w:rsidRPr="00030ED3">
        <w:rPr>
          <w:rFonts w:ascii="Times New Roman" w:hAnsi="Times New Roman"/>
          <w:szCs w:val="22"/>
          <w:lang w:val="hu-HU"/>
        </w:rPr>
        <w:t>órán belül a megfelelő tartományba (</w:t>
      </w:r>
      <w:r w:rsidR="00DD4EAA" w:rsidRPr="00030ED3">
        <w:rPr>
          <w:rFonts w:ascii="Times New Roman" w:hAnsi="Times New Roman"/>
          <w:szCs w:val="22"/>
          <w:lang w:val="hu-HU"/>
        </w:rPr>
        <w:t>&lt;</w:t>
      </w:r>
      <w:r w:rsidRPr="00030ED3">
        <w:rPr>
          <w:rFonts w:ascii="Times New Roman" w:hAnsi="Times New Roman"/>
          <w:szCs w:val="22"/>
          <w:lang w:val="hu-HU"/>
        </w:rPr>
        <w:t>10</w:t>
      </w:r>
      <w:r w:rsidR="00013319" w:rsidRPr="00030ED3">
        <w:rPr>
          <w:rFonts w:ascii="Times New Roman" w:hAnsi="Times New Roman"/>
          <w:szCs w:val="22"/>
          <w:lang w:val="hu-HU"/>
        </w:rPr>
        <w:t> </w:t>
      </w:r>
      <w:r w:rsidRPr="00030ED3">
        <w:rPr>
          <w:rFonts w:ascii="Times New Roman" w:hAnsi="Times New Roman"/>
          <w:szCs w:val="22"/>
          <w:lang w:val="hu-HU"/>
        </w:rPr>
        <w:t>mEq/</w:t>
      </w:r>
      <w:r w:rsidR="005B1B30" w:rsidRPr="00030ED3">
        <w:rPr>
          <w:rFonts w:ascii="Times New Roman" w:hAnsi="Times New Roman"/>
          <w:szCs w:val="22"/>
          <w:lang w:val="hu-HU"/>
        </w:rPr>
        <w:t>h</w:t>
      </w:r>
      <w:r w:rsidRPr="00030ED3">
        <w:rPr>
          <w:rFonts w:ascii="Times New Roman" w:hAnsi="Times New Roman"/>
          <w:szCs w:val="22"/>
          <w:lang w:val="hu-HU"/>
        </w:rPr>
        <w:t>) csökkenjen.</w:t>
      </w:r>
    </w:p>
    <w:p w14:paraId="03FD4328" w14:textId="77777777" w:rsidR="00013319" w:rsidRPr="00030ED3" w:rsidRDefault="00013319" w:rsidP="00030ED3">
      <w:pPr>
        <w:tabs>
          <w:tab w:val="left" w:pos="510"/>
          <w:tab w:val="left" w:pos="679"/>
        </w:tabs>
        <w:rPr>
          <w:i/>
          <w:iCs/>
          <w:sz w:val="22"/>
          <w:szCs w:val="22"/>
        </w:rPr>
      </w:pPr>
    </w:p>
    <w:p w14:paraId="26061380" w14:textId="77777777" w:rsidR="00DA06A3" w:rsidRPr="00030ED3" w:rsidRDefault="00DA06A3" w:rsidP="00030ED3">
      <w:pPr>
        <w:rPr>
          <w:i/>
          <w:sz w:val="22"/>
          <w:szCs w:val="22"/>
          <w:u w:val="single"/>
        </w:rPr>
      </w:pPr>
      <w:r w:rsidRPr="00030ED3">
        <w:rPr>
          <w:i/>
          <w:sz w:val="22"/>
          <w:szCs w:val="22"/>
          <w:u w:val="single"/>
        </w:rPr>
        <w:t>Különleges betegcsoportok</w:t>
      </w:r>
    </w:p>
    <w:p w14:paraId="313808FC" w14:textId="77777777" w:rsidR="002C6CFA" w:rsidRPr="00030ED3" w:rsidRDefault="002C6CFA" w:rsidP="00030ED3">
      <w:pPr>
        <w:rPr>
          <w:sz w:val="22"/>
          <w:szCs w:val="22"/>
        </w:rPr>
      </w:pPr>
      <w:r w:rsidRPr="00030ED3">
        <w:rPr>
          <w:i/>
          <w:sz w:val="22"/>
          <w:szCs w:val="22"/>
        </w:rPr>
        <w:t>Idősek</w:t>
      </w:r>
    </w:p>
    <w:p w14:paraId="4DBD6C5C" w14:textId="0DE584A0" w:rsidR="002C6CFA" w:rsidRPr="00030ED3" w:rsidRDefault="002C6CFA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030ED3">
        <w:rPr>
          <w:rFonts w:ascii="Times New Roman" w:hAnsi="Times New Roman"/>
          <w:szCs w:val="22"/>
          <w:lang w:val="hu-HU"/>
        </w:rPr>
        <w:t xml:space="preserve">Időseknél nem szükséges a </w:t>
      </w:r>
      <w:r w:rsidR="00122534">
        <w:rPr>
          <w:rFonts w:ascii="Times New Roman" w:hAnsi="Times New Roman"/>
          <w:szCs w:val="22"/>
          <w:lang w:val="hu-HU"/>
        </w:rPr>
        <w:t>dózis</w:t>
      </w:r>
      <w:r w:rsidR="00122534" w:rsidRPr="00030ED3">
        <w:rPr>
          <w:rFonts w:ascii="Times New Roman" w:hAnsi="Times New Roman"/>
          <w:szCs w:val="22"/>
          <w:lang w:val="hu-HU"/>
        </w:rPr>
        <w:t xml:space="preserve"> </w:t>
      </w:r>
      <w:r w:rsidRPr="00030ED3">
        <w:rPr>
          <w:rFonts w:ascii="Times New Roman" w:hAnsi="Times New Roman"/>
          <w:szCs w:val="22"/>
          <w:lang w:val="hu-HU"/>
        </w:rPr>
        <w:t>módosítása (lásd 5.2 pont).</w:t>
      </w:r>
    </w:p>
    <w:p w14:paraId="19285446" w14:textId="77777777" w:rsidR="002C6CFA" w:rsidRPr="00030ED3" w:rsidRDefault="002C6CFA" w:rsidP="00030ED3">
      <w:pPr>
        <w:tabs>
          <w:tab w:val="left" w:pos="510"/>
          <w:tab w:val="left" w:pos="679"/>
        </w:tabs>
        <w:rPr>
          <w:sz w:val="22"/>
          <w:szCs w:val="22"/>
        </w:rPr>
      </w:pPr>
    </w:p>
    <w:p w14:paraId="68D0EC3C" w14:textId="05681F4F" w:rsidR="002C6CFA" w:rsidRPr="00030ED3" w:rsidRDefault="002C6CFA" w:rsidP="00030ED3">
      <w:pPr>
        <w:tabs>
          <w:tab w:val="left" w:pos="510"/>
          <w:tab w:val="left" w:pos="679"/>
        </w:tabs>
        <w:rPr>
          <w:i/>
          <w:iCs/>
          <w:sz w:val="22"/>
          <w:szCs w:val="22"/>
        </w:rPr>
      </w:pPr>
      <w:r w:rsidRPr="00030ED3">
        <w:rPr>
          <w:i/>
          <w:sz w:val="22"/>
          <w:szCs w:val="22"/>
        </w:rPr>
        <w:lastRenderedPageBreak/>
        <w:t>Vesekárosodás</w:t>
      </w:r>
    </w:p>
    <w:p w14:paraId="3203B3EE" w14:textId="437983D6" w:rsidR="002C6CFA" w:rsidRPr="00030ED3" w:rsidRDefault="002C6CFA" w:rsidP="00030ED3">
      <w:pPr>
        <w:tabs>
          <w:tab w:val="left" w:pos="510"/>
          <w:tab w:val="left" w:pos="679"/>
        </w:tabs>
        <w:rPr>
          <w:b/>
          <w:bCs/>
          <w:sz w:val="22"/>
          <w:szCs w:val="22"/>
        </w:rPr>
      </w:pPr>
      <w:r w:rsidRPr="00030ED3">
        <w:rPr>
          <w:sz w:val="22"/>
          <w:szCs w:val="22"/>
        </w:rPr>
        <w:t xml:space="preserve">Vesekárosodásban nem szükséges a </w:t>
      </w:r>
      <w:r w:rsidR="008F7853">
        <w:rPr>
          <w:sz w:val="22"/>
          <w:szCs w:val="22"/>
        </w:rPr>
        <w:t>dózis</w:t>
      </w:r>
      <w:r w:rsidR="008F7853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módosítása (lásd 5.2 pont).</w:t>
      </w:r>
    </w:p>
    <w:p w14:paraId="11F7A667" w14:textId="77777777" w:rsidR="002C6CFA" w:rsidRPr="00030ED3" w:rsidRDefault="002C6CFA" w:rsidP="00030ED3">
      <w:pPr>
        <w:tabs>
          <w:tab w:val="left" w:pos="510"/>
          <w:tab w:val="left" w:pos="679"/>
        </w:tabs>
        <w:rPr>
          <w:sz w:val="22"/>
          <w:szCs w:val="22"/>
        </w:rPr>
      </w:pPr>
    </w:p>
    <w:p w14:paraId="5226D14B" w14:textId="0685CB91" w:rsidR="00EC7F7D" w:rsidRPr="00030ED3" w:rsidRDefault="00013319" w:rsidP="00030ED3">
      <w:pPr>
        <w:tabs>
          <w:tab w:val="left" w:pos="510"/>
          <w:tab w:val="left" w:pos="679"/>
        </w:tabs>
        <w:rPr>
          <w:i/>
          <w:iCs/>
          <w:sz w:val="22"/>
          <w:szCs w:val="22"/>
        </w:rPr>
      </w:pPr>
      <w:r w:rsidRPr="00030ED3">
        <w:rPr>
          <w:i/>
          <w:iCs/>
          <w:sz w:val="22"/>
          <w:szCs w:val="22"/>
        </w:rPr>
        <w:t>Májkárosod</w:t>
      </w:r>
      <w:r w:rsidR="00CB3B70" w:rsidRPr="00030ED3">
        <w:rPr>
          <w:i/>
          <w:iCs/>
          <w:sz w:val="22"/>
          <w:szCs w:val="22"/>
        </w:rPr>
        <w:t>ás</w:t>
      </w:r>
    </w:p>
    <w:p w14:paraId="45D6C391" w14:textId="4035DC4F" w:rsidR="007D6E52" w:rsidRPr="007D6E52" w:rsidRDefault="007D6E52" w:rsidP="00030ED3">
      <w:pPr>
        <w:tabs>
          <w:tab w:val="left" w:pos="510"/>
          <w:tab w:val="left" w:pos="679"/>
        </w:tabs>
        <w:rPr>
          <w:b/>
          <w:bCs/>
          <w:sz w:val="22"/>
          <w:szCs w:val="22"/>
        </w:rPr>
      </w:pPr>
      <w:r w:rsidRPr="007D6E52">
        <w:rPr>
          <w:szCs w:val="22"/>
        </w:rPr>
        <w:t>Súlyos májkárosodásban szenvedő betegeknél a pantoprazol dózisa nem haladhatja meg a napi 20</w:t>
      </w:r>
      <w:r>
        <w:rPr>
          <w:szCs w:val="22"/>
        </w:rPr>
        <w:t> </w:t>
      </w:r>
      <w:r w:rsidRPr="007D6E52">
        <w:rPr>
          <w:szCs w:val="22"/>
        </w:rPr>
        <w:t>mg</w:t>
      </w:r>
      <w:r>
        <w:rPr>
          <w:szCs w:val="22"/>
        </w:rPr>
        <w:t>-</w:t>
      </w:r>
      <w:r w:rsidRPr="007D6E52">
        <w:rPr>
          <w:szCs w:val="22"/>
        </w:rPr>
        <w:t>ot (lásd 4.4 pont).</w:t>
      </w:r>
    </w:p>
    <w:p w14:paraId="0733BD37" w14:textId="77777777" w:rsidR="000E5327" w:rsidRPr="00030ED3" w:rsidRDefault="000E5327" w:rsidP="00030ED3">
      <w:pPr>
        <w:pStyle w:val="toa"/>
        <w:tabs>
          <w:tab w:val="clear" w:pos="9360"/>
        </w:tabs>
        <w:rPr>
          <w:rFonts w:ascii="Times New Roman" w:hAnsi="Times New Roman"/>
          <w:i/>
          <w:iCs/>
          <w:szCs w:val="22"/>
          <w:lang w:val="hu-HU"/>
        </w:rPr>
      </w:pPr>
    </w:p>
    <w:p w14:paraId="66EE8F84" w14:textId="77777777" w:rsidR="000E5327" w:rsidRPr="00030ED3" w:rsidRDefault="00D8115D" w:rsidP="00030ED3">
      <w:pPr>
        <w:pStyle w:val="toa"/>
        <w:tabs>
          <w:tab w:val="clear" w:pos="9360"/>
        </w:tabs>
        <w:rPr>
          <w:rFonts w:ascii="Times New Roman" w:hAnsi="Times New Roman"/>
          <w:i/>
          <w:iCs/>
          <w:szCs w:val="22"/>
          <w:lang w:val="hu-HU"/>
        </w:rPr>
      </w:pPr>
      <w:r w:rsidRPr="00030ED3">
        <w:rPr>
          <w:rFonts w:ascii="Times New Roman" w:hAnsi="Times New Roman"/>
          <w:i/>
          <w:iCs/>
          <w:szCs w:val="22"/>
          <w:lang w:val="hu-HU"/>
        </w:rPr>
        <w:t>Gyermekek</w:t>
      </w:r>
      <w:r w:rsidR="00A817A0" w:rsidRPr="00030ED3">
        <w:rPr>
          <w:rFonts w:ascii="Times New Roman" w:hAnsi="Times New Roman"/>
          <w:i/>
          <w:iCs/>
          <w:szCs w:val="22"/>
          <w:lang w:val="hu-HU"/>
        </w:rPr>
        <w:t xml:space="preserve"> és serdülők</w:t>
      </w:r>
    </w:p>
    <w:p w14:paraId="69049F0E" w14:textId="3FC4203B" w:rsidR="00D8115D" w:rsidRPr="00030ED3" w:rsidRDefault="00D8115D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233922">
        <w:rPr>
          <w:rFonts w:ascii="Times New Roman" w:hAnsi="Times New Roman"/>
          <w:szCs w:val="22"/>
          <w:lang w:val="hu-HU"/>
        </w:rPr>
        <w:t xml:space="preserve">A </w:t>
      </w:r>
      <w:r w:rsidR="00DE4C0D" w:rsidRPr="00233922">
        <w:rPr>
          <w:rFonts w:ascii="Times New Roman" w:hAnsi="Times New Roman"/>
          <w:szCs w:val="22"/>
          <w:lang w:val="hu-HU"/>
        </w:rPr>
        <w:t>Pantoprazole Stada</w:t>
      </w:r>
      <w:r w:rsidRPr="00233922">
        <w:rPr>
          <w:rFonts w:ascii="Times New Roman" w:hAnsi="Times New Roman"/>
          <w:szCs w:val="22"/>
          <w:lang w:val="hu-HU"/>
        </w:rPr>
        <w:t xml:space="preserve"> 40 mg por oldatos injekcióhoz</w:t>
      </w:r>
      <w:r w:rsidRPr="00030ED3">
        <w:rPr>
          <w:rFonts w:ascii="Times New Roman" w:hAnsi="Times New Roman"/>
          <w:szCs w:val="22"/>
          <w:lang w:val="hu-HU"/>
        </w:rPr>
        <w:t xml:space="preserve"> </w:t>
      </w:r>
      <w:r w:rsidR="00CC389E" w:rsidRPr="00030ED3">
        <w:rPr>
          <w:rFonts w:ascii="Times New Roman" w:hAnsi="Times New Roman"/>
          <w:szCs w:val="22"/>
          <w:lang w:val="hu-HU"/>
        </w:rPr>
        <w:t>biztonságosságát és hatásosságát 18</w:t>
      </w:r>
      <w:r w:rsidR="005B1B30" w:rsidRPr="00030ED3">
        <w:rPr>
          <w:rFonts w:ascii="Times New Roman" w:hAnsi="Times New Roman"/>
          <w:szCs w:val="22"/>
          <w:lang w:val="hu-HU"/>
        </w:rPr>
        <w:t> </w:t>
      </w:r>
      <w:r w:rsidR="00CC389E" w:rsidRPr="00030ED3">
        <w:rPr>
          <w:rFonts w:ascii="Times New Roman" w:hAnsi="Times New Roman"/>
          <w:szCs w:val="22"/>
          <w:lang w:val="hu-HU"/>
        </w:rPr>
        <w:t xml:space="preserve">évesnél fiatalabb gyermekek </w:t>
      </w:r>
      <w:r w:rsidR="00CB3B70" w:rsidRPr="00030ED3">
        <w:rPr>
          <w:rFonts w:ascii="Times New Roman" w:hAnsi="Times New Roman"/>
          <w:szCs w:val="22"/>
          <w:lang w:val="hu-HU"/>
        </w:rPr>
        <w:t xml:space="preserve">és serdülők </w:t>
      </w:r>
      <w:r w:rsidR="00CC389E" w:rsidRPr="00030ED3">
        <w:rPr>
          <w:rFonts w:ascii="Times New Roman" w:hAnsi="Times New Roman"/>
          <w:szCs w:val="22"/>
          <w:lang w:val="hu-HU"/>
        </w:rPr>
        <w:t xml:space="preserve">esetén nem igazolták, ezért a </w:t>
      </w:r>
      <w:r w:rsidR="00DE4C0D" w:rsidRPr="00030ED3">
        <w:rPr>
          <w:rFonts w:ascii="Times New Roman" w:hAnsi="Times New Roman"/>
          <w:szCs w:val="22"/>
          <w:lang w:val="hu-HU"/>
        </w:rPr>
        <w:t>Pantoprazole Stada</w:t>
      </w:r>
      <w:r w:rsidR="00CC389E" w:rsidRPr="00030ED3">
        <w:rPr>
          <w:rFonts w:ascii="Times New Roman" w:hAnsi="Times New Roman"/>
          <w:szCs w:val="22"/>
          <w:lang w:val="hu-HU"/>
        </w:rPr>
        <w:t xml:space="preserve"> 40 mg por oldatos injekcióhoz </w:t>
      </w:r>
      <w:r w:rsidRPr="00030ED3">
        <w:rPr>
          <w:rFonts w:ascii="Times New Roman" w:hAnsi="Times New Roman"/>
          <w:szCs w:val="22"/>
          <w:lang w:val="hu-HU"/>
        </w:rPr>
        <w:t xml:space="preserve">nem ajánlott 18 év alatti betegek </w:t>
      </w:r>
      <w:r w:rsidR="00CB3B70" w:rsidRPr="00030ED3">
        <w:rPr>
          <w:rFonts w:ascii="Times New Roman" w:hAnsi="Times New Roman"/>
          <w:szCs w:val="22"/>
          <w:lang w:val="hu-HU"/>
        </w:rPr>
        <w:t>kezelésére</w:t>
      </w:r>
      <w:r w:rsidRPr="00030ED3">
        <w:rPr>
          <w:rFonts w:ascii="Times New Roman" w:hAnsi="Times New Roman"/>
          <w:szCs w:val="22"/>
          <w:lang w:val="hu-HU"/>
        </w:rPr>
        <w:t>.</w:t>
      </w:r>
    </w:p>
    <w:p w14:paraId="2A6AEA48" w14:textId="54EEFA4F" w:rsidR="00BA4C0C" w:rsidRPr="00030ED3" w:rsidRDefault="00BA4C0C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jelenleg rendelkezésre álló adatok </w:t>
      </w:r>
      <w:r w:rsidR="007D6E52">
        <w:rPr>
          <w:sz w:val="22"/>
          <w:szCs w:val="22"/>
        </w:rPr>
        <w:t xml:space="preserve">leírása </w:t>
      </w:r>
      <w:r w:rsidRPr="00030ED3">
        <w:rPr>
          <w:sz w:val="22"/>
          <w:szCs w:val="22"/>
        </w:rPr>
        <w:t xml:space="preserve">az 5.2 pontban található, </w:t>
      </w:r>
      <w:r w:rsidR="007D6E52" w:rsidRPr="007D6E52">
        <w:rPr>
          <w:sz w:val="22"/>
          <w:szCs w:val="22"/>
        </w:rPr>
        <w:t>de az adagolásra vonatkozóan nem adható ajánlás.</w:t>
      </w:r>
    </w:p>
    <w:p w14:paraId="62AAA77E" w14:textId="77777777" w:rsidR="00BA4C0C" w:rsidRPr="00030ED3" w:rsidRDefault="00BA4C0C" w:rsidP="00030ED3">
      <w:pPr>
        <w:rPr>
          <w:sz w:val="22"/>
          <w:szCs w:val="22"/>
        </w:rPr>
      </w:pPr>
    </w:p>
    <w:p w14:paraId="47E876B9" w14:textId="77777777" w:rsidR="00735A04" w:rsidRPr="00337113" w:rsidRDefault="00735A04" w:rsidP="00030ED3">
      <w:pPr>
        <w:rPr>
          <w:sz w:val="22"/>
          <w:szCs w:val="22"/>
          <w:u w:val="single"/>
        </w:rPr>
      </w:pPr>
      <w:r w:rsidRPr="00337113">
        <w:rPr>
          <w:sz w:val="22"/>
          <w:szCs w:val="22"/>
          <w:u w:val="single"/>
        </w:rPr>
        <w:t>Az alkalmazás</w:t>
      </w:r>
      <w:r w:rsidR="00A21B4A" w:rsidRPr="00337113">
        <w:rPr>
          <w:sz w:val="22"/>
          <w:szCs w:val="22"/>
          <w:u w:val="single"/>
        </w:rPr>
        <w:t xml:space="preserve"> módja</w:t>
      </w:r>
    </w:p>
    <w:p w14:paraId="3C1F6AE7" w14:textId="6F0585D5" w:rsidR="00735A04" w:rsidRPr="00030ED3" w:rsidRDefault="004B4CB9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beadandó oldatot 10 ml 9 mg/ml</w:t>
      </w:r>
      <w:r w:rsidRPr="00030ED3">
        <w:rPr>
          <w:sz w:val="22"/>
          <w:szCs w:val="22"/>
        </w:rPr>
        <w:noBreakHyphen/>
        <w:t>es (0,9%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os) nátrium-klorid oldatos injekcióval kell elkészíteni. Az elkészítésre vonatkozó utasításokat lásd a 6.6 pontban. Az elkészített oldat beadható közvetlenül vagy 100 ml 9 mg/ml</w:t>
      </w:r>
      <w:r w:rsidRPr="00030ED3">
        <w:rPr>
          <w:sz w:val="22"/>
          <w:szCs w:val="22"/>
        </w:rPr>
        <w:noBreakHyphen/>
        <w:t>es (0,9%-os) nátrium-klorid oldatos injekcióval vagy 5</w:t>
      </w:r>
      <w:r w:rsidR="004B7C37">
        <w:rPr>
          <w:sz w:val="22"/>
          <w:szCs w:val="22"/>
        </w:rPr>
        <w:t>0</w:t>
      </w:r>
      <w:r w:rsidRPr="00030ED3">
        <w:rPr>
          <w:sz w:val="22"/>
          <w:szCs w:val="22"/>
        </w:rPr>
        <w:t> mg/ml</w:t>
      </w:r>
      <w:r w:rsidR="00B55E8A" w:rsidRPr="00030ED3">
        <w:rPr>
          <w:sz w:val="22"/>
          <w:szCs w:val="22"/>
        </w:rPr>
        <w:t>-es</w:t>
      </w:r>
      <w:r w:rsidRPr="00030ED3">
        <w:rPr>
          <w:sz w:val="22"/>
          <w:szCs w:val="22"/>
        </w:rPr>
        <w:t xml:space="preserve"> (5%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os) glükóz oldatos injekcióval történő hígítás után.</w:t>
      </w:r>
    </w:p>
    <w:p w14:paraId="02604044" w14:textId="06752F5B" w:rsidR="0080201F" w:rsidRPr="00030ED3" w:rsidRDefault="0080201F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</w:t>
      </w:r>
      <w:r w:rsidR="00013319" w:rsidRPr="00030ED3">
        <w:rPr>
          <w:sz w:val="22"/>
          <w:szCs w:val="22"/>
        </w:rPr>
        <w:t>z</w:t>
      </w:r>
      <w:r w:rsidRPr="00030ED3">
        <w:rPr>
          <w:sz w:val="22"/>
          <w:szCs w:val="22"/>
        </w:rPr>
        <w:t xml:space="preserve"> oldat</w:t>
      </w:r>
      <w:r w:rsidR="004B4CB9" w:rsidRPr="00030ED3">
        <w:rPr>
          <w:sz w:val="22"/>
          <w:szCs w:val="22"/>
        </w:rPr>
        <w:t>o</w:t>
      </w:r>
      <w:r w:rsidRPr="00030ED3">
        <w:rPr>
          <w:sz w:val="22"/>
          <w:szCs w:val="22"/>
        </w:rPr>
        <w:t xml:space="preserve">t az elkészítés után </w:t>
      </w:r>
      <w:r w:rsidR="007B2AA8" w:rsidRPr="00030ED3">
        <w:rPr>
          <w:sz w:val="22"/>
          <w:szCs w:val="22"/>
        </w:rPr>
        <w:t>24 </w:t>
      </w:r>
      <w:r w:rsidRPr="00030ED3">
        <w:rPr>
          <w:sz w:val="22"/>
          <w:szCs w:val="22"/>
        </w:rPr>
        <w:t>órán belül fel kell használni!</w:t>
      </w:r>
    </w:p>
    <w:p w14:paraId="418E2035" w14:textId="77777777" w:rsidR="00FF6DA2" w:rsidRPr="00030ED3" w:rsidRDefault="00FF6DA2" w:rsidP="00030ED3">
      <w:pPr>
        <w:rPr>
          <w:sz w:val="22"/>
          <w:szCs w:val="22"/>
        </w:rPr>
      </w:pPr>
    </w:p>
    <w:p w14:paraId="0476713E" w14:textId="58A65933" w:rsidR="00EF484C" w:rsidRPr="00030ED3" w:rsidRDefault="00FF6DA2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gyógyszert 2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15 perc alatt kell intravénásan beadni.</w:t>
      </w:r>
    </w:p>
    <w:p w14:paraId="4EE315CA" w14:textId="77777777" w:rsidR="00FF6DA2" w:rsidRPr="00030ED3" w:rsidRDefault="00FF6DA2" w:rsidP="00030ED3">
      <w:pPr>
        <w:rPr>
          <w:sz w:val="22"/>
          <w:szCs w:val="22"/>
        </w:rPr>
      </w:pPr>
    </w:p>
    <w:p w14:paraId="78C7BE0C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4.3</w:t>
      </w:r>
      <w:r w:rsidRPr="00030ED3">
        <w:rPr>
          <w:b/>
          <w:sz w:val="22"/>
          <w:szCs w:val="22"/>
        </w:rPr>
        <w:tab/>
        <w:t>Ellenjavallatok</w:t>
      </w:r>
    </w:p>
    <w:p w14:paraId="21D2C022" w14:textId="77777777" w:rsidR="00735A04" w:rsidRPr="00030ED3" w:rsidRDefault="00735A04" w:rsidP="00030ED3">
      <w:pPr>
        <w:rPr>
          <w:sz w:val="22"/>
          <w:szCs w:val="22"/>
        </w:rPr>
      </w:pPr>
    </w:p>
    <w:p w14:paraId="2D218FE0" w14:textId="77777777" w:rsidR="009B0D18" w:rsidRPr="00030ED3" w:rsidRDefault="004B4CB9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készítmény hatóanyagával, szubsztituált benzimidazolokkal, vagy </w:t>
      </w:r>
      <w:r w:rsidR="00DF38AC" w:rsidRPr="00030ED3">
        <w:rPr>
          <w:sz w:val="22"/>
          <w:szCs w:val="22"/>
        </w:rPr>
        <w:t xml:space="preserve">a 6.1 pontban felsorolt </w:t>
      </w:r>
      <w:r w:rsidRPr="00030ED3">
        <w:rPr>
          <w:sz w:val="22"/>
          <w:szCs w:val="22"/>
        </w:rPr>
        <w:t>bármely segédanyagával szembeni túlérzékenység.</w:t>
      </w:r>
    </w:p>
    <w:p w14:paraId="7B994EB3" w14:textId="77777777" w:rsidR="00735A04" w:rsidRPr="00030ED3" w:rsidRDefault="00735A04" w:rsidP="00030ED3">
      <w:pPr>
        <w:rPr>
          <w:sz w:val="22"/>
          <w:szCs w:val="22"/>
        </w:rPr>
      </w:pPr>
    </w:p>
    <w:p w14:paraId="436D306C" w14:textId="77777777" w:rsidR="00735A04" w:rsidRPr="00030ED3" w:rsidRDefault="00735A04" w:rsidP="00030ED3">
      <w:pPr>
        <w:pStyle w:val="Szvegtrzs"/>
        <w:ind w:left="567" w:hanging="567"/>
        <w:rPr>
          <w:sz w:val="22"/>
          <w:szCs w:val="22"/>
        </w:rPr>
      </w:pPr>
      <w:r w:rsidRPr="00030ED3">
        <w:rPr>
          <w:sz w:val="22"/>
          <w:szCs w:val="22"/>
        </w:rPr>
        <w:t>4.4</w:t>
      </w:r>
      <w:r w:rsidRPr="00030ED3">
        <w:rPr>
          <w:sz w:val="22"/>
          <w:szCs w:val="22"/>
        </w:rPr>
        <w:tab/>
        <w:t>Különleges figyelmeztetések és az alkalmazással kapcsolatos óvintézkedések</w:t>
      </w:r>
    </w:p>
    <w:p w14:paraId="4EE781C4" w14:textId="77777777" w:rsidR="009B0D18" w:rsidRPr="00030ED3" w:rsidRDefault="009B0D18" w:rsidP="00030ED3">
      <w:pPr>
        <w:pStyle w:val="Szvegtrzs"/>
        <w:rPr>
          <w:b w:val="0"/>
          <w:bCs/>
          <w:sz w:val="22"/>
          <w:szCs w:val="22"/>
        </w:rPr>
      </w:pPr>
    </w:p>
    <w:p w14:paraId="5A50D2C5" w14:textId="1D982091" w:rsidR="002E5093" w:rsidRPr="00030ED3" w:rsidRDefault="002E5093" w:rsidP="00030ED3">
      <w:pPr>
        <w:tabs>
          <w:tab w:val="left" w:pos="567"/>
        </w:tabs>
        <w:rPr>
          <w:iCs/>
          <w:sz w:val="22"/>
          <w:szCs w:val="22"/>
          <w:u w:val="single"/>
        </w:rPr>
      </w:pPr>
      <w:r w:rsidRPr="002E5093">
        <w:rPr>
          <w:iCs/>
          <w:sz w:val="22"/>
          <w:szCs w:val="22"/>
          <w:u w:val="single"/>
        </w:rPr>
        <w:t>Gyomor malignus folyamatai</w:t>
      </w:r>
    </w:p>
    <w:p w14:paraId="63CADBC4" w14:textId="5A009E76" w:rsidR="009B6C5E" w:rsidRPr="009B6C5E" w:rsidRDefault="00CC389E" w:rsidP="009B6C5E">
      <w:pPr>
        <w:tabs>
          <w:tab w:val="left" w:pos="567"/>
        </w:tabs>
        <w:rPr>
          <w:sz w:val="22"/>
          <w:szCs w:val="22"/>
        </w:rPr>
      </w:pPr>
      <w:r w:rsidRPr="00030ED3">
        <w:rPr>
          <w:sz w:val="22"/>
          <w:szCs w:val="22"/>
        </w:rPr>
        <w:t xml:space="preserve">A pantoprazolra adott tüneti válasz elfedheti a </w:t>
      </w:r>
      <w:r w:rsidR="002E5093">
        <w:rPr>
          <w:sz w:val="22"/>
          <w:szCs w:val="22"/>
        </w:rPr>
        <w:t>g</w:t>
      </w:r>
      <w:r w:rsidR="002E5093" w:rsidRPr="002E5093">
        <w:rPr>
          <w:sz w:val="22"/>
          <w:szCs w:val="22"/>
        </w:rPr>
        <w:t>yomor malignus folyamatai</w:t>
      </w:r>
      <w:r w:rsidR="002E5093">
        <w:rPr>
          <w:sz w:val="22"/>
          <w:szCs w:val="22"/>
        </w:rPr>
        <w:t xml:space="preserve">nak </w:t>
      </w:r>
      <w:r w:rsidRPr="00030ED3">
        <w:rPr>
          <w:sz w:val="22"/>
          <w:szCs w:val="22"/>
        </w:rPr>
        <w:t xml:space="preserve">tüneteit és késleltetheti a diagnózist. </w:t>
      </w:r>
      <w:r w:rsidR="00F416E0" w:rsidRPr="00030ED3">
        <w:rPr>
          <w:sz w:val="22"/>
          <w:szCs w:val="22"/>
        </w:rPr>
        <w:t xml:space="preserve">Bármely figyelmeztető tünet (pl. </w:t>
      </w:r>
      <w:r w:rsidR="009B6C5E">
        <w:rPr>
          <w:sz w:val="22"/>
          <w:szCs w:val="22"/>
        </w:rPr>
        <w:t>jelentős</w:t>
      </w:r>
      <w:r w:rsidR="004B4CB9" w:rsidRPr="00030ED3">
        <w:rPr>
          <w:sz w:val="22"/>
          <w:szCs w:val="22"/>
        </w:rPr>
        <w:t>,</w:t>
      </w:r>
      <w:r w:rsidR="00F416E0" w:rsidRPr="00030ED3">
        <w:rPr>
          <w:sz w:val="22"/>
          <w:szCs w:val="22"/>
        </w:rPr>
        <w:t xml:space="preserve"> nem</w:t>
      </w:r>
      <w:r w:rsidR="009B6C5E">
        <w:rPr>
          <w:sz w:val="22"/>
          <w:szCs w:val="22"/>
        </w:rPr>
        <w:t xml:space="preserve"> </w:t>
      </w:r>
      <w:r w:rsidR="00F416E0" w:rsidRPr="00030ED3">
        <w:rPr>
          <w:sz w:val="22"/>
          <w:szCs w:val="22"/>
        </w:rPr>
        <w:t>tervezett test</w:t>
      </w:r>
      <w:r w:rsidR="00B55E8A" w:rsidRPr="00030ED3">
        <w:rPr>
          <w:sz w:val="22"/>
          <w:szCs w:val="22"/>
        </w:rPr>
        <w:t>tömeg</w:t>
      </w:r>
      <w:r w:rsidR="00F416E0" w:rsidRPr="00030ED3">
        <w:rPr>
          <w:sz w:val="22"/>
          <w:szCs w:val="22"/>
        </w:rPr>
        <w:t>csökkenés, ismét</w:t>
      </w:r>
      <w:r w:rsidR="002E5093">
        <w:rPr>
          <w:sz w:val="22"/>
          <w:szCs w:val="22"/>
        </w:rPr>
        <w:t>lődő</w:t>
      </w:r>
      <w:r w:rsidR="00F416E0" w:rsidRPr="00030ED3">
        <w:rPr>
          <w:sz w:val="22"/>
          <w:szCs w:val="22"/>
        </w:rPr>
        <w:t xml:space="preserve"> hányás, dysphagia, haematemesis, anaemia vagy melaena) jelen</w:t>
      </w:r>
      <w:r w:rsidR="004B4CB9" w:rsidRPr="00030ED3">
        <w:rPr>
          <w:sz w:val="22"/>
          <w:szCs w:val="22"/>
        </w:rPr>
        <w:t>tkez</w:t>
      </w:r>
      <w:r w:rsidR="00F416E0" w:rsidRPr="00030ED3">
        <w:rPr>
          <w:sz w:val="22"/>
          <w:szCs w:val="22"/>
        </w:rPr>
        <w:t>é</w:t>
      </w:r>
      <w:r w:rsidR="004B4CB9" w:rsidRPr="00030ED3">
        <w:rPr>
          <w:sz w:val="22"/>
          <w:szCs w:val="22"/>
        </w:rPr>
        <w:t>s</w:t>
      </w:r>
      <w:r w:rsidR="00F416E0" w:rsidRPr="00030ED3">
        <w:rPr>
          <w:sz w:val="22"/>
          <w:szCs w:val="22"/>
        </w:rPr>
        <w:t>e esetén,</w:t>
      </w:r>
      <w:r w:rsidR="009B6C5E" w:rsidRPr="009B6C5E">
        <w:rPr>
          <w:sz w:val="22"/>
          <w:szCs w:val="22"/>
        </w:rPr>
        <w:t xml:space="preserve"> illetve gyomorfekély gyanúja vagy kimutatott jelenléte esetén ki kell zárni a malignus folyamatok lehetőségét.</w:t>
      </w:r>
    </w:p>
    <w:p w14:paraId="6486C87D" w14:textId="77777777" w:rsidR="00F416E0" w:rsidRPr="00030ED3" w:rsidRDefault="00F416E0" w:rsidP="00030ED3">
      <w:pPr>
        <w:tabs>
          <w:tab w:val="left" w:pos="567"/>
        </w:tabs>
        <w:rPr>
          <w:sz w:val="22"/>
          <w:szCs w:val="22"/>
        </w:rPr>
      </w:pPr>
    </w:p>
    <w:p w14:paraId="21C66304" w14:textId="469FC9EF" w:rsidR="00F416E0" w:rsidRPr="00030ED3" w:rsidRDefault="009B6C5E" w:rsidP="00030ED3">
      <w:pPr>
        <w:tabs>
          <w:tab w:val="left" w:pos="567"/>
        </w:tabs>
        <w:rPr>
          <w:sz w:val="22"/>
          <w:szCs w:val="22"/>
        </w:rPr>
      </w:pPr>
      <w:r w:rsidRPr="009B6C5E">
        <w:rPr>
          <w:sz w:val="22"/>
          <w:szCs w:val="22"/>
        </w:rPr>
        <w:t>További vizsgálatok elvégzése mérlegelendő</w:t>
      </w:r>
      <w:r w:rsidR="00F416E0" w:rsidRPr="00030ED3">
        <w:rPr>
          <w:sz w:val="22"/>
          <w:szCs w:val="22"/>
        </w:rPr>
        <w:t xml:space="preserve">, ha a </w:t>
      </w:r>
      <w:r w:rsidR="001A395D" w:rsidRPr="00030ED3">
        <w:rPr>
          <w:sz w:val="22"/>
          <w:szCs w:val="22"/>
        </w:rPr>
        <w:t>megfelelő</w:t>
      </w:r>
      <w:r w:rsidR="00F416E0" w:rsidRPr="00030ED3">
        <w:rPr>
          <w:sz w:val="22"/>
          <w:szCs w:val="22"/>
        </w:rPr>
        <w:t xml:space="preserve"> kezelés ellenére a tünetek fennmaradnak.</w:t>
      </w:r>
    </w:p>
    <w:p w14:paraId="52D150BE" w14:textId="77777777" w:rsidR="00735A04" w:rsidRPr="00030ED3" w:rsidRDefault="00735A04" w:rsidP="00030ED3">
      <w:pPr>
        <w:tabs>
          <w:tab w:val="left" w:pos="567"/>
        </w:tabs>
        <w:rPr>
          <w:sz w:val="22"/>
          <w:szCs w:val="22"/>
        </w:rPr>
      </w:pPr>
    </w:p>
    <w:p w14:paraId="43135D05" w14:textId="77777777" w:rsidR="004B4CB9" w:rsidRPr="00030ED3" w:rsidRDefault="004B4CB9" w:rsidP="00030ED3">
      <w:pPr>
        <w:rPr>
          <w:iCs/>
          <w:sz w:val="22"/>
          <w:szCs w:val="22"/>
          <w:u w:val="single"/>
        </w:rPr>
      </w:pPr>
      <w:r w:rsidRPr="00030ED3">
        <w:rPr>
          <w:iCs/>
          <w:sz w:val="22"/>
          <w:szCs w:val="22"/>
          <w:u w:val="single"/>
        </w:rPr>
        <w:t>Májkárosodás</w:t>
      </w:r>
    </w:p>
    <w:p w14:paraId="58E4540B" w14:textId="19021183" w:rsidR="00735A04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Súlyos </w:t>
      </w:r>
      <w:r w:rsidR="006F73EA" w:rsidRPr="00030ED3">
        <w:rPr>
          <w:sz w:val="22"/>
          <w:szCs w:val="22"/>
        </w:rPr>
        <w:t xml:space="preserve">májkárosodásban </w:t>
      </w:r>
      <w:r w:rsidR="004B4CB9" w:rsidRPr="00030ED3">
        <w:rPr>
          <w:sz w:val="22"/>
          <w:szCs w:val="22"/>
        </w:rPr>
        <w:t>szenvedő betegeknél</w:t>
      </w:r>
      <w:r w:rsidRPr="00030ED3">
        <w:rPr>
          <w:sz w:val="22"/>
          <w:szCs w:val="22"/>
        </w:rPr>
        <w:t xml:space="preserve"> a májenzim</w:t>
      </w:r>
      <w:r w:rsidR="00C866DC">
        <w:rPr>
          <w:sz w:val="22"/>
          <w:szCs w:val="22"/>
        </w:rPr>
        <w:t>szinteket</w:t>
      </w:r>
      <w:r w:rsidRPr="00030ED3">
        <w:rPr>
          <w:sz w:val="22"/>
          <w:szCs w:val="22"/>
        </w:rPr>
        <w:t xml:space="preserve"> rendszeresen ellenőrizni kell</w:t>
      </w:r>
      <w:r w:rsidR="00B31655" w:rsidRPr="00030ED3">
        <w:rPr>
          <w:sz w:val="22"/>
          <w:szCs w:val="22"/>
        </w:rPr>
        <w:t xml:space="preserve"> a kezelés során</w:t>
      </w:r>
      <w:r w:rsidRPr="00030ED3">
        <w:rPr>
          <w:sz w:val="22"/>
          <w:szCs w:val="22"/>
        </w:rPr>
        <w:t xml:space="preserve">. </w:t>
      </w:r>
      <w:r w:rsidR="004B4CB9" w:rsidRPr="00030ED3">
        <w:rPr>
          <w:sz w:val="22"/>
          <w:szCs w:val="22"/>
        </w:rPr>
        <w:t>A</w:t>
      </w:r>
      <w:r w:rsidRPr="00030ED3">
        <w:rPr>
          <w:sz w:val="22"/>
          <w:szCs w:val="22"/>
        </w:rPr>
        <w:t xml:space="preserve"> májenzim-értékek emelkedés</w:t>
      </w:r>
      <w:r w:rsidR="004B4CB9" w:rsidRPr="00030ED3">
        <w:rPr>
          <w:sz w:val="22"/>
          <w:szCs w:val="22"/>
        </w:rPr>
        <w:t>e</w:t>
      </w:r>
      <w:r w:rsidRPr="00030ED3">
        <w:rPr>
          <w:sz w:val="22"/>
          <w:szCs w:val="22"/>
        </w:rPr>
        <w:t xml:space="preserve"> </w:t>
      </w:r>
      <w:r w:rsidR="004B4CB9" w:rsidRPr="00030ED3">
        <w:rPr>
          <w:sz w:val="22"/>
          <w:szCs w:val="22"/>
        </w:rPr>
        <w:t>esetén</w:t>
      </w:r>
      <w:r w:rsidRPr="00030ED3">
        <w:rPr>
          <w:sz w:val="22"/>
          <w:szCs w:val="22"/>
        </w:rPr>
        <w:t xml:space="preserve">, a </w:t>
      </w:r>
      <w:r w:rsidR="004B4CB9" w:rsidRPr="00030ED3">
        <w:rPr>
          <w:sz w:val="22"/>
          <w:szCs w:val="22"/>
        </w:rPr>
        <w:t>kezelést</w:t>
      </w:r>
      <w:r w:rsidRPr="00030ED3">
        <w:rPr>
          <w:sz w:val="22"/>
          <w:szCs w:val="22"/>
        </w:rPr>
        <w:t xml:space="preserve"> </w:t>
      </w:r>
      <w:r w:rsidR="00C866DC">
        <w:rPr>
          <w:sz w:val="22"/>
          <w:szCs w:val="22"/>
        </w:rPr>
        <w:t>abba kell hagyni</w:t>
      </w:r>
      <w:r w:rsidR="00B31655" w:rsidRPr="00030ED3">
        <w:rPr>
          <w:sz w:val="22"/>
          <w:szCs w:val="22"/>
        </w:rPr>
        <w:t xml:space="preserve"> (lásd 4.2</w:t>
      </w:r>
      <w:r w:rsidR="00DF38AC" w:rsidRPr="00030ED3">
        <w:rPr>
          <w:sz w:val="22"/>
          <w:szCs w:val="22"/>
        </w:rPr>
        <w:t> </w:t>
      </w:r>
      <w:r w:rsidR="00B31655" w:rsidRPr="00030ED3">
        <w:rPr>
          <w:sz w:val="22"/>
          <w:szCs w:val="22"/>
        </w:rPr>
        <w:t>pont)</w:t>
      </w:r>
      <w:r w:rsidRPr="00030ED3">
        <w:rPr>
          <w:sz w:val="22"/>
          <w:szCs w:val="22"/>
        </w:rPr>
        <w:t>.</w:t>
      </w:r>
    </w:p>
    <w:p w14:paraId="4A7911EC" w14:textId="77777777" w:rsidR="00735A04" w:rsidRPr="00030ED3" w:rsidRDefault="00735A04" w:rsidP="00030ED3">
      <w:pPr>
        <w:rPr>
          <w:sz w:val="22"/>
          <w:szCs w:val="22"/>
        </w:rPr>
      </w:pPr>
    </w:p>
    <w:p w14:paraId="21B1621A" w14:textId="00B8DAA3" w:rsidR="00B31655" w:rsidRPr="00030ED3" w:rsidRDefault="00B31655" w:rsidP="00030ED3">
      <w:pPr>
        <w:pStyle w:val="toa"/>
        <w:rPr>
          <w:rFonts w:ascii="Times New Roman" w:hAnsi="Times New Roman"/>
          <w:szCs w:val="22"/>
          <w:u w:val="single"/>
          <w:lang w:val="hu-HU"/>
        </w:rPr>
      </w:pPr>
      <w:r w:rsidRPr="00030ED3">
        <w:rPr>
          <w:rFonts w:ascii="Times New Roman" w:hAnsi="Times New Roman"/>
          <w:szCs w:val="22"/>
          <w:u w:val="single"/>
          <w:lang w:val="hu-HU"/>
        </w:rPr>
        <w:t xml:space="preserve">Együttadás </w:t>
      </w:r>
      <w:r w:rsidR="00CC389E" w:rsidRPr="00030ED3">
        <w:rPr>
          <w:rFonts w:ascii="Times New Roman" w:hAnsi="Times New Roman"/>
          <w:szCs w:val="22"/>
          <w:u w:val="single"/>
          <w:lang w:val="hu-HU"/>
        </w:rPr>
        <w:t>HIV</w:t>
      </w:r>
      <w:r w:rsidR="00270DC3" w:rsidRPr="00030ED3">
        <w:rPr>
          <w:rFonts w:ascii="Times New Roman" w:hAnsi="Times New Roman"/>
          <w:szCs w:val="22"/>
          <w:u w:val="single"/>
          <w:lang w:val="hu-HU"/>
        </w:rPr>
        <w:noBreakHyphen/>
      </w:r>
      <w:r w:rsidR="00CC389E" w:rsidRPr="00030ED3">
        <w:rPr>
          <w:rFonts w:ascii="Times New Roman" w:hAnsi="Times New Roman"/>
          <w:szCs w:val="22"/>
          <w:u w:val="single"/>
          <w:lang w:val="hu-HU"/>
        </w:rPr>
        <w:t>proteázgátlókkal</w:t>
      </w:r>
    </w:p>
    <w:p w14:paraId="2D0D5158" w14:textId="092BD7ED" w:rsidR="00B31655" w:rsidRPr="00030ED3" w:rsidRDefault="00CC389E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Pantoprazol</w:t>
      </w:r>
      <w:r w:rsidR="002359DD" w:rsidRPr="00030ED3">
        <w:rPr>
          <w:sz w:val="22"/>
          <w:szCs w:val="22"/>
        </w:rPr>
        <w:t xml:space="preserve"> együttadása </w:t>
      </w:r>
      <w:r w:rsidR="00AA463B" w:rsidRPr="00030ED3">
        <w:rPr>
          <w:sz w:val="22"/>
          <w:szCs w:val="22"/>
        </w:rPr>
        <w:t xml:space="preserve">nem ajánlott </w:t>
      </w:r>
      <w:r w:rsidR="00AA463B">
        <w:rPr>
          <w:sz w:val="22"/>
          <w:szCs w:val="22"/>
        </w:rPr>
        <w:t xml:space="preserve">olyan </w:t>
      </w:r>
      <w:r w:rsidRPr="00030ED3">
        <w:rPr>
          <w:sz w:val="22"/>
          <w:szCs w:val="22"/>
        </w:rPr>
        <w:t>HIV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proteázgátlókkal</w:t>
      </w:r>
      <w:r w:rsidR="001A395D" w:rsidRPr="00030ED3">
        <w:rPr>
          <w:sz w:val="22"/>
          <w:szCs w:val="22"/>
        </w:rPr>
        <w:t>,</w:t>
      </w:r>
      <w:r w:rsidRPr="00030ED3">
        <w:rPr>
          <w:sz w:val="22"/>
          <w:szCs w:val="22"/>
        </w:rPr>
        <w:t xml:space="preserve"> például </w:t>
      </w:r>
      <w:r w:rsidR="002359DD" w:rsidRPr="00030ED3">
        <w:rPr>
          <w:sz w:val="22"/>
          <w:szCs w:val="22"/>
        </w:rPr>
        <w:t>atazanavirral</w:t>
      </w:r>
      <w:r w:rsidRPr="00030ED3">
        <w:rPr>
          <w:sz w:val="22"/>
          <w:szCs w:val="22"/>
        </w:rPr>
        <w:t>,</w:t>
      </w:r>
      <w:r w:rsidR="002359DD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 xml:space="preserve">melyeknek felszívódása </w:t>
      </w:r>
      <w:r w:rsidR="00AA463B">
        <w:rPr>
          <w:sz w:val="22"/>
          <w:szCs w:val="22"/>
        </w:rPr>
        <w:t xml:space="preserve">a </w:t>
      </w:r>
      <w:r w:rsidRPr="00030ED3">
        <w:rPr>
          <w:sz w:val="22"/>
          <w:szCs w:val="22"/>
        </w:rPr>
        <w:t xml:space="preserve">gyomor </w:t>
      </w:r>
      <w:r w:rsidR="00AA463B">
        <w:rPr>
          <w:sz w:val="22"/>
          <w:szCs w:val="22"/>
        </w:rPr>
        <w:t xml:space="preserve">savas </w:t>
      </w:r>
      <w:r w:rsidRPr="00030ED3">
        <w:rPr>
          <w:sz w:val="22"/>
          <w:szCs w:val="22"/>
        </w:rPr>
        <w:t>pH</w:t>
      </w:r>
      <w:r w:rsidR="00270DC3" w:rsidRPr="00030ED3">
        <w:rPr>
          <w:sz w:val="22"/>
          <w:szCs w:val="22"/>
        </w:rPr>
        <w:noBreakHyphen/>
      </w:r>
      <w:r w:rsidR="00AA463B">
        <w:rPr>
          <w:sz w:val="22"/>
          <w:szCs w:val="22"/>
        </w:rPr>
        <w:t>já</w:t>
      </w:r>
      <w:r w:rsidRPr="00030ED3">
        <w:rPr>
          <w:sz w:val="22"/>
          <w:szCs w:val="22"/>
        </w:rPr>
        <w:t xml:space="preserve">tól függ, </w:t>
      </w:r>
      <w:r w:rsidR="00AA463B">
        <w:rPr>
          <w:sz w:val="22"/>
          <w:szCs w:val="22"/>
        </w:rPr>
        <w:t>mivel</w:t>
      </w:r>
      <w:r w:rsidRPr="00030ED3">
        <w:rPr>
          <w:sz w:val="22"/>
          <w:szCs w:val="22"/>
        </w:rPr>
        <w:t xml:space="preserve"> biohasznosulásuk szignifikáns</w:t>
      </w:r>
      <w:r w:rsidR="00AA463B">
        <w:rPr>
          <w:sz w:val="22"/>
          <w:szCs w:val="22"/>
        </w:rPr>
        <w:t>an</w:t>
      </w:r>
      <w:r w:rsidRPr="00030ED3">
        <w:rPr>
          <w:sz w:val="22"/>
          <w:szCs w:val="22"/>
        </w:rPr>
        <w:t xml:space="preserve"> csökk</w:t>
      </w:r>
      <w:r w:rsidR="00AA463B">
        <w:rPr>
          <w:sz w:val="22"/>
          <w:szCs w:val="22"/>
        </w:rPr>
        <w:t>en</w:t>
      </w:r>
      <w:r w:rsidRPr="00030ED3">
        <w:rPr>
          <w:sz w:val="22"/>
          <w:szCs w:val="22"/>
        </w:rPr>
        <w:t xml:space="preserve"> </w:t>
      </w:r>
      <w:r w:rsidR="002359DD" w:rsidRPr="00030ED3">
        <w:rPr>
          <w:sz w:val="22"/>
          <w:szCs w:val="22"/>
        </w:rPr>
        <w:t>(lásd 4.5</w:t>
      </w:r>
      <w:r w:rsidR="00DF38AC" w:rsidRPr="00030ED3">
        <w:rPr>
          <w:sz w:val="22"/>
          <w:szCs w:val="22"/>
        </w:rPr>
        <w:t> </w:t>
      </w:r>
      <w:r w:rsidR="002359DD" w:rsidRPr="00030ED3">
        <w:rPr>
          <w:sz w:val="22"/>
          <w:szCs w:val="22"/>
        </w:rPr>
        <w:t>pont).</w:t>
      </w:r>
    </w:p>
    <w:p w14:paraId="72F664E6" w14:textId="77777777" w:rsidR="00B31655" w:rsidRPr="00030ED3" w:rsidRDefault="00B31655" w:rsidP="00030ED3">
      <w:pPr>
        <w:rPr>
          <w:sz w:val="22"/>
          <w:szCs w:val="22"/>
        </w:rPr>
      </w:pPr>
    </w:p>
    <w:p w14:paraId="52C0AC6D" w14:textId="1F0B96A9" w:rsidR="00B53F4C" w:rsidRPr="001C248F" w:rsidRDefault="00B53F4C" w:rsidP="00030ED3">
      <w:pPr>
        <w:rPr>
          <w:iCs/>
          <w:sz w:val="22"/>
          <w:szCs w:val="22"/>
          <w:u w:val="single"/>
        </w:rPr>
      </w:pPr>
      <w:r w:rsidRPr="001C248F">
        <w:rPr>
          <w:iCs/>
          <w:sz w:val="22"/>
          <w:szCs w:val="22"/>
          <w:u w:val="single"/>
        </w:rPr>
        <w:t>Baktériumok által előidézett emésztőrendszeri fertőzések</w:t>
      </w:r>
    </w:p>
    <w:p w14:paraId="4AC2CC9B" w14:textId="1D4F3B92" w:rsidR="00072D99" w:rsidRPr="00030ED3" w:rsidRDefault="004B4CB9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</w:t>
      </w:r>
      <w:r w:rsidR="00DE4C0D" w:rsidRPr="00030ED3">
        <w:rPr>
          <w:sz w:val="22"/>
          <w:szCs w:val="22"/>
        </w:rPr>
        <w:t>Pantoprazole Stada</w:t>
      </w:r>
      <w:r w:rsidR="00072D99" w:rsidRPr="00030ED3">
        <w:rPr>
          <w:sz w:val="22"/>
          <w:szCs w:val="22"/>
        </w:rPr>
        <w:noBreakHyphen/>
        <w:t xml:space="preserve">kezelés baktériumok, például </w:t>
      </w:r>
      <w:r w:rsidR="00072D99" w:rsidRPr="00030ED3">
        <w:rPr>
          <w:i/>
          <w:sz w:val="22"/>
          <w:szCs w:val="22"/>
        </w:rPr>
        <w:t>Salmonella</w:t>
      </w:r>
      <w:r w:rsidR="00072D99" w:rsidRPr="00030ED3">
        <w:rPr>
          <w:sz w:val="22"/>
          <w:szCs w:val="22"/>
        </w:rPr>
        <w:t xml:space="preserve"> és </w:t>
      </w:r>
      <w:r w:rsidR="00072D99" w:rsidRPr="00030ED3">
        <w:rPr>
          <w:i/>
          <w:sz w:val="22"/>
          <w:szCs w:val="22"/>
        </w:rPr>
        <w:t>Campylobacter</w:t>
      </w:r>
      <w:r w:rsidR="00072D99" w:rsidRPr="00030ED3">
        <w:rPr>
          <w:sz w:val="22"/>
          <w:szCs w:val="22"/>
        </w:rPr>
        <w:t xml:space="preserve"> vagy </w:t>
      </w:r>
      <w:r w:rsidR="00072D99" w:rsidRPr="00030ED3">
        <w:rPr>
          <w:i/>
          <w:sz w:val="22"/>
          <w:szCs w:val="22"/>
        </w:rPr>
        <w:t>C. difficile</w:t>
      </w:r>
      <w:r w:rsidR="00072D99" w:rsidRPr="00030ED3">
        <w:rPr>
          <w:sz w:val="22"/>
          <w:szCs w:val="22"/>
        </w:rPr>
        <w:t xml:space="preserve"> által okozott gastrointestinalis fertőzések enyhén emelkedett kockázatához vezethet.</w:t>
      </w:r>
    </w:p>
    <w:p w14:paraId="2E304521" w14:textId="77777777" w:rsidR="00072D99" w:rsidRPr="00030ED3" w:rsidRDefault="00072D99" w:rsidP="00030ED3">
      <w:pPr>
        <w:rPr>
          <w:sz w:val="22"/>
          <w:szCs w:val="22"/>
        </w:rPr>
      </w:pPr>
    </w:p>
    <w:p w14:paraId="0CD8CF45" w14:textId="77777777" w:rsidR="00055211" w:rsidRPr="00030ED3" w:rsidRDefault="00B85943" w:rsidP="00030ED3">
      <w:pPr>
        <w:rPr>
          <w:iCs/>
          <w:sz w:val="22"/>
          <w:szCs w:val="22"/>
          <w:u w:val="single"/>
        </w:rPr>
      </w:pPr>
      <w:r w:rsidRPr="00030ED3">
        <w:rPr>
          <w:iCs/>
          <w:sz w:val="22"/>
          <w:szCs w:val="22"/>
          <w:u w:val="single"/>
        </w:rPr>
        <w:t>Hypomagnesaemi</w:t>
      </w:r>
      <w:r w:rsidR="00055211" w:rsidRPr="00030ED3">
        <w:rPr>
          <w:iCs/>
          <w:sz w:val="22"/>
          <w:szCs w:val="22"/>
          <w:u w:val="single"/>
        </w:rPr>
        <w:t>a</w:t>
      </w:r>
    </w:p>
    <w:p w14:paraId="74943A18" w14:textId="674574EA" w:rsidR="00055211" w:rsidRPr="00030ED3" w:rsidRDefault="006C7F6D" w:rsidP="00030ED3">
      <w:pPr>
        <w:autoSpaceDE w:val="0"/>
        <w:autoSpaceDN w:val="0"/>
        <w:adjustRightInd w:val="0"/>
        <w:rPr>
          <w:sz w:val="22"/>
          <w:szCs w:val="22"/>
        </w:rPr>
      </w:pPr>
      <w:r w:rsidRPr="00030ED3">
        <w:rPr>
          <w:sz w:val="22"/>
          <w:szCs w:val="22"/>
        </w:rPr>
        <w:t>Súlyos hypomagnesaemiáról számoltak be ritkán,</w:t>
      </w:r>
      <w:r w:rsidR="00055211" w:rsidRPr="00030ED3">
        <w:rPr>
          <w:sz w:val="22"/>
          <w:szCs w:val="22"/>
        </w:rPr>
        <w:t xml:space="preserve"> legalább 3 hónapon</w:t>
      </w:r>
      <w:r w:rsidR="00935996" w:rsidRPr="00030ED3">
        <w:rPr>
          <w:sz w:val="22"/>
          <w:szCs w:val="22"/>
        </w:rPr>
        <w:t xml:space="preserve"> át</w:t>
      </w:r>
      <w:r w:rsidR="00055211" w:rsidRPr="00030ED3">
        <w:rPr>
          <w:sz w:val="22"/>
          <w:szCs w:val="22"/>
        </w:rPr>
        <w:t xml:space="preserve">, </w:t>
      </w:r>
      <w:r w:rsidR="004A72BB">
        <w:rPr>
          <w:sz w:val="22"/>
          <w:szCs w:val="22"/>
        </w:rPr>
        <w:t>de</w:t>
      </w:r>
      <w:r w:rsidR="00055211" w:rsidRPr="00030ED3">
        <w:rPr>
          <w:sz w:val="22"/>
          <w:szCs w:val="22"/>
        </w:rPr>
        <w:t xml:space="preserve"> a legtöbb esetben egy éven keresztül protonpumpa-gátlókkal</w:t>
      </w:r>
      <w:r w:rsidR="00A53333" w:rsidRPr="00030ED3">
        <w:rPr>
          <w:sz w:val="22"/>
          <w:szCs w:val="22"/>
        </w:rPr>
        <w:t xml:space="preserve"> (PPI)</w:t>
      </w:r>
      <w:r w:rsidR="00055211" w:rsidRPr="00030ED3">
        <w:rPr>
          <w:sz w:val="22"/>
          <w:szCs w:val="22"/>
        </w:rPr>
        <w:t xml:space="preserve">, mint például pantoprazollal kezelt </w:t>
      </w:r>
      <w:r w:rsidRPr="00030ED3">
        <w:rPr>
          <w:sz w:val="22"/>
          <w:szCs w:val="22"/>
        </w:rPr>
        <w:t>betegeknél</w:t>
      </w:r>
      <w:r w:rsidR="00055211" w:rsidRPr="00030ED3">
        <w:rPr>
          <w:sz w:val="22"/>
          <w:szCs w:val="22"/>
        </w:rPr>
        <w:t xml:space="preserve">. A </w:t>
      </w:r>
      <w:r w:rsidR="00B85943" w:rsidRPr="00030ED3">
        <w:rPr>
          <w:sz w:val="22"/>
          <w:szCs w:val="22"/>
        </w:rPr>
        <w:t>hypomagnesaemi</w:t>
      </w:r>
      <w:r w:rsidR="00055211" w:rsidRPr="00030ED3">
        <w:rPr>
          <w:sz w:val="22"/>
          <w:szCs w:val="22"/>
        </w:rPr>
        <w:t xml:space="preserve">a olyan súlyos tünetekkel jelentkezhet, mint például kimerültség, </w:t>
      </w:r>
      <w:r w:rsidR="005B1B30" w:rsidRPr="00030ED3">
        <w:rPr>
          <w:sz w:val="22"/>
          <w:szCs w:val="22"/>
        </w:rPr>
        <w:t>tetánia</w:t>
      </w:r>
      <w:r w:rsidR="00055211" w:rsidRPr="00030ED3">
        <w:rPr>
          <w:sz w:val="22"/>
          <w:szCs w:val="22"/>
        </w:rPr>
        <w:t>, delírium, konvulzió</w:t>
      </w:r>
      <w:r w:rsidR="008A7609" w:rsidRPr="00030ED3">
        <w:rPr>
          <w:sz w:val="22"/>
          <w:szCs w:val="22"/>
        </w:rPr>
        <w:t>k</w:t>
      </w:r>
      <w:r w:rsidR="00055211" w:rsidRPr="00030ED3">
        <w:rPr>
          <w:sz w:val="22"/>
          <w:szCs w:val="22"/>
        </w:rPr>
        <w:t xml:space="preserve">, szédülés, kamrai ritmuszavar, mely tünetek gyakran észrevétlenül kezdődnek és eleinte figyelmen kívül hagyják őket. </w:t>
      </w:r>
      <w:r w:rsidRPr="00030ED3">
        <w:rPr>
          <w:sz w:val="22"/>
          <w:szCs w:val="22"/>
        </w:rPr>
        <w:t xml:space="preserve">A hypomagnesaemia hypocalcaemiához és/vagy hypokalaemiához </w:t>
      </w:r>
      <w:r w:rsidRPr="00030ED3">
        <w:rPr>
          <w:sz w:val="22"/>
          <w:szCs w:val="22"/>
        </w:rPr>
        <w:lastRenderedPageBreak/>
        <w:t>vezethet (lásd 4.8</w:t>
      </w:r>
      <w:r w:rsidR="007B2AA8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pont).</w:t>
      </w:r>
      <w:r w:rsidR="008C4CBB" w:rsidRPr="00030ED3">
        <w:rPr>
          <w:sz w:val="22"/>
          <w:szCs w:val="22"/>
        </w:rPr>
        <w:t xml:space="preserve"> </w:t>
      </w:r>
      <w:r w:rsidR="00055211" w:rsidRPr="00030ED3">
        <w:rPr>
          <w:sz w:val="22"/>
          <w:szCs w:val="22"/>
        </w:rPr>
        <w:t xml:space="preserve">A legtöbb érintett betegben a </w:t>
      </w:r>
      <w:r w:rsidR="00B85943" w:rsidRPr="00030ED3">
        <w:rPr>
          <w:sz w:val="22"/>
          <w:szCs w:val="22"/>
        </w:rPr>
        <w:t>hypomagnesaemi</w:t>
      </w:r>
      <w:r w:rsidR="00055211" w:rsidRPr="00030ED3">
        <w:rPr>
          <w:sz w:val="22"/>
          <w:szCs w:val="22"/>
        </w:rPr>
        <w:t xml:space="preserve">a </w:t>
      </w:r>
      <w:r w:rsidRPr="00030ED3">
        <w:rPr>
          <w:sz w:val="22"/>
          <w:szCs w:val="22"/>
        </w:rPr>
        <w:t xml:space="preserve">(és a hypomagnesaemiához társuló hypocalcaemia és/vagy hypokalaemia) </w:t>
      </w:r>
      <w:r w:rsidR="00055211" w:rsidRPr="00030ED3">
        <w:rPr>
          <w:sz w:val="22"/>
          <w:szCs w:val="22"/>
        </w:rPr>
        <w:t>javult a magnéziumpótló terápia, és a protonpumpa</w:t>
      </w:r>
      <w:r w:rsidR="004A72BB">
        <w:rPr>
          <w:sz w:val="22"/>
          <w:szCs w:val="22"/>
        </w:rPr>
        <w:t>-</w:t>
      </w:r>
      <w:r w:rsidR="00055211" w:rsidRPr="00030ED3">
        <w:rPr>
          <w:sz w:val="22"/>
          <w:szCs w:val="22"/>
        </w:rPr>
        <w:t>gátlókkal való kezelés abbahagyás</w:t>
      </w:r>
      <w:r w:rsidR="004A72BB">
        <w:rPr>
          <w:sz w:val="22"/>
          <w:szCs w:val="22"/>
        </w:rPr>
        <w:t>a</w:t>
      </w:r>
      <w:r w:rsidR="00055211" w:rsidRPr="00030ED3">
        <w:rPr>
          <w:sz w:val="22"/>
          <w:szCs w:val="22"/>
        </w:rPr>
        <w:t xml:space="preserve"> </w:t>
      </w:r>
      <w:r w:rsidR="004A72BB">
        <w:rPr>
          <w:sz w:val="22"/>
          <w:szCs w:val="22"/>
        </w:rPr>
        <w:t>után</w:t>
      </w:r>
      <w:r w:rsidR="00055211" w:rsidRPr="00030ED3">
        <w:rPr>
          <w:sz w:val="22"/>
          <w:szCs w:val="22"/>
        </w:rPr>
        <w:t>.</w:t>
      </w:r>
    </w:p>
    <w:p w14:paraId="7585951D" w14:textId="77777777" w:rsidR="00A817A0" w:rsidRPr="00030ED3" w:rsidRDefault="00A817A0" w:rsidP="00030ED3">
      <w:pPr>
        <w:autoSpaceDE w:val="0"/>
        <w:autoSpaceDN w:val="0"/>
        <w:adjustRightInd w:val="0"/>
        <w:rPr>
          <w:sz w:val="22"/>
          <w:szCs w:val="22"/>
        </w:rPr>
      </w:pPr>
    </w:p>
    <w:p w14:paraId="20B6770B" w14:textId="010D260B" w:rsidR="00055211" w:rsidRPr="00030ED3" w:rsidRDefault="00055211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Az</w:t>
      </w:r>
      <w:r w:rsidR="004A72BB" w:rsidRPr="004A72BB">
        <w:t xml:space="preserve"> </w:t>
      </w:r>
      <w:r w:rsidR="004A72BB" w:rsidRPr="004A72BB">
        <w:rPr>
          <w:sz w:val="22"/>
          <w:szCs w:val="22"/>
        </w:rPr>
        <w:t xml:space="preserve">egészségügyi szakembereknek </w:t>
      </w:r>
      <w:r w:rsidRPr="00030ED3">
        <w:rPr>
          <w:sz w:val="22"/>
          <w:szCs w:val="22"/>
        </w:rPr>
        <w:t>fontolóra kell venni a magnéziumszint ellenőrzését a kezelés megkezdése előtt és rendszeres időközönként a kezelés során azoknál a betegeknél, akik várhatóan hosszú távú protonpumpagátló</w:t>
      </w:r>
      <w:r w:rsidR="004A72BB">
        <w:rPr>
          <w:sz w:val="22"/>
          <w:szCs w:val="22"/>
        </w:rPr>
        <w:t>-</w:t>
      </w:r>
      <w:r w:rsidRPr="00030ED3">
        <w:rPr>
          <w:sz w:val="22"/>
          <w:szCs w:val="22"/>
        </w:rPr>
        <w:t xml:space="preserve">terápiában részesülnek, vagy egyidejűleg digoxint, vagy olyan gyógyszereket szednek, melyek </w:t>
      </w:r>
      <w:r w:rsidR="00B85943" w:rsidRPr="00030ED3">
        <w:rPr>
          <w:sz w:val="22"/>
          <w:szCs w:val="22"/>
        </w:rPr>
        <w:t>hypomagnesaemi</w:t>
      </w:r>
      <w:r w:rsidRPr="00030ED3">
        <w:rPr>
          <w:sz w:val="22"/>
          <w:szCs w:val="22"/>
        </w:rPr>
        <w:t>át okozhatnak (pl. diuretikumok).</w:t>
      </w:r>
    </w:p>
    <w:p w14:paraId="13019E11" w14:textId="77777777" w:rsidR="004B4CB9" w:rsidRPr="00030ED3" w:rsidRDefault="004B4CB9" w:rsidP="00030ED3">
      <w:pPr>
        <w:rPr>
          <w:sz w:val="22"/>
          <w:szCs w:val="22"/>
        </w:rPr>
      </w:pPr>
    </w:p>
    <w:p w14:paraId="4019A713" w14:textId="77777777" w:rsidR="000A2AD6" w:rsidRPr="00030ED3" w:rsidRDefault="000A2AD6" w:rsidP="00030ED3">
      <w:pPr>
        <w:autoSpaceDE w:val="0"/>
        <w:autoSpaceDN w:val="0"/>
        <w:adjustRightInd w:val="0"/>
        <w:rPr>
          <w:iCs/>
          <w:sz w:val="22"/>
          <w:szCs w:val="22"/>
          <w:u w:val="single"/>
        </w:rPr>
      </w:pPr>
      <w:r w:rsidRPr="00030ED3">
        <w:rPr>
          <w:iCs/>
          <w:sz w:val="22"/>
          <w:szCs w:val="22"/>
          <w:u w:val="single"/>
        </w:rPr>
        <w:t>Csonttörések</w:t>
      </w:r>
    </w:p>
    <w:p w14:paraId="332B66E2" w14:textId="5F69CD61" w:rsidR="000A2AD6" w:rsidRPr="00030ED3" w:rsidRDefault="000A2AD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protonpumpa-gátlók</w:t>
      </w:r>
      <w:r w:rsidR="00935996" w:rsidRPr="00030ED3">
        <w:rPr>
          <w:sz w:val="22"/>
          <w:szCs w:val="22"/>
        </w:rPr>
        <w:t>,</w:t>
      </w:r>
      <w:r w:rsidRPr="00030ED3">
        <w:rPr>
          <w:sz w:val="22"/>
          <w:szCs w:val="22"/>
        </w:rPr>
        <w:t xml:space="preserve"> </w:t>
      </w:r>
      <w:r w:rsidR="004A72BB">
        <w:rPr>
          <w:sz w:val="22"/>
          <w:szCs w:val="22"/>
        </w:rPr>
        <w:t>különösen</w:t>
      </w:r>
      <w:r w:rsidRPr="00030ED3">
        <w:rPr>
          <w:sz w:val="22"/>
          <w:szCs w:val="22"/>
        </w:rPr>
        <w:t xml:space="preserve"> nagy </w:t>
      </w:r>
      <w:r w:rsidR="004A72BB">
        <w:rPr>
          <w:sz w:val="22"/>
          <w:szCs w:val="22"/>
        </w:rPr>
        <w:t>dózisban</w:t>
      </w:r>
      <w:r w:rsidRPr="00030ED3">
        <w:rPr>
          <w:sz w:val="22"/>
          <w:szCs w:val="22"/>
        </w:rPr>
        <w:t xml:space="preserve"> és hosszú távú alkalmazás során (több mint 1 év), mérsékelten növelhetik a csípő-, csukló- és gerinctörések kockázatát, </w:t>
      </w:r>
      <w:r w:rsidR="004A72BB">
        <w:rPr>
          <w:sz w:val="22"/>
          <w:szCs w:val="22"/>
        </w:rPr>
        <w:t>különösen</w:t>
      </w:r>
      <w:r w:rsidR="00935996" w:rsidRPr="00030ED3">
        <w:rPr>
          <w:sz w:val="22"/>
          <w:szCs w:val="22"/>
        </w:rPr>
        <w:t xml:space="preserve"> időseknél</w:t>
      </w:r>
      <w:r w:rsidRPr="00030ED3">
        <w:rPr>
          <w:sz w:val="22"/>
          <w:szCs w:val="22"/>
        </w:rPr>
        <w:t>, vagy olyan betegeknél, akiknél egyéb ismert kockázati tényezők is fennállnak. Megfigyeléses vizsgálatok szerint a protonpumpagátlók 10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40%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 xml:space="preserve">kal növelik a </w:t>
      </w:r>
      <w:r w:rsidR="004A72BB">
        <w:rPr>
          <w:sz w:val="22"/>
          <w:szCs w:val="22"/>
        </w:rPr>
        <w:t>csont</w:t>
      </w:r>
      <w:r w:rsidRPr="00030ED3">
        <w:rPr>
          <w:sz w:val="22"/>
          <w:szCs w:val="22"/>
        </w:rPr>
        <w:t>törések kockázatát. A kockázat</w:t>
      </w:r>
      <w:r w:rsidR="004A72BB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növekedéshez részben egyéb kockázati tényezők is hozzájárulhatnak. Az osteopor</w:t>
      </w:r>
      <w:r w:rsidR="00B85943" w:rsidRPr="00030ED3">
        <w:rPr>
          <w:sz w:val="22"/>
          <w:szCs w:val="22"/>
        </w:rPr>
        <w:t>os</w:t>
      </w:r>
      <w:r w:rsidRPr="00030ED3">
        <w:rPr>
          <w:sz w:val="22"/>
          <w:szCs w:val="22"/>
        </w:rPr>
        <w:t>is kockázatának kitett betegeknek az érvényes klinikai irányelveknek megfelelő ellátásban, valamint megfelelő D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vitamin</w:t>
      </w:r>
      <w:r w:rsidR="00A03626" w:rsidRPr="00030ED3">
        <w:rPr>
          <w:sz w:val="22"/>
          <w:szCs w:val="22"/>
        </w:rPr>
        <w:t>-</w:t>
      </w:r>
      <w:r w:rsidRPr="00030ED3">
        <w:rPr>
          <w:sz w:val="22"/>
          <w:szCs w:val="22"/>
        </w:rPr>
        <w:t xml:space="preserve"> és kalciumbevitelben kell részesülniük.</w:t>
      </w:r>
    </w:p>
    <w:p w14:paraId="2316C3EB" w14:textId="77777777" w:rsidR="00072D99" w:rsidRPr="00030ED3" w:rsidRDefault="00072D99" w:rsidP="00030ED3">
      <w:pPr>
        <w:rPr>
          <w:sz w:val="22"/>
          <w:szCs w:val="22"/>
        </w:rPr>
      </w:pPr>
    </w:p>
    <w:p w14:paraId="3B66E3B7" w14:textId="77777777" w:rsidR="00A20327" w:rsidRPr="00030ED3" w:rsidRDefault="00A20327" w:rsidP="00030ED3">
      <w:pPr>
        <w:suppressAutoHyphens/>
        <w:rPr>
          <w:sz w:val="22"/>
          <w:szCs w:val="22"/>
          <w:u w:val="single"/>
          <w:lang w:eastAsia="ar-SA"/>
        </w:rPr>
      </w:pPr>
      <w:r w:rsidRPr="00030ED3">
        <w:rPr>
          <w:sz w:val="22"/>
          <w:szCs w:val="22"/>
          <w:u w:val="single"/>
          <w:lang w:eastAsia="ar-SA"/>
        </w:rPr>
        <w:t>Bőrt érintő súlyos mellékhatások (severe cutaneous adverse reactions, SCARs)</w:t>
      </w:r>
    </w:p>
    <w:p w14:paraId="753AB90C" w14:textId="329E119E" w:rsidR="00A20327" w:rsidRPr="00030ED3" w:rsidRDefault="00A20327" w:rsidP="00030ED3">
      <w:pPr>
        <w:suppressAutoHyphens/>
        <w:rPr>
          <w:sz w:val="22"/>
          <w:szCs w:val="22"/>
          <w:lang w:eastAsia="ar-SA"/>
        </w:rPr>
      </w:pPr>
      <w:r w:rsidRPr="00030ED3">
        <w:rPr>
          <w:sz w:val="22"/>
          <w:szCs w:val="22"/>
          <w:lang w:eastAsia="ar-SA"/>
        </w:rPr>
        <w:t>Bőrt érintő súlyos mellékhatásokat (SCARs), köztük erythema multiformét, Stevens–Johnson-szindrómát (SJS), toxikus epidermalis necrolysist (TEN)</w:t>
      </w:r>
      <w:r w:rsidR="005F6A70" w:rsidRPr="00030ED3">
        <w:rPr>
          <w:sz w:val="22"/>
          <w:szCs w:val="22"/>
          <w:lang w:eastAsia="ar-SA"/>
        </w:rPr>
        <w:t xml:space="preserve">, </w:t>
      </w:r>
      <w:r w:rsidRPr="00030ED3">
        <w:rPr>
          <w:sz w:val="22"/>
          <w:szCs w:val="22"/>
          <w:lang w:eastAsia="ar-SA"/>
        </w:rPr>
        <w:t xml:space="preserve">eosinophiliával és szisztémás tünetekkel járó gyógyszerreakciót (DRESS) </w:t>
      </w:r>
      <w:r w:rsidR="00647261" w:rsidRPr="00030ED3">
        <w:rPr>
          <w:sz w:val="22"/>
          <w:szCs w:val="22"/>
          <w:lang w:eastAsia="ar-SA"/>
        </w:rPr>
        <w:t xml:space="preserve">és akut generalizált exanthemás pustulosist (AGEP) </w:t>
      </w:r>
      <w:r w:rsidRPr="00030ED3">
        <w:rPr>
          <w:sz w:val="22"/>
          <w:szCs w:val="22"/>
          <w:lang w:eastAsia="ar-SA"/>
        </w:rPr>
        <w:t>jelentettek nem ismert gyakorisággal a pantoprazol alkalmazásával kapcsolatban, amelyek életveszélyesek vagy halálos kimenetelűek is lehetnek (lásd 4.8</w:t>
      </w:r>
      <w:r w:rsidR="001A4134" w:rsidRPr="00030ED3">
        <w:rPr>
          <w:sz w:val="22"/>
          <w:szCs w:val="22"/>
          <w:lang w:eastAsia="ar-SA"/>
        </w:rPr>
        <w:t> </w:t>
      </w:r>
      <w:r w:rsidRPr="00030ED3">
        <w:rPr>
          <w:sz w:val="22"/>
          <w:szCs w:val="22"/>
          <w:lang w:eastAsia="ar-SA"/>
        </w:rPr>
        <w:t>pont).</w:t>
      </w:r>
    </w:p>
    <w:p w14:paraId="68D9EBD5" w14:textId="77777777" w:rsidR="00A20327" w:rsidRPr="00030ED3" w:rsidRDefault="00A20327" w:rsidP="00030ED3">
      <w:pPr>
        <w:suppressAutoHyphens/>
        <w:rPr>
          <w:sz w:val="22"/>
          <w:szCs w:val="22"/>
          <w:lang w:eastAsia="ar-SA"/>
        </w:rPr>
      </w:pPr>
      <w:r w:rsidRPr="00030ED3">
        <w:rPr>
          <w:sz w:val="22"/>
          <w:szCs w:val="22"/>
          <w:lang w:eastAsia="ar-SA"/>
        </w:rPr>
        <w:t>A betegeket tájékoztatni kell a bőrreakciók jeleiről, valamint tüneteiről, és azokat szorosan figyelemmel kell kísérni.</w:t>
      </w:r>
    </w:p>
    <w:p w14:paraId="0B392891" w14:textId="77777777" w:rsidR="00A20327" w:rsidRPr="00030ED3" w:rsidRDefault="00A20327" w:rsidP="00030ED3">
      <w:pPr>
        <w:suppressAutoHyphens/>
        <w:rPr>
          <w:sz w:val="22"/>
          <w:szCs w:val="22"/>
          <w:lang w:eastAsia="ar-SA"/>
        </w:rPr>
      </w:pPr>
      <w:r w:rsidRPr="00030ED3">
        <w:rPr>
          <w:sz w:val="22"/>
          <w:szCs w:val="22"/>
          <w:lang w:eastAsia="ar-SA"/>
        </w:rPr>
        <w:t>Amennyiben ilyen reakciók kialakulására utaló jeleket és tüneteket észlelnek, a pantoprazol-kezelést azonnal le kell állítani és mérlegelni kell egy alternatív terápiás lehetőség alkalmazását.</w:t>
      </w:r>
    </w:p>
    <w:p w14:paraId="2AD60284" w14:textId="77777777" w:rsidR="00A20327" w:rsidRPr="00030ED3" w:rsidRDefault="00A20327" w:rsidP="00030ED3">
      <w:pPr>
        <w:rPr>
          <w:sz w:val="22"/>
          <w:szCs w:val="22"/>
        </w:rPr>
      </w:pPr>
    </w:p>
    <w:p w14:paraId="6F2B5280" w14:textId="77777777" w:rsidR="00072D99" w:rsidRPr="00030ED3" w:rsidRDefault="00072D99" w:rsidP="00030ED3">
      <w:pPr>
        <w:adjustRightInd w:val="0"/>
        <w:snapToGrid w:val="0"/>
        <w:rPr>
          <w:iCs/>
          <w:sz w:val="22"/>
          <w:szCs w:val="22"/>
          <w:u w:val="single"/>
        </w:rPr>
      </w:pPr>
      <w:r w:rsidRPr="00030ED3">
        <w:rPr>
          <w:iCs/>
          <w:sz w:val="22"/>
          <w:szCs w:val="22"/>
          <w:u w:val="single"/>
        </w:rPr>
        <w:t>Suba</w:t>
      </w:r>
      <w:r w:rsidR="005C0154" w:rsidRPr="00030ED3">
        <w:rPr>
          <w:iCs/>
          <w:sz w:val="22"/>
          <w:szCs w:val="22"/>
          <w:u w:val="single"/>
        </w:rPr>
        <w:t>c</w:t>
      </w:r>
      <w:r w:rsidRPr="00030ED3">
        <w:rPr>
          <w:iCs/>
          <w:sz w:val="22"/>
          <w:szCs w:val="22"/>
          <w:u w:val="single"/>
        </w:rPr>
        <w:t xml:space="preserve">ut </w:t>
      </w:r>
      <w:r w:rsidR="0024560E" w:rsidRPr="00030ED3">
        <w:rPr>
          <w:iCs/>
          <w:sz w:val="22"/>
          <w:szCs w:val="22"/>
          <w:u w:val="single"/>
        </w:rPr>
        <w:t xml:space="preserve">cutan </w:t>
      </w:r>
      <w:r w:rsidR="00B85943" w:rsidRPr="00030ED3">
        <w:rPr>
          <w:iCs/>
          <w:sz w:val="22"/>
          <w:szCs w:val="22"/>
          <w:u w:val="single"/>
        </w:rPr>
        <w:t>lupus er</w:t>
      </w:r>
      <w:r w:rsidR="00A03626" w:rsidRPr="00030ED3">
        <w:rPr>
          <w:iCs/>
          <w:sz w:val="22"/>
          <w:szCs w:val="22"/>
          <w:u w:val="single"/>
        </w:rPr>
        <w:t>y</w:t>
      </w:r>
      <w:r w:rsidR="00D3365D" w:rsidRPr="00030ED3">
        <w:rPr>
          <w:iCs/>
          <w:sz w:val="22"/>
          <w:szCs w:val="22"/>
          <w:u w:val="single"/>
        </w:rPr>
        <w:t>t</w:t>
      </w:r>
      <w:r w:rsidR="00A03626" w:rsidRPr="00030ED3">
        <w:rPr>
          <w:iCs/>
          <w:sz w:val="22"/>
          <w:szCs w:val="22"/>
          <w:u w:val="single"/>
        </w:rPr>
        <w:t>h</w:t>
      </w:r>
      <w:r w:rsidR="00B85943" w:rsidRPr="00030ED3">
        <w:rPr>
          <w:iCs/>
          <w:sz w:val="22"/>
          <w:szCs w:val="22"/>
          <w:u w:val="single"/>
        </w:rPr>
        <w:t>emat</w:t>
      </w:r>
      <w:r w:rsidR="00A03626" w:rsidRPr="00030ED3">
        <w:rPr>
          <w:iCs/>
          <w:sz w:val="22"/>
          <w:szCs w:val="22"/>
          <w:u w:val="single"/>
        </w:rPr>
        <w:t>os</w:t>
      </w:r>
      <w:r w:rsidR="00B85943" w:rsidRPr="00030ED3">
        <w:rPr>
          <w:iCs/>
          <w:sz w:val="22"/>
          <w:szCs w:val="22"/>
          <w:u w:val="single"/>
        </w:rPr>
        <w:t>us</w:t>
      </w:r>
      <w:r w:rsidRPr="00030ED3">
        <w:rPr>
          <w:iCs/>
          <w:sz w:val="22"/>
          <w:szCs w:val="22"/>
          <w:u w:val="single"/>
        </w:rPr>
        <w:t xml:space="preserve"> (SCLE)</w:t>
      </w:r>
    </w:p>
    <w:p w14:paraId="6C08DC74" w14:textId="38085DDC" w:rsidR="00072D99" w:rsidRPr="00030ED3" w:rsidRDefault="00D3365D" w:rsidP="00030ED3">
      <w:pPr>
        <w:autoSpaceDE w:val="0"/>
        <w:autoSpaceDN w:val="0"/>
        <w:adjustRightInd w:val="0"/>
        <w:snapToGrid w:val="0"/>
        <w:rPr>
          <w:sz w:val="22"/>
          <w:szCs w:val="22"/>
        </w:rPr>
      </w:pPr>
      <w:r w:rsidRPr="00030ED3">
        <w:rPr>
          <w:sz w:val="22"/>
          <w:szCs w:val="22"/>
        </w:rPr>
        <w:t>A protonpumpa</w:t>
      </w:r>
      <w:r w:rsidR="004A72BB">
        <w:rPr>
          <w:sz w:val="22"/>
          <w:szCs w:val="22"/>
        </w:rPr>
        <w:t>-</w:t>
      </w:r>
      <w:r w:rsidR="00072D99" w:rsidRPr="00030ED3">
        <w:rPr>
          <w:sz w:val="22"/>
          <w:szCs w:val="22"/>
        </w:rPr>
        <w:t xml:space="preserve">gátlók </w:t>
      </w:r>
      <w:r w:rsidR="004A72BB">
        <w:rPr>
          <w:sz w:val="22"/>
          <w:szCs w:val="22"/>
        </w:rPr>
        <w:t>alkalmazása</w:t>
      </w:r>
      <w:r w:rsidRPr="00030ED3">
        <w:rPr>
          <w:sz w:val="22"/>
          <w:szCs w:val="22"/>
        </w:rPr>
        <w:t xml:space="preserve"> </w:t>
      </w:r>
      <w:r w:rsidR="00072D99" w:rsidRPr="00030ED3">
        <w:rPr>
          <w:sz w:val="22"/>
          <w:szCs w:val="22"/>
        </w:rPr>
        <w:t>nagyon ritkán kapcsolatba hozható SCLE</w:t>
      </w:r>
      <w:r w:rsidR="004A72BB">
        <w:rPr>
          <w:sz w:val="22"/>
          <w:szCs w:val="22"/>
        </w:rPr>
        <w:t>-</w:t>
      </w:r>
      <w:r w:rsidR="00072D99" w:rsidRPr="00030ED3">
        <w:rPr>
          <w:sz w:val="22"/>
          <w:szCs w:val="22"/>
        </w:rPr>
        <w:t xml:space="preserve">esetekkel. </w:t>
      </w:r>
      <w:r w:rsidRPr="00030ED3">
        <w:rPr>
          <w:sz w:val="22"/>
          <w:szCs w:val="22"/>
        </w:rPr>
        <w:t>E</w:t>
      </w:r>
      <w:r w:rsidR="00072D99" w:rsidRPr="00030ED3">
        <w:rPr>
          <w:sz w:val="22"/>
          <w:szCs w:val="22"/>
        </w:rPr>
        <w:t xml:space="preserve">lváltozások </w:t>
      </w:r>
      <w:r w:rsidRPr="00030ED3">
        <w:rPr>
          <w:sz w:val="22"/>
          <w:szCs w:val="22"/>
        </w:rPr>
        <w:t>esetén</w:t>
      </w:r>
      <w:r w:rsidR="00072D99" w:rsidRPr="00030ED3">
        <w:rPr>
          <w:sz w:val="22"/>
          <w:szCs w:val="22"/>
        </w:rPr>
        <w:t xml:space="preserve">, különösen </w:t>
      </w:r>
      <w:r w:rsidRPr="00030ED3">
        <w:rPr>
          <w:sz w:val="22"/>
          <w:szCs w:val="22"/>
        </w:rPr>
        <w:t xml:space="preserve">ha ez a bőr </w:t>
      </w:r>
      <w:r w:rsidR="00072D99" w:rsidRPr="00030ED3">
        <w:rPr>
          <w:sz w:val="22"/>
          <w:szCs w:val="22"/>
        </w:rPr>
        <w:t>napnak kitett terület</w:t>
      </w:r>
      <w:r w:rsidRPr="00030ED3">
        <w:rPr>
          <w:sz w:val="22"/>
          <w:szCs w:val="22"/>
        </w:rPr>
        <w:t>é</w:t>
      </w:r>
      <w:r w:rsidR="00072D99" w:rsidRPr="00030ED3">
        <w:rPr>
          <w:sz w:val="22"/>
          <w:szCs w:val="22"/>
        </w:rPr>
        <w:t>n</w:t>
      </w:r>
      <w:r w:rsidRPr="00030ED3">
        <w:rPr>
          <w:sz w:val="22"/>
          <w:szCs w:val="22"/>
        </w:rPr>
        <w:t xml:space="preserve"> van</w:t>
      </w:r>
      <w:r w:rsidR="00072D99" w:rsidRPr="00030ED3">
        <w:rPr>
          <w:sz w:val="22"/>
          <w:szCs w:val="22"/>
        </w:rPr>
        <w:t>, valamint ha ízületi fájdalommal társul, sürgősen orvos</w:t>
      </w:r>
      <w:r w:rsidRPr="00030ED3">
        <w:rPr>
          <w:sz w:val="22"/>
          <w:szCs w:val="22"/>
        </w:rPr>
        <w:t>hoz kell fordulni</w:t>
      </w:r>
      <w:r w:rsidR="00072D99" w:rsidRPr="00030ED3">
        <w:rPr>
          <w:sz w:val="22"/>
          <w:szCs w:val="22"/>
        </w:rPr>
        <w:t xml:space="preserve"> és meg kell fontolni a </w:t>
      </w:r>
      <w:r w:rsidR="00DE4C0D" w:rsidRPr="00030ED3">
        <w:rPr>
          <w:sz w:val="22"/>
          <w:szCs w:val="22"/>
        </w:rPr>
        <w:t>Pantoprazole Stada</w:t>
      </w:r>
      <w:r w:rsidR="00072D99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 xml:space="preserve">adagolásának </w:t>
      </w:r>
      <w:r w:rsidR="00072D99" w:rsidRPr="00030ED3">
        <w:rPr>
          <w:sz w:val="22"/>
          <w:szCs w:val="22"/>
        </w:rPr>
        <w:t xml:space="preserve">leállítását. </w:t>
      </w:r>
      <w:r w:rsidRPr="00030ED3">
        <w:rPr>
          <w:sz w:val="22"/>
          <w:szCs w:val="22"/>
        </w:rPr>
        <w:t>Az SCLE előfordulása v</w:t>
      </w:r>
      <w:r w:rsidR="00277193" w:rsidRPr="00030ED3">
        <w:rPr>
          <w:sz w:val="22"/>
          <w:szCs w:val="22"/>
        </w:rPr>
        <w:t>alamely protonpumpa</w:t>
      </w:r>
      <w:r w:rsidR="004A72BB">
        <w:rPr>
          <w:sz w:val="22"/>
          <w:szCs w:val="22"/>
        </w:rPr>
        <w:t>-</w:t>
      </w:r>
      <w:r w:rsidR="00277193" w:rsidRPr="00030ED3">
        <w:rPr>
          <w:sz w:val="22"/>
          <w:szCs w:val="22"/>
        </w:rPr>
        <w:t>gátlóval történ</w:t>
      </w:r>
      <w:r w:rsidRPr="00030ED3">
        <w:rPr>
          <w:sz w:val="22"/>
          <w:szCs w:val="22"/>
        </w:rPr>
        <w:t>ő korábbi</w:t>
      </w:r>
      <w:r w:rsidR="00072D99" w:rsidRPr="00030ED3">
        <w:rPr>
          <w:sz w:val="22"/>
          <w:szCs w:val="22"/>
        </w:rPr>
        <w:t xml:space="preserve"> kezelés </w:t>
      </w:r>
      <w:r w:rsidRPr="00030ED3">
        <w:rPr>
          <w:sz w:val="22"/>
          <w:szCs w:val="22"/>
        </w:rPr>
        <w:t>esetén</w:t>
      </w:r>
      <w:r w:rsidR="00277193" w:rsidRPr="00030ED3">
        <w:rPr>
          <w:sz w:val="22"/>
          <w:szCs w:val="22"/>
        </w:rPr>
        <w:t xml:space="preserve"> </w:t>
      </w:r>
      <w:r w:rsidR="00072D99" w:rsidRPr="00030ED3">
        <w:rPr>
          <w:sz w:val="22"/>
          <w:szCs w:val="22"/>
        </w:rPr>
        <w:t xml:space="preserve">növelheti az SCLE </w:t>
      </w:r>
      <w:r w:rsidRPr="00030ED3">
        <w:rPr>
          <w:sz w:val="22"/>
          <w:szCs w:val="22"/>
        </w:rPr>
        <w:t xml:space="preserve">esélyét </w:t>
      </w:r>
      <w:r w:rsidR="00072D99" w:rsidRPr="00030ED3">
        <w:rPr>
          <w:sz w:val="22"/>
          <w:szCs w:val="22"/>
        </w:rPr>
        <w:t>más protonpumpa</w:t>
      </w:r>
      <w:r w:rsidR="004A72BB">
        <w:rPr>
          <w:sz w:val="22"/>
          <w:szCs w:val="22"/>
        </w:rPr>
        <w:t>-</w:t>
      </w:r>
      <w:r w:rsidR="00072D99" w:rsidRPr="00030ED3">
        <w:rPr>
          <w:sz w:val="22"/>
          <w:szCs w:val="22"/>
        </w:rPr>
        <w:t xml:space="preserve">gátlók </w:t>
      </w:r>
      <w:r w:rsidRPr="00030ED3">
        <w:rPr>
          <w:sz w:val="22"/>
          <w:szCs w:val="22"/>
        </w:rPr>
        <w:t xml:space="preserve">használata </w:t>
      </w:r>
      <w:r w:rsidR="00072D99" w:rsidRPr="00030ED3">
        <w:rPr>
          <w:sz w:val="22"/>
          <w:szCs w:val="22"/>
        </w:rPr>
        <w:t>esetén</w:t>
      </w:r>
      <w:r w:rsidRPr="00030ED3">
        <w:rPr>
          <w:sz w:val="22"/>
          <w:szCs w:val="22"/>
        </w:rPr>
        <w:t xml:space="preserve"> is</w:t>
      </w:r>
      <w:r w:rsidR="00072D99" w:rsidRPr="00030ED3">
        <w:rPr>
          <w:sz w:val="22"/>
          <w:szCs w:val="22"/>
        </w:rPr>
        <w:t>.</w:t>
      </w:r>
    </w:p>
    <w:p w14:paraId="2AFE33F8" w14:textId="77777777" w:rsidR="0083339E" w:rsidRPr="00030ED3" w:rsidRDefault="0083339E" w:rsidP="00030ED3">
      <w:pPr>
        <w:autoSpaceDE w:val="0"/>
        <w:autoSpaceDN w:val="0"/>
        <w:adjustRightInd w:val="0"/>
        <w:snapToGrid w:val="0"/>
        <w:rPr>
          <w:sz w:val="22"/>
          <w:szCs w:val="22"/>
        </w:rPr>
      </w:pPr>
    </w:p>
    <w:p w14:paraId="751C853C" w14:textId="77777777" w:rsidR="0083339E" w:rsidRPr="00030ED3" w:rsidRDefault="0083339E" w:rsidP="00030ED3">
      <w:pPr>
        <w:autoSpaceDE w:val="0"/>
        <w:autoSpaceDN w:val="0"/>
        <w:adjustRightInd w:val="0"/>
        <w:snapToGrid w:val="0"/>
        <w:rPr>
          <w:iCs/>
          <w:sz w:val="22"/>
          <w:szCs w:val="22"/>
          <w:u w:val="single"/>
        </w:rPr>
      </w:pPr>
      <w:r w:rsidRPr="00030ED3">
        <w:rPr>
          <w:iCs/>
          <w:sz w:val="22"/>
          <w:szCs w:val="22"/>
          <w:u w:val="single"/>
        </w:rPr>
        <w:t xml:space="preserve">Laboratóriumi vizsgálatokra gyakorolt zavaró hatás </w:t>
      </w:r>
    </w:p>
    <w:p w14:paraId="62304E53" w14:textId="528E24DC" w:rsidR="0083339E" w:rsidRPr="00030ED3" w:rsidRDefault="0083339E" w:rsidP="00030ED3">
      <w:pPr>
        <w:autoSpaceDE w:val="0"/>
        <w:autoSpaceDN w:val="0"/>
        <w:adjustRightInd w:val="0"/>
        <w:snapToGrid w:val="0"/>
        <w:rPr>
          <w:sz w:val="22"/>
          <w:szCs w:val="22"/>
        </w:rPr>
      </w:pPr>
      <w:r w:rsidRPr="00030ED3">
        <w:rPr>
          <w:sz w:val="22"/>
          <w:szCs w:val="22"/>
        </w:rPr>
        <w:t>A megnövekedett kromogranin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 xml:space="preserve">A (CgA) szint zavarhatja a neuroendokrin </w:t>
      </w:r>
      <w:r w:rsidR="004A72BB">
        <w:rPr>
          <w:sz w:val="22"/>
          <w:szCs w:val="22"/>
        </w:rPr>
        <w:t>daganatok</w:t>
      </w:r>
      <w:r w:rsidRPr="00030ED3">
        <w:rPr>
          <w:sz w:val="22"/>
          <w:szCs w:val="22"/>
        </w:rPr>
        <w:t xml:space="preserve"> vizsgálatait. Ezen kölcsönhatás elkerülése érdekében a </w:t>
      </w:r>
      <w:r w:rsidR="00DE4C0D" w:rsidRPr="00030ED3">
        <w:rPr>
          <w:sz w:val="22"/>
          <w:szCs w:val="22"/>
        </w:rPr>
        <w:t>Pantoprazole Stada</w:t>
      </w:r>
      <w:r w:rsidRPr="00030ED3">
        <w:rPr>
          <w:sz w:val="22"/>
          <w:szCs w:val="22"/>
        </w:rPr>
        <w:t xml:space="preserve"> kezelést legalább 5</w:t>
      </w:r>
      <w:r w:rsidR="00974788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nappal a CgA</w:t>
      </w:r>
      <w:r w:rsidR="004A72BB">
        <w:rPr>
          <w:sz w:val="22"/>
          <w:szCs w:val="22"/>
        </w:rPr>
        <w:t>-</w:t>
      </w:r>
      <w:r w:rsidRPr="00030ED3">
        <w:rPr>
          <w:sz w:val="22"/>
          <w:szCs w:val="22"/>
        </w:rPr>
        <w:t>mérés előtt fel kell függeszteni (lásd 5.1</w:t>
      </w:r>
      <w:r w:rsidR="00924993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 xml:space="preserve">pont). Amennyiben a CgA és gasztrin szintek az </w:t>
      </w:r>
      <w:r w:rsidR="0024560E" w:rsidRPr="00030ED3">
        <w:rPr>
          <w:sz w:val="22"/>
          <w:szCs w:val="22"/>
        </w:rPr>
        <w:t xml:space="preserve">első </w:t>
      </w:r>
      <w:r w:rsidRPr="00030ED3">
        <w:rPr>
          <w:sz w:val="22"/>
          <w:szCs w:val="22"/>
        </w:rPr>
        <w:t>mérés után nem térnek vissza a referenciatartományba, a protonpumpagátló</w:t>
      </w:r>
      <w:r w:rsidR="0024560E" w:rsidRPr="00030ED3">
        <w:rPr>
          <w:sz w:val="22"/>
          <w:szCs w:val="22"/>
        </w:rPr>
        <w:t>-</w:t>
      </w:r>
      <w:r w:rsidRPr="00030ED3">
        <w:rPr>
          <w:sz w:val="22"/>
          <w:szCs w:val="22"/>
        </w:rPr>
        <w:t>kezelés felfüggesztése után 14</w:t>
      </w:r>
      <w:r w:rsidR="0024560E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nappal meg kell ismételni a mérést.</w:t>
      </w:r>
    </w:p>
    <w:p w14:paraId="7239A5FC" w14:textId="77777777" w:rsidR="000A2AD6" w:rsidRPr="00030ED3" w:rsidRDefault="000A2AD6" w:rsidP="00030ED3">
      <w:pPr>
        <w:rPr>
          <w:sz w:val="22"/>
          <w:szCs w:val="22"/>
        </w:rPr>
      </w:pPr>
    </w:p>
    <w:p w14:paraId="28A19A9A" w14:textId="4D6C2BFB" w:rsidR="006C7CE8" w:rsidRPr="00030ED3" w:rsidRDefault="00974788" w:rsidP="00030ED3">
      <w:pPr>
        <w:rPr>
          <w:iCs/>
          <w:sz w:val="22"/>
          <w:szCs w:val="22"/>
          <w:u w:val="single"/>
        </w:rPr>
      </w:pPr>
      <w:r w:rsidRPr="00030ED3">
        <w:rPr>
          <w:iCs/>
          <w:sz w:val="22"/>
          <w:szCs w:val="22"/>
          <w:u w:val="single"/>
        </w:rPr>
        <w:t>S</w:t>
      </w:r>
      <w:r w:rsidR="006C7CE8" w:rsidRPr="00030ED3">
        <w:rPr>
          <w:iCs/>
          <w:sz w:val="22"/>
          <w:szCs w:val="22"/>
          <w:u w:val="single"/>
        </w:rPr>
        <w:t>egédanyagok</w:t>
      </w:r>
      <w:r w:rsidR="0057568E" w:rsidRPr="00030ED3">
        <w:rPr>
          <w:iCs/>
          <w:sz w:val="22"/>
          <w:szCs w:val="22"/>
        </w:rPr>
        <w:t>:</w:t>
      </w:r>
    </w:p>
    <w:p w14:paraId="5AB4C8B5" w14:textId="77777777" w:rsidR="00935996" w:rsidRPr="00030ED3" w:rsidRDefault="00184391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készítmény </w:t>
      </w:r>
      <w:r w:rsidR="00935996" w:rsidRPr="00030ED3">
        <w:rPr>
          <w:sz w:val="22"/>
          <w:szCs w:val="22"/>
        </w:rPr>
        <w:t xml:space="preserve">kevesebb mint 1 mmol </w:t>
      </w:r>
      <w:r w:rsidR="00980A3F" w:rsidRPr="00030ED3">
        <w:rPr>
          <w:sz w:val="22"/>
          <w:szCs w:val="22"/>
        </w:rPr>
        <w:t>(23</w:t>
      </w:r>
      <w:r w:rsidRPr="00030ED3">
        <w:rPr>
          <w:sz w:val="22"/>
          <w:szCs w:val="22"/>
        </w:rPr>
        <w:t> </w:t>
      </w:r>
      <w:r w:rsidR="00980A3F" w:rsidRPr="00030ED3">
        <w:rPr>
          <w:sz w:val="22"/>
          <w:szCs w:val="22"/>
        </w:rPr>
        <w:t xml:space="preserve">mg) </w:t>
      </w:r>
      <w:r w:rsidR="00935996" w:rsidRPr="00030ED3">
        <w:rPr>
          <w:sz w:val="22"/>
          <w:szCs w:val="22"/>
        </w:rPr>
        <w:t xml:space="preserve">nátriumot tartalmaz injekciós üvegenként, azaz </w:t>
      </w:r>
      <w:r w:rsidR="00C76440" w:rsidRPr="00030ED3">
        <w:rPr>
          <w:sz w:val="22"/>
          <w:szCs w:val="22"/>
        </w:rPr>
        <w:t>gyakorlatilag</w:t>
      </w:r>
      <w:r w:rsidR="00935996" w:rsidRPr="00030ED3">
        <w:rPr>
          <w:sz w:val="22"/>
          <w:szCs w:val="22"/>
        </w:rPr>
        <w:t xml:space="preserve"> </w:t>
      </w:r>
      <w:r w:rsidR="00F61F96" w:rsidRPr="00030ED3">
        <w:rPr>
          <w:sz w:val="22"/>
          <w:szCs w:val="22"/>
        </w:rPr>
        <w:t>„</w:t>
      </w:r>
      <w:r w:rsidR="00935996" w:rsidRPr="00030ED3">
        <w:rPr>
          <w:sz w:val="22"/>
          <w:szCs w:val="22"/>
        </w:rPr>
        <w:t>nátriummentes</w:t>
      </w:r>
      <w:r w:rsidR="00F61F96" w:rsidRPr="00030ED3">
        <w:rPr>
          <w:sz w:val="22"/>
          <w:szCs w:val="22"/>
        </w:rPr>
        <w:t>”</w:t>
      </w:r>
      <w:r w:rsidR="00935996" w:rsidRPr="00030ED3">
        <w:rPr>
          <w:sz w:val="22"/>
          <w:szCs w:val="22"/>
        </w:rPr>
        <w:t>.</w:t>
      </w:r>
    </w:p>
    <w:p w14:paraId="64849B86" w14:textId="77777777" w:rsidR="00935996" w:rsidRPr="00030ED3" w:rsidRDefault="00935996" w:rsidP="00030ED3">
      <w:pPr>
        <w:rPr>
          <w:sz w:val="22"/>
          <w:szCs w:val="22"/>
        </w:rPr>
      </w:pPr>
    </w:p>
    <w:p w14:paraId="4E4F405E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4.5</w:t>
      </w:r>
      <w:r w:rsidRPr="00030ED3">
        <w:rPr>
          <w:b/>
          <w:sz w:val="22"/>
          <w:szCs w:val="22"/>
        </w:rPr>
        <w:tab/>
        <w:t>Gyógyszerkölcsönhatások és egyéb interakciók</w:t>
      </w:r>
    </w:p>
    <w:p w14:paraId="51652413" w14:textId="77777777" w:rsidR="00735A04" w:rsidRPr="00030ED3" w:rsidRDefault="00735A04" w:rsidP="00030ED3">
      <w:pPr>
        <w:rPr>
          <w:sz w:val="22"/>
          <w:szCs w:val="22"/>
        </w:rPr>
      </w:pPr>
    </w:p>
    <w:p w14:paraId="3025C325" w14:textId="49E01D84" w:rsidR="001E07A6" w:rsidRPr="00030ED3" w:rsidRDefault="00277193" w:rsidP="00030ED3">
      <w:pPr>
        <w:rPr>
          <w:iCs/>
          <w:sz w:val="22"/>
          <w:szCs w:val="22"/>
          <w:u w:val="single"/>
        </w:rPr>
      </w:pPr>
      <w:r w:rsidRPr="00030ED3">
        <w:rPr>
          <w:iCs/>
          <w:sz w:val="22"/>
          <w:szCs w:val="22"/>
          <w:u w:val="single"/>
        </w:rPr>
        <w:t>pH</w:t>
      </w:r>
      <w:r w:rsidR="00270DC3" w:rsidRPr="00030ED3">
        <w:rPr>
          <w:iCs/>
          <w:sz w:val="22"/>
          <w:szCs w:val="22"/>
          <w:u w:val="single"/>
        </w:rPr>
        <w:noBreakHyphen/>
      </w:r>
      <w:r w:rsidRPr="00030ED3">
        <w:rPr>
          <w:iCs/>
          <w:sz w:val="22"/>
          <w:szCs w:val="22"/>
          <w:u w:val="single"/>
        </w:rPr>
        <w:t>függő abszorpciójú gyógyszerek farmakokinetikája</w:t>
      </w:r>
    </w:p>
    <w:p w14:paraId="33BC3EE7" w14:textId="38C29F23" w:rsidR="00735A04" w:rsidRPr="00030ED3" w:rsidRDefault="001E07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</w:t>
      </w:r>
      <w:r w:rsidR="004A72BB">
        <w:rPr>
          <w:sz w:val="22"/>
          <w:szCs w:val="22"/>
        </w:rPr>
        <w:t>nagyfokú</w:t>
      </w:r>
      <w:r w:rsidRPr="00030ED3">
        <w:rPr>
          <w:sz w:val="22"/>
          <w:szCs w:val="22"/>
        </w:rPr>
        <w:t xml:space="preserve"> és hossz</w:t>
      </w:r>
      <w:r w:rsidR="004A72BB">
        <w:rPr>
          <w:sz w:val="22"/>
          <w:szCs w:val="22"/>
        </w:rPr>
        <w:t>ú távú</w:t>
      </w:r>
      <w:r w:rsidRPr="00030ED3">
        <w:rPr>
          <w:sz w:val="22"/>
          <w:szCs w:val="22"/>
        </w:rPr>
        <w:t xml:space="preserve"> gyomorsav</w:t>
      </w:r>
      <w:r w:rsidR="00924993" w:rsidRPr="00030ED3">
        <w:rPr>
          <w:sz w:val="22"/>
          <w:szCs w:val="22"/>
        </w:rPr>
        <w:t>-</w:t>
      </w:r>
      <w:r w:rsidRPr="00030ED3">
        <w:rPr>
          <w:sz w:val="22"/>
          <w:szCs w:val="22"/>
        </w:rPr>
        <w:t xml:space="preserve">szekréció gátlás miatt, a pantoprazol </w:t>
      </w:r>
      <w:r w:rsidR="004A72BB">
        <w:rPr>
          <w:sz w:val="22"/>
          <w:szCs w:val="22"/>
        </w:rPr>
        <w:t>zavarhatja</w:t>
      </w:r>
      <w:r w:rsidR="00E25472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azon</w:t>
      </w:r>
      <w:r w:rsidR="002359DD" w:rsidRPr="00030ED3">
        <w:rPr>
          <w:sz w:val="22"/>
          <w:szCs w:val="22"/>
        </w:rPr>
        <w:t xml:space="preserve"> gyógyszerek </w:t>
      </w:r>
      <w:r w:rsidR="004A72BB">
        <w:rPr>
          <w:sz w:val="22"/>
          <w:szCs w:val="22"/>
        </w:rPr>
        <w:t>felszívódását</w:t>
      </w:r>
      <w:r w:rsidRPr="00030ED3">
        <w:rPr>
          <w:sz w:val="22"/>
          <w:szCs w:val="22"/>
        </w:rPr>
        <w:t>, melyek biohasznosulása a gyomor pH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jától</w:t>
      </w:r>
      <w:r w:rsidR="00167EF9">
        <w:rPr>
          <w:sz w:val="22"/>
          <w:szCs w:val="22"/>
        </w:rPr>
        <w:t xml:space="preserve"> függ</w:t>
      </w:r>
      <w:r w:rsidRPr="00030ED3">
        <w:rPr>
          <w:sz w:val="22"/>
          <w:szCs w:val="22"/>
        </w:rPr>
        <w:t>, pl. n</w:t>
      </w:r>
      <w:r w:rsidR="00DF38AC" w:rsidRPr="00030ED3">
        <w:rPr>
          <w:sz w:val="22"/>
          <w:szCs w:val="22"/>
        </w:rPr>
        <w:t>éhány</w:t>
      </w:r>
      <w:r w:rsidRPr="00030ED3">
        <w:rPr>
          <w:sz w:val="22"/>
          <w:szCs w:val="22"/>
        </w:rPr>
        <w:t xml:space="preserve"> gombaellenes </w:t>
      </w:r>
      <w:r w:rsidR="00806AF3">
        <w:rPr>
          <w:sz w:val="22"/>
          <w:szCs w:val="22"/>
        </w:rPr>
        <w:t>szer</w:t>
      </w:r>
      <w:r w:rsidRPr="00030ED3">
        <w:rPr>
          <w:sz w:val="22"/>
          <w:szCs w:val="22"/>
        </w:rPr>
        <w:t xml:space="preserve">, mint a ketokonazol, az itrakonazol, a pozakonazol és </w:t>
      </w:r>
      <w:r w:rsidR="00806AF3">
        <w:rPr>
          <w:sz w:val="22"/>
          <w:szCs w:val="22"/>
        </w:rPr>
        <w:t>más</w:t>
      </w:r>
      <w:r w:rsidRPr="00030ED3">
        <w:rPr>
          <w:sz w:val="22"/>
          <w:szCs w:val="22"/>
        </w:rPr>
        <w:t xml:space="preserve"> gyógyszerek, mint az e</w:t>
      </w:r>
      <w:r w:rsidR="002359DD" w:rsidRPr="00030ED3">
        <w:rPr>
          <w:sz w:val="22"/>
          <w:szCs w:val="22"/>
        </w:rPr>
        <w:t>r</w:t>
      </w:r>
      <w:r w:rsidRPr="00030ED3">
        <w:rPr>
          <w:sz w:val="22"/>
          <w:szCs w:val="22"/>
        </w:rPr>
        <w:t>lotinib.</w:t>
      </w:r>
    </w:p>
    <w:p w14:paraId="57C6034D" w14:textId="77777777" w:rsidR="0047049D" w:rsidRPr="00030ED3" w:rsidRDefault="0047049D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</w:p>
    <w:p w14:paraId="62798394" w14:textId="6703A2A6" w:rsidR="001E07A6" w:rsidRPr="00030ED3" w:rsidRDefault="0039015E" w:rsidP="00030ED3">
      <w:pPr>
        <w:pStyle w:val="toa"/>
        <w:rPr>
          <w:rFonts w:ascii="Times New Roman" w:hAnsi="Times New Roman"/>
          <w:szCs w:val="22"/>
          <w:u w:val="single"/>
          <w:lang w:val="hu-HU"/>
        </w:rPr>
      </w:pPr>
      <w:r w:rsidRPr="00030ED3">
        <w:rPr>
          <w:rFonts w:ascii="Times New Roman" w:hAnsi="Times New Roman"/>
          <w:szCs w:val="22"/>
          <w:u w:val="single"/>
          <w:lang w:val="hu-HU"/>
        </w:rPr>
        <w:t>HIV</w:t>
      </w:r>
      <w:r w:rsidR="00270DC3" w:rsidRPr="00030ED3">
        <w:rPr>
          <w:rFonts w:ascii="Times New Roman" w:hAnsi="Times New Roman"/>
          <w:szCs w:val="22"/>
          <w:u w:val="single"/>
          <w:lang w:val="hu-HU"/>
        </w:rPr>
        <w:noBreakHyphen/>
      </w:r>
      <w:r w:rsidRPr="00030ED3">
        <w:rPr>
          <w:rFonts w:ascii="Times New Roman" w:hAnsi="Times New Roman"/>
          <w:szCs w:val="22"/>
          <w:u w:val="single"/>
          <w:lang w:val="hu-HU"/>
        </w:rPr>
        <w:t>proteázgátlók</w:t>
      </w:r>
    </w:p>
    <w:p w14:paraId="6AB9A01A" w14:textId="7BDCFFA1" w:rsidR="00DD5B9E" w:rsidRPr="00030ED3" w:rsidRDefault="0039015E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lastRenderedPageBreak/>
        <w:t xml:space="preserve">Pantoprazol együttadása </w:t>
      </w:r>
      <w:r w:rsidR="00F24875" w:rsidRPr="00030ED3">
        <w:rPr>
          <w:sz w:val="22"/>
          <w:szCs w:val="22"/>
        </w:rPr>
        <w:t xml:space="preserve">nem ajánlott </w:t>
      </w:r>
      <w:r w:rsidRPr="00030ED3">
        <w:rPr>
          <w:sz w:val="22"/>
          <w:szCs w:val="22"/>
        </w:rPr>
        <w:t>HIV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proteázgátlókkal</w:t>
      </w:r>
      <w:r w:rsidR="00A817A0" w:rsidRPr="00030ED3">
        <w:rPr>
          <w:sz w:val="22"/>
          <w:szCs w:val="22"/>
        </w:rPr>
        <w:t>,</w:t>
      </w:r>
      <w:r w:rsidRPr="00030ED3">
        <w:rPr>
          <w:sz w:val="22"/>
          <w:szCs w:val="22"/>
        </w:rPr>
        <w:t xml:space="preserve"> például atazanavirral, melyeknek felszívódása </w:t>
      </w:r>
      <w:r w:rsidR="002C11DB">
        <w:rPr>
          <w:sz w:val="22"/>
          <w:szCs w:val="22"/>
        </w:rPr>
        <w:t xml:space="preserve">a gyomor </w:t>
      </w:r>
      <w:r w:rsidRPr="00030ED3">
        <w:rPr>
          <w:sz w:val="22"/>
          <w:szCs w:val="22"/>
        </w:rPr>
        <w:t>savas pH</w:t>
      </w:r>
      <w:r w:rsidR="00270DC3" w:rsidRPr="00030ED3">
        <w:rPr>
          <w:sz w:val="22"/>
          <w:szCs w:val="22"/>
        </w:rPr>
        <w:noBreakHyphen/>
      </w:r>
      <w:r w:rsidR="002C11DB">
        <w:rPr>
          <w:sz w:val="22"/>
          <w:szCs w:val="22"/>
        </w:rPr>
        <w:t>já</w:t>
      </w:r>
      <w:r w:rsidRPr="00030ED3">
        <w:rPr>
          <w:sz w:val="22"/>
          <w:szCs w:val="22"/>
        </w:rPr>
        <w:t>tól füg</w:t>
      </w:r>
      <w:r w:rsidR="00F24875">
        <w:rPr>
          <w:sz w:val="22"/>
          <w:szCs w:val="22"/>
        </w:rPr>
        <w:t>g, mivel</w:t>
      </w:r>
      <w:r w:rsidRPr="00030ED3">
        <w:rPr>
          <w:sz w:val="22"/>
          <w:szCs w:val="22"/>
        </w:rPr>
        <w:t xml:space="preserve"> a biohasznosulásuk szignifikáns</w:t>
      </w:r>
      <w:r w:rsidR="00F24875">
        <w:rPr>
          <w:sz w:val="22"/>
          <w:szCs w:val="22"/>
        </w:rPr>
        <w:t>an</w:t>
      </w:r>
      <w:r w:rsidRPr="00030ED3">
        <w:rPr>
          <w:sz w:val="22"/>
          <w:szCs w:val="22"/>
        </w:rPr>
        <w:t xml:space="preserve"> csökken</w:t>
      </w:r>
      <w:r w:rsidR="0047049D" w:rsidRPr="00030ED3">
        <w:rPr>
          <w:sz w:val="22"/>
          <w:szCs w:val="22"/>
        </w:rPr>
        <w:t xml:space="preserve"> (l</w:t>
      </w:r>
      <w:r w:rsidR="001E07A6" w:rsidRPr="00030ED3">
        <w:rPr>
          <w:sz w:val="22"/>
          <w:szCs w:val="22"/>
        </w:rPr>
        <w:t>ás</w:t>
      </w:r>
      <w:r w:rsidR="0047049D" w:rsidRPr="00030ED3">
        <w:rPr>
          <w:sz w:val="22"/>
          <w:szCs w:val="22"/>
        </w:rPr>
        <w:t>d 4.</w:t>
      </w:r>
      <w:r w:rsidR="001E07A6" w:rsidRPr="00030ED3">
        <w:rPr>
          <w:sz w:val="22"/>
          <w:szCs w:val="22"/>
        </w:rPr>
        <w:t>4</w:t>
      </w:r>
      <w:r w:rsidRPr="00030ED3">
        <w:rPr>
          <w:sz w:val="22"/>
          <w:szCs w:val="22"/>
        </w:rPr>
        <w:t> </w:t>
      </w:r>
      <w:r w:rsidR="0047049D" w:rsidRPr="00030ED3">
        <w:rPr>
          <w:sz w:val="22"/>
          <w:szCs w:val="22"/>
        </w:rPr>
        <w:t>pont).</w:t>
      </w:r>
    </w:p>
    <w:p w14:paraId="6E3FEF64" w14:textId="77777777" w:rsidR="00DD5B9E" w:rsidRPr="00030ED3" w:rsidRDefault="00DD5B9E" w:rsidP="00030ED3">
      <w:pPr>
        <w:rPr>
          <w:sz w:val="22"/>
          <w:szCs w:val="22"/>
        </w:rPr>
      </w:pPr>
    </w:p>
    <w:p w14:paraId="25CFC963" w14:textId="6847CE7A" w:rsidR="0047049D" w:rsidRPr="00030ED3" w:rsidRDefault="0039015E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Ha a proteázgátlók és a protonpumpa</w:t>
      </w:r>
      <w:r w:rsidR="00F24875">
        <w:rPr>
          <w:sz w:val="22"/>
          <w:szCs w:val="22"/>
        </w:rPr>
        <w:t>-</w:t>
      </w:r>
      <w:r w:rsidRPr="00030ED3">
        <w:rPr>
          <w:sz w:val="22"/>
          <w:szCs w:val="22"/>
        </w:rPr>
        <w:t>gátlók együttadását elkerülhetetlennek ítélik, szoros klinikai monitorozás (pl. vírustiter) ajánlott. A napi 20 mg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os pantoprazol dózist nem szabad túllépni. A HIV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 xml:space="preserve">proteázgátlók adagolásának módosítására </w:t>
      </w:r>
      <w:r w:rsidR="007F5F24">
        <w:rPr>
          <w:sz w:val="22"/>
          <w:szCs w:val="22"/>
        </w:rPr>
        <w:t xml:space="preserve">lehet </w:t>
      </w:r>
      <w:r w:rsidRPr="00030ED3">
        <w:rPr>
          <w:sz w:val="22"/>
          <w:szCs w:val="22"/>
        </w:rPr>
        <w:t>szükség.</w:t>
      </w:r>
    </w:p>
    <w:p w14:paraId="2F6DB0C2" w14:textId="77777777" w:rsidR="00C1059E" w:rsidRPr="00030ED3" w:rsidRDefault="00C1059E" w:rsidP="00030ED3">
      <w:pPr>
        <w:rPr>
          <w:sz w:val="22"/>
          <w:szCs w:val="22"/>
        </w:rPr>
      </w:pPr>
    </w:p>
    <w:p w14:paraId="1E22DB7E" w14:textId="2093AB0B" w:rsidR="004B4CB9" w:rsidRPr="00030ED3" w:rsidRDefault="004B4CB9" w:rsidP="00030ED3">
      <w:pPr>
        <w:tabs>
          <w:tab w:val="left" w:pos="567"/>
        </w:tabs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Kumarin-</w:t>
      </w:r>
      <w:r w:rsidR="00381E38">
        <w:rPr>
          <w:sz w:val="22"/>
          <w:szCs w:val="22"/>
          <w:u w:val="single"/>
        </w:rPr>
        <w:t xml:space="preserve">típusú </w:t>
      </w:r>
      <w:r w:rsidRPr="00030ED3">
        <w:rPr>
          <w:sz w:val="22"/>
          <w:szCs w:val="22"/>
          <w:u w:val="single"/>
        </w:rPr>
        <w:t>antikoagulánsok (fenprokumon vagy warfarin)</w:t>
      </w:r>
    </w:p>
    <w:p w14:paraId="3A4B4285" w14:textId="4EF695C4" w:rsidR="000E5327" w:rsidRPr="00030ED3" w:rsidRDefault="0039015E" w:rsidP="00030ED3">
      <w:pPr>
        <w:tabs>
          <w:tab w:val="left" w:pos="567"/>
        </w:tabs>
        <w:rPr>
          <w:sz w:val="22"/>
          <w:szCs w:val="22"/>
        </w:rPr>
      </w:pPr>
      <w:r w:rsidRPr="00030ED3">
        <w:rPr>
          <w:sz w:val="22"/>
          <w:szCs w:val="22"/>
        </w:rPr>
        <w:t>A pantoprazol együttadása warfari</w:t>
      </w:r>
      <w:r w:rsidR="00901C60" w:rsidRPr="00030ED3">
        <w:rPr>
          <w:sz w:val="22"/>
          <w:szCs w:val="22"/>
        </w:rPr>
        <w:t>n</w:t>
      </w:r>
      <w:r w:rsidRPr="00030ED3">
        <w:rPr>
          <w:sz w:val="22"/>
          <w:szCs w:val="22"/>
        </w:rPr>
        <w:t>nal vagy fenprokumonnal nem befolyásolta a warfarin és a fenprokumon farmakokinetikáját vagy az INR</w:t>
      </w:r>
      <w:r w:rsidR="00270DC3" w:rsidRPr="00030ED3">
        <w:rPr>
          <w:sz w:val="22"/>
          <w:szCs w:val="22"/>
        </w:rPr>
        <w:noBreakHyphen/>
      </w:r>
      <w:r w:rsidR="00381E38">
        <w:rPr>
          <w:sz w:val="22"/>
          <w:szCs w:val="22"/>
        </w:rPr>
        <w:t>értéke</w:t>
      </w:r>
      <w:r w:rsidRPr="00030ED3">
        <w:rPr>
          <w:sz w:val="22"/>
          <w:szCs w:val="22"/>
        </w:rPr>
        <w:t xml:space="preserve">t. </w:t>
      </w:r>
      <w:r w:rsidR="00901C60" w:rsidRPr="00030ED3">
        <w:rPr>
          <w:sz w:val="22"/>
          <w:szCs w:val="22"/>
        </w:rPr>
        <w:t>Azonban megnövekedett INR</w:t>
      </w:r>
      <w:r w:rsidR="00270DC3" w:rsidRPr="00030ED3">
        <w:rPr>
          <w:sz w:val="22"/>
          <w:szCs w:val="22"/>
        </w:rPr>
        <w:noBreakHyphen/>
      </w:r>
      <w:r w:rsidR="00901C60" w:rsidRPr="00030ED3">
        <w:rPr>
          <w:sz w:val="22"/>
          <w:szCs w:val="22"/>
        </w:rPr>
        <w:t xml:space="preserve">ről és prothrombinidőről </w:t>
      </w:r>
      <w:r w:rsidR="00381E38">
        <w:rPr>
          <w:sz w:val="22"/>
          <w:szCs w:val="22"/>
        </w:rPr>
        <w:t>számoltak be</w:t>
      </w:r>
      <w:r w:rsidR="00901C60" w:rsidRPr="00030ED3">
        <w:rPr>
          <w:sz w:val="22"/>
          <w:szCs w:val="22"/>
        </w:rPr>
        <w:t xml:space="preserve"> </w:t>
      </w:r>
      <w:r w:rsidR="000E2813" w:rsidRPr="00030ED3">
        <w:rPr>
          <w:sz w:val="22"/>
          <w:szCs w:val="22"/>
        </w:rPr>
        <w:t>protonpumpagátló</w:t>
      </w:r>
      <w:r w:rsidR="00901C60" w:rsidRPr="00030ED3">
        <w:rPr>
          <w:sz w:val="22"/>
          <w:szCs w:val="22"/>
        </w:rPr>
        <w:t>t és warfarint vagy fenprokumon</w:t>
      </w:r>
      <w:r w:rsidR="00242534" w:rsidRPr="00030ED3">
        <w:rPr>
          <w:sz w:val="22"/>
          <w:szCs w:val="22"/>
        </w:rPr>
        <w:t>t</w:t>
      </w:r>
      <w:r w:rsidR="00901C60" w:rsidRPr="00030ED3">
        <w:rPr>
          <w:sz w:val="22"/>
          <w:szCs w:val="22"/>
        </w:rPr>
        <w:t xml:space="preserve"> egyidejűleg szedő betegek kapcsán. Az INR és a prothrombinidő növekedése abnormális vérzéshez és akár halálhoz is vezethet. </w:t>
      </w:r>
      <w:r w:rsidR="00C31D39" w:rsidRPr="00030ED3">
        <w:rPr>
          <w:sz w:val="22"/>
          <w:szCs w:val="22"/>
        </w:rPr>
        <w:t>P</w:t>
      </w:r>
      <w:r w:rsidR="00901C60" w:rsidRPr="00030ED3">
        <w:rPr>
          <w:sz w:val="22"/>
          <w:szCs w:val="22"/>
        </w:rPr>
        <w:t>antoprazollal és warfarinnal vagy fenprokumonna</w:t>
      </w:r>
      <w:r w:rsidR="00D06AA1" w:rsidRPr="00030ED3">
        <w:rPr>
          <w:sz w:val="22"/>
          <w:szCs w:val="22"/>
        </w:rPr>
        <w:t>l</w:t>
      </w:r>
      <w:r w:rsidR="00901C60" w:rsidRPr="00030ED3">
        <w:rPr>
          <w:sz w:val="22"/>
          <w:szCs w:val="22"/>
        </w:rPr>
        <w:t xml:space="preserve"> kezelt betegeknél az INR és a prothrombinidő növekedésének monitorozás</w:t>
      </w:r>
      <w:r w:rsidR="00381E38">
        <w:rPr>
          <w:sz w:val="22"/>
          <w:szCs w:val="22"/>
        </w:rPr>
        <w:t>ára</w:t>
      </w:r>
      <w:r w:rsidR="00901C60" w:rsidRPr="00030ED3">
        <w:rPr>
          <w:sz w:val="22"/>
          <w:szCs w:val="22"/>
        </w:rPr>
        <w:t xml:space="preserve"> </w:t>
      </w:r>
      <w:r w:rsidR="00093FF9" w:rsidRPr="00030ED3">
        <w:rPr>
          <w:sz w:val="22"/>
          <w:szCs w:val="22"/>
        </w:rPr>
        <w:t xml:space="preserve">lehet </w:t>
      </w:r>
      <w:r w:rsidR="00901C60" w:rsidRPr="00030ED3">
        <w:rPr>
          <w:sz w:val="22"/>
          <w:szCs w:val="22"/>
        </w:rPr>
        <w:t>szü</w:t>
      </w:r>
      <w:r w:rsidR="00C31D39" w:rsidRPr="00030ED3">
        <w:rPr>
          <w:sz w:val="22"/>
          <w:szCs w:val="22"/>
        </w:rPr>
        <w:t>k</w:t>
      </w:r>
      <w:r w:rsidR="00901C60" w:rsidRPr="00030ED3">
        <w:rPr>
          <w:sz w:val="22"/>
          <w:szCs w:val="22"/>
        </w:rPr>
        <w:t>ség.</w:t>
      </w:r>
    </w:p>
    <w:p w14:paraId="7443C8AC" w14:textId="77777777" w:rsidR="000E5327" w:rsidRPr="00030ED3" w:rsidRDefault="000E5327" w:rsidP="00030ED3">
      <w:pPr>
        <w:tabs>
          <w:tab w:val="left" w:pos="567"/>
        </w:tabs>
        <w:rPr>
          <w:i/>
          <w:sz w:val="22"/>
          <w:szCs w:val="22"/>
        </w:rPr>
      </w:pPr>
    </w:p>
    <w:p w14:paraId="67765EF3" w14:textId="77777777" w:rsidR="000E5327" w:rsidRPr="00030ED3" w:rsidRDefault="00DF38AC" w:rsidP="00030ED3">
      <w:pPr>
        <w:tabs>
          <w:tab w:val="left" w:pos="567"/>
        </w:tabs>
        <w:rPr>
          <w:iCs/>
          <w:sz w:val="22"/>
          <w:szCs w:val="22"/>
          <w:u w:val="single"/>
        </w:rPr>
      </w:pPr>
      <w:r w:rsidRPr="00030ED3">
        <w:rPr>
          <w:iCs/>
          <w:sz w:val="22"/>
          <w:szCs w:val="22"/>
          <w:u w:val="single"/>
        </w:rPr>
        <w:t>Metotrexát</w:t>
      </w:r>
    </w:p>
    <w:p w14:paraId="432582D8" w14:textId="29A96ECC" w:rsidR="00DF38AC" w:rsidRPr="00030ED3" w:rsidRDefault="00DF38AC" w:rsidP="00030ED3">
      <w:pPr>
        <w:tabs>
          <w:tab w:val="left" w:pos="567"/>
        </w:tabs>
        <w:rPr>
          <w:sz w:val="22"/>
          <w:szCs w:val="22"/>
        </w:rPr>
      </w:pPr>
      <w:r w:rsidRPr="00030ED3">
        <w:rPr>
          <w:sz w:val="22"/>
          <w:szCs w:val="22"/>
        </w:rPr>
        <w:t>Nagy dózisú (pl. 300 mg) metotrexát és protonpumpagátlók egyidejű alkalmazás</w:t>
      </w:r>
      <w:r w:rsidR="002C49EB" w:rsidRPr="00030ED3">
        <w:rPr>
          <w:sz w:val="22"/>
          <w:szCs w:val="22"/>
        </w:rPr>
        <w:t>akor</w:t>
      </w:r>
      <w:r w:rsidRPr="00030ED3">
        <w:rPr>
          <w:sz w:val="22"/>
          <w:szCs w:val="22"/>
        </w:rPr>
        <w:t xml:space="preserve"> néhány betegnél </w:t>
      </w:r>
      <w:r w:rsidR="00242534" w:rsidRPr="00030ED3">
        <w:rPr>
          <w:sz w:val="22"/>
          <w:szCs w:val="22"/>
        </w:rPr>
        <w:t xml:space="preserve">megnövekedett </w:t>
      </w:r>
      <w:r w:rsidRPr="00030ED3">
        <w:rPr>
          <w:sz w:val="22"/>
          <w:szCs w:val="22"/>
        </w:rPr>
        <w:t>metotrexát</w:t>
      </w:r>
      <w:r w:rsidR="00252A37">
        <w:rPr>
          <w:sz w:val="22"/>
          <w:szCs w:val="22"/>
        </w:rPr>
        <w:t>-</w:t>
      </w:r>
      <w:r w:rsidRPr="00030ED3">
        <w:rPr>
          <w:sz w:val="22"/>
          <w:szCs w:val="22"/>
        </w:rPr>
        <w:t>szint</w:t>
      </w:r>
      <w:r w:rsidR="00252A37">
        <w:rPr>
          <w:sz w:val="22"/>
          <w:szCs w:val="22"/>
        </w:rPr>
        <w:t>ről számoltak be</w:t>
      </w:r>
      <w:r w:rsidRPr="00030ED3">
        <w:rPr>
          <w:sz w:val="22"/>
          <w:szCs w:val="22"/>
        </w:rPr>
        <w:t>. A pantoprazol</w:t>
      </w:r>
      <w:r w:rsidR="009253C2">
        <w:rPr>
          <w:sz w:val="22"/>
          <w:szCs w:val="22"/>
        </w:rPr>
        <w:t>-kezelés</w:t>
      </w:r>
      <w:r w:rsidRPr="00030ED3">
        <w:rPr>
          <w:sz w:val="22"/>
          <w:szCs w:val="22"/>
        </w:rPr>
        <w:t xml:space="preserve"> átmeneti </w:t>
      </w:r>
      <w:r w:rsidR="009253C2">
        <w:rPr>
          <w:sz w:val="22"/>
          <w:szCs w:val="22"/>
        </w:rPr>
        <w:t xml:space="preserve">felfüggesztése </w:t>
      </w:r>
      <w:r w:rsidRPr="00030ED3">
        <w:rPr>
          <w:sz w:val="22"/>
          <w:szCs w:val="22"/>
        </w:rPr>
        <w:t xml:space="preserve">megfontolandó olyan esetekben, amikor nagy dózisú metotrexátot alkalmaznak, </w:t>
      </w:r>
      <w:r w:rsidR="004D03C6" w:rsidRPr="00030ED3">
        <w:rPr>
          <w:sz w:val="22"/>
          <w:szCs w:val="22"/>
        </w:rPr>
        <w:t xml:space="preserve">mint </w:t>
      </w:r>
      <w:r w:rsidRPr="00030ED3">
        <w:rPr>
          <w:sz w:val="22"/>
          <w:szCs w:val="22"/>
        </w:rPr>
        <w:t xml:space="preserve">például </w:t>
      </w:r>
      <w:r w:rsidR="009253C2">
        <w:rPr>
          <w:sz w:val="22"/>
          <w:szCs w:val="22"/>
        </w:rPr>
        <w:t>daganatos megbetegedés</w:t>
      </w:r>
      <w:r w:rsidRPr="00030ED3">
        <w:rPr>
          <w:sz w:val="22"/>
          <w:szCs w:val="22"/>
        </w:rPr>
        <w:t xml:space="preserve"> vagy psoriasis</w:t>
      </w:r>
      <w:r w:rsidR="002C49EB" w:rsidRPr="00030ED3">
        <w:rPr>
          <w:sz w:val="22"/>
          <w:szCs w:val="22"/>
        </w:rPr>
        <w:t xml:space="preserve"> esetén</w:t>
      </w:r>
      <w:r w:rsidRPr="00030ED3">
        <w:rPr>
          <w:sz w:val="22"/>
          <w:szCs w:val="22"/>
        </w:rPr>
        <w:t>.</w:t>
      </w:r>
    </w:p>
    <w:p w14:paraId="111967E5" w14:textId="77777777" w:rsidR="00DF38AC" w:rsidRPr="00030ED3" w:rsidRDefault="00DF38AC" w:rsidP="00030ED3">
      <w:pPr>
        <w:rPr>
          <w:sz w:val="22"/>
          <w:szCs w:val="22"/>
        </w:rPr>
      </w:pPr>
    </w:p>
    <w:p w14:paraId="16B3845A" w14:textId="77777777" w:rsidR="001E07A6" w:rsidRPr="00030ED3" w:rsidRDefault="001E07A6" w:rsidP="00030ED3">
      <w:pPr>
        <w:pStyle w:val="toa"/>
        <w:tabs>
          <w:tab w:val="left" w:pos="567"/>
        </w:tabs>
        <w:rPr>
          <w:rFonts w:ascii="Times New Roman" w:hAnsi="Times New Roman"/>
          <w:szCs w:val="22"/>
          <w:u w:val="single"/>
          <w:lang w:val="hu-HU"/>
        </w:rPr>
      </w:pPr>
      <w:r w:rsidRPr="005A11AB">
        <w:rPr>
          <w:rFonts w:ascii="Times New Roman" w:hAnsi="Times New Roman"/>
          <w:szCs w:val="22"/>
          <w:u w:val="single"/>
          <w:lang w:val="hu-HU"/>
        </w:rPr>
        <w:t>Egyéb interakciós vizsgálatok</w:t>
      </w:r>
    </w:p>
    <w:p w14:paraId="7FE92118" w14:textId="45D7E9D6" w:rsidR="001E07A6" w:rsidRPr="00030ED3" w:rsidRDefault="00695076" w:rsidP="00030ED3">
      <w:pPr>
        <w:rPr>
          <w:sz w:val="22"/>
          <w:szCs w:val="22"/>
        </w:rPr>
      </w:pPr>
      <w:r w:rsidRPr="00695076">
        <w:rPr>
          <w:sz w:val="22"/>
          <w:szCs w:val="22"/>
        </w:rPr>
        <w:t>A pantoprazolt a máj citokróm P450 enzimrendszere jelentős mértékben metabolizálja</w:t>
      </w:r>
      <w:r>
        <w:rPr>
          <w:sz w:val="22"/>
          <w:szCs w:val="22"/>
        </w:rPr>
        <w:t>.</w:t>
      </w:r>
      <w:r w:rsidR="001E07A6" w:rsidRPr="00030ED3">
        <w:rPr>
          <w:sz w:val="22"/>
          <w:szCs w:val="22"/>
        </w:rPr>
        <w:t xml:space="preserve"> A fő metabolikus út a CYP2C19 általi demetiláció</w:t>
      </w:r>
      <w:r w:rsidR="002C49EB" w:rsidRPr="00030ED3">
        <w:rPr>
          <w:sz w:val="22"/>
          <w:szCs w:val="22"/>
        </w:rPr>
        <w:t>. A</w:t>
      </w:r>
      <w:r w:rsidR="001E07A6" w:rsidRPr="00030ED3">
        <w:rPr>
          <w:sz w:val="22"/>
          <w:szCs w:val="22"/>
        </w:rPr>
        <w:t xml:space="preserve"> metabolizmus egyéb útjai közt szerepel a CYP3A4 általi oxidáció.</w:t>
      </w:r>
    </w:p>
    <w:p w14:paraId="2DA7A2F6" w14:textId="77777777" w:rsidR="00901C60" w:rsidRPr="00030ED3" w:rsidRDefault="00901C60" w:rsidP="00030ED3">
      <w:pPr>
        <w:rPr>
          <w:sz w:val="22"/>
          <w:szCs w:val="22"/>
        </w:rPr>
      </w:pPr>
    </w:p>
    <w:p w14:paraId="132379FB" w14:textId="17F283A8" w:rsidR="001E07A6" w:rsidRPr="00030ED3" w:rsidRDefault="001E07A6" w:rsidP="00030ED3">
      <w:pPr>
        <w:rPr>
          <w:b/>
          <w:sz w:val="22"/>
          <w:szCs w:val="22"/>
        </w:rPr>
      </w:pPr>
      <w:r w:rsidRPr="00030ED3">
        <w:rPr>
          <w:sz w:val="22"/>
          <w:szCs w:val="22"/>
        </w:rPr>
        <w:t xml:space="preserve">Az </w:t>
      </w:r>
      <w:r w:rsidR="00695076">
        <w:rPr>
          <w:sz w:val="22"/>
          <w:szCs w:val="22"/>
        </w:rPr>
        <w:t xml:space="preserve">ugyancsak </w:t>
      </w:r>
      <w:r w:rsidRPr="00030ED3">
        <w:rPr>
          <w:sz w:val="22"/>
          <w:szCs w:val="22"/>
        </w:rPr>
        <w:t>ezen az úton metabolizálódó gyógyszerekkel, pl. a karbamazepinnel, a diazepámmal, a glibenklamiddal, a nifedipinnel, és egy levonorgesztrel és etinilösztradiol tartalmú orális fogamzásgátlóval végzett interakciós vizsgálatok során nem észleltek klinikai</w:t>
      </w:r>
      <w:r w:rsidR="002B4073" w:rsidRPr="00030ED3">
        <w:rPr>
          <w:sz w:val="22"/>
          <w:szCs w:val="22"/>
        </w:rPr>
        <w:t>lag</w:t>
      </w:r>
      <w:r w:rsidRPr="00030ED3">
        <w:rPr>
          <w:sz w:val="22"/>
          <w:szCs w:val="22"/>
        </w:rPr>
        <w:t xml:space="preserve"> jelentős kölcsönhatásokat.</w:t>
      </w:r>
    </w:p>
    <w:p w14:paraId="530B5804" w14:textId="77777777" w:rsidR="001E07A6" w:rsidRPr="00030ED3" w:rsidRDefault="001E07A6" w:rsidP="00030ED3">
      <w:pPr>
        <w:tabs>
          <w:tab w:val="left" w:pos="567"/>
        </w:tabs>
        <w:rPr>
          <w:sz w:val="22"/>
          <w:szCs w:val="22"/>
        </w:rPr>
      </w:pPr>
    </w:p>
    <w:p w14:paraId="753C7661" w14:textId="77777777" w:rsidR="00901C60" w:rsidRPr="00030ED3" w:rsidRDefault="00A817A0" w:rsidP="00030ED3">
      <w:pPr>
        <w:tabs>
          <w:tab w:val="left" w:pos="567"/>
        </w:tabs>
        <w:rPr>
          <w:sz w:val="22"/>
          <w:szCs w:val="22"/>
        </w:rPr>
      </w:pPr>
      <w:r w:rsidRPr="00030ED3">
        <w:rPr>
          <w:sz w:val="22"/>
          <w:szCs w:val="22"/>
        </w:rPr>
        <w:t>A pantoprazol interakciója a</w:t>
      </w:r>
      <w:r w:rsidR="00126663" w:rsidRPr="00030ED3">
        <w:rPr>
          <w:sz w:val="22"/>
          <w:szCs w:val="22"/>
        </w:rPr>
        <w:t>z ugyanezen</w:t>
      </w:r>
      <w:r w:rsidRPr="00030ED3">
        <w:rPr>
          <w:sz w:val="22"/>
          <w:szCs w:val="22"/>
        </w:rPr>
        <w:t xml:space="preserve"> enzimrendszeren </w:t>
      </w:r>
      <w:r w:rsidR="002C49EB" w:rsidRPr="00030ED3">
        <w:rPr>
          <w:sz w:val="22"/>
          <w:szCs w:val="22"/>
        </w:rPr>
        <w:t xml:space="preserve">át </w:t>
      </w:r>
      <w:r w:rsidRPr="00030ED3">
        <w:rPr>
          <w:sz w:val="22"/>
          <w:szCs w:val="22"/>
        </w:rPr>
        <w:t xml:space="preserve">metabolizálódó egyéb gyógyszerekkel vagy </w:t>
      </w:r>
      <w:r w:rsidR="00126663" w:rsidRPr="00030ED3">
        <w:rPr>
          <w:sz w:val="22"/>
          <w:szCs w:val="22"/>
        </w:rPr>
        <w:t>vegyülete</w:t>
      </w:r>
      <w:r w:rsidRPr="00030ED3">
        <w:rPr>
          <w:sz w:val="22"/>
          <w:szCs w:val="22"/>
        </w:rPr>
        <w:t>kkel nem zárható ki</w:t>
      </w:r>
      <w:r w:rsidR="00DD7E15" w:rsidRPr="00030ED3">
        <w:rPr>
          <w:sz w:val="22"/>
          <w:szCs w:val="22"/>
        </w:rPr>
        <w:t>.</w:t>
      </w:r>
    </w:p>
    <w:p w14:paraId="2B965AC7" w14:textId="77777777" w:rsidR="007119E0" w:rsidRPr="00030ED3" w:rsidRDefault="007119E0" w:rsidP="00030ED3">
      <w:pPr>
        <w:tabs>
          <w:tab w:val="left" w:pos="567"/>
        </w:tabs>
        <w:rPr>
          <w:sz w:val="22"/>
          <w:szCs w:val="22"/>
        </w:rPr>
      </w:pPr>
    </w:p>
    <w:p w14:paraId="422561BB" w14:textId="0C12C9EA" w:rsidR="001E07A6" w:rsidRPr="00030ED3" w:rsidRDefault="001E07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Több interakciós vizsgálat eredményei azt mutatták, hogy a pantoprazol nem befolyásolja a CYP1A2</w:t>
      </w:r>
      <w:r w:rsidRPr="00030ED3">
        <w:rPr>
          <w:sz w:val="22"/>
          <w:szCs w:val="22"/>
        </w:rPr>
        <w:noBreakHyphen/>
        <w:t>n (p</w:t>
      </w:r>
      <w:r w:rsidR="005959AE" w:rsidRPr="00030ED3">
        <w:rPr>
          <w:sz w:val="22"/>
          <w:szCs w:val="22"/>
        </w:rPr>
        <w:t>éldául</w:t>
      </w:r>
      <w:r w:rsidRPr="00030ED3">
        <w:rPr>
          <w:sz w:val="22"/>
          <w:szCs w:val="22"/>
        </w:rPr>
        <w:t xml:space="preserve"> koffein, teofillin), a CYP2C9</w:t>
      </w:r>
      <w:r w:rsidRPr="00030ED3">
        <w:rPr>
          <w:sz w:val="22"/>
          <w:szCs w:val="22"/>
        </w:rPr>
        <w:noBreakHyphen/>
        <w:t>en (</w:t>
      </w:r>
      <w:r w:rsidR="005959AE" w:rsidRPr="00030ED3">
        <w:rPr>
          <w:sz w:val="22"/>
          <w:szCs w:val="22"/>
        </w:rPr>
        <w:t>például</w:t>
      </w:r>
      <w:r w:rsidRPr="00030ED3">
        <w:rPr>
          <w:sz w:val="22"/>
          <w:szCs w:val="22"/>
        </w:rPr>
        <w:t xml:space="preserve"> piroxikám, diklofenák, naprox</w:t>
      </w:r>
      <w:r w:rsidR="005C0154" w:rsidRPr="00030ED3">
        <w:rPr>
          <w:sz w:val="22"/>
          <w:szCs w:val="22"/>
        </w:rPr>
        <w:t>é</w:t>
      </w:r>
      <w:r w:rsidRPr="00030ED3">
        <w:rPr>
          <w:sz w:val="22"/>
          <w:szCs w:val="22"/>
        </w:rPr>
        <w:t>n), a CYP2D6</w:t>
      </w:r>
      <w:r w:rsidRPr="00030ED3">
        <w:rPr>
          <w:sz w:val="22"/>
          <w:szCs w:val="22"/>
        </w:rPr>
        <w:noBreakHyphen/>
        <w:t>on (p</w:t>
      </w:r>
      <w:r w:rsidR="005959AE" w:rsidRPr="00030ED3">
        <w:rPr>
          <w:sz w:val="22"/>
          <w:szCs w:val="22"/>
        </w:rPr>
        <w:t>éldául</w:t>
      </w:r>
      <w:r w:rsidRPr="00030ED3">
        <w:rPr>
          <w:sz w:val="22"/>
          <w:szCs w:val="22"/>
        </w:rPr>
        <w:t xml:space="preserve"> metoprolol), a CYP2E1</w:t>
      </w:r>
      <w:r w:rsidR="00270DC3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en (</w:t>
      </w:r>
      <w:r w:rsidR="005959AE" w:rsidRPr="00030ED3">
        <w:rPr>
          <w:sz w:val="22"/>
          <w:szCs w:val="22"/>
        </w:rPr>
        <w:t xml:space="preserve">például </w:t>
      </w:r>
      <w:r w:rsidRPr="00030ED3">
        <w:rPr>
          <w:sz w:val="22"/>
          <w:szCs w:val="22"/>
        </w:rPr>
        <w:t>etanol) metabolizálódó hatóanyagok metabolizmusát, és nem gátolja a digoxin p</w:t>
      </w:r>
      <w:r w:rsidRPr="00030ED3">
        <w:rPr>
          <w:sz w:val="22"/>
          <w:szCs w:val="22"/>
        </w:rPr>
        <w:noBreakHyphen/>
        <w:t>glikoprotein függő abszorpcióját.</w:t>
      </w:r>
    </w:p>
    <w:p w14:paraId="2F2309D1" w14:textId="77777777" w:rsidR="001E07A6" w:rsidRPr="00030ED3" w:rsidRDefault="001E07A6" w:rsidP="00030ED3">
      <w:pPr>
        <w:rPr>
          <w:sz w:val="22"/>
          <w:szCs w:val="22"/>
        </w:rPr>
      </w:pPr>
    </w:p>
    <w:p w14:paraId="6E3C6A52" w14:textId="77777777" w:rsidR="00735A04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Antacidumok egyidejű alkalmazása során </w:t>
      </w:r>
      <w:r w:rsidR="001E07A6" w:rsidRPr="00030ED3">
        <w:rPr>
          <w:sz w:val="22"/>
          <w:szCs w:val="22"/>
        </w:rPr>
        <w:t>n</w:t>
      </w:r>
      <w:r w:rsidRPr="00030ED3">
        <w:rPr>
          <w:sz w:val="22"/>
          <w:szCs w:val="22"/>
        </w:rPr>
        <w:t>em l</w:t>
      </w:r>
      <w:r w:rsidR="001E07A6" w:rsidRPr="00030ED3">
        <w:rPr>
          <w:sz w:val="22"/>
          <w:szCs w:val="22"/>
        </w:rPr>
        <w:t>ép</w:t>
      </w:r>
      <w:r w:rsidRPr="00030ED3">
        <w:rPr>
          <w:sz w:val="22"/>
          <w:szCs w:val="22"/>
        </w:rPr>
        <w:t>t</w:t>
      </w:r>
      <w:r w:rsidR="001E07A6" w:rsidRPr="00030ED3">
        <w:rPr>
          <w:sz w:val="22"/>
          <w:szCs w:val="22"/>
        </w:rPr>
        <w:t>e</w:t>
      </w:r>
      <w:r w:rsidRPr="00030ED3">
        <w:rPr>
          <w:sz w:val="22"/>
          <w:szCs w:val="22"/>
        </w:rPr>
        <w:t xml:space="preserve">k </w:t>
      </w:r>
      <w:r w:rsidR="001E07A6" w:rsidRPr="00030ED3">
        <w:rPr>
          <w:sz w:val="22"/>
          <w:szCs w:val="22"/>
        </w:rPr>
        <w:t>fel</w:t>
      </w:r>
      <w:r w:rsidRPr="00030ED3">
        <w:rPr>
          <w:sz w:val="22"/>
          <w:szCs w:val="22"/>
        </w:rPr>
        <w:t xml:space="preserve"> kölcsönhatás</w:t>
      </w:r>
      <w:r w:rsidR="001E07A6" w:rsidRPr="00030ED3">
        <w:rPr>
          <w:sz w:val="22"/>
          <w:szCs w:val="22"/>
        </w:rPr>
        <w:t>ok</w:t>
      </w:r>
      <w:r w:rsidRPr="00030ED3">
        <w:rPr>
          <w:sz w:val="22"/>
          <w:szCs w:val="22"/>
        </w:rPr>
        <w:t>.</w:t>
      </w:r>
    </w:p>
    <w:p w14:paraId="1EC7AC00" w14:textId="77777777" w:rsidR="00735A04" w:rsidRPr="00030ED3" w:rsidRDefault="00735A04" w:rsidP="00030ED3">
      <w:pPr>
        <w:rPr>
          <w:sz w:val="22"/>
          <w:szCs w:val="22"/>
        </w:rPr>
      </w:pPr>
    </w:p>
    <w:p w14:paraId="6D1E382A" w14:textId="77777777" w:rsidR="001E07A6" w:rsidRPr="00030ED3" w:rsidRDefault="001E07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Interakciós vizsgálatokat végeztek a pantoprazol bizonyos antibiotikumokkal </w:t>
      </w:r>
      <w:r w:rsidR="002B4073" w:rsidRPr="00030ED3">
        <w:rPr>
          <w:sz w:val="22"/>
          <w:szCs w:val="22"/>
        </w:rPr>
        <w:t xml:space="preserve">(klaritromicin, metronidazol, amoxicillin) </w:t>
      </w:r>
      <w:r w:rsidRPr="00030ED3">
        <w:rPr>
          <w:sz w:val="22"/>
          <w:szCs w:val="22"/>
        </w:rPr>
        <w:t>történő együttadása tekintetében</w:t>
      </w:r>
      <w:r w:rsidR="002B4073" w:rsidRPr="00030ED3">
        <w:rPr>
          <w:sz w:val="22"/>
          <w:szCs w:val="22"/>
        </w:rPr>
        <w:t xml:space="preserve"> is</w:t>
      </w:r>
      <w:r w:rsidRPr="00030ED3">
        <w:rPr>
          <w:sz w:val="22"/>
          <w:szCs w:val="22"/>
        </w:rPr>
        <w:t>. Klinikailag releváns interakciót nem találtak.</w:t>
      </w:r>
    </w:p>
    <w:p w14:paraId="3B5D9DFE" w14:textId="77777777" w:rsidR="00801F3B" w:rsidRPr="00030ED3" w:rsidRDefault="00801F3B" w:rsidP="00030ED3">
      <w:pPr>
        <w:rPr>
          <w:sz w:val="22"/>
          <w:szCs w:val="22"/>
          <w:lang w:eastAsia="ar-SA"/>
        </w:rPr>
      </w:pPr>
    </w:p>
    <w:p w14:paraId="1182E122" w14:textId="47D8D7F2" w:rsidR="00801F3B" w:rsidRPr="00030ED3" w:rsidRDefault="00801F3B" w:rsidP="00030ED3">
      <w:pPr>
        <w:rPr>
          <w:i/>
          <w:iCs/>
          <w:sz w:val="22"/>
          <w:szCs w:val="22"/>
        </w:rPr>
      </w:pPr>
      <w:r w:rsidRPr="00030ED3">
        <w:rPr>
          <w:i/>
          <w:iCs/>
          <w:sz w:val="22"/>
          <w:szCs w:val="22"/>
        </w:rPr>
        <w:t>A CYP2C19</w:t>
      </w:r>
      <w:r w:rsidR="00270DC3" w:rsidRPr="00030ED3">
        <w:rPr>
          <w:i/>
          <w:iCs/>
          <w:sz w:val="22"/>
          <w:szCs w:val="22"/>
        </w:rPr>
        <w:noBreakHyphen/>
      </w:r>
      <w:r w:rsidRPr="00030ED3">
        <w:rPr>
          <w:i/>
          <w:iCs/>
          <w:sz w:val="22"/>
          <w:szCs w:val="22"/>
        </w:rPr>
        <w:t>et gátló vagy serkentő gyógyszerek:</w:t>
      </w:r>
    </w:p>
    <w:p w14:paraId="6503903E" w14:textId="378B90B4" w:rsidR="00801F3B" w:rsidRPr="00030ED3" w:rsidRDefault="009644DF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CYP2C19 gátlói, mint a fluvoxamin megnövelhetik a pantoprazol szisztémás expozícióját. Nagy dózisú panto</w:t>
      </w:r>
      <w:r w:rsidR="000E2813" w:rsidRPr="00030ED3">
        <w:rPr>
          <w:sz w:val="22"/>
          <w:szCs w:val="22"/>
        </w:rPr>
        <w:t xml:space="preserve">prazollal hosszú </w:t>
      </w:r>
      <w:r w:rsidR="00233922">
        <w:rPr>
          <w:sz w:val="22"/>
          <w:szCs w:val="22"/>
        </w:rPr>
        <w:t xml:space="preserve">távon </w:t>
      </w:r>
      <w:r w:rsidR="000E2813" w:rsidRPr="00030ED3">
        <w:rPr>
          <w:sz w:val="22"/>
          <w:szCs w:val="22"/>
        </w:rPr>
        <w:t>kezelt vagy májkárosod</w:t>
      </w:r>
      <w:r w:rsidR="00233922">
        <w:rPr>
          <w:sz w:val="22"/>
          <w:szCs w:val="22"/>
        </w:rPr>
        <w:t xml:space="preserve">ásban szenvedő </w:t>
      </w:r>
      <w:r w:rsidR="000E2813" w:rsidRPr="00030ED3">
        <w:rPr>
          <w:sz w:val="22"/>
          <w:szCs w:val="22"/>
        </w:rPr>
        <w:t>betegeknél a dózismódosítás megfontolható.</w:t>
      </w:r>
    </w:p>
    <w:p w14:paraId="54C191E2" w14:textId="77777777" w:rsidR="00801F3B" w:rsidRPr="00030ED3" w:rsidRDefault="00801F3B" w:rsidP="00030ED3">
      <w:pPr>
        <w:tabs>
          <w:tab w:val="left" w:pos="9498"/>
        </w:tabs>
        <w:autoSpaceDE w:val="0"/>
        <w:autoSpaceDN w:val="0"/>
        <w:adjustRightInd w:val="0"/>
        <w:ind w:right="-85"/>
        <w:rPr>
          <w:sz w:val="22"/>
          <w:szCs w:val="22"/>
        </w:rPr>
      </w:pPr>
    </w:p>
    <w:p w14:paraId="21067281" w14:textId="6A8AD46B" w:rsidR="00801F3B" w:rsidRPr="00030ED3" w:rsidRDefault="000E2813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CYP2C19 és a CYP3A4 enziminduktorai, mint a rifampicin és a </w:t>
      </w:r>
      <w:r w:rsidR="002C49EB" w:rsidRPr="00030ED3">
        <w:rPr>
          <w:sz w:val="22"/>
          <w:szCs w:val="22"/>
        </w:rPr>
        <w:t xml:space="preserve">közönséges </w:t>
      </w:r>
      <w:r w:rsidRPr="00030ED3">
        <w:rPr>
          <w:sz w:val="22"/>
          <w:szCs w:val="22"/>
        </w:rPr>
        <w:t xml:space="preserve">orbáncfű </w:t>
      </w:r>
      <w:r w:rsidRPr="00030ED3">
        <w:rPr>
          <w:i/>
          <w:iCs/>
          <w:sz w:val="22"/>
          <w:szCs w:val="22"/>
        </w:rPr>
        <w:t>(Hypericum perforatum)</w:t>
      </w:r>
      <w:r w:rsidRPr="00030ED3">
        <w:rPr>
          <w:sz w:val="22"/>
          <w:szCs w:val="22"/>
        </w:rPr>
        <w:t xml:space="preserve"> csökkentheti</w:t>
      </w:r>
      <w:r w:rsidR="00C42A25" w:rsidRPr="00030ED3">
        <w:rPr>
          <w:sz w:val="22"/>
          <w:szCs w:val="22"/>
        </w:rPr>
        <w:t>k</w:t>
      </w:r>
      <w:r w:rsidRPr="00030ED3">
        <w:rPr>
          <w:sz w:val="22"/>
          <w:szCs w:val="22"/>
        </w:rPr>
        <w:t xml:space="preserve"> azon protonpumpa</w:t>
      </w:r>
      <w:r w:rsidR="00233922">
        <w:rPr>
          <w:sz w:val="22"/>
          <w:szCs w:val="22"/>
        </w:rPr>
        <w:t>-</w:t>
      </w:r>
      <w:r w:rsidRPr="00030ED3">
        <w:rPr>
          <w:sz w:val="22"/>
          <w:szCs w:val="22"/>
        </w:rPr>
        <w:t>gátlók plazmakoncentrációját, melyek ezen enzimrendszereken metabolizálódnak.</w:t>
      </w:r>
    </w:p>
    <w:p w14:paraId="0F638BD1" w14:textId="77777777" w:rsidR="00740203" w:rsidRPr="00030ED3" w:rsidRDefault="00740203" w:rsidP="00030ED3">
      <w:pPr>
        <w:rPr>
          <w:sz w:val="22"/>
          <w:szCs w:val="22"/>
        </w:rPr>
      </w:pPr>
    </w:p>
    <w:p w14:paraId="78F7994E" w14:textId="77777777" w:rsidR="00740203" w:rsidRPr="00030ED3" w:rsidRDefault="00740203" w:rsidP="00030ED3">
      <w:pPr>
        <w:suppressAutoHyphens/>
        <w:rPr>
          <w:sz w:val="22"/>
          <w:szCs w:val="22"/>
          <w:u w:val="single"/>
          <w:lang w:eastAsia="ar-SA"/>
        </w:rPr>
      </w:pPr>
      <w:r w:rsidRPr="00030ED3">
        <w:rPr>
          <w:sz w:val="22"/>
          <w:szCs w:val="22"/>
          <w:u w:val="single"/>
          <w:lang w:eastAsia="ar-SA"/>
        </w:rPr>
        <w:t>Gyógyszerlaboratórium-vizsgálati kölcsönhatások</w:t>
      </w:r>
    </w:p>
    <w:p w14:paraId="4DC13102" w14:textId="77777777" w:rsidR="00740203" w:rsidRPr="00030ED3" w:rsidRDefault="00740203" w:rsidP="00030ED3">
      <w:pPr>
        <w:suppressAutoHyphens/>
        <w:rPr>
          <w:sz w:val="22"/>
          <w:szCs w:val="22"/>
          <w:lang w:eastAsia="ar-SA"/>
        </w:rPr>
      </w:pPr>
      <w:r w:rsidRPr="00030ED3">
        <w:rPr>
          <w:sz w:val="22"/>
          <w:szCs w:val="22"/>
          <w:lang w:eastAsia="ar-SA"/>
        </w:rPr>
        <w:lastRenderedPageBreak/>
        <w:t>Hamis pozitív eredményekről számoltak be tetrahidrokannabinol (THC) vizelet-szűrővizsgálat esetében pantoprazolt alkalmazó betegeknél. A pozitív eredmények igazolásához mérlegelni kell egy alternatív megerősítési módszer használatát.</w:t>
      </w:r>
    </w:p>
    <w:p w14:paraId="0781F452" w14:textId="77777777" w:rsidR="001E07A6" w:rsidRPr="00030ED3" w:rsidRDefault="001E07A6" w:rsidP="00030ED3">
      <w:pPr>
        <w:rPr>
          <w:sz w:val="22"/>
          <w:szCs w:val="22"/>
        </w:rPr>
      </w:pPr>
    </w:p>
    <w:p w14:paraId="1F86920F" w14:textId="77777777" w:rsidR="00735A04" w:rsidRPr="00030ED3" w:rsidRDefault="00735A04" w:rsidP="00030ED3">
      <w:pPr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4.6</w:t>
      </w:r>
      <w:r w:rsidRPr="00030ED3">
        <w:rPr>
          <w:b/>
          <w:sz w:val="22"/>
          <w:szCs w:val="22"/>
        </w:rPr>
        <w:tab/>
        <w:t>T</w:t>
      </w:r>
      <w:r w:rsidR="00DF38AC" w:rsidRPr="00030ED3">
        <w:rPr>
          <w:b/>
          <w:sz w:val="22"/>
          <w:szCs w:val="22"/>
        </w:rPr>
        <w:t>ermékenység, t</w:t>
      </w:r>
      <w:r w:rsidRPr="00030ED3">
        <w:rPr>
          <w:b/>
          <w:sz w:val="22"/>
          <w:szCs w:val="22"/>
        </w:rPr>
        <w:t>erhesség és szoptatás</w:t>
      </w:r>
    </w:p>
    <w:p w14:paraId="089DF9A2" w14:textId="77777777" w:rsidR="00735A04" w:rsidRPr="00030ED3" w:rsidRDefault="00735A04" w:rsidP="00030ED3">
      <w:pPr>
        <w:rPr>
          <w:sz w:val="22"/>
          <w:szCs w:val="22"/>
        </w:rPr>
      </w:pPr>
    </w:p>
    <w:p w14:paraId="2F7E6776" w14:textId="77777777" w:rsidR="001E07A6" w:rsidRPr="00030ED3" w:rsidRDefault="001E07A6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Terhesség</w:t>
      </w:r>
    </w:p>
    <w:p w14:paraId="1F53E8C5" w14:textId="4B394E98" w:rsidR="000E2813" w:rsidRPr="00030ED3" w:rsidRDefault="003B6328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Terhes nők tekintetében </w:t>
      </w:r>
      <w:r w:rsidR="002C49EB" w:rsidRPr="00030ED3">
        <w:rPr>
          <w:sz w:val="22"/>
          <w:szCs w:val="22"/>
        </w:rPr>
        <w:t xml:space="preserve">a </w:t>
      </w:r>
      <w:r w:rsidRPr="00030ED3">
        <w:rPr>
          <w:sz w:val="22"/>
          <w:szCs w:val="22"/>
        </w:rPr>
        <w:t xml:space="preserve">rendelkezésre álló </w:t>
      </w:r>
      <w:r w:rsidR="00233922">
        <w:rPr>
          <w:sz w:val="22"/>
          <w:szCs w:val="22"/>
        </w:rPr>
        <w:t>mérsékelt</w:t>
      </w:r>
      <w:r w:rsidR="00233922" w:rsidRPr="00030ED3">
        <w:rPr>
          <w:bCs/>
          <w:iCs/>
          <w:sz w:val="22"/>
          <w:szCs w:val="22"/>
        </w:rPr>
        <w:t xml:space="preserve"> </w:t>
      </w:r>
      <w:r w:rsidRPr="00030ED3">
        <w:rPr>
          <w:bCs/>
          <w:iCs/>
          <w:sz w:val="22"/>
          <w:szCs w:val="22"/>
        </w:rPr>
        <w:t xml:space="preserve">mennyiségű adat (300-1000 terhességi kimenetel) nem </w:t>
      </w:r>
      <w:r w:rsidR="007A2D09">
        <w:rPr>
          <w:bCs/>
          <w:iCs/>
          <w:sz w:val="22"/>
          <w:szCs w:val="22"/>
        </w:rPr>
        <w:t>mutat</w:t>
      </w:r>
      <w:r w:rsidRPr="00030ED3">
        <w:rPr>
          <w:bCs/>
          <w:iCs/>
          <w:sz w:val="22"/>
          <w:szCs w:val="22"/>
        </w:rPr>
        <w:t xml:space="preserve"> </w:t>
      </w:r>
      <w:r w:rsidR="008535DD" w:rsidRPr="00030ED3">
        <w:rPr>
          <w:sz w:val="22"/>
          <w:szCs w:val="22"/>
        </w:rPr>
        <w:t>malformatív vagy f</w:t>
      </w:r>
      <w:r w:rsidR="00A817A0" w:rsidRPr="00030ED3">
        <w:rPr>
          <w:sz w:val="22"/>
          <w:szCs w:val="22"/>
        </w:rPr>
        <w:t>oe</w:t>
      </w:r>
      <w:r w:rsidR="008535DD" w:rsidRPr="00030ED3">
        <w:rPr>
          <w:sz w:val="22"/>
          <w:szCs w:val="22"/>
        </w:rPr>
        <w:t>to</w:t>
      </w:r>
      <w:r w:rsidRPr="00030ED3">
        <w:rPr>
          <w:sz w:val="22"/>
          <w:szCs w:val="22"/>
        </w:rPr>
        <w:t>/neonat</w:t>
      </w:r>
      <w:r w:rsidR="00A817A0" w:rsidRPr="00030ED3">
        <w:rPr>
          <w:sz w:val="22"/>
          <w:szCs w:val="22"/>
        </w:rPr>
        <w:t>a</w:t>
      </w:r>
      <w:r w:rsidRPr="00030ED3">
        <w:rPr>
          <w:sz w:val="22"/>
          <w:szCs w:val="22"/>
        </w:rPr>
        <w:t xml:space="preserve">lis toxikus hatást a </w:t>
      </w:r>
      <w:r w:rsidR="00276B9A" w:rsidRPr="00030ED3">
        <w:rPr>
          <w:sz w:val="22"/>
          <w:szCs w:val="22"/>
        </w:rPr>
        <w:t>pantoprazol</w:t>
      </w:r>
      <w:r w:rsidR="00D97767" w:rsidRPr="00030ED3">
        <w:rPr>
          <w:sz w:val="22"/>
          <w:szCs w:val="22"/>
        </w:rPr>
        <w:t xml:space="preserve"> esetében</w:t>
      </w:r>
      <w:r w:rsidRPr="00030ED3">
        <w:rPr>
          <w:sz w:val="22"/>
          <w:szCs w:val="22"/>
        </w:rPr>
        <w:t>.</w:t>
      </w:r>
    </w:p>
    <w:p w14:paraId="71158B4E" w14:textId="77777777" w:rsidR="00D97767" w:rsidRPr="00030ED3" w:rsidRDefault="00D97767" w:rsidP="00030ED3">
      <w:pPr>
        <w:rPr>
          <w:sz w:val="22"/>
          <w:szCs w:val="22"/>
        </w:rPr>
      </w:pPr>
    </w:p>
    <w:p w14:paraId="628E22F3" w14:textId="77777777" w:rsidR="000E2813" w:rsidRPr="00030ED3" w:rsidRDefault="005B451F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Az állatkísérletek </w:t>
      </w:r>
      <w:r w:rsidR="001E07A6" w:rsidRPr="00030ED3">
        <w:rPr>
          <w:sz w:val="22"/>
          <w:szCs w:val="22"/>
        </w:rPr>
        <w:t xml:space="preserve">reprodukciós toxicitást </w:t>
      </w:r>
      <w:r w:rsidR="003B6328" w:rsidRPr="00030ED3">
        <w:rPr>
          <w:sz w:val="22"/>
          <w:szCs w:val="22"/>
        </w:rPr>
        <w:t>igazol</w:t>
      </w:r>
      <w:r w:rsidR="001E07A6" w:rsidRPr="00030ED3">
        <w:rPr>
          <w:sz w:val="22"/>
          <w:szCs w:val="22"/>
        </w:rPr>
        <w:t>tak (lásd 5.3 pont).</w:t>
      </w:r>
    </w:p>
    <w:p w14:paraId="7361AFCD" w14:textId="77777777" w:rsidR="00974788" w:rsidRPr="00030ED3" w:rsidRDefault="00974788" w:rsidP="00030ED3">
      <w:pPr>
        <w:rPr>
          <w:sz w:val="22"/>
          <w:szCs w:val="22"/>
        </w:rPr>
      </w:pPr>
    </w:p>
    <w:p w14:paraId="01DFA89C" w14:textId="7088ECDD" w:rsidR="001E07A6" w:rsidRPr="00030ED3" w:rsidRDefault="002C49EB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Elővigyázatosságból </w:t>
      </w:r>
      <w:r w:rsidR="003B6328" w:rsidRPr="00030ED3">
        <w:rPr>
          <w:sz w:val="22"/>
          <w:szCs w:val="22"/>
        </w:rPr>
        <w:t xml:space="preserve">a </w:t>
      </w:r>
      <w:r w:rsidR="00DE4C0D" w:rsidRPr="00030ED3">
        <w:rPr>
          <w:sz w:val="22"/>
          <w:szCs w:val="22"/>
        </w:rPr>
        <w:t>Pantoprazole Stada</w:t>
      </w:r>
      <w:r w:rsidR="003B6328" w:rsidRPr="00030ED3">
        <w:rPr>
          <w:sz w:val="22"/>
          <w:szCs w:val="22"/>
        </w:rPr>
        <w:t xml:space="preserve"> alkalmazása terhesség </w:t>
      </w:r>
      <w:r w:rsidR="007A2D09">
        <w:rPr>
          <w:sz w:val="22"/>
          <w:szCs w:val="22"/>
        </w:rPr>
        <w:t>alatt</w:t>
      </w:r>
      <w:r w:rsidR="003B6328" w:rsidRPr="00030ED3">
        <w:rPr>
          <w:sz w:val="22"/>
          <w:szCs w:val="22"/>
        </w:rPr>
        <w:t xml:space="preserve"> lehetőség szerint kerülendő.</w:t>
      </w:r>
    </w:p>
    <w:p w14:paraId="7C542476" w14:textId="77777777" w:rsidR="001E07A6" w:rsidRPr="00030ED3" w:rsidRDefault="001E07A6" w:rsidP="00030ED3">
      <w:pPr>
        <w:rPr>
          <w:bCs/>
          <w:sz w:val="22"/>
          <w:szCs w:val="22"/>
        </w:rPr>
      </w:pPr>
    </w:p>
    <w:p w14:paraId="4307C120" w14:textId="77777777" w:rsidR="001E07A6" w:rsidRPr="00030ED3" w:rsidRDefault="001E07A6" w:rsidP="00030ED3">
      <w:pPr>
        <w:rPr>
          <w:bCs/>
          <w:sz w:val="22"/>
          <w:szCs w:val="22"/>
          <w:u w:val="single"/>
        </w:rPr>
      </w:pPr>
      <w:r w:rsidRPr="00030ED3">
        <w:rPr>
          <w:bCs/>
          <w:sz w:val="22"/>
          <w:szCs w:val="22"/>
          <w:u w:val="single"/>
        </w:rPr>
        <w:t>Szoptatás</w:t>
      </w:r>
    </w:p>
    <w:p w14:paraId="1B88B594" w14:textId="6AF5F271" w:rsidR="00735A04" w:rsidRPr="00030ED3" w:rsidRDefault="001E07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Állatkísérletek </w:t>
      </w:r>
      <w:r w:rsidR="003B6328" w:rsidRPr="00030ED3">
        <w:rPr>
          <w:sz w:val="22"/>
          <w:szCs w:val="22"/>
        </w:rPr>
        <w:t xml:space="preserve">kimutatták, hogy </w:t>
      </w:r>
      <w:r w:rsidRPr="00030ED3">
        <w:rPr>
          <w:sz w:val="22"/>
          <w:szCs w:val="22"/>
        </w:rPr>
        <w:t xml:space="preserve">a pantoprazol kiválasztódik az anyatejjel. </w:t>
      </w:r>
      <w:r w:rsidR="00D51C88" w:rsidRPr="00030ED3">
        <w:rPr>
          <w:sz w:val="22"/>
          <w:szCs w:val="22"/>
        </w:rPr>
        <w:t>A pantoprazol humán anyatejbe történő kiválasztódásával kapcsolatban nem áll rendelkezésre elegendő mennyiségű információ, de b</w:t>
      </w:r>
      <w:r w:rsidRPr="00030ED3">
        <w:rPr>
          <w:sz w:val="22"/>
          <w:szCs w:val="22"/>
        </w:rPr>
        <w:t xml:space="preserve">eszámoltak arról, hogy kiválasztódik az </w:t>
      </w:r>
      <w:r w:rsidR="007A2D09">
        <w:rPr>
          <w:sz w:val="22"/>
          <w:szCs w:val="22"/>
        </w:rPr>
        <w:t>humán</w:t>
      </w:r>
      <w:r w:rsidR="007A2D09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 xml:space="preserve">anyatejbe. </w:t>
      </w:r>
      <w:r w:rsidR="003B6328" w:rsidRPr="00030ED3">
        <w:rPr>
          <w:sz w:val="22"/>
          <w:szCs w:val="22"/>
        </w:rPr>
        <w:t>Az újszülötteke</w:t>
      </w:r>
      <w:r w:rsidR="00D51C88" w:rsidRPr="00030ED3">
        <w:rPr>
          <w:sz w:val="22"/>
          <w:szCs w:val="22"/>
        </w:rPr>
        <w:t>t</w:t>
      </w:r>
      <w:r w:rsidR="003B6328" w:rsidRPr="00030ED3">
        <w:rPr>
          <w:sz w:val="22"/>
          <w:szCs w:val="22"/>
        </w:rPr>
        <w:t>/csecsemő</w:t>
      </w:r>
      <w:r w:rsidR="00D51C88" w:rsidRPr="00030ED3">
        <w:rPr>
          <w:sz w:val="22"/>
          <w:szCs w:val="22"/>
        </w:rPr>
        <w:t>k</w:t>
      </w:r>
      <w:r w:rsidR="003B6328" w:rsidRPr="00030ED3">
        <w:rPr>
          <w:sz w:val="22"/>
          <w:szCs w:val="22"/>
        </w:rPr>
        <w:t>e</w:t>
      </w:r>
      <w:r w:rsidR="00D51C88" w:rsidRPr="00030ED3">
        <w:rPr>
          <w:sz w:val="22"/>
          <w:szCs w:val="22"/>
        </w:rPr>
        <w:t>t érintő</w:t>
      </w:r>
      <w:r w:rsidR="003B6328" w:rsidRPr="00030ED3">
        <w:rPr>
          <w:sz w:val="22"/>
          <w:szCs w:val="22"/>
        </w:rPr>
        <w:t xml:space="preserve"> kockázat nem zárható ki. </w:t>
      </w:r>
      <w:r w:rsidR="007A2D09" w:rsidRPr="007A2D09">
        <w:rPr>
          <w:sz w:val="22"/>
          <w:szCs w:val="22"/>
        </w:rPr>
        <w:t xml:space="preserve">. Ezért a </w:t>
      </w:r>
      <w:r w:rsidR="007A2D09">
        <w:rPr>
          <w:sz w:val="22"/>
          <w:szCs w:val="22"/>
        </w:rPr>
        <w:t xml:space="preserve">pantoprazol </w:t>
      </w:r>
      <w:r w:rsidR="007A2D09" w:rsidRPr="007A2D09">
        <w:rPr>
          <w:sz w:val="22"/>
          <w:szCs w:val="22"/>
        </w:rPr>
        <w:t xml:space="preserve">alkalmazása előtt </w:t>
      </w:r>
      <w:r w:rsidR="007A2D09">
        <w:rPr>
          <w:sz w:val="22"/>
          <w:szCs w:val="22"/>
        </w:rPr>
        <w:t>dönteni kell</w:t>
      </w:r>
      <w:r w:rsidR="007A2D09" w:rsidRPr="007A2D09" w:rsidDel="007A2D09">
        <w:rPr>
          <w:sz w:val="22"/>
          <w:szCs w:val="22"/>
        </w:rPr>
        <w:t xml:space="preserve"> </w:t>
      </w:r>
      <w:r w:rsidR="002C49EB" w:rsidRPr="00030ED3">
        <w:rPr>
          <w:sz w:val="22"/>
          <w:szCs w:val="22"/>
        </w:rPr>
        <w:t>a szoptatás</w:t>
      </w:r>
      <w:r w:rsidR="006C7F6D" w:rsidRPr="00030ED3">
        <w:rPr>
          <w:sz w:val="22"/>
          <w:szCs w:val="22"/>
        </w:rPr>
        <w:t xml:space="preserve"> felfüggesztéséről,</w:t>
      </w:r>
      <w:r w:rsidR="002C49EB" w:rsidRPr="00030ED3">
        <w:rPr>
          <w:sz w:val="22"/>
          <w:szCs w:val="22"/>
        </w:rPr>
        <w:t xml:space="preserve"> vagy </w:t>
      </w:r>
      <w:r w:rsidRPr="00030ED3">
        <w:rPr>
          <w:sz w:val="22"/>
          <w:szCs w:val="22"/>
        </w:rPr>
        <w:t xml:space="preserve">a </w:t>
      </w:r>
      <w:r w:rsidR="007A2D09">
        <w:rPr>
          <w:sz w:val="22"/>
          <w:szCs w:val="22"/>
        </w:rPr>
        <w:t>pantoprazol</w:t>
      </w:r>
      <w:r w:rsidR="000604C4" w:rsidRPr="00030ED3">
        <w:rPr>
          <w:sz w:val="22"/>
          <w:szCs w:val="22"/>
        </w:rPr>
        <w:t>-</w:t>
      </w:r>
      <w:r w:rsidRPr="00030ED3">
        <w:rPr>
          <w:sz w:val="22"/>
          <w:szCs w:val="22"/>
        </w:rPr>
        <w:t xml:space="preserve">kezelés </w:t>
      </w:r>
      <w:r w:rsidR="006C7F6D" w:rsidRPr="00030ED3">
        <w:rPr>
          <w:sz w:val="22"/>
          <w:szCs w:val="22"/>
        </w:rPr>
        <w:t>megszakításáról</w:t>
      </w:r>
      <w:r w:rsidR="009A2D43" w:rsidRPr="00030ED3">
        <w:rPr>
          <w:sz w:val="22"/>
          <w:szCs w:val="22"/>
        </w:rPr>
        <w:t>/felfüggesztéséről</w:t>
      </w:r>
      <w:r w:rsidR="003F3CCF" w:rsidRPr="00030ED3">
        <w:rPr>
          <w:sz w:val="22"/>
          <w:szCs w:val="22"/>
        </w:rPr>
        <w:t>,</w:t>
      </w:r>
      <w:r w:rsidR="006C7F6D" w:rsidRPr="00030ED3">
        <w:rPr>
          <w:sz w:val="22"/>
          <w:szCs w:val="22"/>
        </w:rPr>
        <w:t xml:space="preserve"> figyelembe véve a szoptatás előnyét a gyermek, valamint a</w:t>
      </w:r>
      <w:r w:rsidRPr="00030ED3">
        <w:rPr>
          <w:sz w:val="22"/>
          <w:szCs w:val="22"/>
        </w:rPr>
        <w:t xml:space="preserve"> </w:t>
      </w:r>
      <w:r w:rsidR="00DE4C0D" w:rsidRPr="00030ED3">
        <w:rPr>
          <w:sz w:val="22"/>
          <w:szCs w:val="22"/>
        </w:rPr>
        <w:t>Pantoprazole Stada</w:t>
      </w:r>
      <w:r w:rsidR="000604C4" w:rsidRPr="00030ED3">
        <w:rPr>
          <w:sz w:val="22"/>
          <w:szCs w:val="22"/>
        </w:rPr>
        <w:t>-</w:t>
      </w:r>
      <w:r w:rsidRPr="00030ED3">
        <w:rPr>
          <w:sz w:val="22"/>
          <w:szCs w:val="22"/>
        </w:rPr>
        <w:t>kezelés</w:t>
      </w:r>
      <w:r w:rsidR="006C7F6D" w:rsidRPr="00030ED3">
        <w:rPr>
          <w:sz w:val="22"/>
          <w:szCs w:val="22"/>
        </w:rPr>
        <w:t xml:space="preserve"> előnyét az anya szempontjából</w:t>
      </w:r>
      <w:r w:rsidRPr="00030ED3">
        <w:rPr>
          <w:sz w:val="22"/>
          <w:szCs w:val="22"/>
        </w:rPr>
        <w:t>.</w:t>
      </w:r>
    </w:p>
    <w:p w14:paraId="66AAB725" w14:textId="77777777" w:rsidR="00565DF9" w:rsidRPr="00030ED3" w:rsidRDefault="00565DF9" w:rsidP="00030ED3">
      <w:pPr>
        <w:rPr>
          <w:sz w:val="22"/>
          <w:szCs w:val="22"/>
        </w:rPr>
      </w:pPr>
    </w:p>
    <w:p w14:paraId="3E40F21D" w14:textId="77777777" w:rsidR="00D51C88" w:rsidRPr="00030ED3" w:rsidRDefault="00D51C88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Termékenység</w:t>
      </w:r>
    </w:p>
    <w:p w14:paraId="30A4EAD9" w14:textId="4A6ACD71" w:rsidR="007A2D09" w:rsidRPr="00030ED3" w:rsidRDefault="00477313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Állatkísérletekben p</w:t>
      </w:r>
      <w:r w:rsidR="00D51C88" w:rsidRPr="00030ED3">
        <w:rPr>
          <w:sz w:val="22"/>
          <w:szCs w:val="22"/>
        </w:rPr>
        <w:t xml:space="preserve">antoprazol alkalmazását követően </w:t>
      </w:r>
      <w:r w:rsidR="007A2D09" w:rsidRPr="007A2D09">
        <w:rPr>
          <w:sz w:val="22"/>
          <w:szCs w:val="22"/>
        </w:rPr>
        <w:t>nem észlelték a termékenység csökkenését. (lásd 5.3 pont).</w:t>
      </w:r>
    </w:p>
    <w:p w14:paraId="5F883F62" w14:textId="77777777" w:rsidR="00D51C88" w:rsidRPr="00030ED3" w:rsidRDefault="00D51C88" w:rsidP="00030ED3">
      <w:pPr>
        <w:rPr>
          <w:sz w:val="22"/>
          <w:szCs w:val="22"/>
        </w:rPr>
      </w:pPr>
    </w:p>
    <w:p w14:paraId="08F46D45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4.7</w:t>
      </w:r>
      <w:r w:rsidRPr="00030ED3">
        <w:rPr>
          <w:b/>
          <w:sz w:val="22"/>
          <w:szCs w:val="22"/>
        </w:rPr>
        <w:tab/>
        <w:t xml:space="preserve">A készítmény hatásai a gépjárművezetéshez és </w:t>
      </w:r>
      <w:r w:rsidR="00DF38AC" w:rsidRPr="00030ED3">
        <w:rPr>
          <w:b/>
          <w:sz w:val="22"/>
          <w:szCs w:val="22"/>
        </w:rPr>
        <w:t xml:space="preserve">a </w:t>
      </w:r>
      <w:r w:rsidRPr="00030ED3">
        <w:rPr>
          <w:b/>
          <w:sz w:val="22"/>
          <w:szCs w:val="22"/>
        </w:rPr>
        <w:t xml:space="preserve">gépek </w:t>
      </w:r>
      <w:r w:rsidR="000D77A2" w:rsidRPr="00030ED3">
        <w:rPr>
          <w:b/>
          <w:sz w:val="22"/>
          <w:szCs w:val="22"/>
        </w:rPr>
        <w:t>kezeléséhez</w:t>
      </w:r>
      <w:r w:rsidRPr="00030ED3">
        <w:rPr>
          <w:b/>
          <w:sz w:val="22"/>
          <w:szCs w:val="22"/>
        </w:rPr>
        <w:t xml:space="preserve"> szükséges képességekre</w:t>
      </w:r>
    </w:p>
    <w:p w14:paraId="24109B4D" w14:textId="77777777" w:rsidR="00735A04" w:rsidRPr="00030ED3" w:rsidRDefault="00735A04" w:rsidP="00030ED3">
      <w:pPr>
        <w:rPr>
          <w:sz w:val="22"/>
          <w:szCs w:val="22"/>
        </w:rPr>
      </w:pPr>
    </w:p>
    <w:p w14:paraId="2C22AB65" w14:textId="77777777" w:rsidR="00D51C88" w:rsidRPr="00030ED3" w:rsidRDefault="00D51C88" w:rsidP="00030ED3">
      <w:pPr>
        <w:rPr>
          <w:noProof/>
          <w:sz w:val="22"/>
          <w:szCs w:val="22"/>
        </w:rPr>
      </w:pPr>
      <w:r w:rsidRPr="00030ED3">
        <w:rPr>
          <w:noProof/>
          <w:sz w:val="22"/>
          <w:szCs w:val="22"/>
        </w:rPr>
        <w:t>A pantoprazol nem, vagy csak elhanyagolható mértékben befolyásolja a gépjárművezetéshez és a gépek kezeléséhez szükséges képességeket.</w:t>
      </w:r>
    </w:p>
    <w:p w14:paraId="4916140A" w14:textId="77777777" w:rsidR="00044F62" w:rsidRPr="00030ED3" w:rsidRDefault="00044F62" w:rsidP="00030ED3">
      <w:pPr>
        <w:rPr>
          <w:noProof/>
          <w:sz w:val="22"/>
          <w:szCs w:val="22"/>
        </w:rPr>
      </w:pPr>
    </w:p>
    <w:p w14:paraId="6F0B8F02" w14:textId="77777777" w:rsidR="00735A04" w:rsidRPr="00030ED3" w:rsidRDefault="00065462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Mellékhatásként szédülés és látászavar jelentkezhet (lásd 4.8 pont). Ha ez előfordul, a beteg nem vezethet </w:t>
      </w:r>
      <w:r w:rsidR="00C6410A" w:rsidRPr="00030ED3">
        <w:rPr>
          <w:sz w:val="22"/>
          <w:szCs w:val="22"/>
        </w:rPr>
        <w:t>gépjárművet</w:t>
      </w:r>
      <w:r w:rsidRPr="00030ED3">
        <w:rPr>
          <w:sz w:val="22"/>
          <w:szCs w:val="22"/>
        </w:rPr>
        <w:t>, illetve nem kezelhet gépeket.</w:t>
      </w:r>
    </w:p>
    <w:p w14:paraId="297A3597" w14:textId="77777777" w:rsidR="00735A04" w:rsidRPr="00030ED3" w:rsidRDefault="00735A04" w:rsidP="00030ED3">
      <w:pPr>
        <w:rPr>
          <w:sz w:val="22"/>
          <w:szCs w:val="22"/>
        </w:rPr>
      </w:pPr>
    </w:p>
    <w:p w14:paraId="5066B10E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4.8</w:t>
      </w:r>
      <w:r w:rsidRPr="00030ED3">
        <w:rPr>
          <w:b/>
          <w:sz w:val="22"/>
          <w:szCs w:val="22"/>
        </w:rPr>
        <w:tab/>
        <w:t>Nemkívánatos hatások, mellékhatások</w:t>
      </w:r>
    </w:p>
    <w:p w14:paraId="0EA33FB4" w14:textId="77777777" w:rsidR="000D77A2" w:rsidRPr="00030ED3" w:rsidRDefault="000D77A2" w:rsidP="00030ED3">
      <w:pPr>
        <w:rPr>
          <w:sz w:val="22"/>
          <w:szCs w:val="22"/>
        </w:rPr>
      </w:pPr>
    </w:p>
    <w:p w14:paraId="36439EF9" w14:textId="3EEBF741" w:rsidR="005F6A70" w:rsidRPr="00030ED3" w:rsidRDefault="005F6A70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A biztonságossági profil összefoglalása</w:t>
      </w:r>
    </w:p>
    <w:p w14:paraId="27CF9929" w14:textId="75875A63" w:rsidR="00065462" w:rsidRPr="00030ED3" w:rsidRDefault="00065462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betegek mintegy 5%</w:t>
      </w:r>
      <w:r w:rsidR="000604C4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ánál várható mellékhatások jelentkezése.</w:t>
      </w:r>
    </w:p>
    <w:p w14:paraId="62337948" w14:textId="77777777" w:rsidR="00065462" w:rsidRPr="00030ED3" w:rsidRDefault="00065462" w:rsidP="00030ED3">
      <w:pPr>
        <w:rPr>
          <w:sz w:val="22"/>
          <w:szCs w:val="22"/>
        </w:rPr>
      </w:pPr>
    </w:p>
    <w:p w14:paraId="51CDC065" w14:textId="3C097F58" w:rsidR="005F6A70" w:rsidRPr="00030ED3" w:rsidRDefault="005F6A70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A mellékhatások táblázatos összefoglalása</w:t>
      </w:r>
    </w:p>
    <w:p w14:paraId="6B1D193D" w14:textId="64A37DFA" w:rsidR="005F6A70" w:rsidRPr="00030ED3" w:rsidRDefault="00065462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Az alábbi táblázatban a pantoprazol alkalmazása során jel</w:t>
      </w:r>
      <w:r w:rsidR="00B73A2E" w:rsidRPr="00030ED3">
        <w:rPr>
          <w:sz w:val="22"/>
          <w:szCs w:val="22"/>
        </w:rPr>
        <w:t>entet</w:t>
      </w:r>
      <w:r w:rsidRPr="00030ED3">
        <w:rPr>
          <w:sz w:val="22"/>
          <w:szCs w:val="22"/>
        </w:rPr>
        <w:t>t mellékhatások a következő gyakorisági besorolás szerint kerülnek felt</w:t>
      </w:r>
      <w:r w:rsidR="00565DF9" w:rsidRPr="00030ED3">
        <w:rPr>
          <w:sz w:val="22"/>
          <w:szCs w:val="22"/>
        </w:rPr>
        <w:t>ü</w:t>
      </w:r>
      <w:r w:rsidRPr="00030ED3">
        <w:rPr>
          <w:sz w:val="22"/>
          <w:szCs w:val="22"/>
        </w:rPr>
        <w:t>ntetésre:</w:t>
      </w:r>
      <w:r w:rsidR="00FB0F8F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nagyon gyakori (≥</w:t>
      </w:r>
      <w:r w:rsidR="000604C4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1/10), gyakori (≥</w:t>
      </w:r>
      <w:r w:rsidR="000604C4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1/100</w:t>
      </w:r>
      <w:r w:rsidR="004526CE" w:rsidRPr="00030ED3">
        <w:rPr>
          <w:sz w:val="22"/>
          <w:szCs w:val="22"/>
        </w:rPr>
        <w:t> </w:t>
      </w:r>
      <w:r w:rsidRPr="00030ED3">
        <w:rPr>
          <w:noProof/>
          <w:sz w:val="22"/>
          <w:szCs w:val="22"/>
        </w:rPr>
        <w:t>–</w:t>
      </w:r>
      <w:r w:rsidR="004526CE" w:rsidRPr="00030ED3">
        <w:rPr>
          <w:noProof/>
          <w:sz w:val="22"/>
          <w:szCs w:val="22"/>
        </w:rPr>
        <w:t> </w:t>
      </w:r>
      <w:r w:rsidRPr="00030ED3">
        <w:rPr>
          <w:sz w:val="22"/>
          <w:szCs w:val="22"/>
        </w:rPr>
        <w:t>&lt;</w:t>
      </w:r>
      <w:r w:rsidR="000604C4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1/10), nem gyakori (≥</w:t>
      </w:r>
      <w:r w:rsidR="000604C4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1/1000</w:t>
      </w:r>
      <w:r w:rsidR="004526CE" w:rsidRPr="00030ED3">
        <w:rPr>
          <w:sz w:val="22"/>
          <w:szCs w:val="22"/>
        </w:rPr>
        <w:t> </w:t>
      </w:r>
      <w:r w:rsidRPr="00030ED3">
        <w:rPr>
          <w:noProof/>
          <w:sz w:val="22"/>
          <w:szCs w:val="22"/>
        </w:rPr>
        <w:t>–</w:t>
      </w:r>
      <w:r w:rsidR="004526CE" w:rsidRPr="00030ED3">
        <w:rPr>
          <w:noProof/>
          <w:sz w:val="22"/>
          <w:szCs w:val="22"/>
        </w:rPr>
        <w:t> </w:t>
      </w:r>
      <w:r w:rsidRPr="00030ED3">
        <w:rPr>
          <w:sz w:val="22"/>
          <w:szCs w:val="22"/>
        </w:rPr>
        <w:t>&lt;</w:t>
      </w:r>
      <w:r w:rsidR="000604C4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1/100), ritka (≥</w:t>
      </w:r>
      <w:r w:rsidR="000604C4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1/10</w:t>
      </w:r>
      <w:r w:rsidR="00B85943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000</w:t>
      </w:r>
      <w:r w:rsidR="004526CE" w:rsidRPr="00030ED3">
        <w:rPr>
          <w:sz w:val="22"/>
          <w:szCs w:val="22"/>
        </w:rPr>
        <w:t> – </w:t>
      </w:r>
      <w:r w:rsidRPr="00030ED3">
        <w:rPr>
          <w:sz w:val="22"/>
          <w:szCs w:val="22"/>
        </w:rPr>
        <w:t>&lt;</w:t>
      </w:r>
      <w:r w:rsidR="000604C4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1/1</w:t>
      </w:r>
      <w:r w:rsidR="005903B3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000), nagyon ritka (&lt;</w:t>
      </w:r>
      <w:r w:rsidR="000604C4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 xml:space="preserve">1/10 000), nem ismert (a </w:t>
      </w:r>
      <w:r w:rsidR="005B451F" w:rsidRPr="00030ED3">
        <w:rPr>
          <w:sz w:val="22"/>
          <w:szCs w:val="22"/>
        </w:rPr>
        <w:t xml:space="preserve">gyakoriság </w:t>
      </w:r>
      <w:r w:rsidR="005C0154" w:rsidRPr="00030ED3">
        <w:rPr>
          <w:sz w:val="22"/>
          <w:szCs w:val="22"/>
        </w:rPr>
        <w:t xml:space="preserve">a </w:t>
      </w:r>
      <w:r w:rsidRPr="00030ED3">
        <w:rPr>
          <w:sz w:val="22"/>
          <w:szCs w:val="22"/>
        </w:rPr>
        <w:t xml:space="preserve">rendelkezésre álló adatokból nem </w:t>
      </w:r>
      <w:r w:rsidRPr="00030ED3">
        <w:rPr>
          <w:bCs/>
          <w:noProof/>
          <w:sz w:val="22"/>
          <w:szCs w:val="22"/>
        </w:rPr>
        <w:t>állapítható meg</w:t>
      </w:r>
      <w:r w:rsidRPr="00030ED3">
        <w:rPr>
          <w:bCs/>
          <w:sz w:val="22"/>
          <w:szCs w:val="22"/>
        </w:rPr>
        <w:t>).</w:t>
      </w:r>
    </w:p>
    <w:p w14:paraId="2036F313" w14:textId="77777777" w:rsidR="005F6A70" w:rsidRPr="00030ED3" w:rsidRDefault="005F6A70" w:rsidP="00030ED3">
      <w:pPr>
        <w:rPr>
          <w:sz w:val="22"/>
          <w:szCs w:val="22"/>
        </w:rPr>
      </w:pPr>
    </w:p>
    <w:p w14:paraId="6BC0B29E" w14:textId="2FF68AC8" w:rsidR="00065462" w:rsidRPr="00030ED3" w:rsidRDefault="00065462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</w:t>
      </w:r>
      <w:r w:rsidR="00FB0F8F" w:rsidRPr="00030ED3">
        <w:rPr>
          <w:sz w:val="22"/>
          <w:szCs w:val="22"/>
        </w:rPr>
        <w:t>forgalomba hozatalt</w:t>
      </w:r>
      <w:r w:rsidRPr="00030ED3">
        <w:rPr>
          <w:sz w:val="22"/>
          <w:szCs w:val="22"/>
        </w:rPr>
        <w:t xml:space="preserve"> követően tapasztalt egyik mellékhatásra sem </w:t>
      </w:r>
      <w:r w:rsidR="002C49EB" w:rsidRPr="00030ED3">
        <w:rPr>
          <w:sz w:val="22"/>
          <w:szCs w:val="22"/>
        </w:rPr>
        <w:t>alkalmazható</w:t>
      </w:r>
      <w:r w:rsidRPr="00030ED3">
        <w:rPr>
          <w:sz w:val="22"/>
          <w:szCs w:val="22"/>
        </w:rPr>
        <w:t xml:space="preserve"> egyetlen mellékh</w:t>
      </w:r>
      <w:r w:rsidR="000E5327" w:rsidRPr="00030ED3">
        <w:rPr>
          <w:sz w:val="22"/>
          <w:szCs w:val="22"/>
        </w:rPr>
        <w:t>atás-gyakoriság sem, ezért a ’</w:t>
      </w:r>
      <w:r w:rsidRPr="00030ED3">
        <w:rPr>
          <w:sz w:val="22"/>
          <w:szCs w:val="22"/>
        </w:rPr>
        <w:t>nem ismert’ gyakorisági kategória alatt szerepelnek.</w:t>
      </w:r>
    </w:p>
    <w:p w14:paraId="5A915414" w14:textId="77777777" w:rsidR="00FB0F8F" w:rsidRPr="00030ED3" w:rsidRDefault="00FB0F8F" w:rsidP="00030ED3">
      <w:pPr>
        <w:rPr>
          <w:sz w:val="22"/>
          <w:szCs w:val="22"/>
        </w:rPr>
      </w:pPr>
    </w:p>
    <w:p w14:paraId="145366B3" w14:textId="77777777" w:rsidR="00065462" w:rsidRPr="00030ED3" w:rsidRDefault="00065462" w:rsidP="00030ED3">
      <w:pPr>
        <w:rPr>
          <w:sz w:val="22"/>
          <w:szCs w:val="22"/>
        </w:rPr>
      </w:pPr>
      <w:r w:rsidRPr="00030ED3">
        <w:rPr>
          <w:noProof/>
          <w:sz w:val="22"/>
          <w:szCs w:val="22"/>
        </w:rPr>
        <w:t>Az egyes gyakorisági kategóriákon belül a mellékhatások csökkenő súlyosság szerint kerülnek megadásra.</w:t>
      </w:r>
    </w:p>
    <w:p w14:paraId="5E9795ED" w14:textId="77777777" w:rsidR="00065462" w:rsidRPr="00030ED3" w:rsidRDefault="00065462" w:rsidP="00030ED3">
      <w:pPr>
        <w:rPr>
          <w:sz w:val="22"/>
          <w:szCs w:val="22"/>
        </w:rPr>
      </w:pPr>
    </w:p>
    <w:p w14:paraId="785F8813" w14:textId="7E583BAB" w:rsidR="00065462" w:rsidRPr="00030ED3" w:rsidRDefault="00065462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1. táblázat: </w:t>
      </w:r>
      <w:r w:rsidR="003D1BDB" w:rsidRPr="003D1BDB">
        <w:rPr>
          <w:sz w:val="22"/>
          <w:szCs w:val="22"/>
        </w:rPr>
        <w:t>A pantoprazol alkalmazása mellett a klinikai vizsgálatok során, illetve a forgalomba hozatalt követően tapasztalt mellékhatások</w:t>
      </w: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276"/>
        <w:gridCol w:w="1559"/>
        <w:gridCol w:w="1843"/>
        <w:gridCol w:w="1417"/>
        <w:gridCol w:w="1985"/>
      </w:tblGrid>
      <w:tr w:rsidR="004F6810" w:rsidRPr="00030ED3" w14:paraId="316CC3F7" w14:textId="77777777" w:rsidTr="00942D5D">
        <w:trPr>
          <w:cantSplit/>
          <w:trHeight w:val="276"/>
          <w:tblHeader/>
        </w:trPr>
        <w:tc>
          <w:tcPr>
            <w:tcW w:w="2127" w:type="dxa"/>
          </w:tcPr>
          <w:p w14:paraId="5F6A0FB6" w14:textId="3C6BBF80" w:rsidR="004F6810" w:rsidRPr="00030ED3" w:rsidRDefault="001F27A8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lastRenderedPageBreak/>
              <w:t>Szervrendszer</w:t>
            </w:r>
          </w:p>
        </w:tc>
        <w:tc>
          <w:tcPr>
            <w:tcW w:w="1276" w:type="dxa"/>
          </w:tcPr>
          <w:p w14:paraId="02E99CB3" w14:textId="77777777" w:rsidR="004F6810" w:rsidRPr="00030ED3" w:rsidRDefault="004F6810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Gyakori</w:t>
            </w:r>
          </w:p>
        </w:tc>
        <w:tc>
          <w:tcPr>
            <w:tcW w:w="1559" w:type="dxa"/>
          </w:tcPr>
          <w:p w14:paraId="572D41DD" w14:textId="77777777" w:rsidR="004F6810" w:rsidRPr="00030ED3" w:rsidRDefault="004F6810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Nem gyakori</w:t>
            </w:r>
          </w:p>
        </w:tc>
        <w:tc>
          <w:tcPr>
            <w:tcW w:w="1843" w:type="dxa"/>
          </w:tcPr>
          <w:p w14:paraId="7E449606" w14:textId="77777777" w:rsidR="004F6810" w:rsidRPr="00030ED3" w:rsidRDefault="004F6810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Ritka</w:t>
            </w:r>
          </w:p>
        </w:tc>
        <w:tc>
          <w:tcPr>
            <w:tcW w:w="1417" w:type="dxa"/>
          </w:tcPr>
          <w:p w14:paraId="283C53C0" w14:textId="77777777" w:rsidR="004F6810" w:rsidRPr="00030ED3" w:rsidRDefault="004F6810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Nagyon ritka</w:t>
            </w:r>
          </w:p>
        </w:tc>
        <w:tc>
          <w:tcPr>
            <w:tcW w:w="1985" w:type="dxa"/>
          </w:tcPr>
          <w:p w14:paraId="2D65B20F" w14:textId="77777777" w:rsidR="004F6810" w:rsidRPr="00030ED3" w:rsidRDefault="004F6810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Nem ismert</w:t>
            </w:r>
          </w:p>
        </w:tc>
      </w:tr>
      <w:tr w:rsidR="00065462" w:rsidRPr="00030ED3" w14:paraId="04D6F184" w14:textId="77777777" w:rsidTr="00942D5D">
        <w:trPr>
          <w:cantSplit/>
        </w:trPr>
        <w:tc>
          <w:tcPr>
            <w:tcW w:w="2127" w:type="dxa"/>
          </w:tcPr>
          <w:p w14:paraId="34A69E64" w14:textId="77777777" w:rsidR="00065462" w:rsidRPr="00030ED3" w:rsidRDefault="00065462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Vérképző</w:t>
            </w:r>
            <w:r w:rsidR="00565DF9" w:rsidRPr="00030ED3">
              <w:rPr>
                <w:b/>
                <w:sz w:val="22"/>
                <w:szCs w:val="22"/>
              </w:rPr>
              <w:t>szervi</w:t>
            </w:r>
            <w:r w:rsidRPr="00030ED3">
              <w:rPr>
                <w:b/>
                <w:sz w:val="22"/>
                <w:szCs w:val="22"/>
              </w:rPr>
              <w:t xml:space="preserve"> és nyirokrendszeri betegségek és tünetek</w:t>
            </w:r>
          </w:p>
        </w:tc>
        <w:tc>
          <w:tcPr>
            <w:tcW w:w="1276" w:type="dxa"/>
          </w:tcPr>
          <w:p w14:paraId="77173CFD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18BADDF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769A1681" w14:textId="77777777" w:rsidR="00065462" w:rsidRPr="00030ED3" w:rsidRDefault="006D0E87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a</w:t>
            </w:r>
            <w:r w:rsidR="00B73A2E" w:rsidRPr="00030ED3">
              <w:rPr>
                <w:sz w:val="22"/>
                <w:szCs w:val="22"/>
              </w:rPr>
              <w:t>granulocytosis</w:t>
            </w:r>
          </w:p>
        </w:tc>
        <w:tc>
          <w:tcPr>
            <w:tcW w:w="1417" w:type="dxa"/>
          </w:tcPr>
          <w:p w14:paraId="4EB410B7" w14:textId="77777777" w:rsidR="000604C4" w:rsidRPr="00030ED3" w:rsidRDefault="006D0E87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t</w:t>
            </w:r>
            <w:r w:rsidR="00065462" w:rsidRPr="00030ED3">
              <w:rPr>
                <w:sz w:val="22"/>
                <w:szCs w:val="22"/>
              </w:rPr>
              <w:t>hrombocyto</w:t>
            </w:r>
            <w:r w:rsidR="001858F5" w:rsidRPr="00030ED3">
              <w:rPr>
                <w:sz w:val="22"/>
                <w:szCs w:val="22"/>
              </w:rPr>
              <w:t>-</w:t>
            </w:r>
            <w:r w:rsidR="00065462" w:rsidRPr="00030ED3">
              <w:rPr>
                <w:sz w:val="22"/>
                <w:szCs w:val="22"/>
              </w:rPr>
              <w:t>penia;</w:t>
            </w:r>
          </w:p>
          <w:p w14:paraId="105E528B" w14:textId="6F24BCF4" w:rsidR="00065462" w:rsidRPr="00030ED3" w:rsidRDefault="006D0E87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l</w:t>
            </w:r>
            <w:r w:rsidR="00B73A2E" w:rsidRPr="00030ED3">
              <w:rPr>
                <w:sz w:val="22"/>
                <w:szCs w:val="22"/>
              </w:rPr>
              <w:t>eukopenia;</w:t>
            </w:r>
          </w:p>
          <w:p w14:paraId="0D9165C2" w14:textId="77777777" w:rsidR="00B73A2E" w:rsidRPr="00030ED3" w:rsidRDefault="006D0E87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p</w:t>
            </w:r>
            <w:r w:rsidR="00B73A2E" w:rsidRPr="00030ED3">
              <w:rPr>
                <w:sz w:val="22"/>
                <w:szCs w:val="22"/>
              </w:rPr>
              <w:t>ancytopenia</w:t>
            </w:r>
          </w:p>
        </w:tc>
        <w:tc>
          <w:tcPr>
            <w:tcW w:w="1985" w:type="dxa"/>
          </w:tcPr>
          <w:p w14:paraId="1DF96CFD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065462" w:rsidRPr="00030ED3" w14:paraId="02DD1C46" w14:textId="77777777" w:rsidTr="00942D5D">
        <w:trPr>
          <w:cantSplit/>
        </w:trPr>
        <w:tc>
          <w:tcPr>
            <w:tcW w:w="2127" w:type="dxa"/>
          </w:tcPr>
          <w:p w14:paraId="44FC12FE" w14:textId="77777777" w:rsidR="00065462" w:rsidRPr="00030ED3" w:rsidRDefault="00065462" w:rsidP="00030ED3">
            <w:pPr>
              <w:widowControl w:val="0"/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Immunrendszeri betegségek és tünetek</w:t>
            </w:r>
          </w:p>
        </w:tc>
        <w:tc>
          <w:tcPr>
            <w:tcW w:w="1276" w:type="dxa"/>
          </w:tcPr>
          <w:p w14:paraId="15718367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ECAB3D3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01618258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 xml:space="preserve">Túlérzékenység (beleértve az anaphylaxiás reakciókat </w:t>
            </w:r>
            <w:r w:rsidR="00B73A2E" w:rsidRPr="00030ED3">
              <w:rPr>
                <w:sz w:val="22"/>
                <w:szCs w:val="22"/>
              </w:rPr>
              <w:t xml:space="preserve">és </w:t>
            </w:r>
            <w:r w:rsidRPr="00030ED3">
              <w:rPr>
                <w:sz w:val="22"/>
                <w:szCs w:val="22"/>
              </w:rPr>
              <w:t>az anaphylaxiás shockot</w:t>
            </w:r>
            <w:r w:rsidR="005B451F" w:rsidRPr="00030ED3">
              <w:rPr>
                <w:sz w:val="22"/>
                <w:szCs w:val="22"/>
              </w:rPr>
              <w:t xml:space="preserve"> is</w:t>
            </w:r>
            <w:r w:rsidRPr="00030ED3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</w:tcPr>
          <w:p w14:paraId="14D21189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59F764A6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065462" w:rsidRPr="00030ED3" w14:paraId="45E0B9D4" w14:textId="77777777" w:rsidTr="00942D5D">
        <w:trPr>
          <w:cantSplit/>
        </w:trPr>
        <w:tc>
          <w:tcPr>
            <w:tcW w:w="2127" w:type="dxa"/>
          </w:tcPr>
          <w:p w14:paraId="77924AB2" w14:textId="77777777" w:rsidR="00065462" w:rsidRPr="00030ED3" w:rsidRDefault="00065462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276" w:type="dxa"/>
          </w:tcPr>
          <w:p w14:paraId="42488162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2985A99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9D8A328" w14:textId="19F6043D" w:rsidR="00065462" w:rsidRPr="00030ED3" w:rsidRDefault="006D0E87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h</w:t>
            </w:r>
            <w:r w:rsidR="00065462" w:rsidRPr="00030ED3">
              <w:rPr>
                <w:sz w:val="22"/>
                <w:szCs w:val="22"/>
              </w:rPr>
              <w:t>yperlipidaemiák és emelkedett vérzsírszintek (trigliceridek</w:t>
            </w:r>
            <w:r w:rsidR="00A74D12" w:rsidRPr="00030ED3">
              <w:rPr>
                <w:sz w:val="22"/>
                <w:szCs w:val="22"/>
              </w:rPr>
              <w:t xml:space="preserve">; </w:t>
            </w:r>
            <w:r w:rsidR="00065462" w:rsidRPr="00030ED3">
              <w:rPr>
                <w:sz w:val="22"/>
                <w:szCs w:val="22"/>
              </w:rPr>
              <w:t xml:space="preserve">koleszterin); </w:t>
            </w:r>
            <w:r w:rsidRPr="00030ED3">
              <w:rPr>
                <w:sz w:val="22"/>
                <w:szCs w:val="22"/>
              </w:rPr>
              <w:t>t</w:t>
            </w:r>
            <w:r w:rsidR="00065462" w:rsidRPr="00030ED3">
              <w:rPr>
                <w:sz w:val="22"/>
                <w:szCs w:val="22"/>
              </w:rPr>
              <w:t>est</w:t>
            </w:r>
            <w:r w:rsidR="00B73A2E" w:rsidRPr="00030ED3">
              <w:rPr>
                <w:sz w:val="22"/>
                <w:szCs w:val="22"/>
              </w:rPr>
              <w:t>tömeg</w:t>
            </w:r>
            <w:r w:rsidR="00065462" w:rsidRPr="00030ED3">
              <w:rPr>
                <w:sz w:val="22"/>
                <w:szCs w:val="22"/>
              </w:rPr>
              <w:t>-változások</w:t>
            </w:r>
          </w:p>
        </w:tc>
        <w:tc>
          <w:tcPr>
            <w:tcW w:w="1417" w:type="dxa"/>
          </w:tcPr>
          <w:p w14:paraId="66F80DDF" w14:textId="77777777" w:rsidR="00065462" w:rsidRPr="00030ED3" w:rsidRDefault="00065462" w:rsidP="00030ED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07527BA7" w14:textId="6F71D460" w:rsidR="00055211" w:rsidRPr="00030ED3" w:rsidRDefault="006D0E87" w:rsidP="00030E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h</w:t>
            </w:r>
            <w:r w:rsidR="00065462" w:rsidRPr="00030ED3">
              <w:rPr>
                <w:sz w:val="22"/>
                <w:szCs w:val="22"/>
              </w:rPr>
              <w:t>yponatraemia</w:t>
            </w:r>
            <w:r w:rsidR="00B73A2E" w:rsidRPr="00030ED3">
              <w:rPr>
                <w:sz w:val="22"/>
                <w:szCs w:val="22"/>
              </w:rPr>
              <w:t xml:space="preserve">; </w:t>
            </w:r>
            <w:r w:rsidRPr="00030ED3">
              <w:rPr>
                <w:sz w:val="22"/>
                <w:szCs w:val="22"/>
              </w:rPr>
              <w:t>h</w:t>
            </w:r>
            <w:r w:rsidR="00B85943" w:rsidRPr="00030ED3">
              <w:rPr>
                <w:sz w:val="22"/>
                <w:szCs w:val="22"/>
              </w:rPr>
              <w:t>ypomagnesaemi</w:t>
            </w:r>
            <w:r w:rsidR="00055211" w:rsidRPr="00030ED3">
              <w:rPr>
                <w:sz w:val="22"/>
                <w:szCs w:val="22"/>
              </w:rPr>
              <w:t>a (lásd 4.4</w:t>
            </w:r>
            <w:r w:rsidR="00E41ADF" w:rsidRPr="00030ED3">
              <w:rPr>
                <w:sz w:val="22"/>
                <w:szCs w:val="22"/>
              </w:rPr>
              <w:t> </w:t>
            </w:r>
            <w:r w:rsidR="00055211" w:rsidRPr="00030ED3">
              <w:rPr>
                <w:sz w:val="22"/>
                <w:szCs w:val="22"/>
              </w:rPr>
              <w:t>pont)</w:t>
            </w:r>
            <w:r w:rsidR="00EA6FFB" w:rsidRPr="00030ED3">
              <w:rPr>
                <w:sz w:val="22"/>
                <w:szCs w:val="22"/>
              </w:rPr>
              <w:t>;</w:t>
            </w:r>
          </w:p>
          <w:p w14:paraId="025E7C68" w14:textId="77777777" w:rsidR="00E41ADF" w:rsidRPr="00030ED3" w:rsidRDefault="006D0E87" w:rsidP="00030E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h</w:t>
            </w:r>
            <w:r w:rsidR="00E41ADF" w:rsidRPr="00030ED3">
              <w:rPr>
                <w:sz w:val="22"/>
                <w:szCs w:val="22"/>
              </w:rPr>
              <w:t>ypocalcaemia</w:t>
            </w:r>
            <w:r w:rsidR="00E41ADF" w:rsidRPr="00030ED3">
              <w:rPr>
                <w:sz w:val="22"/>
                <w:szCs w:val="22"/>
                <w:vertAlign w:val="superscript"/>
              </w:rPr>
              <w:t>(1)</w:t>
            </w:r>
            <w:r w:rsidR="00EA6FFB" w:rsidRPr="00030ED3">
              <w:rPr>
                <w:sz w:val="22"/>
                <w:szCs w:val="22"/>
              </w:rPr>
              <w:t>;</w:t>
            </w:r>
          </w:p>
          <w:p w14:paraId="7DD740E0" w14:textId="77777777" w:rsidR="00065462" w:rsidRPr="00030ED3" w:rsidRDefault="006D0E87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h</w:t>
            </w:r>
            <w:r w:rsidR="00E41ADF" w:rsidRPr="00030ED3">
              <w:rPr>
                <w:sz w:val="22"/>
                <w:szCs w:val="22"/>
              </w:rPr>
              <w:t>ypokalaemia</w:t>
            </w:r>
            <w:r w:rsidR="005B451F" w:rsidRPr="00030ED3">
              <w:rPr>
                <w:sz w:val="22"/>
                <w:szCs w:val="22"/>
                <w:vertAlign w:val="superscript"/>
              </w:rPr>
              <w:t>(1)</w:t>
            </w:r>
          </w:p>
        </w:tc>
      </w:tr>
      <w:tr w:rsidR="00065462" w:rsidRPr="00030ED3" w14:paraId="7D8B07E8" w14:textId="77777777" w:rsidTr="00942D5D">
        <w:trPr>
          <w:cantSplit/>
        </w:trPr>
        <w:tc>
          <w:tcPr>
            <w:tcW w:w="2127" w:type="dxa"/>
          </w:tcPr>
          <w:p w14:paraId="5945CC83" w14:textId="77777777" w:rsidR="00065462" w:rsidRPr="00030ED3" w:rsidRDefault="00065462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Pszichiátriai kórképek</w:t>
            </w:r>
          </w:p>
        </w:tc>
        <w:tc>
          <w:tcPr>
            <w:tcW w:w="1276" w:type="dxa"/>
          </w:tcPr>
          <w:p w14:paraId="65C396E7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B81098A" w14:textId="77777777" w:rsidR="00065462" w:rsidRPr="00030ED3" w:rsidRDefault="006D0E87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a</w:t>
            </w:r>
            <w:r w:rsidR="00065462" w:rsidRPr="00030ED3">
              <w:rPr>
                <w:sz w:val="22"/>
                <w:szCs w:val="22"/>
              </w:rPr>
              <w:t>lvászavarok</w:t>
            </w:r>
          </w:p>
        </w:tc>
        <w:tc>
          <w:tcPr>
            <w:tcW w:w="1843" w:type="dxa"/>
          </w:tcPr>
          <w:p w14:paraId="4057C302" w14:textId="77777777" w:rsidR="00065462" w:rsidRPr="00030ED3" w:rsidRDefault="006D0E87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d</w:t>
            </w:r>
            <w:r w:rsidR="00065462" w:rsidRPr="00030ED3">
              <w:rPr>
                <w:sz w:val="22"/>
                <w:szCs w:val="22"/>
              </w:rPr>
              <w:t>epresszió (és az állapot rosszabbodás minden formája)</w:t>
            </w:r>
          </w:p>
        </w:tc>
        <w:tc>
          <w:tcPr>
            <w:tcW w:w="1417" w:type="dxa"/>
          </w:tcPr>
          <w:p w14:paraId="01E0EF55" w14:textId="77777777" w:rsidR="00065462" w:rsidRPr="00030ED3" w:rsidRDefault="006D0E87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d</w:t>
            </w:r>
            <w:r w:rsidR="00055211" w:rsidRPr="00030ED3">
              <w:rPr>
                <w:sz w:val="22"/>
                <w:szCs w:val="22"/>
              </w:rPr>
              <w:t xml:space="preserve">ezorientáció </w:t>
            </w:r>
            <w:r w:rsidR="00065462" w:rsidRPr="00030ED3">
              <w:rPr>
                <w:sz w:val="22"/>
                <w:szCs w:val="22"/>
              </w:rPr>
              <w:t>(és az állapot- rosszabbodás minden formája)</w:t>
            </w:r>
          </w:p>
        </w:tc>
        <w:tc>
          <w:tcPr>
            <w:tcW w:w="1985" w:type="dxa"/>
          </w:tcPr>
          <w:p w14:paraId="2D4A4DEC" w14:textId="77777777" w:rsidR="00065462" w:rsidRPr="00030ED3" w:rsidRDefault="006D0E87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h</w:t>
            </w:r>
            <w:r w:rsidR="00065462" w:rsidRPr="00030ED3">
              <w:rPr>
                <w:sz w:val="22"/>
                <w:szCs w:val="22"/>
              </w:rPr>
              <w:t>allucináció;</w:t>
            </w:r>
          </w:p>
          <w:p w14:paraId="169C1980" w14:textId="2E918419" w:rsidR="007D019F" w:rsidRPr="00030ED3" w:rsidRDefault="00A3420F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zavarodottság</w:t>
            </w:r>
            <w:r w:rsidR="00B73A2E" w:rsidRPr="00030ED3">
              <w:rPr>
                <w:sz w:val="22"/>
                <w:szCs w:val="22"/>
              </w:rPr>
              <w:t xml:space="preserve"> (</w:t>
            </w:r>
            <w:r w:rsidR="00065462" w:rsidRPr="00030ED3">
              <w:rPr>
                <w:sz w:val="22"/>
                <w:szCs w:val="22"/>
              </w:rPr>
              <w:t>különösen az erre hajlamos betegeknél, valamint korábbi fennállás esetén ezen tünetek romlása</w:t>
            </w:r>
            <w:r w:rsidR="00B73A2E" w:rsidRPr="00030ED3">
              <w:rPr>
                <w:sz w:val="22"/>
                <w:szCs w:val="22"/>
              </w:rPr>
              <w:t>)</w:t>
            </w:r>
          </w:p>
        </w:tc>
      </w:tr>
      <w:tr w:rsidR="00065462" w:rsidRPr="00030ED3" w14:paraId="729CBCC9" w14:textId="77777777" w:rsidTr="00942D5D">
        <w:trPr>
          <w:cantSplit/>
        </w:trPr>
        <w:tc>
          <w:tcPr>
            <w:tcW w:w="2127" w:type="dxa"/>
          </w:tcPr>
          <w:p w14:paraId="59BB4943" w14:textId="77777777" w:rsidR="00065462" w:rsidRPr="00030ED3" w:rsidRDefault="00065462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Idegrendszeri betegségek és tünetek</w:t>
            </w:r>
          </w:p>
        </w:tc>
        <w:tc>
          <w:tcPr>
            <w:tcW w:w="1276" w:type="dxa"/>
          </w:tcPr>
          <w:p w14:paraId="00F68475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C442C50" w14:textId="77777777" w:rsidR="00065462" w:rsidRPr="00030ED3" w:rsidRDefault="006D0E87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f</w:t>
            </w:r>
            <w:r w:rsidR="00065462" w:rsidRPr="00030ED3">
              <w:rPr>
                <w:sz w:val="22"/>
                <w:szCs w:val="22"/>
              </w:rPr>
              <w:t xml:space="preserve">ejfájás; </w:t>
            </w:r>
            <w:r w:rsidRPr="00030ED3">
              <w:rPr>
                <w:sz w:val="22"/>
                <w:szCs w:val="22"/>
              </w:rPr>
              <w:t>s</w:t>
            </w:r>
            <w:r w:rsidR="00065462" w:rsidRPr="00030ED3">
              <w:rPr>
                <w:sz w:val="22"/>
                <w:szCs w:val="22"/>
              </w:rPr>
              <w:t>zédülés</w:t>
            </w:r>
          </w:p>
        </w:tc>
        <w:tc>
          <w:tcPr>
            <w:tcW w:w="1843" w:type="dxa"/>
          </w:tcPr>
          <w:p w14:paraId="2E64A832" w14:textId="77777777" w:rsidR="00065462" w:rsidRPr="00030ED3" w:rsidRDefault="006D0E87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í</w:t>
            </w:r>
            <w:r w:rsidR="00B73A2E" w:rsidRPr="00030ED3">
              <w:rPr>
                <w:sz w:val="22"/>
                <w:szCs w:val="22"/>
              </w:rPr>
              <w:t>zérzés zavar</w:t>
            </w:r>
            <w:r w:rsidR="00477031" w:rsidRPr="00030ED3">
              <w:rPr>
                <w:sz w:val="22"/>
                <w:szCs w:val="22"/>
              </w:rPr>
              <w:t>a</w:t>
            </w:r>
            <w:r w:rsidR="00055211" w:rsidRPr="00030ED3">
              <w:rPr>
                <w:sz w:val="22"/>
                <w:szCs w:val="22"/>
              </w:rPr>
              <w:t>i</w:t>
            </w:r>
          </w:p>
        </w:tc>
        <w:tc>
          <w:tcPr>
            <w:tcW w:w="1417" w:type="dxa"/>
          </w:tcPr>
          <w:p w14:paraId="66954ECE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08FD25B8" w14:textId="77777777" w:rsidR="00065462" w:rsidRPr="00030ED3" w:rsidRDefault="006D0E87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p</w:t>
            </w:r>
            <w:r w:rsidR="00E41ADF" w:rsidRPr="00030ED3">
              <w:rPr>
                <w:sz w:val="22"/>
                <w:szCs w:val="22"/>
              </w:rPr>
              <w:t>araesthesia</w:t>
            </w:r>
          </w:p>
        </w:tc>
      </w:tr>
      <w:tr w:rsidR="00065462" w:rsidRPr="00030ED3" w14:paraId="0CC045AE" w14:textId="77777777" w:rsidTr="00942D5D">
        <w:trPr>
          <w:cantSplit/>
        </w:trPr>
        <w:tc>
          <w:tcPr>
            <w:tcW w:w="2127" w:type="dxa"/>
          </w:tcPr>
          <w:p w14:paraId="02036D06" w14:textId="77777777" w:rsidR="00065462" w:rsidRPr="00030ED3" w:rsidRDefault="00065462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Szembetegségek és szemészeti tünetek</w:t>
            </w:r>
          </w:p>
        </w:tc>
        <w:tc>
          <w:tcPr>
            <w:tcW w:w="1276" w:type="dxa"/>
          </w:tcPr>
          <w:p w14:paraId="587A3859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3D09EE0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56BE179" w14:textId="77777777" w:rsidR="00065462" w:rsidRPr="00030ED3" w:rsidRDefault="00BB3879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l</w:t>
            </w:r>
            <w:r w:rsidR="00065462" w:rsidRPr="00030ED3">
              <w:rPr>
                <w:sz w:val="22"/>
                <w:szCs w:val="22"/>
              </w:rPr>
              <w:t>átászavar / homályos látás</w:t>
            </w:r>
          </w:p>
        </w:tc>
        <w:tc>
          <w:tcPr>
            <w:tcW w:w="1417" w:type="dxa"/>
          </w:tcPr>
          <w:p w14:paraId="26B5C097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25AA2E55" w14:textId="77777777" w:rsidR="00065462" w:rsidRPr="00030ED3" w:rsidRDefault="00065462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202B64" w:rsidRPr="00030ED3" w14:paraId="6FE82B9E" w14:textId="77777777" w:rsidTr="00942D5D">
        <w:trPr>
          <w:cantSplit/>
        </w:trPr>
        <w:tc>
          <w:tcPr>
            <w:tcW w:w="2127" w:type="dxa"/>
          </w:tcPr>
          <w:p w14:paraId="473DCCAC" w14:textId="77777777" w:rsidR="00202B64" w:rsidRPr="00030ED3" w:rsidRDefault="00202B64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Emésztőrendszeri betegségek és tünetek</w:t>
            </w:r>
          </w:p>
        </w:tc>
        <w:tc>
          <w:tcPr>
            <w:tcW w:w="1276" w:type="dxa"/>
          </w:tcPr>
          <w:p w14:paraId="28E1BF9F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fundus mirigy polipok (benignus)</w:t>
            </w:r>
          </w:p>
        </w:tc>
        <w:tc>
          <w:tcPr>
            <w:tcW w:w="1559" w:type="dxa"/>
          </w:tcPr>
          <w:p w14:paraId="77810821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hasmenés; hányinger / hányás; hasfeszülés és puffadás; székrekedés; szájszárazság; has</w:t>
            </w:r>
            <w:r w:rsidR="00A74D12" w:rsidRPr="00030ED3">
              <w:rPr>
                <w:sz w:val="22"/>
                <w:szCs w:val="22"/>
              </w:rPr>
              <w:t xml:space="preserve">i </w:t>
            </w:r>
            <w:r w:rsidRPr="00030ED3">
              <w:rPr>
                <w:sz w:val="22"/>
                <w:szCs w:val="22"/>
              </w:rPr>
              <w:t>fájdalom és diszkomfort érzés</w:t>
            </w:r>
          </w:p>
        </w:tc>
        <w:tc>
          <w:tcPr>
            <w:tcW w:w="1843" w:type="dxa"/>
          </w:tcPr>
          <w:p w14:paraId="2C21E43C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B3D8A38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72EC5790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mikroszkópos colitis</w:t>
            </w:r>
          </w:p>
        </w:tc>
      </w:tr>
      <w:tr w:rsidR="00202B64" w:rsidRPr="00030ED3" w14:paraId="18F1B24C" w14:textId="77777777" w:rsidTr="00942D5D">
        <w:trPr>
          <w:cantSplit/>
        </w:trPr>
        <w:tc>
          <w:tcPr>
            <w:tcW w:w="2127" w:type="dxa"/>
          </w:tcPr>
          <w:p w14:paraId="38DE336D" w14:textId="77777777" w:rsidR="00202B64" w:rsidRPr="00030ED3" w:rsidRDefault="00202B64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Máj- és epebetegségek, illetve tünetek</w:t>
            </w:r>
          </w:p>
        </w:tc>
        <w:tc>
          <w:tcPr>
            <w:tcW w:w="1276" w:type="dxa"/>
          </w:tcPr>
          <w:p w14:paraId="3F67AD25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76A4866" w14:textId="1F856C1B" w:rsidR="00202B64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emelkedett májenzim</w:t>
            </w:r>
            <w:r w:rsidR="00460E72">
              <w:rPr>
                <w:sz w:val="22"/>
                <w:szCs w:val="22"/>
              </w:rPr>
              <w:t>-</w:t>
            </w:r>
            <w:r w:rsidRPr="00030ED3">
              <w:rPr>
                <w:sz w:val="22"/>
                <w:szCs w:val="22"/>
              </w:rPr>
              <w:t>értékek (transz</w:t>
            </w:r>
            <w:r w:rsidR="000604C4" w:rsidRPr="00030ED3">
              <w:rPr>
                <w:sz w:val="22"/>
                <w:szCs w:val="22"/>
              </w:rPr>
              <w:t>-</w:t>
            </w:r>
            <w:r w:rsidRPr="00030ED3">
              <w:rPr>
                <w:sz w:val="22"/>
                <w:szCs w:val="22"/>
              </w:rPr>
              <w:t>aminázok, γ</w:t>
            </w:r>
            <w:r w:rsidR="000604C4" w:rsidRPr="00030ED3">
              <w:rPr>
                <w:sz w:val="22"/>
                <w:szCs w:val="22"/>
              </w:rPr>
              <w:noBreakHyphen/>
            </w:r>
            <w:r w:rsidRPr="00030ED3">
              <w:rPr>
                <w:sz w:val="22"/>
                <w:szCs w:val="22"/>
              </w:rPr>
              <w:t>GT)</w:t>
            </w:r>
          </w:p>
        </w:tc>
        <w:tc>
          <w:tcPr>
            <w:tcW w:w="1843" w:type="dxa"/>
          </w:tcPr>
          <w:p w14:paraId="1368305F" w14:textId="77777777" w:rsidR="00202B64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emelkedett bilirubinszint</w:t>
            </w:r>
          </w:p>
        </w:tc>
        <w:tc>
          <w:tcPr>
            <w:tcW w:w="1417" w:type="dxa"/>
          </w:tcPr>
          <w:p w14:paraId="1F1472A6" w14:textId="77777777" w:rsidR="00202B64" w:rsidRPr="00030ED3" w:rsidRDefault="00202B64" w:rsidP="00030ED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6E7EFE61" w14:textId="77777777" w:rsidR="00202B64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hepatocellularis károsodás; sárgaság; hepatocellularis elégtelenség</w:t>
            </w:r>
          </w:p>
        </w:tc>
      </w:tr>
      <w:tr w:rsidR="00202B64" w:rsidRPr="00030ED3" w14:paraId="13DB954F" w14:textId="77777777" w:rsidTr="00942D5D">
        <w:trPr>
          <w:cantSplit/>
        </w:trPr>
        <w:tc>
          <w:tcPr>
            <w:tcW w:w="2127" w:type="dxa"/>
          </w:tcPr>
          <w:p w14:paraId="0B51C62F" w14:textId="77777777" w:rsidR="00202B64" w:rsidRPr="00030ED3" w:rsidRDefault="00202B64" w:rsidP="00030ED3">
            <w:pPr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lastRenderedPageBreak/>
              <w:t>A bőr és a bőr alatti szövet betegségei és tünetei</w:t>
            </w:r>
          </w:p>
        </w:tc>
        <w:tc>
          <w:tcPr>
            <w:tcW w:w="1276" w:type="dxa"/>
          </w:tcPr>
          <w:p w14:paraId="5B2CB1DE" w14:textId="77777777" w:rsidR="00202B64" w:rsidRPr="00030ED3" w:rsidRDefault="00202B64" w:rsidP="00030ED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CB085B6" w14:textId="77777777" w:rsidR="00202B64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bőrkiütés / exanthema / bőrelváltozás;</w:t>
            </w:r>
          </w:p>
          <w:p w14:paraId="7B067ED1" w14:textId="77777777" w:rsidR="00202B64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pruritus</w:t>
            </w:r>
          </w:p>
        </w:tc>
        <w:tc>
          <w:tcPr>
            <w:tcW w:w="1843" w:type="dxa"/>
          </w:tcPr>
          <w:p w14:paraId="433C00C0" w14:textId="77777777" w:rsidR="00202B64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urticaria;</w:t>
            </w:r>
          </w:p>
          <w:p w14:paraId="6FF5A415" w14:textId="77777777" w:rsidR="00202B64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angiooedema</w:t>
            </w:r>
          </w:p>
          <w:p w14:paraId="3DA4ADC5" w14:textId="77777777" w:rsidR="00202B64" w:rsidRPr="00030ED3" w:rsidRDefault="00202B64" w:rsidP="00030ED3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1AB2705" w14:textId="77777777" w:rsidR="00202B64" w:rsidRPr="00030ED3" w:rsidRDefault="00202B64" w:rsidP="00030ED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4E04DD75" w14:textId="77777777" w:rsidR="00AF2F29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Stevens–Johnson-szindróma;</w:t>
            </w:r>
          </w:p>
          <w:p w14:paraId="332BA655" w14:textId="3B075C83" w:rsidR="00AF2F29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Lyell-szindróma</w:t>
            </w:r>
            <w:r w:rsidR="000604C4" w:rsidRPr="00030ED3">
              <w:rPr>
                <w:sz w:val="22"/>
                <w:szCs w:val="22"/>
              </w:rPr>
              <w:t xml:space="preserve"> </w:t>
            </w:r>
            <w:r w:rsidR="00AF2F29" w:rsidRPr="00030ED3">
              <w:rPr>
                <w:sz w:val="22"/>
                <w:szCs w:val="22"/>
              </w:rPr>
              <w:t>(TEN);</w:t>
            </w:r>
          </w:p>
          <w:p w14:paraId="2C98D9C8" w14:textId="77777777" w:rsidR="00AF2F29" w:rsidRPr="00030ED3" w:rsidRDefault="00E143A9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g</w:t>
            </w:r>
            <w:r w:rsidR="00AF2F29" w:rsidRPr="00030ED3">
              <w:rPr>
                <w:sz w:val="22"/>
                <w:szCs w:val="22"/>
              </w:rPr>
              <w:t>yógyszerreakció eosinophiliával és szisztémás tünetekkel (DRESS);</w:t>
            </w:r>
          </w:p>
          <w:p w14:paraId="42F906C3" w14:textId="2474E961" w:rsidR="00647261" w:rsidRPr="00030ED3" w:rsidRDefault="00647261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  <w:lang w:eastAsia="ar-SA"/>
              </w:rPr>
              <w:t>akut generalizált exanthemás pustulosist (AGEP);</w:t>
            </w:r>
          </w:p>
          <w:p w14:paraId="7EE78B65" w14:textId="77777777" w:rsidR="00202B64" w:rsidRPr="00030ED3" w:rsidRDefault="00202B64" w:rsidP="00030ED3">
            <w:pPr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erythema multiforme;</w:t>
            </w:r>
            <w:r w:rsidR="005B451F" w:rsidRPr="00030ED3">
              <w:rPr>
                <w:sz w:val="22"/>
                <w:szCs w:val="22"/>
              </w:rPr>
              <w:t xml:space="preserve"> </w:t>
            </w:r>
            <w:r w:rsidRPr="00030ED3">
              <w:rPr>
                <w:sz w:val="22"/>
                <w:szCs w:val="22"/>
              </w:rPr>
              <w:t>fényérzékenység; suba</w:t>
            </w:r>
            <w:r w:rsidR="005C0154" w:rsidRPr="00030ED3">
              <w:rPr>
                <w:sz w:val="22"/>
                <w:szCs w:val="22"/>
              </w:rPr>
              <w:t>c</w:t>
            </w:r>
            <w:r w:rsidRPr="00030ED3">
              <w:rPr>
                <w:sz w:val="22"/>
                <w:szCs w:val="22"/>
              </w:rPr>
              <w:t xml:space="preserve">ut </w:t>
            </w:r>
            <w:r w:rsidR="00CD3E99" w:rsidRPr="00030ED3">
              <w:rPr>
                <w:sz w:val="22"/>
                <w:szCs w:val="22"/>
              </w:rPr>
              <w:t xml:space="preserve">cutan </w:t>
            </w:r>
            <w:r w:rsidRPr="00030ED3">
              <w:rPr>
                <w:sz w:val="22"/>
                <w:szCs w:val="22"/>
              </w:rPr>
              <w:t xml:space="preserve">lupus </w:t>
            </w:r>
            <w:r w:rsidR="00CD3E99" w:rsidRPr="00030ED3">
              <w:rPr>
                <w:sz w:val="22"/>
                <w:szCs w:val="22"/>
              </w:rPr>
              <w:t>erythematosus</w:t>
            </w:r>
            <w:r w:rsidRPr="00030ED3">
              <w:rPr>
                <w:sz w:val="22"/>
                <w:szCs w:val="22"/>
              </w:rPr>
              <w:t xml:space="preserve"> (lásd 4.4 pont)</w:t>
            </w:r>
            <w:r w:rsidR="005B451F" w:rsidRPr="00030ED3">
              <w:rPr>
                <w:sz w:val="22"/>
                <w:szCs w:val="22"/>
              </w:rPr>
              <w:t xml:space="preserve">; </w:t>
            </w:r>
          </w:p>
        </w:tc>
      </w:tr>
      <w:tr w:rsidR="00202B64" w:rsidRPr="00030ED3" w14:paraId="1D81B578" w14:textId="77777777" w:rsidTr="00942D5D">
        <w:trPr>
          <w:cantSplit/>
        </w:trPr>
        <w:tc>
          <w:tcPr>
            <w:tcW w:w="2127" w:type="dxa"/>
          </w:tcPr>
          <w:p w14:paraId="69FBB5AA" w14:textId="77777777" w:rsidR="00202B64" w:rsidRPr="00030ED3" w:rsidRDefault="00202B64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1276" w:type="dxa"/>
          </w:tcPr>
          <w:p w14:paraId="78751CE9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FE314E6" w14:textId="4EE3BC4D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csípő-, csukló- vagy gerinctörések (lásd 4.4 pont)</w:t>
            </w:r>
          </w:p>
        </w:tc>
        <w:tc>
          <w:tcPr>
            <w:tcW w:w="1843" w:type="dxa"/>
          </w:tcPr>
          <w:p w14:paraId="05A597F2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arthralgia; myalgia</w:t>
            </w:r>
          </w:p>
        </w:tc>
        <w:tc>
          <w:tcPr>
            <w:tcW w:w="1417" w:type="dxa"/>
          </w:tcPr>
          <w:p w14:paraId="3CC2D0F7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18D77A76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izomgörcs</w:t>
            </w:r>
            <w:r w:rsidRPr="00030ED3">
              <w:rPr>
                <w:sz w:val="22"/>
                <w:szCs w:val="22"/>
                <w:vertAlign w:val="superscript"/>
              </w:rPr>
              <w:t>(2)</w:t>
            </w:r>
          </w:p>
        </w:tc>
      </w:tr>
      <w:tr w:rsidR="00202B64" w:rsidRPr="00030ED3" w14:paraId="797292AC" w14:textId="77777777" w:rsidTr="00942D5D">
        <w:trPr>
          <w:cantSplit/>
        </w:trPr>
        <w:tc>
          <w:tcPr>
            <w:tcW w:w="2127" w:type="dxa"/>
          </w:tcPr>
          <w:p w14:paraId="141B83B4" w14:textId="77777777" w:rsidR="00202B64" w:rsidRPr="00030ED3" w:rsidRDefault="00202B64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Vese- és húgyúti betegségek és tünetek</w:t>
            </w:r>
          </w:p>
        </w:tc>
        <w:tc>
          <w:tcPr>
            <w:tcW w:w="1276" w:type="dxa"/>
          </w:tcPr>
          <w:p w14:paraId="7E985253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49B345D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41349127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18B155F2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663AD10B" w14:textId="77777777" w:rsidR="00202B64" w:rsidRPr="00030ED3" w:rsidRDefault="00900F13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t</w:t>
            </w:r>
            <w:r w:rsidR="00D16BB9" w:rsidRPr="00030ED3">
              <w:rPr>
                <w:sz w:val="22"/>
                <w:szCs w:val="22"/>
              </w:rPr>
              <w:t>ubulo</w:t>
            </w:r>
            <w:r w:rsidR="00202B64" w:rsidRPr="00030ED3">
              <w:rPr>
                <w:sz w:val="22"/>
                <w:szCs w:val="22"/>
              </w:rPr>
              <w:t>interstitialis nephritis</w:t>
            </w:r>
            <w:r w:rsidR="00D16BB9" w:rsidRPr="00030ED3">
              <w:rPr>
                <w:sz w:val="22"/>
                <w:szCs w:val="22"/>
              </w:rPr>
              <w:t xml:space="preserve"> (TIN)</w:t>
            </w:r>
            <w:r w:rsidR="00202B64" w:rsidRPr="00030ED3">
              <w:rPr>
                <w:sz w:val="22"/>
                <w:szCs w:val="22"/>
              </w:rPr>
              <w:t xml:space="preserve"> (potenciális progresszióval a veseelégtelenségig)</w:t>
            </w:r>
          </w:p>
        </w:tc>
      </w:tr>
      <w:tr w:rsidR="00202B64" w:rsidRPr="00030ED3" w14:paraId="2B3B861C" w14:textId="77777777" w:rsidTr="00942D5D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127" w:type="dxa"/>
          </w:tcPr>
          <w:p w14:paraId="3B71BE1B" w14:textId="77777777" w:rsidR="00202B64" w:rsidRPr="00030ED3" w:rsidRDefault="00202B64" w:rsidP="00030ED3">
            <w:pPr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276" w:type="dxa"/>
          </w:tcPr>
          <w:p w14:paraId="1596E1C3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85FA20C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7D886A4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gynecomastia</w:t>
            </w:r>
          </w:p>
        </w:tc>
        <w:tc>
          <w:tcPr>
            <w:tcW w:w="1417" w:type="dxa"/>
          </w:tcPr>
          <w:p w14:paraId="78B22B13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662B6E83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202B64" w:rsidRPr="00030ED3" w14:paraId="7FB7DC34" w14:textId="77777777" w:rsidTr="00942D5D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127" w:type="dxa"/>
          </w:tcPr>
          <w:p w14:paraId="2594B6F1" w14:textId="77777777" w:rsidR="00202B64" w:rsidRPr="00030ED3" w:rsidRDefault="00202B64" w:rsidP="00030ED3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030ED3">
              <w:rPr>
                <w:b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276" w:type="dxa"/>
          </w:tcPr>
          <w:p w14:paraId="553AFC10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thrombo</w:t>
            </w:r>
            <w:r w:rsidR="00881F4F" w:rsidRPr="00030ED3">
              <w:rPr>
                <w:sz w:val="22"/>
                <w:szCs w:val="22"/>
              </w:rPr>
              <w:t>-</w:t>
            </w:r>
            <w:r w:rsidRPr="00030ED3">
              <w:rPr>
                <w:sz w:val="22"/>
                <w:szCs w:val="22"/>
              </w:rPr>
              <w:t>phlebitis az injekció beadásának helyén</w:t>
            </w:r>
          </w:p>
        </w:tc>
        <w:tc>
          <w:tcPr>
            <w:tcW w:w="1559" w:type="dxa"/>
          </w:tcPr>
          <w:p w14:paraId="52E4DAB6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általános gyengeség, fáradtság és rosszullét</w:t>
            </w:r>
          </w:p>
        </w:tc>
        <w:tc>
          <w:tcPr>
            <w:tcW w:w="1843" w:type="dxa"/>
          </w:tcPr>
          <w:p w14:paraId="30A75D59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30ED3">
              <w:rPr>
                <w:sz w:val="22"/>
                <w:szCs w:val="22"/>
              </w:rPr>
              <w:t>hőemelkedés; perifériás oedema</w:t>
            </w:r>
          </w:p>
        </w:tc>
        <w:tc>
          <w:tcPr>
            <w:tcW w:w="1417" w:type="dxa"/>
          </w:tcPr>
          <w:p w14:paraId="1FB4E205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794FA69D" w14:textId="77777777" w:rsidR="00202B64" w:rsidRPr="00030ED3" w:rsidRDefault="00202B64" w:rsidP="00030ED3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</w:tbl>
    <w:p w14:paraId="4B87AACE" w14:textId="3429F545" w:rsidR="00E41ADF" w:rsidRPr="00030ED3" w:rsidRDefault="005B451F" w:rsidP="00030ED3">
      <w:pPr>
        <w:numPr>
          <w:ilvl w:val="0"/>
          <w:numId w:val="3"/>
        </w:numPr>
        <w:ind w:left="567" w:hanging="567"/>
        <w:rPr>
          <w:sz w:val="22"/>
          <w:szCs w:val="22"/>
        </w:rPr>
      </w:pPr>
      <w:r w:rsidRPr="00030ED3">
        <w:rPr>
          <w:sz w:val="22"/>
          <w:szCs w:val="22"/>
        </w:rPr>
        <w:t>H</w:t>
      </w:r>
      <w:r w:rsidR="00702496" w:rsidRPr="00030ED3">
        <w:rPr>
          <w:sz w:val="22"/>
          <w:szCs w:val="22"/>
        </w:rPr>
        <w:t xml:space="preserve">ypocalcaemia </w:t>
      </w:r>
      <w:r w:rsidRPr="00030ED3">
        <w:rPr>
          <w:sz w:val="22"/>
          <w:szCs w:val="22"/>
        </w:rPr>
        <w:t>és/vagy hypokalaemia a hypomagnesaemia megjelenésével függhet össze (lásd 4.4</w:t>
      </w:r>
      <w:r w:rsidR="00647261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pont)</w:t>
      </w:r>
    </w:p>
    <w:p w14:paraId="2EB07AAD" w14:textId="77777777" w:rsidR="00E41ADF" w:rsidRPr="00030ED3" w:rsidRDefault="00E41ADF" w:rsidP="00030ED3">
      <w:pPr>
        <w:numPr>
          <w:ilvl w:val="0"/>
          <w:numId w:val="3"/>
        </w:numPr>
        <w:ind w:left="567" w:hanging="567"/>
        <w:rPr>
          <w:sz w:val="22"/>
          <w:szCs w:val="22"/>
        </w:rPr>
      </w:pPr>
      <w:r w:rsidRPr="00030ED3">
        <w:rPr>
          <w:sz w:val="22"/>
          <w:szCs w:val="22"/>
        </w:rPr>
        <w:t>Izomgörcs az elektrolitzavar következményeként</w:t>
      </w:r>
    </w:p>
    <w:p w14:paraId="435F1085" w14:textId="77777777" w:rsidR="00E41ADF" w:rsidRPr="00030ED3" w:rsidRDefault="00E41ADF" w:rsidP="00030ED3">
      <w:pPr>
        <w:tabs>
          <w:tab w:val="left" w:pos="567"/>
        </w:tabs>
        <w:rPr>
          <w:sz w:val="22"/>
          <w:szCs w:val="22"/>
        </w:rPr>
      </w:pPr>
    </w:p>
    <w:p w14:paraId="310997B5" w14:textId="77777777" w:rsidR="00E41ADF" w:rsidRPr="00030ED3" w:rsidRDefault="00E41ADF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Feltételezett mellékhatások bejelentése</w:t>
      </w:r>
    </w:p>
    <w:p w14:paraId="580DC8FA" w14:textId="77777777" w:rsidR="00E41ADF" w:rsidRPr="00030ED3" w:rsidRDefault="00E41ADF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030ED3">
          <w:rPr>
            <w:rStyle w:val="Hiperhivatkozs"/>
            <w:color w:val="auto"/>
            <w:sz w:val="22"/>
            <w:szCs w:val="22"/>
            <w:highlight w:val="lightGray"/>
          </w:rPr>
          <w:t>V. függelékben</w:t>
        </w:r>
      </w:hyperlink>
      <w:r w:rsidRPr="00030ED3">
        <w:rPr>
          <w:sz w:val="22"/>
          <w:szCs w:val="22"/>
          <w:highlight w:val="lightGray"/>
        </w:rPr>
        <w:t xml:space="preserve"> található elérhetőségek valamelyikén keresztül.</w:t>
      </w:r>
    </w:p>
    <w:p w14:paraId="23E410F0" w14:textId="77777777" w:rsidR="00735A04" w:rsidRPr="00030ED3" w:rsidRDefault="00735A04" w:rsidP="00030ED3">
      <w:pPr>
        <w:rPr>
          <w:bCs/>
          <w:sz w:val="22"/>
          <w:szCs w:val="22"/>
        </w:rPr>
      </w:pPr>
    </w:p>
    <w:p w14:paraId="7F6A9329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4.9</w:t>
      </w:r>
      <w:r w:rsidRPr="00030ED3">
        <w:rPr>
          <w:b/>
          <w:sz w:val="22"/>
          <w:szCs w:val="22"/>
        </w:rPr>
        <w:tab/>
        <w:t>Túladagolás</w:t>
      </w:r>
    </w:p>
    <w:p w14:paraId="369C9324" w14:textId="77777777" w:rsidR="00735A04" w:rsidRPr="00030ED3" w:rsidRDefault="00735A04" w:rsidP="00030ED3">
      <w:pPr>
        <w:rPr>
          <w:sz w:val="22"/>
          <w:szCs w:val="22"/>
        </w:rPr>
      </w:pPr>
    </w:p>
    <w:p w14:paraId="022BC2CA" w14:textId="5DA19656" w:rsidR="00647261" w:rsidRPr="00030ED3" w:rsidRDefault="00647261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Tünetek</w:t>
      </w:r>
    </w:p>
    <w:p w14:paraId="258DE05C" w14:textId="5C91040D" w:rsidR="00647261" w:rsidRPr="00030ED3" w:rsidRDefault="00DB207D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t</w:t>
      </w:r>
      <w:r w:rsidR="00735A04" w:rsidRPr="00030ED3">
        <w:rPr>
          <w:sz w:val="22"/>
          <w:szCs w:val="22"/>
        </w:rPr>
        <w:t>úladagolás tünete</w:t>
      </w:r>
      <w:r w:rsidRPr="00030ED3">
        <w:rPr>
          <w:sz w:val="22"/>
          <w:szCs w:val="22"/>
        </w:rPr>
        <w:t>i</w:t>
      </w:r>
      <w:r w:rsidR="00735A04" w:rsidRPr="00030ED3">
        <w:rPr>
          <w:sz w:val="22"/>
          <w:szCs w:val="22"/>
        </w:rPr>
        <w:t xml:space="preserve"> </w:t>
      </w:r>
      <w:r w:rsidR="00460E72">
        <w:rPr>
          <w:sz w:val="22"/>
          <w:szCs w:val="22"/>
        </w:rPr>
        <w:t>embernél</w:t>
      </w:r>
      <w:r w:rsidR="00460E72" w:rsidRPr="00030ED3">
        <w:rPr>
          <w:sz w:val="22"/>
          <w:szCs w:val="22"/>
        </w:rPr>
        <w:t xml:space="preserve"> </w:t>
      </w:r>
      <w:r w:rsidR="00735A04" w:rsidRPr="00030ED3">
        <w:rPr>
          <w:sz w:val="22"/>
          <w:szCs w:val="22"/>
        </w:rPr>
        <w:t>nem ismertek.</w:t>
      </w:r>
    </w:p>
    <w:p w14:paraId="30059A90" w14:textId="530D3958" w:rsidR="00647261" w:rsidRPr="00030ED3" w:rsidRDefault="00460E72" w:rsidP="00030ED3">
      <w:pPr>
        <w:rPr>
          <w:sz w:val="22"/>
          <w:szCs w:val="22"/>
        </w:rPr>
      </w:pPr>
      <w:r w:rsidRPr="00460E72">
        <w:rPr>
          <w:sz w:val="22"/>
          <w:szCs w:val="22"/>
        </w:rPr>
        <w:t>A 2 percnél hosszabb idő alatt intravénás injekcióban beadott legfeljebb 240</w:t>
      </w:r>
      <w:r>
        <w:rPr>
          <w:sz w:val="22"/>
          <w:szCs w:val="22"/>
        </w:rPr>
        <w:t> </w:t>
      </w:r>
      <w:r w:rsidRPr="00460E72">
        <w:rPr>
          <w:sz w:val="22"/>
          <w:szCs w:val="22"/>
        </w:rPr>
        <w:t>mg pantoprazol szisztémás expozíciója jól tolerálható volt.</w:t>
      </w:r>
    </w:p>
    <w:p w14:paraId="70C211C6" w14:textId="012DD160" w:rsidR="00647261" w:rsidRPr="00030ED3" w:rsidRDefault="00647261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lastRenderedPageBreak/>
        <w:t>Kezelés</w:t>
      </w:r>
    </w:p>
    <w:p w14:paraId="2FC5A0AC" w14:textId="7E7F3285" w:rsidR="00F31F3E" w:rsidRPr="00030ED3" w:rsidRDefault="00DB207D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Mivel a pantoprazol fehérjekötődése jelentős, nem dializálható könnyen.</w:t>
      </w:r>
      <w:r w:rsidR="00F13216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Az intoxikáció klinikai tüneteivel járó túladagolás esetére a tüneti és a szupportív kezelésen kívül nincs specifikus terápiás ajánlás.</w:t>
      </w:r>
    </w:p>
    <w:p w14:paraId="4BB1C318" w14:textId="77777777" w:rsidR="00735A04" w:rsidRPr="00030ED3" w:rsidRDefault="00735A04" w:rsidP="00030ED3">
      <w:pPr>
        <w:rPr>
          <w:sz w:val="22"/>
          <w:szCs w:val="22"/>
        </w:rPr>
      </w:pPr>
    </w:p>
    <w:p w14:paraId="7D965D09" w14:textId="77777777" w:rsidR="00735A04" w:rsidRPr="00030ED3" w:rsidRDefault="00735A04" w:rsidP="00030ED3">
      <w:pPr>
        <w:rPr>
          <w:sz w:val="22"/>
          <w:szCs w:val="22"/>
        </w:rPr>
      </w:pPr>
    </w:p>
    <w:p w14:paraId="0C7C2300" w14:textId="77777777" w:rsidR="00735A04" w:rsidRPr="00030ED3" w:rsidRDefault="00735A04" w:rsidP="00030ED3">
      <w:pPr>
        <w:ind w:left="567" w:hanging="567"/>
        <w:rPr>
          <w:b/>
          <w:caps/>
          <w:sz w:val="22"/>
          <w:szCs w:val="22"/>
        </w:rPr>
      </w:pPr>
      <w:r w:rsidRPr="00030ED3">
        <w:rPr>
          <w:b/>
          <w:caps/>
          <w:sz w:val="22"/>
          <w:szCs w:val="22"/>
        </w:rPr>
        <w:t>5.</w:t>
      </w:r>
      <w:r w:rsidRPr="00030ED3">
        <w:rPr>
          <w:b/>
          <w:caps/>
          <w:sz w:val="22"/>
          <w:szCs w:val="22"/>
        </w:rPr>
        <w:tab/>
        <w:t>Farmakológiai tulajdonságok</w:t>
      </w:r>
    </w:p>
    <w:p w14:paraId="11576CE0" w14:textId="77777777" w:rsidR="00735A04" w:rsidRPr="00030ED3" w:rsidRDefault="00735A04" w:rsidP="00030ED3">
      <w:pPr>
        <w:rPr>
          <w:sz w:val="22"/>
          <w:szCs w:val="22"/>
        </w:rPr>
      </w:pPr>
    </w:p>
    <w:p w14:paraId="61F897DA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5.1</w:t>
      </w:r>
      <w:r w:rsidRPr="00030ED3">
        <w:rPr>
          <w:b/>
          <w:sz w:val="22"/>
          <w:szCs w:val="22"/>
        </w:rPr>
        <w:tab/>
        <w:t>Farmakodinámiás tulajdonságok</w:t>
      </w:r>
    </w:p>
    <w:p w14:paraId="18E6752B" w14:textId="77777777" w:rsidR="00735A04" w:rsidRPr="00030ED3" w:rsidRDefault="00735A04" w:rsidP="00030ED3">
      <w:pPr>
        <w:rPr>
          <w:sz w:val="22"/>
          <w:szCs w:val="22"/>
        </w:rPr>
      </w:pPr>
    </w:p>
    <w:p w14:paraId="5C29A678" w14:textId="77777777" w:rsidR="00735A04" w:rsidRPr="00030ED3" w:rsidRDefault="00735A04" w:rsidP="00030ED3">
      <w:pPr>
        <w:rPr>
          <w:sz w:val="22"/>
          <w:szCs w:val="22"/>
        </w:rPr>
      </w:pPr>
      <w:r w:rsidRPr="00030ED3">
        <w:rPr>
          <w:bCs/>
          <w:sz w:val="22"/>
          <w:szCs w:val="22"/>
        </w:rPr>
        <w:t xml:space="preserve">Farmakoterápiás csoport: </w:t>
      </w:r>
      <w:r w:rsidR="004670AB" w:rsidRPr="00030ED3">
        <w:rPr>
          <w:bCs/>
          <w:sz w:val="22"/>
          <w:szCs w:val="22"/>
        </w:rPr>
        <w:t xml:space="preserve">Savtermelés zavarával járó betegségek gyógyszerei, </w:t>
      </w:r>
      <w:r w:rsidR="00071A63" w:rsidRPr="00030ED3">
        <w:rPr>
          <w:sz w:val="22"/>
          <w:szCs w:val="22"/>
        </w:rPr>
        <w:t>p</w:t>
      </w:r>
      <w:r w:rsidRPr="00030ED3">
        <w:rPr>
          <w:sz w:val="22"/>
          <w:szCs w:val="22"/>
        </w:rPr>
        <w:t>rotonpumpa</w:t>
      </w:r>
      <w:r w:rsidR="004670AB" w:rsidRPr="00030ED3">
        <w:rPr>
          <w:sz w:val="22"/>
          <w:szCs w:val="22"/>
        </w:rPr>
        <w:t xml:space="preserve"> inhibítorok</w:t>
      </w:r>
      <w:r w:rsidR="000E5327" w:rsidRPr="00030ED3">
        <w:rPr>
          <w:sz w:val="22"/>
          <w:szCs w:val="22"/>
        </w:rPr>
        <w:t xml:space="preserve">, </w:t>
      </w:r>
      <w:r w:rsidRPr="00030ED3">
        <w:rPr>
          <w:bCs/>
          <w:sz w:val="22"/>
          <w:szCs w:val="22"/>
        </w:rPr>
        <w:t>ATC kód:</w:t>
      </w:r>
      <w:r w:rsidR="00780CC4" w:rsidRPr="00030ED3">
        <w:rPr>
          <w:sz w:val="22"/>
          <w:szCs w:val="22"/>
        </w:rPr>
        <w:t xml:space="preserve"> A02B</w:t>
      </w:r>
      <w:r w:rsidRPr="00030ED3">
        <w:rPr>
          <w:sz w:val="22"/>
          <w:szCs w:val="22"/>
        </w:rPr>
        <w:t>C02</w:t>
      </w:r>
    </w:p>
    <w:p w14:paraId="44E43E1B" w14:textId="77777777" w:rsidR="00735A04" w:rsidRPr="00030ED3" w:rsidRDefault="00735A04" w:rsidP="00030ED3">
      <w:pPr>
        <w:rPr>
          <w:i/>
          <w:sz w:val="22"/>
          <w:szCs w:val="22"/>
        </w:rPr>
      </w:pPr>
    </w:p>
    <w:p w14:paraId="032F7CF6" w14:textId="77777777" w:rsidR="00DB207D" w:rsidRPr="00030ED3" w:rsidRDefault="00DB207D" w:rsidP="00030ED3">
      <w:pPr>
        <w:pStyle w:val="WW-Szvegtrzs3"/>
        <w:rPr>
          <w:szCs w:val="22"/>
          <w:u w:val="single"/>
        </w:rPr>
      </w:pPr>
      <w:r w:rsidRPr="00030ED3">
        <w:rPr>
          <w:szCs w:val="22"/>
          <w:u w:val="single"/>
        </w:rPr>
        <w:t>Hatásmechanizmus</w:t>
      </w:r>
    </w:p>
    <w:p w14:paraId="4FD9931A" w14:textId="77777777" w:rsidR="00735A04" w:rsidRPr="00030ED3" w:rsidRDefault="00735A04" w:rsidP="00030ED3">
      <w:pPr>
        <w:pStyle w:val="WW-Szvegtrzs3"/>
        <w:rPr>
          <w:szCs w:val="22"/>
        </w:rPr>
      </w:pPr>
      <w:r w:rsidRPr="00030ED3">
        <w:rPr>
          <w:szCs w:val="22"/>
        </w:rPr>
        <w:t>A pantoprazol szubsztituált benzimidazol</w:t>
      </w:r>
      <w:r w:rsidR="00D4060C" w:rsidRPr="00030ED3">
        <w:rPr>
          <w:szCs w:val="22"/>
        </w:rPr>
        <w:t>-származék</w:t>
      </w:r>
      <w:r w:rsidRPr="00030ED3">
        <w:rPr>
          <w:szCs w:val="22"/>
        </w:rPr>
        <w:t xml:space="preserve">, </w:t>
      </w:r>
      <w:r w:rsidR="00DB207D" w:rsidRPr="00030ED3">
        <w:rPr>
          <w:szCs w:val="22"/>
        </w:rPr>
        <w:t>mely a pariet</w:t>
      </w:r>
      <w:r w:rsidR="00242DEA" w:rsidRPr="00030ED3">
        <w:rPr>
          <w:szCs w:val="22"/>
        </w:rPr>
        <w:t>a</w:t>
      </w:r>
      <w:r w:rsidR="00DB207D" w:rsidRPr="00030ED3">
        <w:rPr>
          <w:szCs w:val="22"/>
        </w:rPr>
        <w:t>lis sejtek protonpumpáinak</w:t>
      </w:r>
      <w:r w:rsidR="00E07EAF" w:rsidRPr="00030ED3">
        <w:rPr>
          <w:szCs w:val="22"/>
        </w:rPr>
        <w:t xml:space="preserve"> specifikus blokkolásával </w:t>
      </w:r>
      <w:r w:rsidR="00DB207D" w:rsidRPr="00030ED3">
        <w:rPr>
          <w:szCs w:val="22"/>
        </w:rPr>
        <w:t>gátolja a gyomorban a sósav termelését</w:t>
      </w:r>
      <w:r w:rsidRPr="00030ED3">
        <w:rPr>
          <w:szCs w:val="22"/>
        </w:rPr>
        <w:t>.</w:t>
      </w:r>
    </w:p>
    <w:p w14:paraId="68ED2CF4" w14:textId="77777777" w:rsidR="00E07EAF" w:rsidRPr="00030ED3" w:rsidRDefault="00E07EAF" w:rsidP="00030ED3">
      <w:pPr>
        <w:pStyle w:val="WW-Szvegtrzs3"/>
        <w:rPr>
          <w:szCs w:val="22"/>
        </w:rPr>
      </w:pPr>
    </w:p>
    <w:p w14:paraId="6DE27BAF" w14:textId="37A3E5F6" w:rsidR="000E5327" w:rsidRPr="00030ED3" w:rsidRDefault="00DB207D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pantoprazol a pariet</w:t>
      </w:r>
      <w:r w:rsidR="00242DEA" w:rsidRPr="00030ED3">
        <w:rPr>
          <w:sz w:val="22"/>
          <w:szCs w:val="22"/>
        </w:rPr>
        <w:t>a</w:t>
      </w:r>
      <w:r w:rsidRPr="00030ED3">
        <w:rPr>
          <w:sz w:val="22"/>
          <w:szCs w:val="22"/>
        </w:rPr>
        <w:t>lis sejtek</w:t>
      </w:r>
      <w:r w:rsidR="00A958C8" w:rsidRPr="00030ED3">
        <w:rPr>
          <w:sz w:val="22"/>
          <w:szCs w:val="22"/>
        </w:rPr>
        <w:t>ben</w:t>
      </w:r>
      <w:r w:rsidRPr="00030ED3">
        <w:rPr>
          <w:sz w:val="22"/>
          <w:szCs w:val="22"/>
        </w:rPr>
        <w:t xml:space="preserve"> savas </w:t>
      </w:r>
      <w:r w:rsidR="00A958C8" w:rsidRPr="00030ED3">
        <w:rPr>
          <w:sz w:val="22"/>
          <w:szCs w:val="22"/>
        </w:rPr>
        <w:t xml:space="preserve">környezetben </w:t>
      </w:r>
      <w:r w:rsidRPr="00030ED3">
        <w:rPr>
          <w:sz w:val="22"/>
          <w:szCs w:val="22"/>
        </w:rPr>
        <w:t>aktív formává átalakulva gátolja a H</w:t>
      </w:r>
      <w:r w:rsidRPr="00030ED3">
        <w:rPr>
          <w:sz w:val="22"/>
          <w:szCs w:val="22"/>
          <w:vertAlign w:val="superscript"/>
        </w:rPr>
        <w:t>+</w:t>
      </w:r>
      <w:r w:rsidRPr="00030ED3">
        <w:rPr>
          <w:sz w:val="22"/>
          <w:szCs w:val="22"/>
        </w:rPr>
        <w:t>/K</w:t>
      </w:r>
      <w:r w:rsidRPr="00030ED3">
        <w:rPr>
          <w:sz w:val="22"/>
          <w:szCs w:val="22"/>
          <w:vertAlign w:val="superscript"/>
        </w:rPr>
        <w:t>+</w:t>
      </w:r>
      <w:r w:rsidR="003F0B76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ATP</w:t>
      </w:r>
      <w:r w:rsidR="004E656C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 xml:space="preserve">áz enzimet, vagyis a gyomorban zajló sósavtermelés végső fázisát. A gátlás dózisfüggő és mind a bazális, mind pedig a stimulált gyomorsav-szekréciót érinti. A betegek </w:t>
      </w:r>
      <w:r w:rsidR="00460E72">
        <w:rPr>
          <w:sz w:val="22"/>
          <w:szCs w:val="22"/>
        </w:rPr>
        <w:t>többsége</w:t>
      </w:r>
      <w:r w:rsidR="00D069BC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2 héten belül tünetmentessé válik. Más protonpumpa</w:t>
      </w:r>
      <w:r w:rsidR="00460E72">
        <w:rPr>
          <w:sz w:val="22"/>
          <w:szCs w:val="22"/>
        </w:rPr>
        <w:t>-</w:t>
      </w:r>
      <w:r w:rsidRPr="00030ED3">
        <w:rPr>
          <w:sz w:val="22"/>
          <w:szCs w:val="22"/>
        </w:rPr>
        <w:t>gátlókhoz és H</w:t>
      </w:r>
      <w:r w:rsidRPr="00030ED3">
        <w:rPr>
          <w:sz w:val="22"/>
          <w:szCs w:val="22"/>
          <w:vertAlign w:val="subscript"/>
        </w:rPr>
        <w:t>2</w:t>
      </w:r>
      <w:r w:rsidR="004E656C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receptor blokkolókhoz hasonlóan a pantoprazol csökkenti a gyomornedv savasságát, és ezáltal a gasztrinszekréció fokozódását eredményezi, ami arányos a savasság csökkenésével. A gasztrinszint emelkedése reverz</w:t>
      </w:r>
      <w:r w:rsidR="00477031" w:rsidRPr="00030ED3">
        <w:rPr>
          <w:sz w:val="22"/>
          <w:szCs w:val="22"/>
        </w:rPr>
        <w:t>i</w:t>
      </w:r>
      <w:r w:rsidRPr="00030ED3">
        <w:rPr>
          <w:sz w:val="22"/>
          <w:szCs w:val="22"/>
        </w:rPr>
        <w:t>bilis. Mivel a pantoprazol a sejtreceptorok szintjétől dist</w:t>
      </w:r>
      <w:r w:rsidR="005E663A" w:rsidRPr="00030ED3">
        <w:rPr>
          <w:sz w:val="22"/>
          <w:szCs w:val="22"/>
        </w:rPr>
        <w:t>a</w:t>
      </w:r>
      <w:r w:rsidRPr="00030ED3">
        <w:rPr>
          <w:sz w:val="22"/>
          <w:szCs w:val="22"/>
        </w:rPr>
        <w:t>lisan elhelyezkedő enzimhez kötődik, savszekréció</w:t>
      </w:r>
      <w:r w:rsidR="005E663A" w:rsidRPr="00030ED3">
        <w:rPr>
          <w:sz w:val="22"/>
          <w:szCs w:val="22"/>
        </w:rPr>
        <w:t>-</w:t>
      </w:r>
      <w:r w:rsidRPr="00030ED3">
        <w:rPr>
          <w:sz w:val="22"/>
          <w:szCs w:val="22"/>
        </w:rPr>
        <w:t xml:space="preserve">gátló hatása más anyagok (acetilkolin, hisztamin, gasztrin) savszekréciót serkentő hatásától függetlenül érvényesülhet. A hatás </w:t>
      </w:r>
      <w:r w:rsidR="00E07EAF" w:rsidRPr="00030ED3">
        <w:rPr>
          <w:sz w:val="22"/>
          <w:szCs w:val="22"/>
        </w:rPr>
        <w:t xml:space="preserve">a </w:t>
      </w:r>
      <w:r w:rsidR="000B4E86" w:rsidRPr="00030ED3">
        <w:rPr>
          <w:sz w:val="22"/>
          <w:szCs w:val="22"/>
        </w:rPr>
        <w:t>készítmény</w:t>
      </w:r>
      <w:r w:rsidR="00E07EAF" w:rsidRPr="00030ED3">
        <w:rPr>
          <w:sz w:val="22"/>
          <w:szCs w:val="22"/>
        </w:rPr>
        <w:t xml:space="preserve"> </w:t>
      </w:r>
      <w:r w:rsidR="005853CA" w:rsidRPr="00030ED3">
        <w:rPr>
          <w:i/>
          <w:sz w:val="22"/>
          <w:szCs w:val="22"/>
        </w:rPr>
        <w:t>per os</w:t>
      </w:r>
      <w:r w:rsidRPr="00030ED3">
        <w:rPr>
          <w:sz w:val="22"/>
          <w:szCs w:val="22"/>
        </w:rPr>
        <w:t xml:space="preserve"> és intravénás alkalmazás</w:t>
      </w:r>
      <w:r w:rsidR="00E07EAF" w:rsidRPr="00030ED3">
        <w:rPr>
          <w:sz w:val="22"/>
          <w:szCs w:val="22"/>
        </w:rPr>
        <w:t>a</w:t>
      </w:r>
      <w:r w:rsidRPr="00030ED3">
        <w:rPr>
          <w:sz w:val="22"/>
          <w:szCs w:val="22"/>
        </w:rPr>
        <w:t xml:space="preserve"> esetén azonos.</w:t>
      </w:r>
    </w:p>
    <w:p w14:paraId="24AFC9C2" w14:textId="77777777" w:rsidR="000E5327" w:rsidRPr="00030ED3" w:rsidRDefault="000E5327" w:rsidP="00030ED3">
      <w:pPr>
        <w:rPr>
          <w:sz w:val="22"/>
          <w:szCs w:val="22"/>
          <w:u w:val="single"/>
        </w:rPr>
      </w:pPr>
    </w:p>
    <w:p w14:paraId="06DBE196" w14:textId="77777777" w:rsidR="000E5327" w:rsidRPr="00030ED3" w:rsidRDefault="00E41ADF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Farmakodinámiás hatások</w:t>
      </w:r>
    </w:p>
    <w:p w14:paraId="3C69DD42" w14:textId="54DD5CCC" w:rsidR="00882AA6" w:rsidRPr="00030ED3" w:rsidRDefault="00882AA6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</w:rPr>
        <w:t>Pantoprazol</w:t>
      </w:r>
      <w:r w:rsidR="00460E72">
        <w:rPr>
          <w:sz w:val="22"/>
          <w:szCs w:val="22"/>
        </w:rPr>
        <w:t>-kezelés</w:t>
      </w:r>
      <w:r w:rsidRPr="00030ED3">
        <w:rPr>
          <w:sz w:val="22"/>
          <w:szCs w:val="22"/>
        </w:rPr>
        <w:t xml:space="preserve"> hatására az éhomi gasztrinszint emelkedik. Rövid </w:t>
      </w:r>
      <w:r w:rsidR="00460E72">
        <w:rPr>
          <w:sz w:val="22"/>
          <w:szCs w:val="22"/>
        </w:rPr>
        <w:t>távú</w:t>
      </w:r>
      <w:r w:rsidRPr="00030ED3">
        <w:rPr>
          <w:sz w:val="22"/>
          <w:szCs w:val="22"/>
        </w:rPr>
        <w:t xml:space="preserve"> kezelés során az esetek </w:t>
      </w:r>
      <w:r w:rsidR="00460E72">
        <w:rPr>
          <w:sz w:val="22"/>
          <w:szCs w:val="22"/>
        </w:rPr>
        <w:t>nagy részében</w:t>
      </w:r>
      <w:r w:rsidR="00460E72" w:rsidRPr="00030ED3">
        <w:rPr>
          <w:sz w:val="22"/>
          <w:szCs w:val="22"/>
        </w:rPr>
        <w:t xml:space="preserve"> </w:t>
      </w:r>
      <w:r w:rsidR="0097204F" w:rsidRPr="00030ED3">
        <w:rPr>
          <w:sz w:val="22"/>
          <w:szCs w:val="22"/>
        </w:rPr>
        <w:t>nem haladja meg a normál</w:t>
      </w:r>
      <w:r w:rsidRPr="00030ED3">
        <w:rPr>
          <w:sz w:val="22"/>
          <w:szCs w:val="22"/>
        </w:rPr>
        <w:t xml:space="preserve">érték felső határát. </w:t>
      </w:r>
      <w:r w:rsidR="00460E72">
        <w:rPr>
          <w:sz w:val="22"/>
          <w:szCs w:val="22"/>
        </w:rPr>
        <w:t>Hosszú távú</w:t>
      </w:r>
      <w:r w:rsidR="0097204F" w:rsidRPr="00030ED3">
        <w:rPr>
          <w:sz w:val="22"/>
          <w:szCs w:val="22"/>
        </w:rPr>
        <w:t xml:space="preserve"> alkalmazás során a gasztrin</w:t>
      </w:r>
      <w:r w:rsidRPr="00030ED3">
        <w:rPr>
          <w:sz w:val="22"/>
          <w:szCs w:val="22"/>
        </w:rPr>
        <w:t xml:space="preserve">szint a legtöbb esetben a kétszeresére növekszik. Túlzott mértékű emelkedés csak izolált esetekben fordul elő. </w:t>
      </w:r>
      <w:r w:rsidR="00460E72">
        <w:rPr>
          <w:sz w:val="22"/>
          <w:szCs w:val="22"/>
        </w:rPr>
        <w:t>Hosszú távú</w:t>
      </w:r>
      <w:r w:rsidRPr="00030ED3">
        <w:rPr>
          <w:sz w:val="22"/>
          <w:szCs w:val="22"/>
        </w:rPr>
        <w:t xml:space="preserve"> alkalmazás során az esetek kis részében a gyomorban lévő specifikus endokrin sejtek (ECL) számának</w:t>
      </w:r>
      <w:r w:rsidR="00477031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enyhe vagy közepes mértékű növekedése figyelhető meg (az egyszerűt</w:t>
      </w:r>
      <w:r w:rsidR="0097204F" w:rsidRPr="00030ED3">
        <w:rPr>
          <w:sz w:val="22"/>
          <w:szCs w:val="22"/>
        </w:rPr>
        <w:t>ő</w:t>
      </w:r>
      <w:r w:rsidRPr="00030ED3">
        <w:rPr>
          <w:sz w:val="22"/>
          <w:szCs w:val="22"/>
        </w:rPr>
        <w:t>l az adenomatoid hyperplasiáig terjedően). Az eddig elvégzett vizsgálatokban azonban az állatkísérletek során talált carcinoid prekurzorok (atípusos hyperplasia), vagy gyomor carcinoidok kialakulását (lásd 5.3</w:t>
      </w:r>
      <w:r w:rsidR="00AC1E1B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pont) emberben nem észlelték.</w:t>
      </w:r>
    </w:p>
    <w:p w14:paraId="4459F56F" w14:textId="77777777" w:rsidR="00882AA6" w:rsidRPr="00030ED3" w:rsidRDefault="00882AA6" w:rsidP="00030ED3">
      <w:pPr>
        <w:pStyle w:val="Default"/>
        <w:rPr>
          <w:color w:val="auto"/>
          <w:sz w:val="22"/>
          <w:szCs w:val="22"/>
        </w:rPr>
      </w:pPr>
    </w:p>
    <w:p w14:paraId="4A296F9A" w14:textId="4B3DEDFA" w:rsidR="00C725BA" w:rsidRPr="00030ED3" w:rsidRDefault="00882A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Állatkísérletek alapján </w:t>
      </w:r>
      <w:r w:rsidR="00D069BC" w:rsidRPr="00030ED3">
        <w:rPr>
          <w:sz w:val="22"/>
          <w:szCs w:val="22"/>
        </w:rPr>
        <w:t xml:space="preserve">az </w:t>
      </w:r>
      <w:r w:rsidR="0097204F" w:rsidRPr="00030ED3">
        <w:rPr>
          <w:sz w:val="22"/>
          <w:szCs w:val="22"/>
        </w:rPr>
        <w:t>egy</w:t>
      </w:r>
      <w:r w:rsidRPr="00030ED3">
        <w:rPr>
          <w:sz w:val="22"/>
          <w:szCs w:val="22"/>
        </w:rPr>
        <w:t xml:space="preserve"> évet meghaladó kezelés esetén nem zárható ki teljesen a hossz</w:t>
      </w:r>
      <w:r w:rsidR="00460E72">
        <w:rPr>
          <w:sz w:val="22"/>
          <w:szCs w:val="22"/>
        </w:rPr>
        <w:t xml:space="preserve">ú távú </w:t>
      </w:r>
      <w:r w:rsidRPr="00030ED3">
        <w:rPr>
          <w:sz w:val="22"/>
          <w:szCs w:val="22"/>
        </w:rPr>
        <w:t>pantoprazol</w:t>
      </w:r>
      <w:r w:rsidR="005E663A" w:rsidRPr="00030ED3">
        <w:rPr>
          <w:sz w:val="22"/>
          <w:szCs w:val="22"/>
        </w:rPr>
        <w:t>-</w:t>
      </w:r>
      <w:r w:rsidRPr="00030ED3">
        <w:rPr>
          <w:sz w:val="22"/>
          <w:szCs w:val="22"/>
        </w:rPr>
        <w:t>kezelés hatása a pajzsmirigy endokrin paramétereire.</w:t>
      </w:r>
    </w:p>
    <w:p w14:paraId="32AB3D57" w14:textId="77777777" w:rsidR="00C725BA" w:rsidRPr="00030ED3" w:rsidRDefault="00C725BA" w:rsidP="00030ED3">
      <w:pPr>
        <w:rPr>
          <w:sz w:val="22"/>
          <w:szCs w:val="22"/>
        </w:rPr>
      </w:pPr>
    </w:p>
    <w:p w14:paraId="6E5CF6A3" w14:textId="13FC1D86" w:rsidR="0083339E" w:rsidRPr="00030ED3" w:rsidRDefault="0083339E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szekréciót gátló gyógyszerekkel végzett kezelés alatt</w:t>
      </w:r>
      <w:r w:rsidR="005E663A" w:rsidRPr="00030ED3">
        <w:rPr>
          <w:sz w:val="22"/>
          <w:szCs w:val="22"/>
        </w:rPr>
        <w:t>,</w:t>
      </w:r>
      <w:r w:rsidRPr="00030ED3">
        <w:rPr>
          <w:sz w:val="22"/>
          <w:szCs w:val="22"/>
        </w:rPr>
        <w:t xml:space="preserve"> a savszekréció csökkenésére adott válaszként a szérum gasztrinszint emelkedik. A gyomor csökkent aciditása miatt a CgA is emelkedik. A megnövekedett CgA</w:t>
      </w:r>
      <w:r w:rsidR="00E051B2">
        <w:rPr>
          <w:sz w:val="22"/>
          <w:szCs w:val="22"/>
        </w:rPr>
        <w:t>-</w:t>
      </w:r>
      <w:r w:rsidRPr="00030ED3">
        <w:rPr>
          <w:sz w:val="22"/>
          <w:szCs w:val="22"/>
        </w:rPr>
        <w:t xml:space="preserve">szint zavarhatja a neuroendokrin </w:t>
      </w:r>
      <w:r w:rsidR="00E051B2">
        <w:rPr>
          <w:sz w:val="22"/>
          <w:szCs w:val="22"/>
        </w:rPr>
        <w:t>daganatok</w:t>
      </w:r>
      <w:r w:rsidRPr="00030ED3">
        <w:rPr>
          <w:sz w:val="22"/>
          <w:szCs w:val="22"/>
        </w:rPr>
        <w:t xml:space="preserve"> vizsgálatait.</w:t>
      </w:r>
    </w:p>
    <w:p w14:paraId="7F6EC8B7" w14:textId="77777777" w:rsidR="00664F3A" w:rsidRPr="00030ED3" w:rsidRDefault="00664F3A" w:rsidP="00030ED3">
      <w:pPr>
        <w:rPr>
          <w:sz w:val="22"/>
          <w:szCs w:val="22"/>
        </w:rPr>
      </w:pPr>
    </w:p>
    <w:p w14:paraId="58171E46" w14:textId="0FCE2B77" w:rsidR="0083339E" w:rsidRPr="00030ED3" w:rsidRDefault="0083339E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rendelkezésre álló, publikált bizonyítékok arra utalnak, hogy a protonpumpa</w:t>
      </w:r>
      <w:r w:rsidR="00E051B2">
        <w:rPr>
          <w:sz w:val="22"/>
          <w:szCs w:val="22"/>
        </w:rPr>
        <w:t>-</w:t>
      </w:r>
      <w:r w:rsidRPr="00030ED3">
        <w:rPr>
          <w:sz w:val="22"/>
          <w:szCs w:val="22"/>
        </w:rPr>
        <w:t>gátlókat a CgA</w:t>
      </w:r>
      <w:r w:rsidR="00E051B2">
        <w:rPr>
          <w:sz w:val="22"/>
          <w:szCs w:val="22"/>
        </w:rPr>
        <w:t>-</w:t>
      </w:r>
      <w:r w:rsidRPr="00030ED3">
        <w:rPr>
          <w:sz w:val="22"/>
          <w:szCs w:val="22"/>
        </w:rPr>
        <w:t>mérések előtt 5</w:t>
      </w:r>
      <w:r w:rsidR="004E656C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14</w:t>
      </w:r>
      <w:r w:rsidR="004E656C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nappal fel kell függeszteni. Ez lehetővé teszi, hogy a PPI</w:t>
      </w:r>
      <w:r w:rsidR="00E051B2">
        <w:rPr>
          <w:sz w:val="22"/>
          <w:szCs w:val="22"/>
        </w:rPr>
        <w:t>-</w:t>
      </w:r>
      <w:r w:rsidRPr="00030ED3">
        <w:rPr>
          <w:sz w:val="22"/>
          <w:szCs w:val="22"/>
        </w:rPr>
        <w:t>kezelést követően esetleg hamisan emelkedett CgA</w:t>
      </w:r>
      <w:r w:rsidR="00E051B2">
        <w:rPr>
          <w:sz w:val="22"/>
          <w:szCs w:val="22"/>
        </w:rPr>
        <w:t>-</w:t>
      </w:r>
      <w:r w:rsidRPr="00030ED3">
        <w:rPr>
          <w:sz w:val="22"/>
          <w:szCs w:val="22"/>
        </w:rPr>
        <w:t>szint visszatérjen a referenciatartományba.</w:t>
      </w:r>
    </w:p>
    <w:p w14:paraId="09F13EC5" w14:textId="77777777" w:rsidR="0083339E" w:rsidRPr="00030ED3" w:rsidRDefault="0083339E" w:rsidP="00030ED3">
      <w:pPr>
        <w:rPr>
          <w:sz w:val="22"/>
          <w:szCs w:val="22"/>
        </w:rPr>
      </w:pPr>
    </w:p>
    <w:p w14:paraId="0701CF28" w14:textId="77777777" w:rsidR="00C725BA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5.2</w:t>
      </w:r>
      <w:r w:rsidRPr="00030ED3">
        <w:rPr>
          <w:b/>
          <w:sz w:val="22"/>
          <w:szCs w:val="22"/>
        </w:rPr>
        <w:tab/>
        <w:t>Farmakokinetikai tulajdonságok</w:t>
      </w:r>
    </w:p>
    <w:p w14:paraId="6B74DEDC" w14:textId="77777777" w:rsidR="00C725BA" w:rsidRPr="00030ED3" w:rsidRDefault="00C725BA" w:rsidP="00030ED3">
      <w:pPr>
        <w:rPr>
          <w:b/>
          <w:sz w:val="22"/>
          <w:szCs w:val="22"/>
        </w:rPr>
      </w:pPr>
    </w:p>
    <w:p w14:paraId="7D969A00" w14:textId="77777777" w:rsidR="00C725BA" w:rsidRPr="00030ED3" w:rsidRDefault="00735A04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Általános farmakokinetika</w:t>
      </w:r>
    </w:p>
    <w:p w14:paraId="159EEA6A" w14:textId="73663C62" w:rsidR="00735A04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farmakokinetikai jellemzők az egyszeri és ismét</w:t>
      </w:r>
      <w:r w:rsidR="00193A22">
        <w:rPr>
          <w:sz w:val="22"/>
          <w:szCs w:val="22"/>
        </w:rPr>
        <w:t>lődő</w:t>
      </w:r>
      <w:r w:rsidRPr="00030ED3">
        <w:rPr>
          <w:sz w:val="22"/>
          <w:szCs w:val="22"/>
        </w:rPr>
        <w:t xml:space="preserve"> adagolás után nem térnek el egymástól. A pantoprazol a 10</w:t>
      </w:r>
      <w:r w:rsidR="004E656C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80</w:t>
      </w:r>
      <w:r w:rsidR="00882AA6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 xml:space="preserve">mg dózistartományban mind </w:t>
      </w:r>
      <w:r w:rsidR="00FA18B0" w:rsidRPr="00030ED3">
        <w:rPr>
          <w:i/>
          <w:sz w:val="22"/>
          <w:szCs w:val="22"/>
        </w:rPr>
        <w:t>per os</w:t>
      </w:r>
      <w:r w:rsidRPr="00030ED3">
        <w:rPr>
          <w:sz w:val="22"/>
          <w:szCs w:val="22"/>
        </w:rPr>
        <w:t>, mind intravénás beadásnál lineáris kinetikával rendelkezik.</w:t>
      </w:r>
    </w:p>
    <w:p w14:paraId="0C939417" w14:textId="77777777" w:rsidR="00650F22" w:rsidRPr="00030ED3" w:rsidRDefault="00650F22" w:rsidP="00030ED3">
      <w:pPr>
        <w:rPr>
          <w:sz w:val="22"/>
          <w:szCs w:val="22"/>
        </w:rPr>
      </w:pPr>
    </w:p>
    <w:p w14:paraId="14A4F6F2" w14:textId="77777777" w:rsidR="00882AA6" w:rsidRPr="00030ED3" w:rsidRDefault="0097204F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Eloszlás</w:t>
      </w:r>
    </w:p>
    <w:p w14:paraId="17A26B6C" w14:textId="3F827759" w:rsidR="00882AA6" w:rsidRPr="00030ED3" w:rsidRDefault="0097204F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lastRenderedPageBreak/>
        <w:t>A pantoprazol mintegy 98</w:t>
      </w:r>
      <w:r w:rsidR="00882AA6" w:rsidRPr="00030ED3">
        <w:rPr>
          <w:sz w:val="22"/>
          <w:szCs w:val="22"/>
        </w:rPr>
        <w:t>%</w:t>
      </w:r>
      <w:r w:rsidR="00EC3C32" w:rsidRPr="00030ED3">
        <w:rPr>
          <w:sz w:val="22"/>
          <w:szCs w:val="22"/>
        </w:rPr>
        <w:noBreakHyphen/>
      </w:r>
      <w:r w:rsidR="00882AA6" w:rsidRPr="00030ED3">
        <w:rPr>
          <w:sz w:val="22"/>
          <w:szCs w:val="22"/>
        </w:rPr>
        <w:t xml:space="preserve">ban kötődik a szérumfehérjéhez. Az eloszlási térfogat </w:t>
      </w:r>
      <w:r w:rsidRPr="00030ED3">
        <w:rPr>
          <w:sz w:val="22"/>
          <w:szCs w:val="22"/>
        </w:rPr>
        <w:t>minte</w:t>
      </w:r>
      <w:r w:rsidR="00882AA6" w:rsidRPr="00030ED3">
        <w:rPr>
          <w:sz w:val="22"/>
          <w:szCs w:val="22"/>
        </w:rPr>
        <w:t>gy 0,15 l/</w:t>
      </w:r>
      <w:r w:rsidR="005C7FA4" w:rsidRPr="00030ED3">
        <w:rPr>
          <w:sz w:val="22"/>
          <w:szCs w:val="22"/>
        </w:rPr>
        <w:t>tt</w:t>
      </w:r>
      <w:r w:rsidR="00882AA6" w:rsidRPr="00030ED3">
        <w:rPr>
          <w:sz w:val="22"/>
          <w:szCs w:val="22"/>
        </w:rPr>
        <w:t>kg.</w:t>
      </w:r>
    </w:p>
    <w:p w14:paraId="4CFFC8FA" w14:textId="77777777" w:rsidR="00882AA6" w:rsidRPr="00030ED3" w:rsidRDefault="00882AA6" w:rsidP="00030ED3">
      <w:pPr>
        <w:rPr>
          <w:sz w:val="22"/>
          <w:szCs w:val="22"/>
        </w:rPr>
      </w:pPr>
    </w:p>
    <w:p w14:paraId="0BCE083F" w14:textId="77777777" w:rsidR="004B3A3F" w:rsidRPr="00030ED3" w:rsidRDefault="00E41ADF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Biotranszformáció</w:t>
      </w:r>
    </w:p>
    <w:p w14:paraId="7A1F222A" w14:textId="77777777" w:rsidR="00E41ADF" w:rsidRPr="00030ED3" w:rsidRDefault="00882A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hatóanyag szinte kizárólag a májban metabolizálódik. A fő metabolikus út a CYP2C19 általi demetiláció, amit szulfátkonjugáció követ, egy másik metabolikus út a CYP3A4 által</w:t>
      </w:r>
      <w:r w:rsidR="0097204F" w:rsidRPr="00030ED3">
        <w:rPr>
          <w:sz w:val="22"/>
          <w:szCs w:val="22"/>
        </w:rPr>
        <w:t>i</w:t>
      </w:r>
      <w:r w:rsidRPr="00030ED3">
        <w:rPr>
          <w:sz w:val="22"/>
          <w:szCs w:val="22"/>
        </w:rPr>
        <w:t xml:space="preserve"> oxidáció.</w:t>
      </w:r>
    </w:p>
    <w:p w14:paraId="176E97D3" w14:textId="77777777" w:rsidR="00E41ADF" w:rsidRPr="00030ED3" w:rsidRDefault="00E41ADF" w:rsidP="00030ED3">
      <w:pPr>
        <w:rPr>
          <w:sz w:val="22"/>
          <w:szCs w:val="22"/>
        </w:rPr>
      </w:pPr>
    </w:p>
    <w:p w14:paraId="08C34928" w14:textId="77777777" w:rsidR="00E41ADF" w:rsidRPr="00030ED3" w:rsidRDefault="00E41ADF" w:rsidP="00030ED3">
      <w:pPr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Elimináció</w:t>
      </w:r>
    </w:p>
    <w:p w14:paraId="46DA2C4B" w14:textId="77777777" w:rsidR="00882AA6" w:rsidRPr="00030ED3" w:rsidRDefault="00882A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terminális felezési idő kb. 1 óra és a clearance kb. 0,1 l/óra/</w:t>
      </w:r>
      <w:r w:rsidR="005C7FA4" w:rsidRPr="00030ED3">
        <w:rPr>
          <w:sz w:val="22"/>
          <w:szCs w:val="22"/>
        </w:rPr>
        <w:t>tt</w:t>
      </w:r>
      <w:r w:rsidRPr="00030ED3">
        <w:rPr>
          <w:sz w:val="22"/>
          <w:szCs w:val="22"/>
        </w:rPr>
        <w:t>kg. Néhány esetben a vizsgált személyekben lelassult eliminációt figyeltek meg. A pantoprazol eliminációs felezési ideje a pariet</w:t>
      </w:r>
      <w:r w:rsidR="00CA560A" w:rsidRPr="00030ED3">
        <w:rPr>
          <w:sz w:val="22"/>
          <w:szCs w:val="22"/>
        </w:rPr>
        <w:t>a</w:t>
      </w:r>
      <w:r w:rsidRPr="00030ED3">
        <w:rPr>
          <w:sz w:val="22"/>
          <w:szCs w:val="22"/>
        </w:rPr>
        <w:t>lis sejtek protonpumpáihoz való specifikus kötődése miatt nincs párhuzamban az ennél sokkal hosszabb hatástartammal (a savszekréció gátlásával).</w:t>
      </w:r>
    </w:p>
    <w:p w14:paraId="436B66F8" w14:textId="77777777" w:rsidR="00711BCA" w:rsidRPr="00030ED3" w:rsidRDefault="00711BCA" w:rsidP="00030ED3">
      <w:pPr>
        <w:rPr>
          <w:sz w:val="22"/>
          <w:szCs w:val="22"/>
        </w:rPr>
      </w:pPr>
    </w:p>
    <w:p w14:paraId="3AE20BE5" w14:textId="77777777" w:rsidR="00735A04" w:rsidRPr="00030ED3" w:rsidRDefault="00882A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pantoprazol metabolitjai elsősorban (kb. 80%) a vesén keresztül, </w:t>
      </w:r>
      <w:r w:rsidR="005C7FA4" w:rsidRPr="00030ED3">
        <w:rPr>
          <w:sz w:val="22"/>
          <w:szCs w:val="22"/>
        </w:rPr>
        <w:t xml:space="preserve">a </w:t>
      </w:r>
      <w:r w:rsidR="00CA560A" w:rsidRPr="00030ED3">
        <w:rPr>
          <w:sz w:val="22"/>
          <w:szCs w:val="22"/>
        </w:rPr>
        <w:t xml:space="preserve">maradék pedig </w:t>
      </w:r>
      <w:r w:rsidRPr="00030ED3">
        <w:rPr>
          <w:sz w:val="22"/>
          <w:szCs w:val="22"/>
        </w:rPr>
        <w:t xml:space="preserve">a széklettel </w:t>
      </w:r>
      <w:r w:rsidR="00CD3E99" w:rsidRPr="00030ED3">
        <w:rPr>
          <w:sz w:val="22"/>
          <w:szCs w:val="22"/>
        </w:rPr>
        <w:t xml:space="preserve">választódik </w:t>
      </w:r>
      <w:r w:rsidRPr="00030ED3">
        <w:rPr>
          <w:sz w:val="22"/>
          <w:szCs w:val="22"/>
        </w:rPr>
        <w:t xml:space="preserve">ki. </w:t>
      </w:r>
      <w:r w:rsidR="00CA560A" w:rsidRPr="00030ED3">
        <w:rPr>
          <w:sz w:val="22"/>
          <w:szCs w:val="22"/>
        </w:rPr>
        <w:t>A fő metabolit m</w:t>
      </w:r>
      <w:r w:rsidRPr="00030ED3">
        <w:rPr>
          <w:sz w:val="22"/>
          <w:szCs w:val="22"/>
        </w:rPr>
        <w:t>ind a szérumban, mind a vizeletben a szulfáttal konjugált dezmetil-pantoprazol. A fő</w:t>
      </w:r>
      <w:r w:rsidR="0097204F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metabolit felezési ideje (kb. 1,5 óra)</w:t>
      </w:r>
      <w:r w:rsidR="00CA560A" w:rsidRPr="00030ED3">
        <w:rPr>
          <w:sz w:val="22"/>
          <w:szCs w:val="22"/>
        </w:rPr>
        <w:t>,</w:t>
      </w:r>
      <w:r w:rsidRPr="00030ED3">
        <w:rPr>
          <w:sz w:val="22"/>
          <w:szCs w:val="22"/>
        </w:rPr>
        <w:t xml:space="preserve"> alig hosszabb a pantoprazolénál.</w:t>
      </w:r>
    </w:p>
    <w:p w14:paraId="0CEF1115" w14:textId="77777777" w:rsidR="00735A04" w:rsidRPr="00030ED3" w:rsidRDefault="00735A04" w:rsidP="00030ED3">
      <w:pPr>
        <w:rPr>
          <w:sz w:val="22"/>
          <w:szCs w:val="22"/>
        </w:rPr>
      </w:pPr>
    </w:p>
    <w:p w14:paraId="4A6F11A5" w14:textId="77777777" w:rsidR="00735A04" w:rsidRPr="00030ED3" w:rsidRDefault="00E41ADF" w:rsidP="00030ED3">
      <w:pPr>
        <w:tabs>
          <w:tab w:val="left" w:pos="567"/>
        </w:tabs>
        <w:rPr>
          <w:sz w:val="22"/>
          <w:szCs w:val="22"/>
          <w:u w:val="single"/>
        </w:rPr>
      </w:pPr>
      <w:r w:rsidRPr="00030ED3">
        <w:rPr>
          <w:sz w:val="22"/>
          <w:szCs w:val="22"/>
          <w:u w:val="single"/>
        </w:rPr>
        <w:t>K</w:t>
      </w:r>
      <w:r w:rsidR="00882AA6" w:rsidRPr="00030ED3">
        <w:rPr>
          <w:sz w:val="22"/>
          <w:szCs w:val="22"/>
          <w:u w:val="single"/>
        </w:rPr>
        <w:t>ülönleges</w:t>
      </w:r>
      <w:r w:rsidR="00735A04" w:rsidRPr="00030ED3">
        <w:rPr>
          <w:sz w:val="22"/>
          <w:szCs w:val="22"/>
          <w:u w:val="single"/>
        </w:rPr>
        <w:t xml:space="preserve"> betegcsoportok</w:t>
      </w:r>
    </w:p>
    <w:p w14:paraId="2204B791" w14:textId="77777777" w:rsidR="00E55C65" w:rsidRPr="00030ED3" w:rsidRDefault="00E55C65" w:rsidP="00030ED3">
      <w:pPr>
        <w:tabs>
          <w:tab w:val="left" w:pos="567"/>
        </w:tabs>
        <w:rPr>
          <w:sz w:val="22"/>
          <w:szCs w:val="22"/>
        </w:rPr>
      </w:pPr>
    </w:p>
    <w:p w14:paraId="2A02FA3D" w14:textId="77777777" w:rsidR="00E41ADF" w:rsidRPr="00030ED3" w:rsidRDefault="00E41ADF" w:rsidP="00030ED3">
      <w:pPr>
        <w:rPr>
          <w:sz w:val="22"/>
          <w:szCs w:val="22"/>
        </w:rPr>
      </w:pPr>
      <w:r w:rsidRPr="00030ED3">
        <w:rPr>
          <w:i/>
          <w:iCs/>
          <w:sz w:val="22"/>
          <w:szCs w:val="22"/>
        </w:rPr>
        <w:t>Gyengén metabolizálók</w:t>
      </w:r>
    </w:p>
    <w:p w14:paraId="4F46B15A" w14:textId="5013527F" w:rsidR="00882AA6" w:rsidRPr="00030ED3" w:rsidRDefault="00882AA6" w:rsidP="00030ED3">
      <w:pPr>
        <w:rPr>
          <w:iCs/>
          <w:sz w:val="22"/>
          <w:szCs w:val="22"/>
        </w:rPr>
      </w:pPr>
      <w:r w:rsidRPr="00030ED3">
        <w:rPr>
          <w:sz w:val="22"/>
          <w:szCs w:val="22"/>
        </w:rPr>
        <w:t>Az európai populáció mintegy 3%</w:t>
      </w:r>
      <w:r w:rsidR="004E656C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ánál hiányzik a funkcionális CYP2C19 enzim, őket gyengén metabolizálóknak nevezzük. Ezeknél az egyéneknél a pantoprazol metabolizmusát valószínűleg főként a CYP3A4 enzim katalizálja. 40 mg pantoprazol egyszeri adagolását követően a plazmakoncentráció-idő görbe alatti átlagterület</w:t>
      </w:r>
      <w:r w:rsidR="00CA560A" w:rsidRPr="00030ED3">
        <w:rPr>
          <w:sz w:val="22"/>
          <w:szCs w:val="22"/>
        </w:rPr>
        <w:t>e</w:t>
      </w:r>
      <w:r w:rsidRPr="00030ED3">
        <w:rPr>
          <w:sz w:val="22"/>
          <w:szCs w:val="22"/>
        </w:rPr>
        <w:t xml:space="preserve"> mintegy 6</w:t>
      </w:r>
      <w:r w:rsidR="004E656C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szor nagyobb volt a gyengén metabolizálók esetében, mint a funkcionális CYP2C19 enzimmel rendelkező egyéneknél (extenzív metabolizálók). Az átlagos csúcs</w:t>
      </w:r>
      <w:r w:rsidR="00CA560A" w:rsidRPr="00030ED3">
        <w:rPr>
          <w:sz w:val="22"/>
          <w:szCs w:val="22"/>
        </w:rPr>
        <w:t>-</w:t>
      </w:r>
      <w:r w:rsidRPr="00030ED3">
        <w:rPr>
          <w:sz w:val="22"/>
          <w:szCs w:val="22"/>
        </w:rPr>
        <w:t>plazmakoncentrációk kb. 60%</w:t>
      </w:r>
      <w:r w:rsidR="004E656C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kal emelkedtek. Ezek a tapasztalatok nem befolyásolják a pantoprazol adagolását.</w:t>
      </w:r>
    </w:p>
    <w:p w14:paraId="660EB690" w14:textId="77777777" w:rsidR="00882AA6" w:rsidRPr="00030ED3" w:rsidRDefault="00882AA6" w:rsidP="00030ED3">
      <w:pPr>
        <w:rPr>
          <w:sz w:val="22"/>
          <w:szCs w:val="22"/>
        </w:rPr>
      </w:pPr>
    </w:p>
    <w:p w14:paraId="5D7EAF97" w14:textId="77777777" w:rsidR="00E41ADF" w:rsidRPr="00030ED3" w:rsidRDefault="00E41ADF" w:rsidP="00030ED3">
      <w:pPr>
        <w:rPr>
          <w:iCs/>
          <w:sz w:val="22"/>
          <w:szCs w:val="22"/>
        </w:rPr>
      </w:pPr>
      <w:r w:rsidRPr="00030ED3">
        <w:rPr>
          <w:i/>
          <w:iCs/>
          <w:sz w:val="22"/>
          <w:szCs w:val="22"/>
        </w:rPr>
        <w:t>Vesekárosodás</w:t>
      </w:r>
    </w:p>
    <w:p w14:paraId="602328AB" w14:textId="77777777" w:rsidR="00882AA6" w:rsidRPr="00030ED3" w:rsidRDefault="0044159E" w:rsidP="00030ED3">
      <w:pPr>
        <w:rPr>
          <w:sz w:val="22"/>
          <w:szCs w:val="22"/>
        </w:rPr>
      </w:pPr>
      <w:r w:rsidRPr="00030ED3">
        <w:rPr>
          <w:iCs/>
          <w:sz w:val="22"/>
          <w:szCs w:val="22"/>
        </w:rPr>
        <w:t xml:space="preserve">A vesekárosodásban </w:t>
      </w:r>
      <w:r w:rsidR="005C7FA4" w:rsidRPr="00030ED3">
        <w:rPr>
          <w:iCs/>
          <w:sz w:val="22"/>
          <w:szCs w:val="22"/>
        </w:rPr>
        <w:t>szenvedő</w:t>
      </w:r>
      <w:r w:rsidR="00882AA6" w:rsidRPr="00030ED3">
        <w:rPr>
          <w:iCs/>
          <w:sz w:val="22"/>
          <w:szCs w:val="22"/>
        </w:rPr>
        <w:t xml:space="preserve"> betegeknél (b</w:t>
      </w:r>
      <w:r w:rsidR="00882AA6" w:rsidRPr="00030ED3">
        <w:rPr>
          <w:sz w:val="22"/>
          <w:szCs w:val="22"/>
        </w:rPr>
        <w:t>eleértve a dializált betegeket is) nem szükséges a pantoprazol dózisának csökkentése, mert a pantoprazol felezési ideje az egészségesekéhez hasonlóan rövid. A pantoprazol csak nagyon csekély mértékben dializálódik. Bár a fő metabolit felezési ideje mérsékelten hosszabb (2</w:t>
      </w:r>
      <w:r w:rsidR="00882AA6" w:rsidRPr="00030ED3">
        <w:rPr>
          <w:sz w:val="22"/>
          <w:szCs w:val="22"/>
        </w:rPr>
        <w:noBreakHyphen/>
        <w:t>3 óra), kiválasztódása gyors, ezért kumuláció nem fordul elő.</w:t>
      </w:r>
    </w:p>
    <w:p w14:paraId="3FDC08C7" w14:textId="77777777" w:rsidR="00E41ADF" w:rsidRPr="00030ED3" w:rsidRDefault="00E41ADF" w:rsidP="00030ED3">
      <w:pPr>
        <w:rPr>
          <w:sz w:val="22"/>
          <w:szCs w:val="22"/>
        </w:rPr>
      </w:pPr>
    </w:p>
    <w:p w14:paraId="7749A044" w14:textId="77777777" w:rsidR="00E41ADF" w:rsidRPr="00030ED3" w:rsidRDefault="00E41ADF" w:rsidP="00030ED3">
      <w:pPr>
        <w:rPr>
          <w:sz w:val="22"/>
          <w:szCs w:val="22"/>
        </w:rPr>
      </w:pPr>
      <w:r w:rsidRPr="00030ED3">
        <w:rPr>
          <w:i/>
          <w:sz w:val="22"/>
          <w:szCs w:val="22"/>
        </w:rPr>
        <w:t>Májkárosodás</w:t>
      </w:r>
    </w:p>
    <w:p w14:paraId="5E965912" w14:textId="0841B4AB" w:rsidR="00882AA6" w:rsidRPr="00030ED3" w:rsidRDefault="007B0AB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Bár m</w:t>
      </w:r>
      <w:r w:rsidR="00882AA6" w:rsidRPr="00030ED3">
        <w:rPr>
          <w:sz w:val="22"/>
          <w:szCs w:val="22"/>
        </w:rPr>
        <w:t>ájcirrhosisban (Child A és B osztály) a felezési idő 7</w:t>
      </w:r>
      <w:r w:rsidR="00882AA6" w:rsidRPr="00030ED3">
        <w:rPr>
          <w:sz w:val="22"/>
          <w:szCs w:val="22"/>
        </w:rPr>
        <w:noBreakHyphen/>
        <w:t>9 óra közötti értékre nyúl</w:t>
      </w:r>
      <w:r w:rsidRPr="00030ED3">
        <w:rPr>
          <w:sz w:val="22"/>
          <w:szCs w:val="22"/>
        </w:rPr>
        <w:t>t</w:t>
      </w:r>
      <w:r w:rsidR="00882AA6" w:rsidRPr="00030ED3">
        <w:rPr>
          <w:sz w:val="22"/>
          <w:szCs w:val="22"/>
        </w:rPr>
        <w:t xml:space="preserve"> meg</w:t>
      </w:r>
      <w:r w:rsidRPr="00030ED3">
        <w:rPr>
          <w:sz w:val="22"/>
          <w:szCs w:val="22"/>
        </w:rPr>
        <w:t xml:space="preserve"> és</w:t>
      </w:r>
      <w:r w:rsidR="00882AA6" w:rsidRPr="00030ED3">
        <w:rPr>
          <w:sz w:val="22"/>
          <w:szCs w:val="22"/>
        </w:rPr>
        <w:t xml:space="preserve"> az AUC értékek 5</w:t>
      </w:r>
      <w:r w:rsidR="00882AA6" w:rsidRPr="00030ED3">
        <w:rPr>
          <w:sz w:val="22"/>
          <w:szCs w:val="22"/>
        </w:rPr>
        <w:noBreakHyphen/>
        <w:t>7</w:t>
      </w:r>
      <w:r w:rsidR="007A3C9F" w:rsidRPr="00030ED3">
        <w:rPr>
          <w:sz w:val="22"/>
          <w:szCs w:val="22"/>
        </w:rPr>
        <w:noBreakHyphen/>
      </w:r>
      <w:r w:rsidR="00882AA6" w:rsidRPr="00030ED3">
        <w:rPr>
          <w:sz w:val="22"/>
          <w:szCs w:val="22"/>
        </w:rPr>
        <w:t>szeresére nő</w:t>
      </w:r>
      <w:r w:rsidRPr="00030ED3">
        <w:rPr>
          <w:sz w:val="22"/>
          <w:szCs w:val="22"/>
        </w:rPr>
        <w:t>tte</w:t>
      </w:r>
      <w:r w:rsidR="00882AA6" w:rsidRPr="00030ED3">
        <w:rPr>
          <w:sz w:val="22"/>
          <w:szCs w:val="22"/>
        </w:rPr>
        <w:t>k, a maximális szérum</w:t>
      </w:r>
      <w:r w:rsidR="00193A22">
        <w:rPr>
          <w:sz w:val="22"/>
          <w:szCs w:val="22"/>
        </w:rPr>
        <w:t>-</w:t>
      </w:r>
      <w:r w:rsidR="00882AA6" w:rsidRPr="00030ED3">
        <w:rPr>
          <w:sz w:val="22"/>
          <w:szCs w:val="22"/>
        </w:rPr>
        <w:t xml:space="preserve">koncentráció azonban </w:t>
      </w:r>
      <w:r w:rsidR="00DF425E" w:rsidRPr="00030ED3">
        <w:rPr>
          <w:sz w:val="22"/>
          <w:szCs w:val="22"/>
        </w:rPr>
        <w:t>– </w:t>
      </w:r>
      <w:r w:rsidR="00882AA6" w:rsidRPr="00030ED3">
        <w:rPr>
          <w:sz w:val="22"/>
          <w:szCs w:val="22"/>
        </w:rPr>
        <w:t>egészségesekével összehasonlítva</w:t>
      </w:r>
      <w:r w:rsidR="00DF425E" w:rsidRPr="00030ED3">
        <w:rPr>
          <w:sz w:val="22"/>
          <w:szCs w:val="22"/>
        </w:rPr>
        <w:t> –</w:t>
      </w:r>
      <w:r w:rsidR="00882AA6" w:rsidRPr="00030ED3">
        <w:rPr>
          <w:sz w:val="22"/>
          <w:szCs w:val="22"/>
        </w:rPr>
        <w:t xml:space="preserve"> csak csekély mértékben, 1,5</w:t>
      </w:r>
      <w:r w:rsidR="00EC3C32" w:rsidRPr="00030ED3">
        <w:rPr>
          <w:sz w:val="22"/>
          <w:szCs w:val="22"/>
        </w:rPr>
        <w:noBreakHyphen/>
      </w:r>
      <w:r w:rsidR="00882AA6" w:rsidRPr="00030ED3">
        <w:rPr>
          <w:sz w:val="22"/>
          <w:szCs w:val="22"/>
        </w:rPr>
        <w:t>sz</w:t>
      </w:r>
      <w:r w:rsidR="00DF425E" w:rsidRPr="00030ED3">
        <w:rPr>
          <w:sz w:val="22"/>
          <w:szCs w:val="22"/>
        </w:rPr>
        <w:t>e</w:t>
      </w:r>
      <w:r w:rsidR="00882AA6" w:rsidRPr="00030ED3">
        <w:rPr>
          <w:sz w:val="22"/>
          <w:szCs w:val="22"/>
        </w:rPr>
        <w:t>r</w:t>
      </w:r>
      <w:r w:rsidR="00DF425E" w:rsidRPr="00030ED3">
        <w:rPr>
          <w:sz w:val="22"/>
          <w:szCs w:val="22"/>
        </w:rPr>
        <w:t>e</w:t>
      </w:r>
      <w:r w:rsidR="00882AA6" w:rsidRPr="00030ED3">
        <w:rPr>
          <w:sz w:val="22"/>
          <w:szCs w:val="22"/>
        </w:rPr>
        <w:t>sére emelked</w:t>
      </w:r>
      <w:r w:rsidRPr="00030ED3">
        <w:rPr>
          <w:sz w:val="22"/>
          <w:szCs w:val="22"/>
        </w:rPr>
        <w:t>ett</w:t>
      </w:r>
      <w:r w:rsidR="00882AA6" w:rsidRPr="00030ED3">
        <w:rPr>
          <w:sz w:val="22"/>
          <w:szCs w:val="22"/>
        </w:rPr>
        <w:t>.</w:t>
      </w:r>
    </w:p>
    <w:p w14:paraId="48E3F7DB" w14:textId="77777777" w:rsidR="00882AA6" w:rsidRPr="00030ED3" w:rsidRDefault="00882AA6" w:rsidP="00030ED3">
      <w:pPr>
        <w:rPr>
          <w:sz w:val="22"/>
          <w:szCs w:val="22"/>
        </w:rPr>
      </w:pPr>
    </w:p>
    <w:p w14:paraId="6CA8711C" w14:textId="77777777" w:rsidR="004B3A3F" w:rsidRPr="00030ED3" w:rsidRDefault="00E41ADF" w:rsidP="00030ED3">
      <w:pPr>
        <w:rPr>
          <w:i/>
          <w:sz w:val="22"/>
          <w:szCs w:val="22"/>
        </w:rPr>
      </w:pPr>
      <w:r w:rsidRPr="00030ED3">
        <w:rPr>
          <w:i/>
          <w:sz w:val="22"/>
          <w:szCs w:val="22"/>
        </w:rPr>
        <w:t>Idős</w:t>
      </w:r>
      <w:r w:rsidR="00D069BC" w:rsidRPr="00030ED3">
        <w:rPr>
          <w:i/>
          <w:sz w:val="22"/>
          <w:szCs w:val="22"/>
        </w:rPr>
        <w:t>e</w:t>
      </w:r>
      <w:r w:rsidR="004B3A3F" w:rsidRPr="00030ED3">
        <w:rPr>
          <w:i/>
          <w:sz w:val="22"/>
          <w:szCs w:val="22"/>
        </w:rPr>
        <w:t>k</w:t>
      </w:r>
    </w:p>
    <w:p w14:paraId="1508363C" w14:textId="77777777" w:rsidR="00882AA6" w:rsidRPr="00030ED3" w:rsidRDefault="00882A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Az AUC és </w:t>
      </w:r>
      <w:r w:rsidR="000B24DD" w:rsidRPr="00030ED3">
        <w:rPr>
          <w:sz w:val="22"/>
          <w:szCs w:val="22"/>
        </w:rPr>
        <w:t>C</w:t>
      </w:r>
      <w:r w:rsidR="0092472A" w:rsidRPr="00030ED3">
        <w:rPr>
          <w:sz w:val="22"/>
          <w:szCs w:val="22"/>
          <w:vertAlign w:val="subscript"/>
        </w:rPr>
        <w:t>max</w:t>
      </w:r>
      <w:r w:rsidR="0092472A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értékek idős önkénteseknél, a fiatalokhoz képes</w:t>
      </w:r>
      <w:r w:rsidR="007B0AB4" w:rsidRPr="00030ED3">
        <w:rPr>
          <w:sz w:val="22"/>
          <w:szCs w:val="22"/>
        </w:rPr>
        <w:t xml:space="preserve">t észlelt enyhe emelkedésének </w:t>
      </w:r>
      <w:r w:rsidR="00DF425E" w:rsidRPr="00030ED3">
        <w:rPr>
          <w:sz w:val="22"/>
          <w:szCs w:val="22"/>
        </w:rPr>
        <w:t>n</w:t>
      </w:r>
      <w:r w:rsidRPr="00030ED3">
        <w:rPr>
          <w:sz w:val="22"/>
          <w:szCs w:val="22"/>
        </w:rPr>
        <w:t>incs klinikai jelentősége.</w:t>
      </w:r>
    </w:p>
    <w:p w14:paraId="77156766" w14:textId="77777777" w:rsidR="00735A04" w:rsidRPr="00030ED3" w:rsidRDefault="00735A04" w:rsidP="00030ED3">
      <w:pPr>
        <w:rPr>
          <w:sz w:val="22"/>
          <w:szCs w:val="22"/>
        </w:rPr>
      </w:pPr>
    </w:p>
    <w:p w14:paraId="0B2C9876" w14:textId="77777777" w:rsidR="00735A04" w:rsidRPr="00030ED3" w:rsidRDefault="00735A04" w:rsidP="00030ED3">
      <w:pPr>
        <w:rPr>
          <w:i/>
          <w:iCs/>
          <w:sz w:val="22"/>
          <w:szCs w:val="22"/>
        </w:rPr>
      </w:pPr>
      <w:r w:rsidRPr="00030ED3">
        <w:rPr>
          <w:i/>
          <w:iCs/>
          <w:sz w:val="22"/>
          <w:szCs w:val="22"/>
        </w:rPr>
        <w:t>Gyermekek</w:t>
      </w:r>
      <w:r w:rsidR="00057FD0" w:rsidRPr="00030ED3">
        <w:rPr>
          <w:i/>
          <w:iCs/>
          <w:sz w:val="22"/>
          <w:szCs w:val="22"/>
        </w:rPr>
        <w:t xml:space="preserve"> és serdülők</w:t>
      </w:r>
    </w:p>
    <w:p w14:paraId="48E1A9A1" w14:textId="0543FC9D" w:rsidR="00735A04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Egyszeri, 0,8</w:t>
      </w:r>
      <w:r w:rsidR="007B0AB4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mg/ttkg</w:t>
      </w:r>
      <w:r w:rsidR="007A3C9F" w:rsidRPr="00030ED3">
        <w:rPr>
          <w:sz w:val="22"/>
          <w:szCs w:val="22"/>
        </w:rPr>
        <w:noBreakHyphen/>
      </w:r>
      <w:r w:rsidR="00A07EF5" w:rsidRPr="00030ED3">
        <w:rPr>
          <w:sz w:val="22"/>
          <w:szCs w:val="22"/>
        </w:rPr>
        <w:t>os</w:t>
      </w:r>
      <w:r w:rsidRPr="00030ED3">
        <w:rPr>
          <w:sz w:val="22"/>
          <w:szCs w:val="22"/>
        </w:rPr>
        <w:t xml:space="preserve"> vagy 1,6</w:t>
      </w:r>
      <w:r w:rsidR="00882AA6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mg/ttkg</w:t>
      </w:r>
      <w:r w:rsidR="007A3C9F" w:rsidRPr="00030ED3">
        <w:rPr>
          <w:sz w:val="22"/>
          <w:szCs w:val="22"/>
        </w:rPr>
        <w:noBreakHyphen/>
      </w:r>
      <w:r w:rsidR="00A07EF5" w:rsidRPr="00030ED3">
        <w:rPr>
          <w:sz w:val="22"/>
          <w:szCs w:val="22"/>
        </w:rPr>
        <w:t>os</w:t>
      </w:r>
      <w:r w:rsidRPr="00030ED3">
        <w:rPr>
          <w:sz w:val="22"/>
          <w:szCs w:val="22"/>
        </w:rPr>
        <w:t xml:space="preserve"> pantoprazol dózis 2</w:t>
      </w:r>
      <w:r w:rsidR="0085642B" w:rsidRPr="00030ED3">
        <w:rPr>
          <w:sz w:val="22"/>
          <w:szCs w:val="22"/>
        </w:rPr>
        <w:t xml:space="preserve"> és </w:t>
      </w:r>
      <w:r w:rsidRPr="00030ED3">
        <w:rPr>
          <w:sz w:val="22"/>
          <w:szCs w:val="22"/>
        </w:rPr>
        <w:t>16</w:t>
      </w:r>
      <w:r w:rsidR="00A07EF5" w:rsidRPr="00030ED3">
        <w:rPr>
          <w:sz w:val="22"/>
          <w:szCs w:val="22"/>
        </w:rPr>
        <w:t> </w:t>
      </w:r>
      <w:r w:rsidRPr="00030ED3">
        <w:rPr>
          <w:sz w:val="22"/>
          <w:szCs w:val="22"/>
        </w:rPr>
        <w:t>éves</w:t>
      </w:r>
      <w:r w:rsidR="0085642B" w:rsidRPr="00030ED3">
        <w:rPr>
          <w:sz w:val="22"/>
          <w:szCs w:val="22"/>
        </w:rPr>
        <w:t xml:space="preserve"> korú</w:t>
      </w:r>
      <w:r w:rsidRPr="00030ED3">
        <w:rPr>
          <w:sz w:val="22"/>
          <w:szCs w:val="22"/>
        </w:rPr>
        <w:t xml:space="preserve"> gyermekeknek</w:t>
      </w:r>
      <w:r w:rsidR="005C7FA4" w:rsidRPr="00030ED3">
        <w:rPr>
          <w:sz w:val="22"/>
          <w:szCs w:val="22"/>
        </w:rPr>
        <w:t xml:space="preserve"> és serdülőknek</w:t>
      </w:r>
      <w:r w:rsidRPr="00030ED3">
        <w:rPr>
          <w:sz w:val="22"/>
          <w:szCs w:val="22"/>
        </w:rPr>
        <w:t xml:space="preserve"> történő </w:t>
      </w:r>
      <w:r w:rsidR="007B0AB4" w:rsidRPr="00030ED3">
        <w:rPr>
          <w:sz w:val="22"/>
          <w:szCs w:val="22"/>
        </w:rPr>
        <w:t>intravénás</w:t>
      </w:r>
      <w:r w:rsidRPr="00030ED3">
        <w:rPr>
          <w:sz w:val="22"/>
          <w:szCs w:val="22"/>
        </w:rPr>
        <w:t xml:space="preserve"> adása után nem volt szignifikáns összefüggés a pantoprazol clearance-e és az életkor vagy a test</w:t>
      </w:r>
      <w:r w:rsidR="00DD21E8" w:rsidRPr="00030ED3">
        <w:rPr>
          <w:sz w:val="22"/>
          <w:szCs w:val="22"/>
        </w:rPr>
        <w:t>tömeg</w:t>
      </w:r>
      <w:r w:rsidRPr="00030ED3">
        <w:rPr>
          <w:sz w:val="22"/>
          <w:szCs w:val="22"/>
        </w:rPr>
        <w:t xml:space="preserve"> között. Az AUC és a megoszlási térfogat összhangban volt a felnőttek</w:t>
      </w:r>
      <w:r w:rsidR="009C6019" w:rsidRPr="00030ED3">
        <w:rPr>
          <w:sz w:val="22"/>
          <w:szCs w:val="22"/>
        </w:rPr>
        <w:t>nél</w:t>
      </w:r>
      <w:r w:rsidRPr="00030ED3">
        <w:rPr>
          <w:sz w:val="22"/>
          <w:szCs w:val="22"/>
        </w:rPr>
        <w:t xml:space="preserve"> mért adatokkal.</w:t>
      </w:r>
    </w:p>
    <w:p w14:paraId="14355943" w14:textId="77777777" w:rsidR="00735A04" w:rsidRPr="00030ED3" w:rsidRDefault="00735A04" w:rsidP="00030ED3">
      <w:pPr>
        <w:rPr>
          <w:sz w:val="22"/>
          <w:szCs w:val="22"/>
        </w:rPr>
      </w:pPr>
    </w:p>
    <w:p w14:paraId="5DAE15A9" w14:textId="77777777" w:rsidR="00735A04" w:rsidRPr="00030ED3" w:rsidRDefault="00735A04" w:rsidP="00030ED3">
      <w:pPr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5.3</w:t>
      </w:r>
      <w:r w:rsidRPr="00030ED3">
        <w:rPr>
          <w:b/>
          <w:sz w:val="22"/>
          <w:szCs w:val="22"/>
        </w:rPr>
        <w:tab/>
        <w:t>A preklinikai biztonság</w:t>
      </w:r>
      <w:r w:rsidR="00E43213" w:rsidRPr="00030ED3">
        <w:rPr>
          <w:b/>
          <w:sz w:val="22"/>
          <w:szCs w:val="22"/>
        </w:rPr>
        <w:t>osság</w:t>
      </w:r>
      <w:r w:rsidRPr="00030ED3">
        <w:rPr>
          <w:b/>
          <w:sz w:val="22"/>
          <w:szCs w:val="22"/>
        </w:rPr>
        <w:t>i vizsgálatok eredményei</w:t>
      </w:r>
    </w:p>
    <w:p w14:paraId="7A81E8AE" w14:textId="77777777" w:rsidR="00735A04" w:rsidRPr="00030ED3" w:rsidRDefault="00735A04" w:rsidP="00030ED3">
      <w:pPr>
        <w:rPr>
          <w:sz w:val="22"/>
          <w:szCs w:val="22"/>
        </w:rPr>
      </w:pPr>
    </w:p>
    <w:p w14:paraId="64C857D1" w14:textId="342778BC" w:rsidR="00735A04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</w:t>
      </w:r>
      <w:r w:rsidR="002A52F4" w:rsidRPr="00030ED3">
        <w:rPr>
          <w:sz w:val="22"/>
          <w:szCs w:val="22"/>
        </w:rPr>
        <w:t>hagyományos</w:t>
      </w:r>
      <w:r w:rsidRPr="00030ED3">
        <w:rPr>
          <w:sz w:val="22"/>
          <w:szCs w:val="22"/>
        </w:rPr>
        <w:t xml:space="preserve"> </w:t>
      </w:r>
      <w:r w:rsidR="002A52F4" w:rsidRPr="00030ED3">
        <w:rPr>
          <w:sz w:val="22"/>
          <w:szCs w:val="22"/>
        </w:rPr>
        <w:t xml:space="preserve">– </w:t>
      </w:r>
      <w:r w:rsidRPr="00030ED3">
        <w:rPr>
          <w:sz w:val="22"/>
          <w:szCs w:val="22"/>
        </w:rPr>
        <w:t>farmakológiai</w:t>
      </w:r>
      <w:r w:rsidR="002A52F4" w:rsidRPr="00030ED3">
        <w:rPr>
          <w:sz w:val="22"/>
          <w:szCs w:val="22"/>
        </w:rPr>
        <w:t xml:space="preserve"> biztonságossági</w:t>
      </w:r>
      <w:r w:rsidRPr="00030ED3">
        <w:rPr>
          <w:sz w:val="22"/>
          <w:szCs w:val="22"/>
        </w:rPr>
        <w:t xml:space="preserve">, </w:t>
      </w:r>
      <w:r w:rsidR="002A52F4" w:rsidRPr="00030ED3">
        <w:rPr>
          <w:sz w:val="22"/>
          <w:szCs w:val="22"/>
        </w:rPr>
        <w:t>ismét</w:t>
      </w:r>
      <w:r w:rsidR="00960C58">
        <w:rPr>
          <w:sz w:val="22"/>
          <w:szCs w:val="22"/>
        </w:rPr>
        <w:t>lődő</w:t>
      </w:r>
      <w:r w:rsidR="002A52F4" w:rsidRPr="00030ED3">
        <w:rPr>
          <w:sz w:val="22"/>
          <w:szCs w:val="22"/>
        </w:rPr>
        <w:t xml:space="preserve"> </w:t>
      </w:r>
      <w:r w:rsidR="00C725BA" w:rsidRPr="00030ED3">
        <w:rPr>
          <w:sz w:val="22"/>
          <w:szCs w:val="22"/>
        </w:rPr>
        <w:t xml:space="preserve">adagolású </w:t>
      </w:r>
      <w:r w:rsidR="002A52F4" w:rsidRPr="00030ED3">
        <w:rPr>
          <w:sz w:val="22"/>
          <w:szCs w:val="22"/>
        </w:rPr>
        <w:t xml:space="preserve">dózistoxicitási, </w:t>
      </w:r>
      <w:r w:rsidRPr="00030ED3">
        <w:rPr>
          <w:sz w:val="22"/>
          <w:szCs w:val="22"/>
        </w:rPr>
        <w:t>genotoxi</w:t>
      </w:r>
      <w:r w:rsidR="002A52F4" w:rsidRPr="00030ED3">
        <w:rPr>
          <w:sz w:val="22"/>
          <w:szCs w:val="22"/>
        </w:rPr>
        <w:t>citási –</w:t>
      </w:r>
      <w:r w:rsidRPr="00030ED3">
        <w:rPr>
          <w:sz w:val="22"/>
          <w:szCs w:val="22"/>
        </w:rPr>
        <w:t>vizsgálatok</w:t>
      </w:r>
      <w:r w:rsidR="00DD21E8" w:rsidRPr="00030ED3">
        <w:rPr>
          <w:sz w:val="22"/>
          <w:szCs w:val="22"/>
        </w:rPr>
        <w:t>ból származó</w:t>
      </w:r>
      <w:r w:rsidR="000938BB" w:rsidRPr="00030ED3">
        <w:rPr>
          <w:sz w:val="22"/>
          <w:szCs w:val="22"/>
        </w:rPr>
        <w:t>,</w:t>
      </w:r>
      <w:r w:rsidR="00DD21E8" w:rsidRPr="00030ED3">
        <w:rPr>
          <w:sz w:val="22"/>
          <w:szCs w:val="22"/>
        </w:rPr>
        <w:t xml:space="preserve"> nem klinikai jellegű adatok</w:t>
      </w:r>
      <w:r w:rsidRPr="00030ED3">
        <w:rPr>
          <w:sz w:val="22"/>
          <w:szCs w:val="22"/>
        </w:rPr>
        <w:t xml:space="preserve"> </w:t>
      </w:r>
      <w:r w:rsidR="002A52F4" w:rsidRPr="00030ED3">
        <w:rPr>
          <w:sz w:val="22"/>
          <w:szCs w:val="22"/>
        </w:rPr>
        <w:t xml:space="preserve">azt igazolták, hogy a készítmény </w:t>
      </w:r>
      <w:r w:rsidR="00C725BA" w:rsidRPr="00030ED3">
        <w:rPr>
          <w:sz w:val="22"/>
          <w:szCs w:val="22"/>
        </w:rPr>
        <w:t xml:space="preserve">alkalmazásakor humán vonatkozásban </w:t>
      </w:r>
      <w:r w:rsidR="002A52F4" w:rsidRPr="00030ED3">
        <w:rPr>
          <w:sz w:val="22"/>
          <w:szCs w:val="22"/>
        </w:rPr>
        <w:t xml:space="preserve">különleges </w:t>
      </w:r>
      <w:r w:rsidR="00C725BA" w:rsidRPr="00030ED3">
        <w:rPr>
          <w:sz w:val="22"/>
          <w:szCs w:val="22"/>
        </w:rPr>
        <w:t>kockázat nem várható</w:t>
      </w:r>
      <w:r w:rsidR="002A52F4" w:rsidRPr="00030ED3">
        <w:rPr>
          <w:sz w:val="22"/>
          <w:szCs w:val="22"/>
        </w:rPr>
        <w:t>.</w:t>
      </w:r>
    </w:p>
    <w:p w14:paraId="74DDC976" w14:textId="77777777" w:rsidR="00735A04" w:rsidRPr="00030ED3" w:rsidRDefault="00735A04" w:rsidP="00030ED3">
      <w:pPr>
        <w:rPr>
          <w:sz w:val="22"/>
          <w:szCs w:val="22"/>
        </w:rPr>
      </w:pPr>
    </w:p>
    <w:p w14:paraId="7B869A37" w14:textId="694F84F5" w:rsidR="00735A04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Patkányo</w:t>
      </w:r>
      <w:r w:rsidR="006C1273" w:rsidRPr="00030ED3">
        <w:rPr>
          <w:sz w:val="22"/>
          <w:szCs w:val="22"/>
        </w:rPr>
        <w:t>knál</w:t>
      </w:r>
      <w:r w:rsidRPr="00030ED3">
        <w:rPr>
          <w:sz w:val="22"/>
          <w:szCs w:val="22"/>
        </w:rPr>
        <w:t xml:space="preserve"> végzett </w:t>
      </w:r>
      <w:r w:rsidR="000938BB" w:rsidRPr="00030ED3">
        <w:rPr>
          <w:sz w:val="22"/>
          <w:szCs w:val="22"/>
        </w:rPr>
        <w:t>2 </w:t>
      </w:r>
      <w:r w:rsidRPr="00030ED3">
        <w:rPr>
          <w:sz w:val="22"/>
          <w:szCs w:val="22"/>
        </w:rPr>
        <w:t xml:space="preserve">éves karcinogenitási vizsgálatban neuroendokrin </w:t>
      </w:r>
      <w:r w:rsidR="00882AA6" w:rsidRPr="00030ED3">
        <w:rPr>
          <w:sz w:val="22"/>
          <w:szCs w:val="22"/>
        </w:rPr>
        <w:t xml:space="preserve">daganatok </w:t>
      </w:r>
      <w:r w:rsidRPr="00030ED3">
        <w:rPr>
          <w:sz w:val="22"/>
          <w:szCs w:val="22"/>
        </w:rPr>
        <w:t>fordult</w:t>
      </w:r>
      <w:r w:rsidR="00882AA6" w:rsidRPr="00030ED3">
        <w:rPr>
          <w:sz w:val="22"/>
          <w:szCs w:val="22"/>
        </w:rPr>
        <w:t>ak</w:t>
      </w:r>
      <w:r w:rsidRPr="00030ED3">
        <w:rPr>
          <w:sz w:val="22"/>
          <w:szCs w:val="22"/>
        </w:rPr>
        <w:t xml:space="preserve"> elő</w:t>
      </w:r>
      <w:r w:rsidR="00D069BC" w:rsidRPr="00030ED3">
        <w:rPr>
          <w:sz w:val="22"/>
          <w:szCs w:val="22"/>
        </w:rPr>
        <w:t xml:space="preserve">, </w:t>
      </w:r>
      <w:r w:rsidR="000938BB" w:rsidRPr="00030ED3">
        <w:rPr>
          <w:sz w:val="22"/>
          <w:szCs w:val="22"/>
        </w:rPr>
        <w:t>valamint</w:t>
      </w:r>
      <w:r w:rsidR="00D069BC" w:rsidRPr="00030ED3">
        <w:rPr>
          <w:sz w:val="22"/>
          <w:szCs w:val="22"/>
        </w:rPr>
        <w:t xml:space="preserve"> </w:t>
      </w:r>
      <w:r w:rsidR="000938BB" w:rsidRPr="00030ED3">
        <w:rPr>
          <w:sz w:val="22"/>
          <w:szCs w:val="22"/>
        </w:rPr>
        <w:t xml:space="preserve">laphámsejtes papillomákat találtak </w:t>
      </w:r>
      <w:r w:rsidR="003F2FA6" w:rsidRPr="00030ED3">
        <w:rPr>
          <w:sz w:val="22"/>
          <w:szCs w:val="22"/>
        </w:rPr>
        <w:t>p</w:t>
      </w:r>
      <w:r w:rsidRPr="00030ED3">
        <w:rPr>
          <w:sz w:val="22"/>
          <w:szCs w:val="22"/>
        </w:rPr>
        <w:t xml:space="preserve">atkányok előgyomrában. </w:t>
      </w:r>
      <w:r w:rsidR="00882AA6" w:rsidRPr="00030ED3">
        <w:rPr>
          <w:sz w:val="22"/>
          <w:szCs w:val="22"/>
        </w:rPr>
        <w:t>A szubsztituált benzimidazol-</w:t>
      </w:r>
      <w:r w:rsidR="00882AA6" w:rsidRPr="00030ED3">
        <w:rPr>
          <w:sz w:val="22"/>
          <w:szCs w:val="22"/>
        </w:rPr>
        <w:lastRenderedPageBreak/>
        <w:t>származékok hatására kialakuló gyomor carcinoidok létrejöttének mechanizmusát tanulmányozó, alapos vizsgálatok eredményei alapján az a következtetés vonható le, hogy megjelenésük másodlagos reakció, amit a nagydózisú</w:t>
      </w:r>
      <w:r w:rsidR="005B5721" w:rsidRPr="00030ED3">
        <w:rPr>
          <w:sz w:val="22"/>
          <w:szCs w:val="22"/>
        </w:rPr>
        <w:t>,</w:t>
      </w:r>
      <w:r w:rsidR="00882AA6" w:rsidRPr="00030ED3">
        <w:rPr>
          <w:sz w:val="22"/>
          <w:szCs w:val="22"/>
        </w:rPr>
        <w:t xml:space="preserve"> krónikus kezelés során kialakult igen magas </w:t>
      </w:r>
      <w:r w:rsidR="005B5721" w:rsidRPr="00030ED3">
        <w:rPr>
          <w:sz w:val="22"/>
          <w:szCs w:val="22"/>
        </w:rPr>
        <w:t>szérum-</w:t>
      </w:r>
      <w:r w:rsidR="00882AA6" w:rsidRPr="00030ED3">
        <w:rPr>
          <w:sz w:val="22"/>
          <w:szCs w:val="22"/>
        </w:rPr>
        <w:t>gasztrinszint idéz elő.</w:t>
      </w:r>
      <w:r w:rsidR="007B0AB4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 xml:space="preserve">Patkányon és nőstény egéren végzett </w:t>
      </w:r>
      <w:r w:rsidR="005B5721" w:rsidRPr="00030ED3">
        <w:rPr>
          <w:sz w:val="22"/>
          <w:szCs w:val="22"/>
        </w:rPr>
        <w:t>2 </w:t>
      </w:r>
      <w:r w:rsidRPr="00030ED3">
        <w:rPr>
          <w:sz w:val="22"/>
          <w:szCs w:val="22"/>
        </w:rPr>
        <w:t>éves vizsgálat</w:t>
      </w:r>
      <w:r w:rsidR="005B5721" w:rsidRPr="00030ED3">
        <w:rPr>
          <w:sz w:val="22"/>
          <w:szCs w:val="22"/>
        </w:rPr>
        <w:t>sorozat</w:t>
      </w:r>
      <w:r w:rsidRPr="00030ED3">
        <w:rPr>
          <w:sz w:val="22"/>
          <w:szCs w:val="22"/>
        </w:rPr>
        <w:t xml:space="preserve"> során nagy</w:t>
      </w:r>
      <w:r w:rsidR="003976A9" w:rsidRPr="00030ED3">
        <w:rPr>
          <w:sz w:val="22"/>
          <w:szCs w:val="22"/>
        </w:rPr>
        <w:t>obb</w:t>
      </w:r>
      <w:r w:rsidRPr="00030ED3">
        <w:rPr>
          <w:sz w:val="22"/>
          <w:szCs w:val="22"/>
        </w:rPr>
        <w:t xml:space="preserve"> számban </w:t>
      </w:r>
      <w:r w:rsidR="007B0AB4" w:rsidRPr="00030ED3">
        <w:rPr>
          <w:sz w:val="22"/>
          <w:szCs w:val="22"/>
        </w:rPr>
        <w:t>figyeltek meg</w:t>
      </w:r>
      <w:r w:rsidR="005B5721" w:rsidRPr="00030ED3">
        <w:rPr>
          <w:sz w:val="22"/>
          <w:szCs w:val="22"/>
        </w:rPr>
        <w:t xml:space="preserve"> máj</w:t>
      </w:r>
      <w:r w:rsidR="00095F34">
        <w:rPr>
          <w:sz w:val="22"/>
          <w:szCs w:val="22"/>
        </w:rPr>
        <w:t>daganatot</w:t>
      </w:r>
      <w:r w:rsidRPr="00030ED3">
        <w:rPr>
          <w:sz w:val="22"/>
          <w:szCs w:val="22"/>
        </w:rPr>
        <w:t>. A jelenség</w:t>
      </w:r>
      <w:r w:rsidR="003F2FA6" w:rsidRPr="00030ED3">
        <w:rPr>
          <w:sz w:val="22"/>
          <w:szCs w:val="22"/>
        </w:rPr>
        <w:t>et</w:t>
      </w:r>
      <w:r w:rsidRPr="00030ED3">
        <w:rPr>
          <w:sz w:val="22"/>
          <w:szCs w:val="22"/>
        </w:rPr>
        <w:t xml:space="preserve"> a pantoprazol máj</w:t>
      </w:r>
      <w:r w:rsidR="00DD21E8" w:rsidRPr="00030ED3">
        <w:rPr>
          <w:sz w:val="22"/>
          <w:szCs w:val="22"/>
        </w:rPr>
        <w:t>ban</w:t>
      </w:r>
      <w:r w:rsidRPr="00030ED3">
        <w:rPr>
          <w:sz w:val="22"/>
          <w:szCs w:val="22"/>
        </w:rPr>
        <w:t xml:space="preserve"> </w:t>
      </w:r>
      <w:r w:rsidR="00DD21E8" w:rsidRPr="00030ED3">
        <w:rPr>
          <w:sz w:val="22"/>
          <w:szCs w:val="22"/>
        </w:rPr>
        <w:t>zajló</w:t>
      </w:r>
      <w:r w:rsidR="005B5721" w:rsidRPr="00030ED3">
        <w:rPr>
          <w:sz w:val="22"/>
          <w:szCs w:val="22"/>
        </w:rPr>
        <w:t>,</w:t>
      </w:r>
      <w:r w:rsidR="00DD21E8" w:rsidRPr="00030ED3">
        <w:rPr>
          <w:sz w:val="22"/>
          <w:szCs w:val="22"/>
        </w:rPr>
        <w:t xml:space="preserve"> nagymértékű </w:t>
      </w:r>
      <w:r w:rsidRPr="00030ED3">
        <w:rPr>
          <w:sz w:val="22"/>
          <w:szCs w:val="22"/>
        </w:rPr>
        <w:t>metabolizációjának tulajdonít</w:t>
      </w:r>
      <w:r w:rsidR="003F2FA6" w:rsidRPr="00030ED3">
        <w:rPr>
          <w:sz w:val="22"/>
          <w:szCs w:val="22"/>
        </w:rPr>
        <w:t>o</w:t>
      </w:r>
      <w:r w:rsidRPr="00030ED3">
        <w:rPr>
          <w:sz w:val="22"/>
          <w:szCs w:val="22"/>
        </w:rPr>
        <w:t>t</w:t>
      </w:r>
      <w:r w:rsidR="003F2FA6" w:rsidRPr="00030ED3">
        <w:rPr>
          <w:sz w:val="22"/>
          <w:szCs w:val="22"/>
        </w:rPr>
        <w:t>ták</w:t>
      </w:r>
      <w:r w:rsidRPr="00030ED3">
        <w:rPr>
          <w:sz w:val="22"/>
          <w:szCs w:val="22"/>
        </w:rPr>
        <w:t>.</w:t>
      </w:r>
    </w:p>
    <w:p w14:paraId="75D734FA" w14:textId="77777777" w:rsidR="00735A04" w:rsidRPr="00030ED3" w:rsidRDefault="00735A04" w:rsidP="00030ED3">
      <w:pPr>
        <w:rPr>
          <w:sz w:val="22"/>
          <w:szCs w:val="22"/>
        </w:rPr>
      </w:pPr>
    </w:p>
    <w:p w14:paraId="5C18448B" w14:textId="3EF66628" w:rsidR="00735A04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Patkány</w:t>
      </w:r>
      <w:r w:rsidR="00C822A6" w:rsidRPr="00030ED3">
        <w:rPr>
          <w:sz w:val="22"/>
          <w:szCs w:val="22"/>
        </w:rPr>
        <w:t>ok</w:t>
      </w:r>
      <w:r w:rsidR="003F2FA6" w:rsidRPr="00030ED3">
        <w:rPr>
          <w:sz w:val="22"/>
          <w:szCs w:val="22"/>
        </w:rPr>
        <w:t xml:space="preserve"> eseté</w:t>
      </w:r>
      <w:r w:rsidRPr="00030ED3">
        <w:rPr>
          <w:sz w:val="22"/>
          <w:szCs w:val="22"/>
        </w:rPr>
        <w:t>b</w:t>
      </w:r>
      <w:r w:rsidR="003F2FA6" w:rsidRPr="00030ED3">
        <w:rPr>
          <w:sz w:val="22"/>
          <w:szCs w:val="22"/>
        </w:rPr>
        <w:t>e</w:t>
      </w:r>
      <w:r w:rsidRPr="00030ED3">
        <w:rPr>
          <w:sz w:val="22"/>
          <w:szCs w:val="22"/>
        </w:rPr>
        <w:t>n a legmagasabb dózis</w:t>
      </w:r>
      <w:r w:rsidR="003F2FA6" w:rsidRPr="00030ED3">
        <w:rPr>
          <w:sz w:val="22"/>
          <w:szCs w:val="22"/>
        </w:rPr>
        <w:t xml:space="preserve">sal </w:t>
      </w:r>
      <w:r w:rsidR="00DD21E8" w:rsidRPr="00030ED3">
        <w:rPr>
          <w:sz w:val="22"/>
          <w:szCs w:val="22"/>
        </w:rPr>
        <w:t>(200</w:t>
      </w:r>
      <w:r w:rsidR="007F1507" w:rsidRPr="00030ED3">
        <w:rPr>
          <w:sz w:val="22"/>
          <w:szCs w:val="22"/>
        </w:rPr>
        <w:t> </w:t>
      </w:r>
      <w:r w:rsidR="00DD21E8" w:rsidRPr="00030ED3">
        <w:rPr>
          <w:sz w:val="22"/>
          <w:szCs w:val="22"/>
        </w:rPr>
        <w:t xml:space="preserve">mg/ttkg) </w:t>
      </w:r>
      <w:r w:rsidR="003F2FA6" w:rsidRPr="00030ED3">
        <w:rPr>
          <w:sz w:val="22"/>
          <w:szCs w:val="22"/>
        </w:rPr>
        <w:t>kezelt csoportban</w:t>
      </w:r>
      <w:r w:rsidRPr="00030ED3">
        <w:rPr>
          <w:sz w:val="22"/>
          <w:szCs w:val="22"/>
        </w:rPr>
        <w:t xml:space="preserve"> a pajzsmirigy</w:t>
      </w:r>
      <w:r w:rsidR="003F2FA6" w:rsidRPr="00030ED3">
        <w:rPr>
          <w:sz w:val="22"/>
          <w:szCs w:val="22"/>
        </w:rPr>
        <w:t xml:space="preserve"> daganatos elváltozásainak</w:t>
      </w:r>
      <w:r w:rsidRPr="00030ED3">
        <w:rPr>
          <w:sz w:val="22"/>
          <w:szCs w:val="22"/>
        </w:rPr>
        <w:t xml:space="preserve"> gyakorisága kis</w:t>
      </w:r>
      <w:r w:rsidR="005B5721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 xml:space="preserve">mértékben emelkedett. Ezek a </w:t>
      </w:r>
      <w:r w:rsidR="00095F34">
        <w:rPr>
          <w:sz w:val="22"/>
          <w:szCs w:val="22"/>
        </w:rPr>
        <w:t>daganatok</w:t>
      </w:r>
      <w:r w:rsidRPr="00030ED3">
        <w:rPr>
          <w:sz w:val="22"/>
          <w:szCs w:val="22"/>
        </w:rPr>
        <w:t xml:space="preserve"> az</w:t>
      </w:r>
      <w:r w:rsidR="003F2FA6" w:rsidRPr="00030ED3">
        <w:rPr>
          <w:sz w:val="22"/>
          <w:szCs w:val="22"/>
        </w:rPr>
        <w:t>ért jelennek meg</w:t>
      </w:r>
      <w:r w:rsidRPr="00030ED3">
        <w:rPr>
          <w:sz w:val="22"/>
          <w:szCs w:val="22"/>
        </w:rPr>
        <w:t xml:space="preserve">, </w:t>
      </w:r>
      <w:r w:rsidR="003F2FA6" w:rsidRPr="00030ED3">
        <w:rPr>
          <w:sz w:val="22"/>
          <w:szCs w:val="22"/>
        </w:rPr>
        <w:t xml:space="preserve">mert </w:t>
      </w:r>
      <w:r w:rsidRPr="00030ED3">
        <w:rPr>
          <w:sz w:val="22"/>
          <w:szCs w:val="22"/>
        </w:rPr>
        <w:t xml:space="preserve">a pantoprazol </w:t>
      </w:r>
      <w:r w:rsidR="00095F34">
        <w:rPr>
          <w:sz w:val="22"/>
          <w:szCs w:val="22"/>
        </w:rPr>
        <w:t>alkalmazása</w:t>
      </w:r>
      <w:r w:rsidRPr="00030ED3">
        <w:rPr>
          <w:sz w:val="22"/>
          <w:szCs w:val="22"/>
        </w:rPr>
        <w:t xml:space="preserve"> miatt patkányban a tiroxin metabolizmusa a májban megváltozik. </w:t>
      </w:r>
      <w:r w:rsidR="003F2FA6" w:rsidRPr="00030ED3">
        <w:rPr>
          <w:sz w:val="22"/>
          <w:szCs w:val="22"/>
        </w:rPr>
        <w:t xml:space="preserve">Mivel a humán </w:t>
      </w:r>
      <w:r w:rsidRPr="00030ED3">
        <w:rPr>
          <w:sz w:val="22"/>
          <w:szCs w:val="22"/>
        </w:rPr>
        <w:t xml:space="preserve">terápiás </w:t>
      </w:r>
      <w:r w:rsidR="00095F34">
        <w:rPr>
          <w:sz w:val="22"/>
          <w:szCs w:val="22"/>
        </w:rPr>
        <w:t>dózis</w:t>
      </w:r>
      <w:r w:rsidRPr="00030ED3">
        <w:rPr>
          <w:sz w:val="22"/>
          <w:szCs w:val="22"/>
        </w:rPr>
        <w:t xml:space="preserve"> alacsony, </w:t>
      </w:r>
      <w:r w:rsidR="003F2FA6" w:rsidRPr="00030ED3">
        <w:rPr>
          <w:sz w:val="22"/>
          <w:szCs w:val="22"/>
        </w:rPr>
        <w:t>nem várhatók pajzsmiriggyel kapcsolato</w:t>
      </w:r>
      <w:r w:rsidR="008F7091" w:rsidRPr="00030ED3">
        <w:rPr>
          <w:sz w:val="22"/>
          <w:szCs w:val="22"/>
        </w:rPr>
        <w:t>s</w:t>
      </w:r>
      <w:r w:rsidR="003F2FA6" w:rsidRPr="00030ED3">
        <w:rPr>
          <w:sz w:val="22"/>
          <w:szCs w:val="22"/>
        </w:rPr>
        <w:t xml:space="preserve"> </w:t>
      </w:r>
      <w:r w:rsidR="00C822A6" w:rsidRPr="00030ED3">
        <w:rPr>
          <w:sz w:val="22"/>
          <w:szCs w:val="22"/>
        </w:rPr>
        <w:t>mellékhatások</w:t>
      </w:r>
      <w:r w:rsidRPr="00030ED3">
        <w:rPr>
          <w:sz w:val="22"/>
          <w:szCs w:val="22"/>
        </w:rPr>
        <w:t>.</w:t>
      </w:r>
    </w:p>
    <w:p w14:paraId="2A0A6DBA" w14:textId="77777777" w:rsidR="00654ED0" w:rsidRPr="00030ED3" w:rsidRDefault="00654ED0" w:rsidP="00030ED3">
      <w:pPr>
        <w:rPr>
          <w:sz w:val="22"/>
          <w:szCs w:val="22"/>
        </w:rPr>
      </w:pPr>
    </w:p>
    <w:p w14:paraId="6D203B41" w14:textId="0DB9D24B" w:rsidR="005C7FA4" w:rsidRPr="00030ED3" w:rsidRDefault="005C7FA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csontfejlődés értékelésére tervezett peri-posztnatális patkány reprodukciós vizsgálatban az utódok toxicitásának jeleit (mortalitást, alacsonyabb átlagos testtömegértéket, alacsonyabb átlagos testtömeg-növekedést és csökkent csontfejlődést) figyelték meg a humán klinikai expozíció megközelítőleg kétszeresénél (</w:t>
      </w:r>
      <w:r w:rsidR="00075200" w:rsidRPr="00030ED3">
        <w:rPr>
          <w:sz w:val="22"/>
          <w:szCs w:val="22"/>
        </w:rPr>
        <w:t>C</w:t>
      </w:r>
      <w:r w:rsidRPr="00030ED3">
        <w:rPr>
          <w:sz w:val="22"/>
          <w:szCs w:val="22"/>
          <w:vertAlign w:val="subscript"/>
        </w:rPr>
        <w:t>max</w:t>
      </w:r>
      <w:r w:rsidRPr="00030ED3">
        <w:rPr>
          <w:sz w:val="22"/>
          <w:szCs w:val="22"/>
        </w:rPr>
        <w:t xml:space="preserve">). A helyreállási időszak végén a csontparaméterek hasonlóak voltak a csoportok között, és a testtömegek is a reverzibilitás irányába mutattak a gyógyszermentes helyreállási fázist követően. Megnövekedett mortalitásról kizárólag az elválasztás előtt álló (legfeljebb 21 napos életkorú) patkánykölyköknél számoltak be, ami becslések szerint legfeljebb 2 éves korú csecsemőknek felel meg. E megállapítás relevanciája </w:t>
      </w:r>
      <w:r w:rsidR="00CD3E99" w:rsidRPr="00030ED3">
        <w:rPr>
          <w:sz w:val="22"/>
          <w:szCs w:val="22"/>
        </w:rPr>
        <w:t>gyermekekre és serdülőkre</w:t>
      </w:r>
      <w:r w:rsidRPr="00030ED3">
        <w:rPr>
          <w:sz w:val="22"/>
          <w:szCs w:val="22"/>
        </w:rPr>
        <w:t xml:space="preserve"> nem tisztázott. Egy korábbi, peri-posztnatális vizsgálatban patkányoknál kissé alacsonyabb dózisokban 3 mg/ttkg</w:t>
      </w:r>
      <w:r w:rsidR="00EC3C32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nál nem észleltek kedvezőtlen hatásokat ellentétben az 5 mg/ttkg</w:t>
      </w:r>
      <w:r w:rsidR="00EC3C32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os dózissal.</w:t>
      </w:r>
    </w:p>
    <w:p w14:paraId="088E1FC8" w14:textId="77777777" w:rsidR="00A12D5A" w:rsidRPr="00030ED3" w:rsidRDefault="00A12D5A" w:rsidP="00030ED3">
      <w:pPr>
        <w:rPr>
          <w:sz w:val="22"/>
          <w:szCs w:val="22"/>
        </w:rPr>
      </w:pPr>
    </w:p>
    <w:p w14:paraId="4F65F62D" w14:textId="77777777" w:rsidR="00735A04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vizsgálatok nem utalnak sem a fertilitás csökkenésére, sem teratogén hatásra.</w:t>
      </w:r>
    </w:p>
    <w:p w14:paraId="15A1F0DF" w14:textId="77777777" w:rsidR="00D51C88" w:rsidRPr="00030ED3" w:rsidRDefault="00D51C88" w:rsidP="00030ED3">
      <w:pPr>
        <w:rPr>
          <w:sz w:val="22"/>
          <w:szCs w:val="22"/>
        </w:rPr>
      </w:pPr>
    </w:p>
    <w:p w14:paraId="00A24A4C" w14:textId="77777777" w:rsidR="00C725BA" w:rsidRPr="00030ED3" w:rsidRDefault="003F2F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</w:t>
      </w:r>
      <w:r w:rsidR="00735A04" w:rsidRPr="00030ED3">
        <w:rPr>
          <w:sz w:val="22"/>
          <w:szCs w:val="22"/>
        </w:rPr>
        <w:t xml:space="preserve"> </w:t>
      </w:r>
      <w:r w:rsidR="00091BDF" w:rsidRPr="00030ED3">
        <w:rPr>
          <w:sz w:val="22"/>
          <w:szCs w:val="22"/>
        </w:rPr>
        <w:t xml:space="preserve">pantoprazol </w:t>
      </w:r>
      <w:r w:rsidR="00735A04" w:rsidRPr="00030ED3">
        <w:rPr>
          <w:sz w:val="22"/>
          <w:szCs w:val="22"/>
        </w:rPr>
        <w:t>placentá</w:t>
      </w:r>
      <w:r w:rsidRPr="00030ED3">
        <w:rPr>
          <w:sz w:val="22"/>
          <w:szCs w:val="22"/>
        </w:rPr>
        <w:t>n történő</w:t>
      </w:r>
      <w:r w:rsidR="00735A04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 xml:space="preserve">átjutását </w:t>
      </w:r>
      <w:r w:rsidR="00735A04" w:rsidRPr="00030ED3">
        <w:rPr>
          <w:sz w:val="22"/>
          <w:szCs w:val="22"/>
        </w:rPr>
        <w:t xml:space="preserve">patkányban vizsgálták. Az átjutás a vemhesség előrehaladtával fokozódott. </w:t>
      </w:r>
      <w:r w:rsidRPr="00030ED3">
        <w:rPr>
          <w:sz w:val="22"/>
          <w:szCs w:val="22"/>
        </w:rPr>
        <w:t xml:space="preserve">Következésképp, </w:t>
      </w:r>
      <w:r w:rsidR="00735A04" w:rsidRPr="00030ED3">
        <w:rPr>
          <w:sz w:val="22"/>
          <w:szCs w:val="22"/>
        </w:rPr>
        <w:t>röviddel a szül</w:t>
      </w:r>
      <w:r w:rsidR="005C7FA4" w:rsidRPr="00030ED3">
        <w:rPr>
          <w:sz w:val="22"/>
          <w:szCs w:val="22"/>
        </w:rPr>
        <w:t>et</w:t>
      </w:r>
      <w:r w:rsidR="00735A04" w:rsidRPr="00030ED3">
        <w:rPr>
          <w:sz w:val="22"/>
          <w:szCs w:val="22"/>
        </w:rPr>
        <w:t>és előtt megnő</w:t>
      </w:r>
      <w:r w:rsidRPr="00030ED3">
        <w:rPr>
          <w:sz w:val="22"/>
          <w:szCs w:val="22"/>
        </w:rPr>
        <w:t xml:space="preserve"> a pantoprazol magzati koncentrációja</w:t>
      </w:r>
      <w:r w:rsidR="00735A04" w:rsidRPr="00030ED3">
        <w:rPr>
          <w:sz w:val="22"/>
          <w:szCs w:val="22"/>
        </w:rPr>
        <w:t>.</w:t>
      </w:r>
    </w:p>
    <w:p w14:paraId="6D08EA52" w14:textId="77777777" w:rsidR="00C725BA" w:rsidRPr="00030ED3" w:rsidRDefault="00C725BA" w:rsidP="00030ED3">
      <w:pPr>
        <w:rPr>
          <w:sz w:val="22"/>
          <w:szCs w:val="22"/>
        </w:rPr>
      </w:pPr>
    </w:p>
    <w:p w14:paraId="0A124C25" w14:textId="77777777" w:rsidR="00C725BA" w:rsidRPr="00030ED3" w:rsidRDefault="00C725BA" w:rsidP="00030ED3">
      <w:pPr>
        <w:rPr>
          <w:b/>
          <w:sz w:val="22"/>
          <w:szCs w:val="22"/>
        </w:rPr>
      </w:pPr>
    </w:p>
    <w:p w14:paraId="7AFFEC4C" w14:textId="77777777" w:rsidR="00C725BA" w:rsidRPr="00030ED3" w:rsidRDefault="00735A04" w:rsidP="00030ED3">
      <w:pPr>
        <w:rPr>
          <w:sz w:val="22"/>
          <w:szCs w:val="22"/>
        </w:rPr>
      </w:pPr>
      <w:r w:rsidRPr="00030ED3">
        <w:rPr>
          <w:b/>
          <w:sz w:val="22"/>
          <w:szCs w:val="22"/>
        </w:rPr>
        <w:t>6.</w:t>
      </w:r>
      <w:r w:rsidRPr="00030ED3">
        <w:rPr>
          <w:b/>
          <w:sz w:val="22"/>
          <w:szCs w:val="22"/>
        </w:rPr>
        <w:tab/>
        <w:t>GYÓGYSZERÉSZETI JELLEMZŐK</w:t>
      </w:r>
    </w:p>
    <w:p w14:paraId="47191D0A" w14:textId="77777777" w:rsidR="00C725BA" w:rsidRPr="00030ED3" w:rsidRDefault="00C725BA" w:rsidP="00030ED3">
      <w:pPr>
        <w:rPr>
          <w:sz w:val="22"/>
          <w:szCs w:val="22"/>
        </w:rPr>
      </w:pPr>
    </w:p>
    <w:p w14:paraId="297BE52C" w14:textId="77777777" w:rsidR="00735A04" w:rsidRPr="00030ED3" w:rsidRDefault="00735A04" w:rsidP="00030ED3">
      <w:pPr>
        <w:rPr>
          <w:sz w:val="22"/>
          <w:szCs w:val="22"/>
        </w:rPr>
      </w:pPr>
      <w:r w:rsidRPr="00030ED3">
        <w:rPr>
          <w:b/>
          <w:sz w:val="22"/>
          <w:szCs w:val="22"/>
        </w:rPr>
        <w:t>6.1</w:t>
      </w:r>
      <w:r w:rsidRPr="00030ED3">
        <w:rPr>
          <w:b/>
          <w:sz w:val="22"/>
          <w:szCs w:val="22"/>
        </w:rPr>
        <w:tab/>
        <w:t>Segédanyagok felsorolása</w:t>
      </w:r>
    </w:p>
    <w:p w14:paraId="111388FA" w14:textId="77777777" w:rsidR="00735A04" w:rsidRPr="00030ED3" w:rsidRDefault="00735A04" w:rsidP="00030ED3">
      <w:pPr>
        <w:rPr>
          <w:sz w:val="22"/>
          <w:szCs w:val="22"/>
        </w:rPr>
      </w:pPr>
    </w:p>
    <w:p w14:paraId="357A96F1" w14:textId="578D9C20" w:rsidR="003F2FA6" w:rsidRPr="00030ED3" w:rsidRDefault="002B37AE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030ED3">
        <w:rPr>
          <w:rFonts w:ascii="Times New Roman" w:hAnsi="Times New Roman"/>
          <w:szCs w:val="22"/>
          <w:lang w:val="hu-HU"/>
        </w:rPr>
        <w:t>d</w:t>
      </w:r>
      <w:r w:rsidR="00735A04" w:rsidRPr="00030ED3">
        <w:rPr>
          <w:rFonts w:ascii="Times New Roman" w:hAnsi="Times New Roman"/>
          <w:szCs w:val="22"/>
          <w:lang w:val="hu-HU"/>
        </w:rPr>
        <w:t>inátrium-edetát</w:t>
      </w:r>
    </w:p>
    <w:p w14:paraId="3AFD7743" w14:textId="2CC53ED8" w:rsidR="00075200" w:rsidRPr="00030ED3" w:rsidRDefault="002B37AE" w:rsidP="00030ED3">
      <w:pPr>
        <w:pStyle w:val="toa"/>
        <w:tabs>
          <w:tab w:val="clear" w:pos="9360"/>
        </w:tabs>
        <w:rPr>
          <w:rFonts w:ascii="Times New Roman" w:hAnsi="Times New Roman"/>
          <w:szCs w:val="22"/>
          <w:lang w:val="hu-HU"/>
        </w:rPr>
      </w:pPr>
      <w:r w:rsidRPr="00030ED3">
        <w:rPr>
          <w:rFonts w:ascii="Times New Roman" w:hAnsi="Times New Roman"/>
          <w:szCs w:val="22"/>
          <w:lang w:val="hu-HU"/>
        </w:rPr>
        <w:t>n</w:t>
      </w:r>
      <w:r w:rsidR="00075200" w:rsidRPr="00030ED3">
        <w:rPr>
          <w:rFonts w:ascii="Times New Roman" w:hAnsi="Times New Roman"/>
          <w:szCs w:val="22"/>
          <w:lang w:val="hu-HU"/>
        </w:rPr>
        <w:t>átrium-hidroxid (pH beállításához)</w:t>
      </w:r>
    </w:p>
    <w:p w14:paraId="28D52BC5" w14:textId="77777777" w:rsidR="00735A04" w:rsidRPr="00030ED3" w:rsidRDefault="00735A04" w:rsidP="00030ED3">
      <w:pPr>
        <w:rPr>
          <w:sz w:val="22"/>
          <w:szCs w:val="22"/>
        </w:rPr>
      </w:pPr>
    </w:p>
    <w:p w14:paraId="14FCE3A9" w14:textId="77777777" w:rsidR="00735A04" w:rsidRPr="00030ED3" w:rsidRDefault="00735A04" w:rsidP="00030ED3">
      <w:pPr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6.2</w:t>
      </w:r>
      <w:r w:rsidRPr="00030ED3">
        <w:rPr>
          <w:b/>
          <w:sz w:val="22"/>
          <w:szCs w:val="22"/>
        </w:rPr>
        <w:tab/>
        <w:t>Inkompatibilitások</w:t>
      </w:r>
    </w:p>
    <w:p w14:paraId="44B67B9F" w14:textId="77777777" w:rsidR="00735A04" w:rsidRPr="00030ED3" w:rsidRDefault="00735A04" w:rsidP="00030ED3">
      <w:pPr>
        <w:rPr>
          <w:sz w:val="22"/>
          <w:szCs w:val="22"/>
        </w:rPr>
      </w:pPr>
    </w:p>
    <w:p w14:paraId="27B16991" w14:textId="77777777" w:rsidR="00735A04" w:rsidRPr="00030ED3" w:rsidRDefault="003F2F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Ez a gyógyszer</w:t>
      </w:r>
      <w:r w:rsidR="000B4E86" w:rsidRPr="00030ED3">
        <w:rPr>
          <w:sz w:val="22"/>
          <w:szCs w:val="22"/>
        </w:rPr>
        <w:t xml:space="preserve"> kizárólag</w:t>
      </w:r>
      <w:r w:rsidRPr="00030ED3">
        <w:rPr>
          <w:sz w:val="22"/>
          <w:szCs w:val="22"/>
        </w:rPr>
        <w:t xml:space="preserve"> a 6.6 pontban felsorolt gyógyszerek</w:t>
      </w:r>
      <w:r w:rsidR="000B4E86" w:rsidRPr="00030ED3">
        <w:rPr>
          <w:sz w:val="22"/>
          <w:szCs w:val="22"/>
        </w:rPr>
        <w:t>kel</w:t>
      </w:r>
      <w:r w:rsidRPr="00030ED3">
        <w:rPr>
          <w:sz w:val="22"/>
          <w:szCs w:val="22"/>
        </w:rPr>
        <w:t xml:space="preserve"> kever</w:t>
      </w:r>
      <w:r w:rsidR="000B4E86" w:rsidRPr="00030ED3">
        <w:rPr>
          <w:sz w:val="22"/>
          <w:szCs w:val="22"/>
        </w:rPr>
        <w:t>hető</w:t>
      </w:r>
      <w:r w:rsidRPr="00030ED3">
        <w:rPr>
          <w:sz w:val="22"/>
          <w:szCs w:val="22"/>
        </w:rPr>
        <w:t>.</w:t>
      </w:r>
    </w:p>
    <w:p w14:paraId="5C2B9B3E" w14:textId="77777777" w:rsidR="00735A04" w:rsidRPr="00030ED3" w:rsidRDefault="00735A04" w:rsidP="00030ED3">
      <w:pPr>
        <w:rPr>
          <w:sz w:val="22"/>
          <w:szCs w:val="22"/>
        </w:rPr>
      </w:pPr>
    </w:p>
    <w:p w14:paraId="0FEF82E0" w14:textId="77777777" w:rsidR="00735A04" w:rsidRPr="00030ED3" w:rsidRDefault="00735A04" w:rsidP="00030ED3">
      <w:pPr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6.3</w:t>
      </w:r>
      <w:r w:rsidRPr="00030ED3">
        <w:rPr>
          <w:b/>
          <w:sz w:val="22"/>
          <w:szCs w:val="22"/>
        </w:rPr>
        <w:tab/>
        <w:t>Felhasználhatósági időtartam</w:t>
      </w:r>
    </w:p>
    <w:p w14:paraId="727C8DAF" w14:textId="77777777" w:rsidR="00735A04" w:rsidRPr="00030ED3" w:rsidRDefault="00735A04" w:rsidP="00030ED3">
      <w:pPr>
        <w:rPr>
          <w:sz w:val="22"/>
          <w:szCs w:val="22"/>
        </w:rPr>
      </w:pPr>
    </w:p>
    <w:p w14:paraId="2F546943" w14:textId="2608B5C5" w:rsidR="00735A04" w:rsidRPr="00030ED3" w:rsidRDefault="003F2F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Bontatlan</w:t>
      </w:r>
      <w:r w:rsidR="0056191A">
        <w:rPr>
          <w:sz w:val="22"/>
          <w:szCs w:val="22"/>
        </w:rPr>
        <w:t xml:space="preserve"> csomagolásban</w:t>
      </w:r>
      <w:r w:rsidRPr="00030ED3">
        <w:rPr>
          <w:sz w:val="22"/>
          <w:szCs w:val="22"/>
        </w:rPr>
        <w:t xml:space="preserve">: </w:t>
      </w:r>
      <w:r w:rsidR="00735A04" w:rsidRPr="00030ED3">
        <w:rPr>
          <w:sz w:val="22"/>
          <w:szCs w:val="22"/>
        </w:rPr>
        <w:t>2</w:t>
      </w:r>
      <w:r w:rsidR="004E5756" w:rsidRPr="00030ED3">
        <w:rPr>
          <w:sz w:val="22"/>
          <w:szCs w:val="22"/>
        </w:rPr>
        <w:t> </w:t>
      </w:r>
      <w:r w:rsidR="00735A04" w:rsidRPr="00030ED3">
        <w:rPr>
          <w:sz w:val="22"/>
          <w:szCs w:val="22"/>
        </w:rPr>
        <w:t>év.</w:t>
      </w:r>
    </w:p>
    <w:p w14:paraId="5456FE63" w14:textId="77777777" w:rsidR="00C31627" w:rsidRPr="00030ED3" w:rsidRDefault="00C31627" w:rsidP="00030ED3">
      <w:pPr>
        <w:rPr>
          <w:sz w:val="22"/>
          <w:szCs w:val="22"/>
        </w:rPr>
      </w:pPr>
    </w:p>
    <w:p w14:paraId="286A0E02" w14:textId="1F6E54BF" w:rsidR="003F2FA6" w:rsidRPr="00030ED3" w:rsidRDefault="003F2F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feloldás vagy </w:t>
      </w:r>
      <w:r w:rsidR="0056191A">
        <w:rPr>
          <w:sz w:val="22"/>
          <w:szCs w:val="22"/>
        </w:rPr>
        <w:t xml:space="preserve">a </w:t>
      </w:r>
      <w:r w:rsidRPr="00030ED3">
        <w:rPr>
          <w:sz w:val="22"/>
          <w:szCs w:val="22"/>
        </w:rPr>
        <w:t>feloldás és hígítás után</w:t>
      </w:r>
      <w:r w:rsidR="00A114E6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kémiai és fizikai stabilitás</w:t>
      </w:r>
      <w:r w:rsidR="0056191A">
        <w:rPr>
          <w:sz w:val="22"/>
          <w:szCs w:val="22"/>
        </w:rPr>
        <w:t>a szobahőmérsékleten</w:t>
      </w:r>
      <w:r w:rsidRPr="00030ED3">
        <w:rPr>
          <w:sz w:val="22"/>
          <w:szCs w:val="22"/>
        </w:rPr>
        <w:t xml:space="preserve"> </w:t>
      </w:r>
      <w:r w:rsidR="0056191A">
        <w:rPr>
          <w:sz w:val="22"/>
          <w:szCs w:val="22"/>
        </w:rPr>
        <w:t>(</w:t>
      </w:r>
      <w:r w:rsidR="00D10DD1" w:rsidRPr="00030ED3">
        <w:rPr>
          <w:sz w:val="22"/>
          <w:szCs w:val="22"/>
        </w:rPr>
        <w:t>25 </w:t>
      </w:r>
      <w:r w:rsidRPr="00030ED3">
        <w:rPr>
          <w:sz w:val="22"/>
          <w:szCs w:val="22"/>
        </w:rPr>
        <w:t>°C</w:t>
      </w:r>
      <w:r w:rsidR="00A3454A" w:rsidRPr="00030ED3">
        <w:rPr>
          <w:sz w:val="22"/>
          <w:szCs w:val="22"/>
        </w:rPr>
        <w:t>±</w:t>
      </w:r>
      <w:r w:rsidR="002B37AE" w:rsidRPr="00030ED3">
        <w:rPr>
          <w:sz w:val="22"/>
          <w:szCs w:val="22"/>
        </w:rPr>
        <w:t> </w:t>
      </w:r>
      <w:r w:rsidR="00A3454A" w:rsidRPr="00030ED3">
        <w:rPr>
          <w:sz w:val="22"/>
          <w:szCs w:val="22"/>
        </w:rPr>
        <w:t>2 °C) 24 </w:t>
      </w:r>
      <w:r w:rsidRPr="00030ED3">
        <w:rPr>
          <w:sz w:val="22"/>
          <w:szCs w:val="22"/>
        </w:rPr>
        <w:t>ór</w:t>
      </w:r>
      <w:r w:rsidR="0038505D" w:rsidRPr="00030ED3">
        <w:rPr>
          <w:sz w:val="22"/>
          <w:szCs w:val="22"/>
        </w:rPr>
        <w:t>á</w:t>
      </w:r>
      <w:r w:rsidR="0056191A">
        <w:rPr>
          <w:sz w:val="22"/>
          <w:szCs w:val="22"/>
        </w:rPr>
        <w:t>n át igazolt</w:t>
      </w:r>
      <w:r w:rsidRPr="00030ED3">
        <w:rPr>
          <w:sz w:val="22"/>
          <w:szCs w:val="22"/>
        </w:rPr>
        <w:t>.</w:t>
      </w:r>
    </w:p>
    <w:p w14:paraId="07A827BD" w14:textId="77777777" w:rsidR="00D51C88" w:rsidRPr="00030ED3" w:rsidRDefault="00D51C88" w:rsidP="00030ED3">
      <w:pPr>
        <w:rPr>
          <w:sz w:val="22"/>
          <w:szCs w:val="22"/>
        </w:rPr>
      </w:pPr>
    </w:p>
    <w:p w14:paraId="5F4C2865" w14:textId="66B5DD01" w:rsidR="00A3454A" w:rsidRPr="00030ED3" w:rsidRDefault="003F2F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Mikrobiológiai </w:t>
      </w:r>
      <w:r w:rsidR="0056191A">
        <w:rPr>
          <w:sz w:val="22"/>
          <w:szCs w:val="22"/>
        </w:rPr>
        <w:t xml:space="preserve">szempontból </w:t>
      </w:r>
      <w:r w:rsidRPr="00030ED3">
        <w:rPr>
          <w:sz w:val="22"/>
          <w:szCs w:val="22"/>
        </w:rPr>
        <w:t xml:space="preserve">a </w:t>
      </w:r>
      <w:r w:rsidR="003E6069" w:rsidRPr="00030ED3">
        <w:rPr>
          <w:sz w:val="22"/>
          <w:szCs w:val="22"/>
        </w:rPr>
        <w:t>készítményt</w:t>
      </w:r>
      <w:r w:rsidRPr="00030ED3">
        <w:rPr>
          <w:sz w:val="22"/>
          <w:szCs w:val="22"/>
        </w:rPr>
        <w:t xml:space="preserve"> azonnal fel kell használni.</w:t>
      </w:r>
    </w:p>
    <w:p w14:paraId="658901D4" w14:textId="77777777" w:rsidR="00A3454A" w:rsidRPr="00030ED3" w:rsidRDefault="00A3454A" w:rsidP="00030ED3">
      <w:pPr>
        <w:rPr>
          <w:sz w:val="22"/>
          <w:szCs w:val="22"/>
        </w:rPr>
      </w:pPr>
    </w:p>
    <w:p w14:paraId="59093C4D" w14:textId="6A2E78F6" w:rsidR="00AC4FAE" w:rsidRPr="00030ED3" w:rsidRDefault="003F2FA6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Amennyiben nem kerül azonnali felhasználásra, </w:t>
      </w:r>
      <w:r w:rsidR="003D7ABF" w:rsidRPr="00030ED3">
        <w:rPr>
          <w:sz w:val="22"/>
          <w:szCs w:val="22"/>
          <w:lang w:bidi="hu-HU"/>
        </w:rPr>
        <w:t xml:space="preserve">a gyógyszer </w:t>
      </w:r>
      <w:r w:rsidR="0038505D" w:rsidRPr="00030ED3">
        <w:rPr>
          <w:sz w:val="22"/>
          <w:szCs w:val="22"/>
          <w:lang w:bidi="hu-HU"/>
        </w:rPr>
        <w:t xml:space="preserve">alkalmazásig </w:t>
      </w:r>
      <w:r w:rsidR="003D7ABF" w:rsidRPr="00030ED3">
        <w:rPr>
          <w:sz w:val="22"/>
          <w:szCs w:val="22"/>
          <w:lang w:bidi="hu-HU"/>
        </w:rPr>
        <w:t>történő</w:t>
      </w:r>
      <w:r w:rsidR="0038505D" w:rsidRPr="00030ED3">
        <w:rPr>
          <w:sz w:val="22"/>
          <w:szCs w:val="22"/>
          <w:lang w:bidi="hu-HU"/>
        </w:rPr>
        <w:t xml:space="preserve"> tárolás</w:t>
      </w:r>
      <w:r w:rsidR="003D7ABF" w:rsidRPr="00030ED3">
        <w:rPr>
          <w:sz w:val="22"/>
          <w:szCs w:val="22"/>
          <w:lang w:bidi="hu-HU"/>
        </w:rPr>
        <w:t>ának</w:t>
      </w:r>
      <w:r w:rsidR="0038505D" w:rsidRPr="00030ED3">
        <w:rPr>
          <w:sz w:val="22"/>
          <w:szCs w:val="22"/>
          <w:lang w:bidi="hu-HU"/>
        </w:rPr>
        <w:t xml:space="preserve"> időtartama és körülménye</w:t>
      </w:r>
      <w:r w:rsidR="003D7ABF" w:rsidRPr="00030ED3">
        <w:rPr>
          <w:sz w:val="22"/>
          <w:szCs w:val="22"/>
          <w:lang w:bidi="hu-HU"/>
        </w:rPr>
        <w:t>i</w:t>
      </w:r>
      <w:r w:rsidR="0038505D" w:rsidRPr="00030ED3">
        <w:rPr>
          <w:sz w:val="22"/>
          <w:szCs w:val="22"/>
          <w:lang w:bidi="hu-HU"/>
        </w:rPr>
        <w:t xml:space="preserve"> a</w:t>
      </w:r>
      <w:r w:rsidR="00A114E6" w:rsidRPr="00030ED3">
        <w:rPr>
          <w:sz w:val="22"/>
          <w:szCs w:val="22"/>
          <w:lang w:bidi="hu-HU"/>
        </w:rPr>
        <w:t>z alkalmazó</w:t>
      </w:r>
      <w:r w:rsidR="0038505D" w:rsidRPr="00030ED3">
        <w:rPr>
          <w:sz w:val="22"/>
          <w:szCs w:val="22"/>
          <w:lang w:bidi="hu-HU"/>
        </w:rPr>
        <w:t xml:space="preserve"> felelőssége</w:t>
      </w:r>
      <w:r w:rsidR="00A3454A" w:rsidRPr="00030ED3">
        <w:rPr>
          <w:sz w:val="22"/>
          <w:szCs w:val="22"/>
          <w:lang w:bidi="hu-HU"/>
        </w:rPr>
        <w:t>.</w:t>
      </w:r>
    </w:p>
    <w:p w14:paraId="525B2A1E" w14:textId="77777777" w:rsidR="00735A04" w:rsidRPr="00030ED3" w:rsidRDefault="00735A04" w:rsidP="00030ED3">
      <w:pPr>
        <w:rPr>
          <w:sz w:val="22"/>
          <w:szCs w:val="22"/>
        </w:rPr>
      </w:pPr>
    </w:p>
    <w:p w14:paraId="0E6B9A11" w14:textId="77777777" w:rsidR="00735A04" w:rsidRPr="00030ED3" w:rsidRDefault="00735A04" w:rsidP="00030ED3">
      <w:pPr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6.4</w:t>
      </w:r>
      <w:r w:rsidRPr="00030ED3">
        <w:rPr>
          <w:b/>
          <w:sz w:val="22"/>
          <w:szCs w:val="22"/>
        </w:rPr>
        <w:tab/>
        <w:t>Különleges tárolási előírások</w:t>
      </w:r>
    </w:p>
    <w:p w14:paraId="5102377F" w14:textId="77777777" w:rsidR="00735A04" w:rsidRPr="00030ED3" w:rsidRDefault="00735A04" w:rsidP="00030ED3">
      <w:pPr>
        <w:rPr>
          <w:sz w:val="22"/>
          <w:szCs w:val="22"/>
        </w:rPr>
      </w:pPr>
    </w:p>
    <w:p w14:paraId="5D17DB40" w14:textId="38A28F4F" w:rsidR="00A114E6" w:rsidRPr="00030ED3" w:rsidRDefault="00735A04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Legfeljebb </w:t>
      </w:r>
      <w:r w:rsidR="00A3454A" w:rsidRPr="00030ED3">
        <w:rPr>
          <w:sz w:val="22"/>
          <w:szCs w:val="22"/>
        </w:rPr>
        <w:t>25 </w:t>
      </w:r>
      <w:r w:rsidR="000B0FD9" w:rsidRPr="00030ED3">
        <w:rPr>
          <w:sz w:val="22"/>
          <w:szCs w:val="22"/>
        </w:rPr>
        <w:t>°</w:t>
      </w:r>
      <w:r w:rsidRPr="00030ED3">
        <w:rPr>
          <w:sz w:val="22"/>
          <w:szCs w:val="22"/>
        </w:rPr>
        <w:t>C</w:t>
      </w:r>
      <w:r w:rsidR="002B37AE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on</w:t>
      </w:r>
      <w:r w:rsidR="006F351C" w:rsidRPr="00030ED3">
        <w:rPr>
          <w:sz w:val="22"/>
          <w:szCs w:val="22"/>
        </w:rPr>
        <w:t xml:space="preserve"> tárolandó.</w:t>
      </w:r>
      <w:r w:rsidR="00BD31CD" w:rsidRPr="00030ED3">
        <w:rPr>
          <w:sz w:val="22"/>
          <w:szCs w:val="22"/>
        </w:rPr>
        <w:t xml:space="preserve"> </w:t>
      </w:r>
    </w:p>
    <w:p w14:paraId="77431777" w14:textId="77777777" w:rsidR="00735A04" w:rsidRPr="00030ED3" w:rsidRDefault="00BD31CD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fénytől való védelem érdekében a</w:t>
      </w:r>
      <w:r w:rsidR="002C6457" w:rsidRPr="00030ED3">
        <w:rPr>
          <w:sz w:val="22"/>
          <w:szCs w:val="22"/>
        </w:rPr>
        <w:t xml:space="preserve">z injekciós üveget </w:t>
      </w:r>
      <w:r w:rsidR="006F351C" w:rsidRPr="00030ED3">
        <w:rPr>
          <w:sz w:val="22"/>
          <w:szCs w:val="22"/>
        </w:rPr>
        <w:t>tartsa a dobozában</w:t>
      </w:r>
      <w:r w:rsidR="00735A04" w:rsidRPr="00030ED3">
        <w:rPr>
          <w:sz w:val="22"/>
          <w:szCs w:val="22"/>
        </w:rPr>
        <w:t>.</w:t>
      </w:r>
    </w:p>
    <w:p w14:paraId="63E81BAD" w14:textId="77777777" w:rsidR="006F351C" w:rsidRPr="00030ED3" w:rsidRDefault="006F351C" w:rsidP="00030ED3">
      <w:pPr>
        <w:rPr>
          <w:sz w:val="22"/>
          <w:szCs w:val="22"/>
        </w:rPr>
      </w:pPr>
    </w:p>
    <w:p w14:paraId="5A7AA7F8" w14:textId="77777777" w:rsidR="00C725BA" w:rsidRPr="00030ED3" w:rsidRDefault="003D7ABF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gyógyszer feloldás vagy feloldás és hígítás utáni tárolására</w:t>
      </w:r>
      <w:r w:rsidR="006F351C" w:rsidRPr="00030ED3">
        <w:rPr>
          <w:sz w:val="22"/>
          <w:szCs w:val="22"/>
        </w:rPr>
        <w:t xml:space="preserve"> vonatkozó </w:t>
      </w:r>
      <w:r w:rsidR="006F351C" w:rsidRPr="00030ED3">
        <w:rPr>
          <w:noProof/>
          <w:sz w:val="22"/>
          <w:szCs w:val="22"/>
        </w:rPr>
        <w:t>előírásokat</w:t>
      </w:r>
      <w:r w:rsidR="006F351C" w:rsidRPr="00030ED3">
        <w:rPr>
          <w:sz w:val="22"/>
          <w:szCs w:val="22"/>
        </w:rPr>
        <w:t xml:space="preserve"> lásd a 6.3 pontban.</w:t>
      </w:r>
    </w:p>
    <w:p w14:paraId="2E8AB30E" w14:textId="77777777" w:rsidR="00C725BA" w:rsidRPr="00030ED3" w:rsidRDefault="00C725BA" w:rsidP="00030ED3">
      <w:pPr>
        <w:rPr>
          <w:sz w:val="22"/>
          <w:szCs w:val="22"/>
        </w:rPr>
      </w:pPr>
    </w:p>
    <w:p w14:paraId="1A03F163" w14:textId="77777777" w:rsidR="00C725BA" w:rsidRPr="00030ED3" w:rsidRDefault="00735A04" w:rsidP="00030ED3">
      <w:pPr>
        <w:rPr>
          <w:sz w:val="22"/>
          <w:szCs w:val="22"/>
        </w:rPr>
      </w:pPr>
      <w:r w:rsidRPr="00030ED3">
        <w:rPr>
          <w:b/>
          <w:sz w:val="22"/>
          <w:szCs w:val="22"/>
        </w:rPr>
        <w:t>6.5</w:t>
      </w:r>
      <w:r w:rsidRPr="00030ED3">
        <w:rPr>
          <w:b/>
          <w:sz w:val="22"/>
          <w:szCs w:val="22"/>
        </w:rPr>
        <w:tab/>
        <w:t>Csomagolás típusa és kiszerelése</w:t>
      </w:r>
    </w:p>
    <w:p w14:paraId="24501984" w14:textId="16086E69" w:rsidR="00C725BA" w:rsidRPr="00030ED3" w:rsidRDefault="00C725BA" w:rsidP="00030ED3">
      <w:pPr>
        <w:rPr>
          <w:sz w:val="22"/>
          <w:szCs w:val="22"/>
        </w:rPr>
      </w:pPr>
    </w:p>
    <w:p w14:paraId="2FEF996C" w14:textId="45E0A062" w:rsidR="00C725BA" w:rsidRPr="00030ED3" w:rsidRDefault="00A3454A" w:rsidP="00030ED3">
      <w:pPr>
        <w:rPr>
          <w:sz w:val="22"/>
          <w:szCs w:val="22"/>
        </w:rPr>
      </w:pPr>
      <w:bookmarkStart w:id="0" w:name="_Hlk179362626"/>
      <w:r w:rsidRPr="00030ED3">
        <w:rPr>
          <w:sz w:val="22"/>
          <w:szCs w:val="22"/>
        </w:rPr>
        <w:t>40 mg oldatos injekcióhoz való port tartalmazó</w:t>
      </w:r>
      <w:r w:rsidR="008F38D8" w:rsidRPr="00030ED3">
        <w:rPr>
          <w:sz w:val="22"/>
          <w:szCs w:val="22"/>
        </w:rPr>
        <w:t>,</w:t>
      </w:r>
      <w:r w:rsidR="00154007" w:rsidRPr="00030ED3">
        <w:rPr>
          <w:sz w:val="22"/>
          <w:szCs w:val="22"/>
        </w:rPr>
        <w:t xml:space="preserve"> </w:t>
      </w:r>
      <w:r w:rsidR="00AB2E61" w:rsidRPr="00030ED3">
        <w:rPr>
          <w:sz w:val="22"/>
          <w:szCs w:val="22"/>
        </w:rPr>
        <w:t xml:space="preserve">szürke </w:t>
      </w:r>
      <w:r w:rsidR="00021BFD" w:rsidRPr="00030ED3">
        <w:rPr>
          <w:sz w:val="22"/>
          <w:szCs w:val="22"/>
        </w:rPr>
        <w:t>gumidugóval és</w:t>
      </w:r>
      <w:r w:rsidR="00867F77" w:rsidRPr="00030ED3">
        <w:rPr>
          <w:sz w:val="22"/>
          <w:szCs w:val="22"/>
        </w:rPr>
        <w:t xml:space="preserve"> alumínium</w:t>
      </w:r>
      <w:r w:rsidR="00095F34">
        <w:rPr>
          <w:sz w:val="22"/>
          <w:szCs w:val="22"/>
        </w:rPr>
        <w:t>-</w:t>
      </w:r>
      <w:r w:rsidR="00867F77" w:rsidRPr="00030ED3">
        <w:rPr>
          <w:sz w:val="22"/>
          <w:szCs w:val="22"/>
        </w:rPr>
        <w:t>kupakkal</w:t>
      </w:r>
      <w:r w:rsidR="00613D5C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lezárt 10 ml</w:t>
      </w:r>
      <w:r w:rsidR="002B37AE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es, színtelen injekciós üveg</w:t>
      </w:r>
      <w:r w:rsidR="00867F77" w:rsidRPr="00030ED3">
        <w:rPr>
          <w:sz w:val="22"/>
          <w:szCs w:val="22"/>
        </w:rPr>
        <w:t>.</w:t>
      </w:r>
      <w:bookmarkEnd w:id="0"/>
    </w:p>
    <w:p w14:paraId="6FA1CC1E" w14:textId="5F21F591" w:rsidR="006F351C" w:rsidRPr="00030ED3" w:rsidRDefault="006F351C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Kiszerelés: 1 db</w:t>
      </w:r>
      <w:r w:rsidR="00867F77" w:rsidRPr="00030ED3">
        <w:rPr>
          <w:sz w:val="22"/>
          <w:szCs w:val="22"/>
        </w:rPr>
        <w:t xml:space="preserve">, </w:t>
      </w:r>
      <w:r w:rsidR="007C6498" w:rsidRPr="00030ED3">
        <w:rPr>
          <w:sz w:val="22"/>
          <w:szCs w:val="22"/>
        </w:rPr>
        <w:t xml:space="preserve">5 db, </w:t>
      </w:r>
      <w:r w:rsidR="008314FE" w:rsidRPr="00030ED3">
        <w:rPr>
          <w:sz w:val="22"/>
          <w:szCs w:val="22"/>
        </w:rPr>
        <w:t xml:space="preserve">10 db, 50 db </w:t>
      </w:r>
      <w:r w:rsidR="00A3454A" w:rsidRPr="00030ED3">
        <w:rPr>
          <w:sz w:val="22"/>
          <w:szCs w:val="22"/>
        </w:rPr>
        <w:t xml:space="preserve">oldatos injekcióhoz való port tartalmazó </w:t>
      </w:r>
      <w:r w:rsidRPr="00030ED3">
        <w:rPr>
          <w:sz w:val="22"/>
          <w:szCs w:val="22"/>
        </w:rPr>
        <w:t>injekciós üveg</w:t>
      </w:r>
      <w:r w:rsidR="0056191A">
        <w:rPr>
          <w:sz w:val="22"/>
          <w:szCs w:val="22"/>
        </w:rPr>
        <w:t xml:space="preserve"> dobozban.</w:t>
      </w:r>
    </w:p>
    <w:p w14:paraId="2D209615" w14:textId="77777777" w:rsidR="00735A04" w:rsidRPr="00030ED3" w:rsidRDefault="00735A04" w:rsidP="00030ED3">
      <w:pPr>
        <w:rPr>
          <w:sz w:val="22"/>
          <w:szCs w:val="22"/>
          <w:shd w:val="clear" w:color="auto" w:fill="FFFF00"/>
        </w:rPr>
      </w:pPr>
    </w:p>
    <w:p w14:paraId="562A6EC8" w14:textId="77777777" w:rsidR="00867F77" w:rsidRPr="00030ED3" w:rsidRDefault="00867F77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Nem feltétlenül kerül mindegyik kiszerelés kereskedelmi forgalomba.</w:t>
      </w:r>
    </w:p>
    <w:p w14:paraId="34E8CF9D" w14:textId="77777777" w:rsidR="00867F77" w:rsidRPr="00030ED3" w:rsidRDefault="00867F77" w:rsidP="00030ED3">
      <w:pPr>
        <w:rPr>
          <w:sz w:val="22"/>
          <w:szCs w:val="22"/>
          <w:shd w:val="clear" w:color="auto" w:fill="FFFF00"/>
        </w:rPr>
      </w:pPr>
    </w:p>
    <w:p w14:paraId="62719585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6.6</w:t>
      </w:r>
      <w:r w:rsidRPr="00030ED3">
        <w:rPr>
          <w:b/>
          <w:sz w:val="22"/>
          <w:szCs w:val="22"/>
        </w:rPr>
        <w:tab/>
        <w:t xml:space="preserve">A </w:t>
      </w:r>
      <w:r w:rsidR="00A844BF" w:rsidRPr="00030ED3">
        <w:rPr>
          <w:b/>
          <w:sz w:val="22"/>
          <w:szCs w:val="22"/>
        </w:rPr>
        <w:t xml:space="preserve">megsemmisítésre vonatkozó különleges óvintézkedések és egyéb, a </w:t>
      </w:r>
      <w:r w:rsidRPr="00030ED3">
        <w:rPr>
          <w:b/>
          <w:sz w:val="22"/>
          <w:szCs w:val="22"/>
        </w:rPr>
        <w:t>készítmény kezelésé</w:t>
      </w:r>
      <w:r w:rsidR="00A844BF" w:rsidRPr="00030ED3">
        <w:rPr>
          <w:b/>
          <w:sz w:val="22"/>
          <w:szCs w:val="22"/>
        </w:rPr>
        <w:t>vel kapcsolatos információk</w:t>
      </w:r>
    </w:p>
    <w:p w14:paraId="3A820734" w14:textId="77777777" w:rsidR="00735A04" w:rsidRPr="00030ED3" w:rsidRDefault="00735A04" w:rsidP="00030ED3">
      <w:pPr>
        <w:rPr>
          <w:sz w:val="22"/>
          <w:szCs w:val="22"/>
        </w:rPr>
      </w:pPr>
    </w:p>
    <w:p w14:paraId="295B2158" w14:textId="34D6B4FC" w:rsidR="006F351C" w:rsidRPr="00030ED3" w:rsidRDefault="006F351C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beadandó oldatot úgy kell elkészíteni, hogy 10 ml 9 mg/ml</w:t>
      </w:r>
      <w:r w:rsidRPr="00030ED3">
        <w:rPr>
          <w:sz w:val="22"/>
          <w:szCs w:val="22"/>
        </w:rPr>
        <w:noBreakHyphen/>
        <w:t>es (0,9%</w:t>
      </w:r>
      <w:r w:rsidR="002B37AE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 xml:space="preserve">os) nátrium-klorid oldatos injekciót fecskendezünk a port tartalmazó injekciós üvegbe. A </w:t>
      </w:r>
      <w:r w:rsidR="00A3454A" w:rsidRPr="00030ED3">
        <w:rPr>
          <w:sz w:val="22"/>
          <w:szCs w:val="22"/>
        </w:rPr>
        <w:t xml:space="preserve">készítmény </w:t>
      </w:r>
      <w:r w:rsidRPr="00030ED3">
        <w:rPr>
          <w:sz w:val="22"/>
          <w:szCs w:val="22"/>
        </w:rPr>
        <w:t xml:space="preserve">a </w:t>
      </w:r>
      <w:r w:rsidR="00351FA0" w:rsidRPr="00030ED3">
        <w:rPr>
          <w:sz w:val="22"/>
          <w:szCs w:val="22"/>
        </w:rPr>
        <w:t>feloldás</w:t>
      </w:r>
      <w:r w:rsidRPr="00030ED3">
        <w:rPr>
          <w:sz w:val="22"/>
          <w:szCs w:val="22"/>
        </w:rPr>
        <w:t xml:space="preserve"> után </w:t>
      </w:r>
      <w:r w:rsidR="00116A05" w:rsidRPr="00030ED3">
        <w:rPr>
          <w:sz w:val="22"/>
          <w:szCs w:val="22"/>
        </w:rPr>
        <w:t>tiszta sárgás színű</w:t>
      </w:r>
      <w:r w:rsidR="007806B4" w:rsidRPr="00030ED3">
        <w:rPr>
          <w:sz w:val="22"/>
          <w:szCs w:val="22"/>
        </w:rPr>
        <w:t xml:space="preserve"> </w:t>
      </w:r>
      <w:r w:rsidR="00A3454A" w:rsidRPr="00030ED3">
        <w:rPr>
          <w:sz w:val="22"/>
          <w:szCs w:val="22"/>
        </w:rPr>
        <w:t xml:space="preserve">oldat </w:t>
      </w:r>
      <w:r w:rsidR="00BF5DFF" w:rsidRPr="00030ED3">
        <w:rPr>
          <w:sz w:val="22"/>
          <w:szCs w:val="22"/>
        </w:rPr>
        <w:t>lesz</w:t>
      </w:r>
      <w:r w:rsidRPr="00030ED3">
        <w:rPr>
          <w:sz w:val="22"/>
          <w:szCs w:val="22"/>
        </w:rPr>
        <w:t>. Ez az oldat beadható közvetlenül vagy 100 ml 9 mg/ml</w:t>
      </w:r>
      <w:r w:rsidRPr="00030ED3">
        <w:rPr>
          <w:sz w:val="22"/>
          <w:szCs w:val="22"/>
        </w:rPr>
        <w:noBreakHyphen/>
        <w:t>es (0,9%</w:t>
      </w:r>
      <w:r w:rsidR="002B37AE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>os) nátrium-klorid oldatos injekcióval vagy 5</w:t>
      </w:r>
      <w:r w:rsidR="004B7C37">
        <w:rPr>
          <w:sz w:val="22"/>
          <w:szCs w:val="22"/>
        </w:rPr>
        <w:t>0</w:t>
      </w:r>
      <w:r w:rsidRPr="00030ED3">
        <w:rPr>
          <w:sz w:val="22"/>
          <w:szCs w:val="22"/>
        </w:rPr>
        <w:t> mg/ml (5%</w:t>
      </w:r>
      <w:r w:rsidR="002B37AE" w:rsidRPr="00030ED3">
        <w:rPr>
          <w:sz w:val="22"/>
          <w:szCs w:val="22"/>
        </w:rPr>
        <w:noBreakHyphen/>
      </w:r>
      <w:r w:rsidRPr="00030ED3">
        <w:rPr>
          <w:sz w:val="22"/>
          <w:szCs w:val="22"/>
        </w:rPr>
        <w:t xml:space="preserve">os) glükóz oldatos injekcióval történő hígítás után. A </w:t>
      </w:r>
      <w:r w:rsidR="009E6B77" w:rsidRPr="00030ED3">
        <w:rPr>
          <w:sz w:val="22"/>
          <w:szCs w:val="22"/>
        </w:rPr>
        <w:t>hígítás</w:t>
      </w:r>
      <w:r w:rsidR="00B16303" w:rsidRPr="00030ED3">
        <w:rPr>
          <w:sz w:val="22"/>
          <w:szCs w:val="22"/>
        </w:rPr>
        <w:t>ra</w:t>
      </w:r>
      <w:r w:rsidRPr="00030ED3">
        <w:rPr>
          <w:sz w:val="22"/>
          <w:szCs w:val="22"/>
        </w:rPr>
        <w:t xml:space="preserve"> </w:t>
      </w:r>
      <w:r w:rsidR="00BF5DFF" w:rsidRPr="00030ED3">
        <w:rPr>
          <w:sz w:val="22"/>
          <w:szCs w:val="22"/>
        </w:rPr>
        <w:t xml:space="preserve">csak </w:t>
      </w:r>
      <w:r w:rsidRPr="00030ED3">
        <w:rPr>
          <w:sz w:val="22"/>
          <w:szCs w:val="22"/>
        </w:rPr>
        <w:t>üveg</w:t>
      </w:r>
      <w:r w:rsidR="00B16303" w:rsidRPr="00030ED3">
        <w:rPr>
          <w:sz w:val="22"/>
          <w:szCs w:val="22"/>
        </w:rPr>
        <w:t>ből</w:t>
      </w:r>
      <w:r w:rsidRPr="00030ED3">
        <w:rPr>
          <w:sz w:val="22"/>
          <w:szCs w:val="22"/>
        </w:rPr>
        <w:t xml:space="preserve"> vagy műanyag</w:t>
      </w:r>
      <w:r w:rsidR="00B16303" w:rsidRPr="00030ED3">
        <w:rPr>
          <w:sz w:val="22"/>
          <w:szCs w:val="22"/>
        </w:rPr>
        <w:t>ból készült</w:t>
      </w:r>
      <w:r w:rsidRPr="00030ED3">
        <w:rPr>
          <w:sz w:val="22"/>
          <w:szCs w:val="22"/>
        </w:rPr>
        <w:t xml:space="preserve"> edény</w:t>
      </w:r>
      <w:r w:rsidR="00AE7C7D" w:rsidRPr="00030ED3">
        <w:rPr>
          <w:sz w:val="22"/>
          <w:szCs w:val="22"/>
        </w:rPr>
        <w:t xml:space="preserve"> használható.</w:t>
      </w:r>
    </w:p>
    <w:p w14:paraId="281B0370" w14:textId="77777777" w:rsidR="006F351C" w:rsidRPr="00030ED3" w:rsidRDefault="006F351C" w:rsidP="00030ED3">
      <w:pPr>
        <w:rPr>
          <w:sz w:val="22"/>
          <w:szCs w:val="22"/>
        </w:rPr>
      </w:pPr>
    </w:p>
    <w:p w14:paraId="2F5FAAB1" w14:textId="1DCD6801" w:rsidR="006F351C" w:rsidRPr="00030ED3" w:rsidRDefault="006F351C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feloldás vagy </w:t>
      </w:r>
      <w:r w:rsidR="00F1334F" w:rsidRPr="00030ED3">
        <w:rPr>
          <w:sz w:val="22"/>
          <w:szCs w:val="22"/>
        </w:rPr>
        <w:t xml:space="preserve">a </w:t>
      </w:r>
      <w:r w:rsidRPr="00030ED3">
        <w:rPr>
          <w:sz w:val="22"/>
          <w:szCs w:val="22"/>
        </w:rPr>
        <w:t xml:space="preserve">feloldás és hígítás után a kémiai és fizikai stabilitása </w:t>
      </w:r>
      <w:r w:rsidR="009E6B77" w:rsidRPr="00030ED3">
        <w:rPr>
          <w:sz w:val="22"/>
          <w:szCs w:val="22"/>
        </w:rPr>
        <w:t>2</w:t>
      </w:r>
      <w:r w:rsidR="00004601" w:rsidRPr="00030ED3">
        <w:rPr>
          <w:sz w:val="22"/>
          <w:szCs w:val="22"/>
        </w:rPr>
        <w:t>5</w:t>
      </w:r>
      <w:r w:rsidR="00D2607A" w:rsidRPr="00030ED3">
        <w:rPr>
          <w:sz w:val="22"/>
          <w:szCs w:val="22"/>
        </w:rPr>
        <w:t> </w:t>
      </w:r>
      <w:r w:rsidR="009E6B77" w:rsidRPr="00030ED3">
        <w:rPr>
          <w:sz w:val="22"/>
          <w:szCs w:val="22"/>
        </w:rPr>
        <w:t>°C</w:t>
      </w:r>
      <w:r w:rsidR="002B37AE" w:rsidRPr="00030ED3">
        <w:rPr>
          <w:sz w:val="22"/>
          <w:szCs w:val="22"/>
        </w:rPr>
        <w:noBreakHyphen/>
      </w:r>
      <w:r w:rsidR="00004601" w:rsidRPr="00030ED3">
        <w:rPr>
          <w:sz w:val="22"/>
          <w:szCs w:val="22"/>
        </w:rPr>
        <w:t xml:space="preserve">on </w:t>
      </w:r>
      <w:r w:rsidR="00A3454A" w:rsidRPr="00030ED3">
        <w:rPr>
          <w:sz w:val="22"/>
          <w:szCs w:val="22"/>
        </w:rPr>
        <w:t>24 </w:t>
      </w:r>
      <w:r w:rsidRPr="00030ED3">
        <w:rPr>
          <w:sz w:val="22"/>
          <w:szCs w:val="22"/>
        </w:rPr>
        <w:t>óra.</w:t>
      </w:r>
    </w:p>
    <w:p w14:paraId="04241B53" w14:textId="77777777" w:rsidR="007806B4" w:rsidRPr="00030ED3" w:rsidRDefault="007806B4" w:rsidP="00030ED3">
      <w:pPr>
        <w:rPr>
          <w:sz w:val="22"/>
          <w:szCs w:val="22"/>
        </w:rPr>
      </w:pPr>
    </w:p>
    <w:p w14:paraId="4F5AC422" w14:textId="2BEA044F" w:rsidR="00A3454A" w:rsidRPr="00030ED3" w:rsidRDefault="006F351C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Mikrobiológiai </w:t>
      </w:r>
      <w:r w:rsidR="0056191A">
        <w:rPr>
          <w:sz w:val="22"/>
          <w:szCs w:val="22"/>
        </w:rPr>
        <w:t>szempontból</w:t>
      </w:r>
      <w:r w:rsidR="005D15BB" w:rsidRPr="00030ED3">
        <w:rPr>
          <w:sz w:val="22"/>
          <w:szCs w:val="22"/>
        </w:rPr>
        <w:t xml:space="preserve"> </w:t>
      </w:r>
      <w:r w:rsidRPr="00030ED3">
        <w:rPr>
          <w:sz w:val="22"/>
          <w:szCs w:val="22"/>
        </w:rPr>
        <w:t>a gyógyszert azonnal fel kell használni.</w:t>
      </w:r>
    </w:p>
    <w:p w14:paraId="4837FDDB" w14:textId="77777777" w:rsidR="00A3454A" w:rsidRPr="00030ED3" w:rsidRDefault="00A3454A" w:rsidP="00030ED3">
      <w:pPr>
        <w:rPr>
          <w:sz w:val="22"/>
          <w:szCs w:val="22"/>
        </w:rPr>
      </w:pPr>
    </w:p>
    <w:p w14:paraId="4D198400" w14:textId="6FB1EB83" w:rsidR="006F351C" w:rsidRPr="00030ED3" w:rsidRDefault="006F351C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 </w:t>
      </w:r>
      <w:r w:rsidR="00DE4C0D" w:rsidRPr="00030ED3">
        <w:rPr>
          <w:sz w:val="22"/>
          <w:szCs w:val="22"/>
        </w:rPr>
        <w:t>Pantoprazole Stada</w:t>
      </w:r>
      <w:r w:rsidRPr="00030ED3">
        <w:rPr>
          <w:sz w:val="22"/>
          <w:szCs w:val="22"/>
        </w:rPr>
        <w:t xml:space="preserve"> az itt megadott oldószereken kívül mással nem </w:t>
      </w:r>
      <w:r w:rsidR="005D15BB" w:rsidRPr="00030ED3">
        <w:rPr>
          <w:sz w:val="22"/>
          <w:szCs w:val="22"/>
        </w:rPr>
        <w:t xml:space="preserve">keverhető. </w:t>
      </w:r>
    </w:p>
    <w:p w14:paraId="66E9DB40" w14:textId="77777777" w:rsidR="00004601" w:rsidRPr="00030ED3" w:rsidRDefault="00004601" w:rsidP="00030ED3">
      <w:pPr>
        <w:rPr>
          <w:sz w:val="22"/>
          <w:szCs w:val="22"/>
        </w:rPr>
      </w:pPr>
    </w:p>
    <w:p w14:paraId="348D0BA1" w14:textId="77777777" w:rsidR="006F351C" w:rsidRPr="00030ED3" w:rsidRDefault="006F351C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gyógyszert intravénásan 2</w:t>
      </w:r>
      <w:r w:rsidR="00D2607A" w:rsidRPr="00030ED3">
        <w:rPr>
          <w:sz w:val="22"/>
          <w:szCs w:val="22"/>
        </w:rPr>
        <w:t>–</w:t>
      </w:r>
      <w:r w:rsidRPr="00030ED3">
        <w:rPr>
          <w:sz w:val="22"/>
          <w:szCs w:val="22"/>
        </w:rPr>
        <w:t>15 perc alatt kell beadni.</w:t>
      </w:r>
    </w:p>
    <w:p w14:paraId="0C1F4D19" w14:textId="77777777" w:rsidR="006F351C" w:rsidRPr="00030ED3" w:rsidRDefault="006F351C" w:rsidP="00030ED3">
      <w:pPr>
        <w:rPr>
          <w:sz w:val="22"/>
          <w:szCs w:val="22"/>
        </w:rPr>
      </w:pPr>
    </w:p>
    <w:p w14:paraId="27DD7347" w14:textId="2BE08E53" w:rsidR="000B0FD9" w:rsidRPr="00030ED3" w:rsidRDefault="009E6B77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 xml:space="preserve">Az injekciós üveg tartalma kizárólag egyszeri használatra alkalmas. </w:t>
      </w:r>
      <w:r w:rsidR="006F351C" w:rsidRPr="00030ED3">
        <w:rPr>
          <w:sz w:val="22"/>
          <w:szCs w:val="22"/>
        </w:rPr>
        <w:t xml:space="preserve">A megmaradt oldatot </w:t>
      </w:r>
      <w:r w:rsidR="00D2607A" w:rsidRPr="00030ED3">
        <w:rPr>
          <w:sz w:val="22"/>
          <w:szCs w:val="22"/>
        </w:rPr>
        <w:t>– </w:t>
      </w:r>
      <w:r w:rsidR="006F351C" w:rsidRPr="00030ED3">
        <w:rPr>
          <w:sz w:val="22"/>
          <w:szCs w:val="22"/>
        </w:rPr>
        <w:t xml:space="preserve">illetve amennyiben az oldat </w:t>
      </w:r>
      <w:r w:rsidR="00A76D6C" w:rsidRPr="00030ED3">
        <w:rPr>
          <w:sz w:val="22"/>
          <w:szCs w:val="22"/>
        </w:rPr>
        <w:t xml:space="preserve">külleme </w:t>
      </w:r>
      <w:r w:rsidR="006F351C" w:rsidRPr="00030ED3">
        <w:rPr>
          <w:sz w:val="22"/>
          <w:szCs w:val="22"/>
        </w:rPr>
        <w:t>szemmel láthatóan megváltozik (p</w:t>
      </w:r>
      <w:r w:rsidR="007C7910" w:rsidRPr="00030ED3">
        <w:rPr>
          <w:sz w:val="22"/>
          <w:szCs w:val="22"/>
        </w:rPr>
        <w:t>éldául,</w:t>
      </w:r>
      <w:r w:rsidR="006F351C" w:rsidRPr="00030ED3">
        <w:rPr>
          <w:sz w:val="22"/>
          <w:szCs w:val="22"/>
        </w:rPr>
        <w:t xml:space="preserve"> ha zavarosodás vagy kicsapódás figyelhető meg)</w:t>
      </w:r>
      <w:r w:rsidR="00D2607A" w:rsidRPr="00030ED3">
        <w:rPr>
          <w:sz w:val="22"/>
          <w:szCs w:val="22"/>
        </w:rPr>
        <w:t> </w:t>
      </w:r>
      <w:r w:rsidR="006F351C" w:rsidRPr="00030ED3">
        <w:rPr>
          <w:sz w:val="22"/>
          <w:szCs w:val="22"/>
        </w:rPr>
        <w:t xml:space="preserve">– </w:t>
      </w:r>
      <w:r w:rsidR="00585898" w:rsidRPr="00030ED3">
        <w:rPr>
          <w:sz w:val="22"/>
          <w:szCs w:val="22"/>
        </w:rPr>
        <w:t>a gyógyszerekre vonatkozó</w:t>
      </w:r>
      <w:r w:rsidR="00004601" w:rsidRPr="00030ED3">
        <w:rPr>
          <w:sz w:val="22"/>
          <w:szCs w:val="22"/>
        </w:rPr>
        <w:t xml:space="preserve"> helyi </w:t>
      </w:r>
      <w:r w:rsidR="006F351C" w:rsidRPr="00030ED3">
        <w:rPr>
          <w:sz w:val="22"/>
          <w:szCs w:val="22"/>
        </w:rPr>
        <w:t>előírások</w:t>
      </w:r>
      <w:r w:rsidR="000B0A89" w:rsidRPr="00030ED3">
        <w:rPr>
          <w:sz w:val="22"/>
          <w:szCs w:val="22"/>
        </w:rPr>
        <w:t xml:space="preserve"> szerint</w:t>
      </w:r>
      <w:r w:rsidR="006F351C" w:rsidRPr="00030ED3">
        <w:rPr>
          <w:sz w:val="22"/>
          <w:szCs w:val="22"/>
        </w:rPr>
        <w:t xml:space="preserve"> meg kell semmisíteni.</w:t>
      </w:r>
    </w:p>
    <w:p w14:paraId="759C314C" w14:textId="77777777" w:rsidR="00BB2876" w:rsidRPr="00030ED3" w:rsidRDefault="00BB2876" w:rsidP="00030ED3">
      <w:pPr>
        <w:rPr>
          <w:sz w:val="22"/>
          <w:szCs w:val="22"/>
        </w:rPr>
      </w:pPr>
    </w:p>
    <w:p w14:paraId="041C2DE5" w14:textId="4BB41F98" w:rsidR="00CD2F6C" w:rsidRPr="00030ED3" w:rsidRDefault="00CD2F6C" w:rsidP="00030ED3">
      <w:pPr>
        <w:rPr>
          <w:sz w:val="22"/>
          <w:szCs w:val="22"/>
          <w:lang w:eastAsia="hu-HU"/>
        </w:rPr>
      </w:pPr>
      <w:r w:rsidRPr="00030ED3">
        <w:rPr>
          <w:b/>
          <w:bCs/>
          <w:sz w:val="22"/>
          <w:szCs w:val="22"/>
        </w:rPr>
        <w:t xml:space="preserve">Megjegyzés: </w:t>
      </w:r>
      <w:r w:rsidR="00CB0E4B" w:rsidRPr="005B415B">
        <w:rPr>
          <w:rFonts w:ascii="Wingdings" w:hAnsi="Wingdings"/>
          <w:bCs/>
          <w:sz w:val="22"/>
          <w:szCs w:val="22"/>
        </w:rPr>
        <w:t></w:t>
      </w:r>
      <w:r w:rsidRPr="00030ED3">
        <w:rPr>
          <w:sz w:val="22"/>
          <w:szCs w:val="22"/>
        </w:rPr>
        <w:t xml:space="preserve"> (egy keresztes)</w:t>
      </w:r>
    </w:p>
    <w:p w14:paraId="48195247" w14:textId="77777777" w:rsidR="00CD2F6C" w:rsidRPr="00030ED3" w:rsidRDefault="00CD2F6C" w:rsidP="00030ED3">
      <w:pPr>
        <w:pStyle w:val="Cmsor2"/>
        <w:keepNext w:val="0"/>
        <w:rPr>
          <w:b/>
          <w:bCs/>
          <w:i w:val="0"/>
          <w:u w:val="none"/>
        </w:rPr>
      </w:pPr>
      <w:r w:rsidRPr="00030ED3">
        <w:rPr>
          <w:b/>
          <w:bCs/>
          <w:i w:val="0"/>
          <w:iCs/>
          <w:u w:val="none"/>
        </w:rPr>
        <w:t>Osztályozás:</w:t>
      </w:r>
      <w:r w:rsidRPr="00030ED3">
        <w:rPr>
          <w:i w:val="0"/>
          <w:iCs/>
          <w:u w:val="none"/>
        </w:rPr>
        <w:t xml:space="preserve"> </w:t>
      </w:r>
      <w:r w:rsidRPr="00030ED3">
        <w:rPr>
          <w:b/>
          <w:bCs/>
          <w:i w:val="0"/>
          <w:iCs/>
          <w:u w:val="none"/>
        </w:rPr>
        <w:t>II./3 csoport</w:t>
      </w:r>
    </w:p>
    <w:p w14:paraId="0E764E74" w14:textId="77777777" w:rsidR="00CD2F6C" w:rsidRPr="00030ED3" w:rsidRDefault="00CD2F6C" w:rsidP="00030ED3">
      <w:pPr>
        <w:rPr>
          <w:rFonts w:eastAsia="Calibri"/>
          <w:sz w:val="22"/>
          <w:szCs w:val="22"/>
        </w:rPr>
      </w:pPr>
      <w:r w:rsidRPr="00030ED3">
        <w:rPr>
          <w:sz w:val="22"/>
          <w:szCs w:val="22"/>
        </w:rPr>
        <w:t>Korlátozott érvényű orvosi rendelvényhez kötött, az egészségügyről szóló 1997. évi CLIV. törvény 3. §-ának ga) pontja szerinti rendelőintézeti járóbeteg-szakellátást vagy fekvőbeteg-szakellátást nyújtó szolgáltatók által biztosított körülmények között alkalmazható gyógyszer (I).</w:t>
      </w:r>
    </w:p>
    <w:p w14:paraId="6BAC77C1" w14:textId="77777777" w:rsidR="003E0AB2" w:rsidRPr="00030ED3" w:rsidRDefault="003E0AB2" w:rsidP="00030ED3">
      <w:pPr>
        <w:rPr>
          <w:b/>
          <w:caps/>
          <w:sz w:val="22"/>
          <w:szCs w:val="22"/>
        </w:rPr>
      </w:pPr>
    </w:p>
    <w:p w14:paraId="527B091E" w14:textId="77777777" w:rsidR="003E0AB2" w:rsidRPr="00030ED3" w:rsidRDefault="003E0AB2" w:rsidP="00030ED3">
      <w:pPr>
        <w:rPr>
          <w:b/>
          <w:caps/>
          <w:sz w:val="22"/>
          <w:szCs w:val="22"/>
        </w:rPr>
      </w:pPr>
    </w:p>
    <w:p w14:paraId="5519B437" w14:textId="77777777" w:rsidR="00735A04" w:rsidRPr="00030ED3" w:rsidRDefault="00735A04" w:rsidP="00030ED3">
      <w:pPr>
        <w:rPr>
          <w:b/>
          <w:caps/>
          <w:sz w:val="22"/>
          <w:szCs w:val="22"/>
        </w:rPr>
      </w:pPr>
      <w:r w:rsidRPr="00030ED3">
        <w:rPr>
          <w:b/>
          <w:caps/>
          <w:sz w:val="22"/>
          <w:szCs w:val="22"/>
        </w:rPr>
        <w:t>7.</w:t>
      </w:r>
      <w:r w:rsidRPr="00030ED3">
        <w:rPr>
          <w:b/>
          <w:caps/>
          <w:sz w:val="22"/>
          <w:szCs w:val="22"/>
        </w:rPr>
        <w:tab/>
        <w:t>A forgalomba</w:t>
      </w:r>
      <w:r w:rsidR="008E3496" w:rsidRPr="00030ED3">
        <w:rPr>
          <w:b/>
          <w:caps/>
          <w:sz w:val="22"/>
          <w:szCs w:val="22"/>
        </w:rPr>
        <w:t xml:space="preserve"> </w:t>
      </w:r>
      <w:r w:rsidRPr="00030ED3">
        <w:rPr>
          <w:b/>
          <w:caps/>
          <w:sz w:val="22"/>
          <w:szCs w:val="22"/>
        </w:rPr>
        <w:t>hozatali engedély jogosultja</w:t>
      </w:r>
    </w:p>
    <w:p w14:paraId="56238689" w14:textId="77777777" w:rsidR="00735A04" w:rsidRPr="00030ED3" w:rsidRDefault="00735A04" w:rsidP="00030ED3">
      <w:pPr>
        <w:rPr>
          <w:sz w:val="22"/>
          <w:szCs w:val="22"/>
        </w:rPr>
      </w:pPr>
    </w:p>
    <w:p w14:paraId="555A189A" w14:textId="77777777" w:rsidR="009B641A" w:rsidRPr="00030ED3" w:rsidRDefault="009B641A" w:rsidP="00030ED3">
      <w:pPr>
        <w:rPr>
          <w:sz w:val="22"/>
          <w:szCs w:val="22"/>
        </w:rPr>
      </w:pPr>
      <w:bookmarkStart w:id="1" w:name="_Hlk179362788"/>
      <w:r w:rsidRPr="00030ED3">
        <w:rPr>
          <w:sz w:val="22"/>
          <w:szCs w:val="22"/>
        </w:rPr>
        <w:t>STADA Arzneimittel AG</w:t>
      </w:r>
    </w:p>
    <w:p w14:paraId="02CB7720" w14:textId="60C0DA38" w:rsidR="009B641A" w:rsidRPr="00030ED3" w:rsidRDefault="009B641A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Stadastrasse 2-18</w:t>
      </w:r>
    </w:p>
    <w:p w14:paraId="7E3CE495" w14:textId="61808EE7" w:rsidR="009B641A" w:rsidRPr="00030ED3" w:rsidRDefault="002B37AE" w:rsidP="00030ED3">
      <w:pPr>
        <w:ind w:firstLine="1"/>
        <w:rPr>
          <w:sz w:val="22"/>
          <w:szCs w:val="22"/>
        </w:rPr>
      </w:pPr>
      <w:r w:rsidRPr="00030ED3">
        <w:rPr>
          <w:sz w:val="22"/>
          <w:szCs w:val="22"/>
        </w:rPr>
        <w:t>D-</w:t>
      </w:r>
      <w:r w:rsidR="009B641A" w:rsidRPr="00030ED3">
        <w:rPr>
          <w:sz w:val="22"/>
          <w:szCs w:val="22"/>
        </w:rPr>
        <w:t>61118 Bad Vilbel</w:t>
      </w:r>
    </w:p>
    <w:p w14:paraId="16FF2E31" w14:textId="7788045A" w:rsidR="00214BFC" w:rsidRPr="00030ED3" w:rsidRDefault="009B641A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Németország</w:t>
      </w:r>
    </w:p>
    <w:bookmarkEnd w:id="1"/>
    <w:p w14:paraId="569BD595" w14:textId="77777777" w:rsidR="00214BFC" w:rsidRPr="00030ED3" w:rsidRDefault="00214BFC" w:rsidP="00030ED3">
      <w:pPr>
        <w:rPr>
          <w:sz w:val="22"/>
          <w:szCs w:val="22"/>
        </w:rPr>
      </w:pPr>
    </w:p>
    <w:p w14:paraId="335D9AEC" w14:textId="77777777" w:rsidR="00C725BA" w:rsidRPr="00030ED3" w:rsidRDefault="00C725BA" w:rsidP="00030ED3">
      <w:pPr>
        <w:rPr>
          <w:sz w:val="22"/>
          <w:szCs w:val="22"/>
        </w:rPr>
      </w:pPr>
    </w:p>
    <w:p w14:paraId="290D0D2D" w14:textId="77777777" w:rsidR="00735A04" w:rsidRPr="00030ED3" w:rsidRDefault="00735A04" w:rsidP="00030ED3">
      <w:pPr>
        <w:rPr>
          <w:sz w:val="22"/>
          <w:szCs w:val="22"/>
        </w:rPr>
      </w:pPr>
      <w:r w:rsidRPr="00030ED3">
        <w:rPr>
          <w:b/>
          <w:bCs/>
          <w:sz w:val="22"/>
          <w:szCs w:val="22"/>
        </w:rPr>
        <w:t>8.</w:t>
      </w:r>
      <w:r w:rsidRPr="00030ED3">
        <w:rPr>
          <w:b/>
          <w:bCs/>
          <w:sz w:val="22"/>
          <w:szCs w:val="22"/>
        </w:rPr>
        <w:tab/>
        <w:t>A FORGALOMBA</w:t>
      </w:r>
      <w:r w:rsidR="008E3496" w:rsidRPr="00030ED3">
        <w:rPr>
          <w:b/>
          <w:bCs/>
          <w:sz w:val="22"/>
          <w:szCs w:val="22"/>
        </w:rPr>
        <w:t xml:space="preserve"> </w:t>
      </w:r>
      <w:r w:rsidRPr="00030ED3">
        <w:rPr>
          <w:b/>
          <w:bCs/>
          <w:sz w:val="22"/>
          <w:szCs w:val="22"/>
        </w:rPr>
        <w:t>HOZATALI ENGEDÉLY SZÁMA</w:t>
      </w:r>
      <w:r w:rsidR="00C725BA" w:rsidRPr="00030ED3">
        <w:rPr>
          <w:b/>
          <w:bCs/>
          <w:sz w:val="22"/>
          <w:szCs w:val="22"/>
        </w:rPr>
        <w:t>(</w:t>
      </w:r>
      <w:r w:rsidR="008E3496" w:rsidRPr="00030ED3">
        <w:rPr>
          <w:b/>
          <w:bCs/>
          <w:sz w:val="22"/>
          <w:szCs w:val="22"/>
        </w:rPr>
        <w:t>I</w:t>
      </w:r>
      <w:r w:rsidR="00C725BA" w:rsidRPr="00030ED3">
        <w:rPr>
          <w:b/>
          <w:bCs/>
          <w:sz w:val="22"/>
          <w:szCs w:val="22"/>
        </w:rPr>
        <w:t>)</w:t>
      </w:r>
    </w:p>
    <w:p w14:paraId="74BF4F16" w14:textId="77777777" w:rsidR="00735A04" w:rsidRPr="00030ED3" w:rsidRDefault="00735A04" w:rsidP="00030ED3">
      <w:pPr>
        <w:rPr>
          <w:sz w:val="22"/>
          <w:szCs w:val="22"/>
        </w:rPr>
      </w:pPr>
    </w:p>
    <w:p w14:paraId="7469D3CC" w14:textId="1CC265E6" w:rsidR="007040DA" w:rsidRPr="007040DA" w:rsidRDefault="007040DA" w:rsidP="007040DA">
      <w:pPr>
        <w:tabs>
          <w:tab w:val="left" w:pos="2268"/>
        </w:tabs>
        <w:rPr>
          <w:sz w:val="22"/>
          <w:szCs w:val="22"/>
        </w:rPr>
      </w:pPr>
      <w:r w:rsidRPr="007040DA">
        <w:rPr>
          <w:sz w:val="22"/>
          <w:szCs w:val="22"/>
        </w:rPr>
        <w:t>OGYI-T-24536/01</w:t>
      </w:r>
      <w:r>
        <w:rPr>
          <w:sz w:val="22"/>
          <w:szCs w:val="22"/>
        </w:rPr>
        <w:tab/>
      </w:r>
      <w:r w:rsidRPr="007040DA">
        <w:rPr>
          <w:sz w:val="22"/>
          <w:szCs w:val="22"/>
        </w:rPr>
        <w:t>1</w:t>
      </w:r>
      <w:r w:rsidR="004335D3">
        <w:rPr>
          <w:sz w:val="22"/>
          <w:szCs w:val="22"/>
        </w:rPr>
        <w:t>×</w:t>
      </w:r>
      <w:r w:rsidRPr="007040DA">
        <w:rPr>
          <w:sz w:val="22"/>
          <w:szCs w:val="22"/>
        </w:rPr>
        <w:t>10</w:t>
      </w:r>
      <w:r w:rsidR="004335D3">
        <w:rPr>
          <w:sz w:val="22"/>
          <w:szCs w:val="22"/>
        </w:rPr>
        <w:t> </w:t>
      </w:r>
      <w:r w:rsidRPr="007040DA">
        <w:rPr>
          <w:sz w:val="22"/>
          <w:szCs w:val="22"/>
        </w:rPr>
        <w:t>ml</w:t>
      </w:r>
      <w:r w:rsidR="004335D3">
        <w:rPr>
          <w:sz w:val="22"/>
          <w:szCs w:val="22"/>
        </w:rPr>
        <w:tab/>
      </w:r>
      <w:r w:rsidRPr="007040DA">
        <w:rPr>
          <w:sz w:val="22"/>
          <w:szCs w:val="22"/>
        </w:rPr>
        <w:t>színtelen injekciós üvegben</w:t>
      </w:r>
    </w:p>
    <w:p w14:paraId="1AEF21A3" w14:textId="70156CF4" w:rsidR="007040DA" w:rsidRPr="007040DA" w:rsidRDefault="007040DA" w:rsidP="007040DA">
      <w:pPr>
        <w:tabs>
          <w:tab w:val="left" w:pos="2268"/>
        </w:tabs>
        <w:rPr>
          <w:sz w:val="22"/>
          <w:szCs w:val="22"/>
        </w:rPr>
      </w:pPr>
      <w:r w:rsidRPr="007040DA">
        <w:rPr>
          <w:sz w:val="22"/>
          <w:szCs w:val="22"/>
        </w:rPr>
        <w:t>OGYI-T-24536/02</w:t>
      </w:r>
      <w:r>
        <w:rPr>
          <w:sz w:val="22"/>
          <w:szCs w:val="22"/>
        </w:rPr>
        <w:tab/>
      </w:r>
      <w:r w:rsidRPr="007040DA">
        <w:rPr>
          <w:sz w:val="22"/>
          <w:szCs w:val="22"/>
        </w:rPr>
        <w:t>5</w:t>
      </w:r>
      <w:r w:rsidR="004335D3">
        <w:rPr>
          <w:sz w:val="22"/>
          <w:szCs w:val="22"/>
        </w:rPr>
        <w:t>×</w:t>
      </w:r>
      <w:r w:rsidRPr="007040DA">
        <w:rPr>
          <w:sz w:val="22"/>
          <w:szCs w:val="22"/>
        </w:rPr>
        <w:t>10</w:t>
      </w:r>
      <w:r w:rsidR="004335D3">
        <w:rPr>
          <w:sz w:val="22"/>
          <w:szCs w:val="22"/>
        </w:rPr>
        <w:t> </w:t>
      </w:r>
      <w:r w:rsidRPr="007040DA">
        <w:rPr>
          <w:sz w:val="22"/>
          <w:szCs w:val="22"/>
        </w:rPr>
        <w:t>ml</w:t>
      </w:r>
      <w:r w:rsidR="004335D3">
        <w:rPr>
          <w:sz w:val="22"/>
          <w:szCs w:val="22"/>
        </w:rPr>
        <w:tab/>
      </w:r>
      <w:r w:rsidRPr="007040DA">
        <w:rPr>
          <w:sz w:val="22"/>
          <w:szCs w:val="22"/>
        </w:rPr>
        <w:t>színtelen injekciós üvegben</w:t>
      </w:r>
    </w:p>
    <w:p w14:paraId="62EA2CAD" w14:textId="3CFF8D82" w:rsidR="007040DA" w:rsidRPr="007040DA" w:rsidRDefault="007040DA" w:rsidP="007040DA">
      <w:pPr>
        <w:tabs>
          <w:tab w:val="left" w:pos="2268"/>
        </w:tabs>
        <w:rPr>
          <w:sz w:val="22"/>
          <w:szCs w:val="22"/>
        </w:rPr>
      </w:pPr>
      <w:r w:rsidRPr="007040DA">
        <w:rPr>
          <w:sz w:val="22"/>
          <w:szCs w:val="22"/>
        </w:rPr>
        <w:t>OGYI-T-24536/03</w:t>
      </w:r>
      <w:r>
        <w:rPr>
          <w:sz w:val="22"/>
          <w:szCs w:val="22"/>
        </w:rPr>
        <w:tab/>
      </w:r>
      <w:r w:rsidRPr="007040DA">
        <w:rPr>
          <w:sz w:val="22"/>
          <w:szCs w:val="22"/>
        </w:rPr>
        <w:t>10</w:t>
      </w:r>
      <w:r w:rsidR="004335D3">
        <w:rPr>
          <w:sz w:val="22"/>
          <w:szCs w:val="22"/>
        </w:rPr>
        <w:t>×</w:t>
      </w:r>
      <w:r w:rsidRPr="007040DA">
        <w:rPr>
          <w:sz w:val="22"/>
          <w:szCs w:val="22"/>
        </w:rPr>
        <w:t>10</w:t>
      </w:r>
      <w:r w:rsidR="004335D3">
        <w:rPr>
          <w:sz w:val="22"/>
          <w:szCs w:val="22"/>
        </w:rPr>
        <w:t> </w:t>
      </w:r>
      <w:r w:rsidRPr="007040DA">
        <w:rPr>
          <w:sz w:val="22"/>
          <w:szCs w:val="22"/>
        </w:rPr>
        <w:t>ml</w:t>
      </w:r>
      <w:r w:rsidR="004335D3">
        <w:rPr>
          <w:sz w:val="22"/>
          <w:szCs w:val="22"/>
        </w:rPr>
        <w:tab/>
      </w:r>
      <w:r w:rsidRPr="007040DA">
        <w:rPr>
          <w:sz w:val="22"/>
          <w:szCs w:val="22"/>
        </w:rPr>
        <w:t>színtelen injekciós üvegben</w:t>
      </w:r>
    </w:p>
    <w:p w14:paraId="7CCEDA25" w14:textId="06924F26" w:rsidR="00934B0D" w:rsidRDefault="007040DA" w:rsidP="007040DA">
      <w:pPr>
        <w:tabs>
          <w:tab w:val="left" w:pos="2268"/>
        </w:tabs>
        <w:rPr>
          <w:sz w:val="22"/>
          <w:szCs w:val="22"/>
        </w:rPr>
      </w:pPr>
      <w:r w:rsidRPr="007040DA">
        <w:rPr>
          <w:sz w:val="22"/>
          <w:szCs w:val="22"/>
        </w:rPr>
        <w:t>OGYI-T-24536/04</w:t>
      </w:r>
      <w:r>
        <w:rPr>
          <w:sz w:val="22"/>
          <w:szCs w:val="22"/>
        </w:rPr>
        <w:tab/>
      </w:r>
      <w:r w:rsidRPr="007040DA">
        <w:rPr>
          <w:sz w:val="22"/>
          <w:szCs w:val="22"/>
        </w:rPr>
        <w:t>50</w:t>
      </w:r>
      <w:r w:rsidR="004335D3">
        <w:rPr>
          <w:sz w:val="22"/>
          <w:szCs w:val="22"/>
        </w:rPr>
        <w:t>×</w:t>
      </w:r>
      <w:r w:rsidRPr="007040DA">
        <w:rPr>
          <w:sz w:val="22"/>
          <w:szCs w:val="22"/>
        </w:rPr>
        <w:t>10</w:t>
      </w:r>
      <w:r w:rsidR="004335D3">
        <w:rPr>
          <w:sz w:val="22"/>
          <w:szCs w:val="22"/>
        </w:rPr>
        <w:t> </w:t>
      </w:r>
      <w:r w:rsidRPr="007040DA">
        <w:rPr>
          <w:sz w:val="22"/>
          <w:szCs w:val="22"/>
        </w:rPr>
        <w:t>ml</w:t>
      </w:r>
      <w:r w:rsidR="004335D3">
        <w:rPr>
          <w:sz w:val="22"/>
          <w:szCs w:val="22"/>
        </w:rPr>
        <w:tab/>
      </w:r>
      <w:r w:rsidRPr="007040DA">
        <w:rPr>
          <w:sz w:val="22"/>
          <w:szCs w:val="22"/>
        </w:rPr>
        <w:t>színtelen injekciós üvegben</w:t>
      </w:r>
    </w:p>
    <w:p w14:paraId="0CD0D56A" w14:textId="10A787E7" w:rsidR="00934B0D" w:rsidRDefault="00934B0D" w:rsidP="00030ED3">
      <w:pPr>
        <w:rPr>
          <w:sz w:val="22"/>
          <w:szCs w:val="22"/>
        </w:rPr>
      </w:pPr>
    </w:p>
    <w:p w14:paraId="06155AD3" w14:textId="77777777" w:rsidR="00D903E5" w:rsidRPr="00030ED3" w:rsidRDefault="00D903E5" w:rsidP="00030ED3">
      <w:pPr>
        <w:rPr>
          <w:sz w:val="22"/>
          <w:szCs w:val="22"/>
        </w:rPr>
      </w:pPr>
    </w:p>
    <w:p w14:paraId="1C909174" w14:textId="77777777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lastRenderedPageBreak/>
        <w:t>9.</w:t>
      </w:r>
      <w:r w:rsidRPr="00030ED3">
        <w:rPr>
          <w:b/>
          <w:sz w:val="22"/>
          <w:szCs w:val="22"/>
        </w:rPr>
        <w:tab/>
        <w:t>A FORGALOMBA HOZATALI ENGEDÉLY ELSŐ KIADÁSÁNAK/ MEGÚJÍTÁSÁNAK DÁTUMA</w:t>
      </w:r>
    </w:p>
    <w:p w14:paraId="7128DF89" w14:textId="77777777" w:rsidR="00735A04" w:rsidRPr="00030ED3" w:rsidRDefault="00735A04" w:rsidP="00030ED3">
      <w:pPr>
        <w:rPr>
          <w:sz w:val="22"/>
          <w:szCs w:val="22"/>
        </w:rPr>
      </w:pPr>
    </w:p>
    <w:p w14:paraId="48148726" w14:textId="0E6C8D49" w:rsidR="00504D48" w:rsidRPr="00030ED3" w:rsidRDefault="00E41ADF" w:rsidP="00030ED3">
      <w:pPr>
        <w:rPr>
          <w:sz w:val="22"/>
          <w:szCs w:val="22"/>
        </w:rPr>
      </w:pPr>
      <w:r w:rsidRPr="00030ED3">
        <w:rPr>
          <w:sz w:val="22"/>
          <w:szCs w:val="22"/>
        </w:rPr>
        <w:t>A forgalomba hozatali engedély első kiadásának dátuma:</w:t>
      </w:r>
      <w:r w:rsidR="00D301D0">
        <w:rPr>
          <w:sz w:val="22"/>
          <w:szCs w:val="22"/>
        </w:rPr>
        <w:t xml:space="preserve"> 202</w:t>
      </w:r>
      <w:r w:rsidR="007118F4">
        <w:rPr>
          <w:sz w:val="22"/>
          <w:szCs w:val="22"/>
        </w:rPr>
        <w:t>5</w:t>
      </w:r>
      <w:r w:rsidR="00D301D0">
        <w:rPr>
          <w:sz w:val="22"/>
          <w:szCs w:val="22"/>
        </w:rPr>
        <w:t xml:space="preserve">. </w:t>
      </w:r>
      <w:r w:rsidR="00C25BDE">
        <w:rPr>
          <w:sz w:val="22"/>
          <w:szCs w:val="22"/>
        </w:rPr>
        <w:t>március 6.</w:t>
      </w:r>
    </w:p>
    <w:p w14:paraId="5691AAB9" w14:textId="77777777" w:rsidR="00735A04" w:rsidRPr="00030ED3" w:rsidRDefault="00735A04" w:rsidP="00030ED3">
      <w:pPr>
        <w:rPr>
          <w:sz w:val="22"/>
          <w:szCs w:val="22"/>
        </w:rPr>
      </w:pPr>
    </w:p>
    <w:p w14:paraId="1E990B2B" w14:textId="77777777" w:rsidR="00425E71" w:rsidRPr="00030ED3" w:rsidRDefault="00425E71" w:rsidP="00030ED3">
      <w:pPr>
        <w:rPr>
          <w:sz w:val="22"/>
          <w:szCs w:val="22"/>
        </w:rPr>
      </w:pPr>
    </w:p>
    <w:p w14:paraId="704E254B" w14:textId="5B82AC7F" w:rsidR="00735A04" w:rsidRPr="00030ED3" w:rsidRDefault="00735A04" w:rsidP="00030ED3">
      <w:pPr>
        <w:ind w:left="567" w:hanging="567"/>
        <w:rPr>
          <w:b/>
          <w:sz w:val="22"/>
          <w:szCs w:val="22"/>
        </w:rPr>
      </w:pPr>
      <w:r w:rsidRPr="00030ED3">
        <w:rPr>
          <w:b/>
          <w:sz w:val="22"/>
          <w:szCs w:val="22"/>
        </w:rPr>
        <w:t>10.</w:t>
      </w:r>
      <w:r w:rsidRPr="00030ED3">
        <w:rPr>
          <w:b/>
          <w:sz w:val="22"/>
          <w:szCs w:val="22"/>
        </w:rPr>
        <w:tab/>
        <w:t>A SZÖVEG ELLENŐRZÉSÉNEK DÁTUMA</w:t>
      </w:r>
    </w:p>
    <w:p w14:paraId="00F9A2B0" w14:textId="77777777" w:rsidR="00C725BA" w:rsidRPr="00030ED3" w:rsidRDefault="00C725BA" w:rsidP="00030ED3">
      <w:pPr>
        <w:ind w:left="567" w:hanging="567"/>
        <w:rPr>
          <w:b/>
          <w:sz w:val="22"/>
          <w:szCs w:val="22"/>
        </w:rPr>
      </w:pPr>
    </w:p>
    <w:p w14:paraId="03E2F7E8" w14:textId="47CF65EE" w:rsidR="00C725BA" w:rsidRPr="00030ED3" w:rsidRDefault="00D301D0" w:rsidP="00030ED3">
      <w:pPr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202</w:t>
      </w:r>
      <w:r w:rsidR="009B3126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. </w:t>
      </w:r>
      <w:r w:rsidR="00C25BDE">
        <w:rPr>
          <w:bCs/>
          <w:sz w:val="22"/>
          <w:szCs w:val="22"/>
        </w:rPr>
        <w:t>március 6.</w:t>
      </w:r>
    </w:p>
    <w:sectPr w:rsidR="00C725BA" w:rsidRPr="00030ED3" w:rsidSect="00030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7" w:bottom="1134" w:left="1417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0C729" w14:textId="77777777" w:rsidR="008609B5" w:rsidRDefault="008609B5">
      <w:r>
        <w:separator/>
      </w:r>
    </w:p>
  </w:endnote>
  <w:endnote w:type="continuationSeparator" w:id="0">
    <w:p w14:paraId="521E1B48" w14:textId="77777777" w:rsidR="008609B5" w:rsidRDefault="00860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59778" w14:textId="77777777" w:rsidR="00F865F3" w:rsidRDefault="00F865F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7BAF5" w14:textId="77777777" w:rsidR="00F865F3" w:rsidRDefault="00F865F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933F98" w14:textId="75367170" w:rsidR="00F865F3" w:rsidRPr="00F865F3" w:rsidRDefault="00F865F3">
    <w:pPr>
      <w:pStyle w:val="llb"/>
      <w:rPr>
        <w:sz w:val="18"/>
        <w:szCs w:val="18"/>
      </w:rPr>
    </w:pPr>
    <w:r w:rsidRPr="00F865F3">
      <w:rPr>
        <w:sz w:val="18"/>
        <w:szCs w:val="18"/>
      </w:rPr>
      <w:t>OGYÉI/35075/2022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70DF9D" w14:textId="77777777" w:rsidR="008609B5" w:rsidRDefault="008609B5">
      <w:r>
        <w:separator/>
      </w:r>
    </w:p>
  </w:footnote>
  <w:footnote w:type="continuationSeparator" w:id="0">
    <w:p w14:paraId="1C279C44" w14:textId="77777777" w:rsidR="008609B5" w:rsidRDefault="00860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8FE34" w14:textId="77777777" w:rsidR="00F865F3" w:rsidRDefault="00F865F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BC616E" w14:textId="77777777" w:rsidR="000D122B" w:rsidRPr="00A20D93" w:rsidRDefault="000D122B">
    <w:pPr>
      <w:pStyle w:val="lfej"/>
      <w:jc w:val="center"/>
      <w:rPr>
        <w:sz w:val="18"/>
        <w:szCs w:val="18"/>
      </w:rPr>
    </w:pPr>
    <w:r w:rsidRPr="00A20D93">
      <w:rPr>
        <w:rStyle w:val="Oldalszm"/>
        <w:sz w:val="18"/>
        <w:szCs w:val="18"/>
      </w:rPr>
      <w:fldChar w:fldCharType="begin"/>
    </w:r>
    <w:r w:rsidRPr="00A20D93">
      <w:rPr>
        <w:rStyle w:val="Oldalszm"/>
        <w:sz w:val="18"/>
        <w:szCs w:val="18"/>
      </w:rPr>
      <w:instrText xml:space="preserve"> PAGE </w:instrText>
    </w:r>
    <w:r w:rsidRPr="00A20D93">
      <w:rPr>
        <w:rStyle w:val="Oldalszm"/>
        <w:sz w:val="18"/>
        <w:szCs w:val="18"/>
      </w:rPr>
      <w:fldChar w:fldCharType="separate"/>
    </w:r>
    <w:r w:rsidR="00504D48">
      <w:rPr>
        <w:rStyle w:val="Oldalszm"/>
        <w:noProof/>
        <w:sz w:val="18"/>
        <w:szCs w:val="18"/>
      </w:rPr>
      <w:t>11</w:t>
    </w:r>
    <w:r w:rsidRPr="00A20D93">
      <w:rPr>
        <w:rStyle w:val="Oldalszm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036EC" w14:textId="77777777" w:rsidR="000D122B" w:rsidRPr="00A20D93" w:rsidRDefault="000D122B" w:rsidP="00A20D93">
    <w:pPr>
      <w:pStyle w:val="lfej"/>
      <w:tabs>
        <w:tab w:val="clear" w:pos="4320"/>
        <w:tab w:val="clear" w:pos="8640"/>
        <w:tab w:val="center" w:pos="1843"/>
        <w:tab w:val="left" w:pos="6237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A2324BC"/>
    <w:multiLevelType w:val="hybridMultilevel"/>
    <w:tmpl w:val="BB00A30E"/>
    <w:lvl w:ilvl="0" w:tplc="333CF742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B4DF8"/>
    <w:multiLevelType w:val="hybridMultilevel"/>
    <w:tmpl w:val="CE10E704"/>
    <w:lvl w:ilvl="0" w:tplc="30766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3F504A"/>
    <w:multiLevelType w:val="hybridMultilevel"/>
    <w:tmpl w:val="47F0366C"/>
    <w:lvl w:ilvl="0" w:tplc="1EF4F8BC">
      <w:start w:val="1"/>
      <w:numFmt w:val="decimal"/>
      <w:lvlText w:val="%1."/>
      <w:lvlJc w:val="left"/>
      <w:pPr>
        <w:ind w:left="644" w:hanging="360"/>
      </w:pPr>
      <w:rPr>
        <w:rFonts w:hint="default"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751AC5"/>
    <w:multiLevelType w:val="hybridMultilevel"/>
    <w:tmpl w:val="5394A5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6E3963"/>
    <w:multiLevelType w:val="hybridMultilevel"/>
    <w:tmpl w:val="8A66F418"/>
    <w:lvl w:ilvl="0" w:tplc="EBF6D6A8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0F9"/>
    <w:rsid w:val="00001749"/>
    <w:rsid w:val="00004086"/>
    <w:rsid w:val="00004601"/>
    <w:rsid w:val="000063DE"/>
    <w:rsid w:val="00007668"/>
    <w:rsid w:val="00013319"/>
    <w:rsid w:val="00015A05"/>
    <w:rsid w:val="00021BFD"/>
    <w:rsid w:val="00025F76"/>
    <w:rsid w:val="00030ED3"/>
    <w:rsid w:val="000355E9"/>
    <w:rsid w:val="00035B50"/>
    <w:rsid w:val="00044F62"/>
    <w:rsid w:val="000542B8"/>
    <w:rsid w:val="00055211"/>
    <w:rsid w:val="00057461"/>
    <w:rsid w:val="00057FD0"/>
    <w:rsid w:val="000604C4"/>
    <w:rsid w:val="00060E26"/>
    <w:rsid w:val="00065462"/>
    <w:rsid w:val="00066AE2"/>
    <w:rsid w:val="00071A63"/>
    <w:rsid w:val="00072327"/>
    <w:rsid w:val="00072D99"/>
    <w:rsid w:val="00074B2D"/>
    <w:rsid w:val="00075200"/>
    <w:rsid w:val="0008361B"/>
    <w:rsid w:val="00090348"/>
    <w:rsid w:val="00091BDF"/>
    <w:rsid w:val="000920C0"/>
    <w:rsid w:val="000938BB"/>
    <w:rsid w:val="00093FF9"/>
    <w:rsid w:val="00095F34"/>
    <w:rsid w:val="000971C5"/>
    <w:rsid w:val="000A0E56"/>
    <w:rsid w:val="000A17CF"/>
    <w:rsid w:val="000A204F"/>
    <w:rsid w:val="000A20C6"/>
    <w:rsid w:val="000A2AD6"/>
    <w:rsid w:val="000B04FC"/>
    <w:rsid w:val="000B0A10"/>
    <w:rsid w:val="000B0A89"/>
    <w:rsid w:val="000B0FD9"/>
    <w:rsid w:val="000B24DD"/>
    <w:rsid w:val="000B4E86"/>
    <w:rsid w:val="000C4167"/>
    <w:rsid w:val="000C592B"/>
    <w:rsid w:val="000D122B"/>
    <w:rsid w:val="000D217E"/>
    <w:rsid w:val="000D3A7B"/>
    <w:rsid w:val="000D4156"/>
    <w:rsid w:val="000D41F8"/>
    <w:rsid w:val="000D54B2"/>
    <w:rsid w:val="000D775C"/>
    <w:rsid w:val="000D77A2"/>
    <w:rsid w:val="000E2813"/>
    <w:rsid w:val="000E5327"/>
    <w:rsid w:val="000E6DAA"/>
    <w:rsid w:val="000E7DF6"/>
    <w:rsid w:val="000F2987"/>
    <w:rsid w:val="0010473A"/>
    <w:rsid w:val="00111335"/>
    <w:rsid w:val="00116A05"/>
    <w:rsid w:val="00122534"/>
    <w:rsid w:val="00126663"/>
    <w:rsid w:val="00126755"/>
    <w:rsid w:val="00127206"/>
    <w:rsid w:val="001321C4"/>
    <w:rsid w:val="00140DCC"/>
    <w:rsid w:val="001428A6"/>
    <w:rsid w:val="0014393E"/>
    <w:rsid w:val="0015135C"/>
    <w:rsid w:val="0015160C"/>
    <w:rsid w:val="00152C90"/>
    <w:rsid w:val="00154007"/>
    <w:rsid w:val="0015514E"/>
    <w:rsid w:val="00155530"/>
    <w:rsid w:val="001604AB"/>
    <w:rsid w:val="0016303B"/>
    <w:rsid w:val="001674CB"/>
    <w:rsid w:val="00167D37"/>
    <w:rsid w:val="00167EF9"/>
    <w:rsid w:val="00173FD1"/>
    <w:rsid w:val="00176C87"/>
    <w:rsid w:val="0018420E"/>
    <w:rsid w:val="00184391"/>
    <w:rsid w:val="001858F5"/>
    <w:rsid w:val="00185E28"/>
    <w:rsid w:val="00192FCD"/>
    <w:rsid w:val="00193A22"/>
    <w:rsid w:val="00194D1B"/>
    <w:rsid w:val="00195A41"/>
    <w:rsid w:val="001A384C"/>
    <w:rsid w:val="001A395D"/>
    <w:rsid w:val="001A3C9F"/>
    <w:rsid w:val="001A4134"/>
    <w:rsid w:val="001B597D"/>
    <w:rsid w:val="001B7AFE"/>
    <w:rsid w:val="001C248F"/>
    <w:rsid w:val="001D07A4"/>
    <w:rsid w:val="001D741F"/>
    <w:rsid w:val="001E07A6"/>
    <w:rsid w:val="001E159E"/>
    <w:rsid w:val="001E1A0B"/>
    <w:rsid w:val="001E517E"/>
    <w:rsid w:val="001F27A8"/>
    <w:rsid w:val="001F6622"/>
    <w:rsid w:val="001F78A1"/>
    <w:rsid w:val="00201182"/>
    <w:rsid w:val="00202243"/>
    <w:rsid w:val="00202B64"/>
    <w:rsid w:val="002033E4"/>
    <w:rsid w:val="0020468C"/>
    <w:rsid w:val="00206282"/>
    <w:rsid w:val="0020665A"/>
    <w:rsid w:val="0021031A"/>
    <w:rsid w:val="00214BFC"/>
    <w:rsid w:val="00223881"/>
    <w:rsid w:val="00226A0E"/>
    <w:rsid w:val="00230885"/>
    <w:rsid w:val="00233922"/>
    <w:rsid w:val="0023505A"/>
    <w:rsid w:val="002359DD"/>
    <w:rsid w:val="00236D42"/>
    <w:rsid w:val="00242534"/>
    <w:rsid w:val="00242DEA"/>
    <w:rsid w:val="00245279"/>
    <w:rsid w:val="0024560E"/>
    <w:rsid w:val="00252A37"/>
    <w:rsid w:val="0025755F"/>
    <w:rsid w:val="00270585"/>
    <w:rsid w:val="00270DC3"/>
    <w:rsid w:val="002721ED"/>
    <w:rsid w:val="002731A1"/>
    <w:rsid w:val="00275911"/>
    <w:rsid w:val="00276B9A"/>
    <w:rsid w:val="00277193"/>
    <w:rsid w:val="00280FC7"/>
    <w:rsid w:val="002907BF"/>
    <w:rsid w:val="00292330"/>
    <w:rsid w:val="00295F2C"/>
    <w:rsid w:val="002966EE"/>
    <w:rsid w:val="002A00C7"/>
    <w:rsid w:val="002A3AA9"/>
    <w:rsid w:val="002A52F4"/>
    <w:rsid w:val="002B36AD"/>
    <w:rsid w:val="002B37AE"/>
    <w:rsid w:val="002B4073"/>
    <w:rsid w:val="002B5897"/>
    <w:rsid w:val="002C11DB"/>
    <w:rsid w:val="002C49EB"/>
    <w:rsid w:val="002C6457"/>
    <w:rsid w:val="002C6CFA"/>
    <w:rsid w:val="002D701A"/>
    <w:rsid w:val="002E1113"/>
    <w:rsid w:val="002E5093"/>
    <w:rsid w:val="002E5447"/>
    <w:rsid w:val="00304F57"/>
    <w:rsid w:val="00307549"/>
    <w:rsid w:val="00315D55"/>
    <w:rsid w:val="0032058C"/>
    <w:rsid w:val="003209ED"/>
    <w:rsid w:val="0032198F"/>
    <w:rsid w:val="00322440"/>
    <w:rsid w:val="00324C3E"/>
    <w:rsid w:val="00330BAE"/>
    <w:rsid w:val="0033325D"/>
    <w:rsid w:val="00337113"/>
    <w:rsid w:val="00340ACE"/>
    <w:rsid w:val="00345AC5"/>
    <w:rsid w:val="00346168"/>
    <w:rsid w:val="00351FA0"/>
    <w:rsid w:val="003601EA"/>
    <w:rsid w:val="003679B7"/>
    <w:rsid w:val="003720BD"/>
    <w:rsid w:val="0037753E"/>
    <w:rsid w:val="00381E38"/>
    <w:rsid w:val="0038505D"/>
    <w:rsid w:val="00387A9B"/>
    <w:rsid w:val="0039015E"/>
    <w:rsid w:val="00395C7E"/>
    <w:rsid w:val="003963BC"/>
    <w:rsid w:val="003976A9"/>
    <w:rsid w:val="003A3564"/>
    <w:rsid w:val="003A5712"/>
    <w:rsid w:val="003B52C5"/>
    <w:rsid w:val="003B6328"/>
    <w:rsid w:val="003C76E9"/>
    <w:rsid w:val="003D1BDB"/>
    <w:rsid w:val="003D7ABF"/>
    <w:rsid w:val="003E0AB2"/>
    <w:rsid w:val="003E6069"/>
    <w:rsid w:val="003F0B76"/>
    <w:rsid w:val="003F2FA6"/>
    <w:rsid w:val="003F3CCF"/>
    <w:rsid w:val="00402FAE"/>
    <w:rsid w:val="00402FF7"/>
    <w:rsid w:val="00404D49"/>
    <w:rsid w:val="00416520"/>
    <w:rsid w:val="00423360"/>
    <w:rsid w:val="00425E71"/>
    <w:rsid w:val="00427AB2"/>
    <w:rsid w:val="00431737"/>
    <w:rsid w:val="004335D3"/>
    <w:rsid w:val="004342EB"/>
    <w:rsid w:val="0044159E"/>
    <w:rsid w:val="00441FB2"/>
    <w:rsid w:val="004526CE"/>
    <w:rsid w:val="00453414"/>
    <w:rsid w:val="004546B7"/>
    <w:rsid w:val="004562CF"/>
    <w:rsid w:val="0045753C"/>
    <w:rsid w:val="00460E72"/>
    <w:rsid w:val="004670AB"/>
    <w:rsid w:val="0047049D"/>
    <w:rsid w:val="00471763"/>
    <w:rsid w:val="0047180F"/>
    <w:rsid w:val="00477031"/>
    <w:rsid w:val="00477313"/>
    <w:rsid w:val="00477CEA"/>
    <w:rsid w:val="00480DB1"/>
    <w:rsid w:val="00481A06"/>
    <w:rsid w:val="00492D94"/>
    <w:rsid w:val="004A05F6"/>
    <w:rsid w:val="004A1272"/>
    <w:rsid w:val="004A1A61"/>
    <w:rsid w:val="004A25DC"/>
    <w:rsid w:val="004A263E"/>
    <w:rsid w:val="004A72BB"/>
    <w:rsid w:val="004B0802"/>
    <w:rsid w:val="004B2C6F"/>
    <w:rsid w:val="004B3A3F"/>
    <w:rsid w:val="004B4CB9"/>
    <w:rsid w:val="004B62F5"/>
    <w:rsid w:val="004B7C37"/>
    <w:rsid w:val="004C012A"/>
    <w:rsid w:val="004C1469"/>
    <w:rsid w:val="004C1AAA"/>
    <w:rsid w:val="004C492C"/>
    <w:rsid w:val="004D03C6"/>
    <w:rsid w:val="004D2B42"/>
    <w:rsid w:val="004D2E2D"/>
    <w:rsid w:val="004D355B"/>
    <w:rsid w:val="004D6372"/>
    <w:rsid w:val="004E3AE2"/>
    <w:rsid w:val="004E5756"/>
    <w:rsid w:val="004E656C"/>
    <w:rsid w:val="004F2D7C"/>
    <w:rsid w:val="004F3548"/>
    <w:rsid w:val="004F4E8F"/>
    <w:rsid w:val="004F58E1"/>
    <w:rsid w:val="004F6810"/>
    <w:rsid w:val="00501140"/>
    <w:rsid w:val="005037F2"/>
    <w:rsid w:val="00504D48"/>
    <w:rsid w:val="005050C2"/>
    <w:rsid w:val="00511290"/>
    <w:rsid w:val="005119DC"/>
    <w:rsid w:val="005124D3"/>
    <w:rsid w:val="00512C66"/>
    <w:rsid w:val="005141BD"/>
    <w:rsid w:val="00520A10"/>
    <w:rsid w:val="005231AF"/>
    <w:rsid w:val="0052343E"/>
    <w:rsid w:val="0052501B"/>
    <w:rsid w:val="005302DB"/>
    <w:rsid w:val="00531CB3"/>
    <w:rsid w:val="00535BF1"/>
    <w:rsid w:val="00535DA2"/>
    <w:rsid w:val="00540592"/>
    <w:rsid w:val="0054130C"/>
    <w:rsid w:val="005460A3"/>
    <w:rsid w:val="00551D06"/>
    <w:rsid w:val="00554A2F"/>
    <w:rsid w:val="0055539E"/>
    <w:rsid w:val="0055677D"/>
    <w:rsid w:val="005611A1"/>
    <w:rsid w:val="0056191A"/>
    <w:rsid w:val="005623C4"/>
    <w:rsid w:val="00563B68"/>
    <w:rsid w:val="00565DF9"/>
    <w:rsid w:val="00565EC0"/>
    <w:rsid w:val="00566D1E"/>
    <w:rsid w:val="005704B8"/>
    <w:rsid w:val="00570BD9"/>
    <w:rsid w:val="005719F2"/>
    <w:rsid w:val="0057568E"/>
    <w:rsid w:val="00582439"/>
    <w:rsid w:val="005844FE"/>
    <w:rsid w:val="005853CA"/>
    <w:rsid w:val="00585898"/>
    <w:rsid w:val="0058663F"/>
    <w:rsid w:val="005903B3"/>
    <w:rsid w:val="00593F85"/>
    <w:rsid w:val="005941EC"/>
    <w:rsid w:val="005959AE"/>
    <w:rsid w:val="00595E70"/>
    <w:rsid w:val="005A11AB"/>
    <w:rsid w:val="005A3C20"/>
    <w:rsid w:val="005A40C1"/>
    <w:rsid w:val="005A4C64"/>
    <w:rsid w:val="005A628A"/>
    <w:rsid w:val="005A6D37"/>
    <w:rsid w:val="005B1B30"/>
    <w:rsid w:val="005B451F"/>
    <w:rsid w:val="005B5721"/>
    <w:rsid w:val="005B5B39"/>
    <w:rsid w:val="005C0154"/>
    <w:rsid w:val="005C7FA4"/>
    <w:rsid w:val="005D15BB"/>
    <w:rsid w:val="005D36D0"/>
    <w:rsid w:val="005E37D7"/>
    <w:rsid w:val="005E663A"/>
    <w:rsid w:val="005F42C1"/>
    <w:rsid w:val="005F6483"/>
    <w:rsid w:val="005F6A70"/>
    <w:rsid w:val="005F72DD"/>
    <w:rsid w:val="006001E0"/>
    <w:rsid w:val="00603CD1"/>
    <w:rsid w:val="00611664"/>
    <w:rsid w:val="006133E7"/>
    <w:rsid w:val="00613D5C"/>
    <w:rsid w:val="00615F81"/>
    <w:rsid w:val="00617054"/>
    <w:rsid w:val="006249D7"/>
    <w:rsid w:val="00630B76"/>
    <w:rsid w:val="00635695"/>
    <w:rsid w:val="0063777E"/>
    <w:rsid w:val="00647261"/>
    <w:rsid w:val="00647562"/>
    <w:rsid w:val="0065082B"/>
    <w:rsid w:val="00650F22"/>
    <w:rsid w:val="00654ED0"/>
    <w:rsid w:val="00661A24"/>
    <w:rsid w:val="00663A42"/>
    <w:rsid w:val="00664F3A"/>
    <w:rsid w:val="006667B0"/>
    <w:rsid w:val="0067172C"/>
    <w:rsid w:val="00671B58"/>
    <w:rsid w:val="006836DF"/>
    <w:rsid w:val="00695076"/>
    <w:rsid w:val="006A1455"/>
    <w:rsid w:val="006B44F4"/>
    <w:rsid w:val="006B7FFA"/>
    <w:rsid w:val="006C1273"/>
    <w:rsid w:val="006C15F5"/>
    <w:rsid w:val="006C7CE8"/>
    <w:rsid w:val="006C7F6D"/>
    <w:rsid w:val="006D0E87"/>
    <w:rsid w:val="006D274E"/>
    <w:rsid w:val="006E47C9"/>
    <w:rsid w:val="006F351C"/>
    <w:rsid w:val="006F73EA"/>
    <w:rsid w:val="00700569"/>
    <w:rsid w:val="00701CFA"/>
    <w:rsid w:val="00702496"/>
    <w:rsid w:val="007040DA"/>
    <w:rsid w:val="00707692"/>
    <w:rsid w:val="00711312"/>
    <w:rsid w:val="007118F4"/>
    <w:rsid w:val="007119E0"/>
    <w:rsid w:val="00711BCA"/>
    <w:rsid w:val="00711D20"/>
    <w:rsid w:val="00714A29"/>
    <w:rsid w:val="00725C97"/>
    <w:rsid w:val="00725FC2"/>
    <w:rsid w:val="00726D7E"/>
    <w:rsid w:val="00731215"/>
    <w:rsid w:val="00735661"/>
    <w:rsid w:val="00735A04"/>
    <w:rsid w:val="00740203"/>
    <w:rsid w:val="00743DC4"/>
    <w:rsid w:val="00746BB1"/>
    <w:rsid w:val="00753B50"/>
    <w:rsid w:val="007543F2"/>
    <w:rsid w:val="0075463C"/>
    <w:rsid w:val="007655C0"/>
    <w:rsid w:val="007659E9"/>
    <w:rsid w:val="00771AA6"/>
    <w:rsid w:val="00775E09"/>
    <w:rsid w:val="007806B4"/>
    <w:rsid w:val="00780CC4"/>
    <w:rsid w:val="00781D4B"/>
    <w:rsid w:val="0078737B"/>
    <w:rsid w:val="0078746B"/>
    <w:rsid w:val="007A0485"/>
    <w:rsid w:val="007A0BBB"/>
    <w:rsid w:val="007A0DEE"/>
    <w:rsid w:val="007A1D72"/>
    <w:rsid w:val="007A2D09"/>
    <w:rsid w:val="007A3C9F"/>
    <w:rsid w:val="007B0AB4"/>
    <w:rsid w:val="007B2AA8"/>
    <w:rsid w:val="007B4390"/>
    <w:rsid w:val="007B70F9"/>
    <w:rsid w:val="007B7A9A"/>
    <w:rsid w:val="007C2078"/>
    <w:rsid w:val="007C30A0"/>
    <w:rsid w:val="007C36D3"/>
    <w:rsid w:val="007C57B7"/>
    <w:rsid w:val="007C6498"/>
    <w:rsid w:val="007C6B51"/>
    <w:rsid w:val="007C7910"/>
    <w:rsid w:val="007D019F"/>
    <w:rsid w:val="007D6E52"/>
    <w:rsid w:val="007D7BCF"/>
    <w:rsid w:val="007E1565"/>
    <w:rsid w:val="007E2CD1"/>
    <w:rsid w:val="007F1507"/>
    <w:rsid w:val="007F4DD9"/>
    <w:rsid w:val="007F5F24"/>
    <w:rsid w:val="007F6C03"/>
    <w:rsid w:val="007F72D4"/>
    <w:rsid w:val="00801F3B"/>
    <w:rsid w:val="0080201F"/>
    <w:rsid w:val="008068D1"/>
    <w:rsid w:val="00806AF3"/>
    <w:rsid w:val="008108B0"/>
    <w:rsid w:val="00810C50"/>
    <w:rsid w:val="00811D82"/>
    <w:rsid w:val="00811DA6"/>
    <w:rsid w:val="00821EF1"/>
    <w:rsid w:val="008314FE"/>
    <w:rsid w:val="008316FE"/>
    <w:rsid w:val="008321DE"/>
    <w:rsid w:val="0083339E"/>
    <w:rsid w:val="00837E23"/>
    <w:rsid w:val="00844C13"/>
    <w:rsid w:val="0085145F"/>
    <w:rsid w:val="008535DD"/>
    <w:rsid w:val="0085390C"/>
    <w:rsid w:val="0085642B"/>
    <w:rsid w:val="008602C9"/>
    <w:rsid w:val="008606CF"/>
    <w:rsid w:val="008609B5"/>
    <w:rsid w:val="00867F77"/>
    <w:rsid w:val="0087078E"/>
    <w:rsid w:val="00872869"/>
    <w:rsid w:val="00872A2B"/>
    <w:rsid w:val="00875949"/>
    <w:rsid w:val="00876E6E"/>
    <w:rsid w:val="00881F4F"/>
    <w:rsid w:val="00882AA6"/>
    <w:rsid w:val="00882D3A"/>
    <w:rsid w:val="00883CAF"/>
    <w:rsid w:val="00884175"/>
    <w:rsid w:val="00890B30"/>
    <w:rsid w:val="0089248D"/>
    <w:rsid w:val="008A1515"/>
    <w:rsid w:val="008A1B44"/>
    <w:rsid w:val="008A7609"/>
    <w:rsid w:val="008B079B"/>
    <w:rsid w:val="008B4D59"/>
    <w:rsid w:val="008B6CCE"/>
    <w:rsid w:val="008B72CA"/>
    <w:rsid w:val="008C14FF"/>
    <w:rsid w:val="008C153E"/>
    <w:rsid w:val="008C4CBB"/>
    <w:rsid w:val="008C7705"/>
    <w:rsid w:val="008D11D3"/>
    <w:rsid w:val="008D23B6"/>
    <w:rsid w:val="008D3DDF"/>
    <w:rsid w:val="008D4DA4"/>
    <w:rsid w:val="008D6458"/>
    <w:rsid w:val="008E3496"/>
    <w:rsid w:val="008F02BE"/>
    <w:rsid w:val="008F2659"/>
    <w:rsid w:val="008F38D8"/>
    <w:rsid w:val="008F4672"/>
    <w:rsid w:val="008F4B03"/>
    <w:rsid w:val="008F7091"/>
    <w:rsid w:val="008F73DD"/>
    <w:rsid w:val="008F77BD"/>
    <w:rsid w:val="008F7853"/>
    <w:rsid w:val="00900F13"/>
    <w:rsid w:val="00901C60"/>
    <w:rsid w:val="00906782"/>
    <w:rsid w:val="00906DE1"/>
    <w:rsid w:val="00910FA6"/>
    <w:rsid w:val="00912483"/>
    <w:rsid w:val="00915370"/>
    <w:rsid w:val="009155AB"/>
    <w:rsid w:val="009159BE"/>
    <w:rsid w:val="00920FBE"/>
    <w:rsid w:val="0092472A"/>
    <w:rsid w:val="00924993"/>
    <w:rsid w:val="009250F7"/>
    <w:rsid w:val="009253C2"/>
    <w:rsid w:val="00930328"/>
    <w:rsid w:val="00930441"/>
    <w:rsid w:val="00934B0D"/>
    <w:rsid w:val="00935996"/>
    <w:rsid w:val="00936D78"/>
    <w:rsid w:val="00942D5D"/>
    <w:rsid w:val="0095258B"/>
    <w:rsid w:val="009525DE"/>
    <w:rsid w:val="00956CA8"/>
    <w:rsid w:val="0096026A"/>
    <w:rsid w:val="00960C58"/>
    <w:rsid w:val="00962BE6"/>
    <w:rsid w:val="009644DF"/>
    <w:rsid w:val="00965EA5"/>
    <w:rsid w:val="0096787F"/>
    <w:rsid w:val="00971EA9"/>
    <w:rsid w:val="0097204F"/>
    <w:rsid w:val="0097357B"/>
    <w:rsid w:val="00973ECA"/>
    <w:rsid w:val="00974788"/>
    <w:rsid w:val="00980A3F"/>
    <w:rsid w:val="00987C08"/>
    <w:rsid w:val="00994116"/>
    <w:rsid w:val="009A2D43"/>
    <w:rsid w:val="009B0D18"/>
    <w:rsid w:val="009B3126"/>
    <w:rsid w:val="009B641A"/>
    <w:rsid w:val="009B6C5E"/>
    <w:rsid w:val="009B713E"/>
    <w:rsid w:val="009C03EB"/>
    <w:rsid w:val="009C1027"/>
    <w:rsid w:val="009C3F2D"/>
    <w:rsid w:val="009C6019"/>
    <w:rsid w:val="009D242C"/>
    <w:rsid w:val="009D3EDD"/>
    <w:rsid w:val="009E0A1F"/>
    <w:rsid w:val="009E11C8"/>
    <w:rsid w:val="009E2B0F"/>
    <w:rsid w:val="009E2D85"/>
    <w:rsid w:val="009E35E8"/>
    <w:rsid w:val="009E462B"/>
    <w:rsid w:val="009E5797"/>
    <w:rsid w:val="009E6B77"/>
    <w:rsid w:val="009F252E"/>
    <w:rsid w:val="009F6F65"/>
    <w:rsid w:val="00A03626"/>
    <w:rsid w:val="00A0721D"/>
    <w:rsid w:val="00A07EF5"/>
    <w:rsid w:val="00A114E6"/>
    <w:rsid w:val="00A12D5A"/>
    <w:rsid w:val="00A147F7"/>
    <w:rsid w:val="00A20327"/>
    <w:rsid w:val="00A20D93"/>
    <w:rsid w:val="00A21B4A"/>
    <w:rsid w:val="00A2479F"/>
    <w:rsid w:val="00A33004"/>
    <w:rsid w:val="00A3420F"/>
    <w:rsid w:val="00A3454A"/>
    <w:rsid w:val="00A34BD9"/>
    <w:rsid w:val="00A35D1B"/>
    <w:rsid w:val="00A40177"/>
    <w:rsid w:val="00A46164"/>
    <w:rsid w:val="00A53333"/>
    <w:rsid w:val="00A5396C"/>
    <w:rsid w:val="00A65C34"/>
    <w:rsid w:val="00A677F9"/>
    <w:rsid w:val="00A74D12"/>
    <w:rsid w:val="00A76D6C"/>
    <w:rsid w:val="00A817A0"/>
    <w:rsid w:val="00A83972"/>
    <w:rsid w:val="00A840CA"/>
    <w:rsid w:val="00A844BF"/>
    <w:rsid w:val="00A917D9"/>
    <w:rsid w:val="00A958C8"/>
    <w:rsid w:val="00AA076B"/>
    <w:rsid w:val="00AA2F8C"/>
    <w:rsid w:val="00AA3DD5"/>
    <w:rsid w:val="00AA463B"/>
    <w:rsid w:val="00AB27C0"/>
    <w:rsid w:val="00AB2E61"/>
    <w:rsid w:val="00AB55DA"/>
    <w:rsid w:val="00AC05AD"/>
    <w:rsid w:val="00AC143B"/>
    <w:rsid w:val="00AC1E1B"/>
    <w:rsid w:val="00AC4BEE"/>
    <w:rsid w:val="00AC4FAE"/>
    <w:rsid w:val="00AC69CD"/>
    <w:rsid w:val="00AC6AEC"/>
    <w:rsid w:val="00AC7B24"/>
    <w:rsid w:val="00AD2108"/>
    <w:rsid w:val="00AD434A"/>
    <w:rsid w:val="00AD6861"/>
    <w:rsid w:val="00AE0440"/>
    <w:rsid w:val="00AE0FFB"/>
    <w:rsid w:val="00AE7C7D"/>
    <w:rsid w:val="00AF2676"/>
    <w:rsid w:val="00AF26B3"/>
    <w:rsid w:val="00AF2F29"/>
    <w:rsid w:val="00AF50C2"/>
    <w:rsid w:val="00B01698"/>
    <w:rsid w:val="00B02670"/>
    <w:rsid w:val="00B13C33"/>
    <w:rsid w:val="00B16303"/>
    <w:rsid w:val="00B20C91"/>
    <w:rsid w:val="00B20DF7"/>
    <w:rsid w:val="00B229F1"/>
    <w:rsid w:val="00B271B0"/>
    <w:rsid w:val="00B309C6"/>
    <w:rsid w:val="00B31655"/>
    <w:rsid w:val="00B335F2"/>
    <w:rsid w:val="00B422C5"/>
    <w:rsid w:val="00B43BE0"/>
    <w:rsid w:val="00B4721D"/>
    <w:rsid w:val="00B514EC"/>
    <w:rsid w:val="00B53F4C"/>
    <w:rsid w:val="00B5498B"/>
    <w:rsid w:val="00B55E8A"/>
    <w:rsid w:val="00B55F18"/>
    <w:rsid w:val="00B56E91"/>
    <w:rsid w:val="00B639AE"/>
    <w:rsid w:val="00B65301"/>
    <w:rsid w:val="00B701B2"/>
    <w:rsid w:val="00B73797"/>
    <w:rsid w:val="00B73A2E"/>
    <w:rsid w:val="00B82BCA"/>
    <w:rsid w:val="00B84D52"/>
    <w:rsid w:val="00B85943"/>
    <w:rsid w:val="00B87A16"/>
    <w:rsid w:val="00B94673"/>
    <w:rsid w:val="00B94E31"/>
    <w:rsid w:val="00BA119B"/>
    <w:rsid w:val="00BA4C0C"/>
    <w:rsid w:val="00BA5DE6"/>
    <w:rsid w:val="00BA6C88"/>
    <w:rsid w:val="00BB0783"/>
    <w:rsid w:val="00BB2082"/>
    <w:rsid w:val="00BB2876"/>
    <w:rsid w:val="00BB3879"/>
    <w:rsid w:val="00BC2654"/>
    <w:rsid w:val="00BC43E3"/>
    <w:rsid w:val="00BD02A3"/>
    <w:rsid w:val="00BD0468"/>
    <w:rsid w:val="00BD31CD"/>
    <w:rsid w:val="00BD3836"/>
    <w:rsid w:val="00BE528D"/>
    <w:rsid w:val="00BF5DFF"/>
    <w:rsid w:val="00BF5F4F"/>
    <w:rsid w:val="00BF70A9"/>
    <w:rsid w:val="00BF7FCF"/>
    <w:rsid w:val="00C1059E"/>
    <w:rsid w:val="00C252F0"/>
    <w:rsid w:val="00C25BDE"/>
    <w:rsid w:val="00C27304"/>
    <w:rsid w:val="00C31627"/>
    <w:rsid w:val="00C31D39"/>
    <w:rsid w:val="00C337B2"/>
    <w:rsid w:val="00C42A25"/>
    <w:rsid w:val="00C447B3"/>
    <w:rsid w:val="00C53386"/>
    <w:rsid w:val="00C5427B"/>
    <w:rsid w:val="00C5589C"/>
    <w:rsid w:val="00C6410A"/>
    <w:rsid w:val="00C6541C"/>
    <w:rsid w:val="00C714F7"/>
    <w:rsid w:val="00C725BA"/>
    <w:rsid w:val="00C76440"/>
    <w:rsid w:val="00C822A6"/>
    <w:rsid w:val="00C835C7"/>
    <w:rsid w:val="00C866DC"/>
    <w:rsid w:val="00C911F8"/>
    <w:rsid w:val="00C944E3"/>
    <w:rsid w:val="00C953D3"/>
    <w:rsid w:val="00CA219A"/>
    <w:rsid w:val="00CA553E"/>
    <w:rsid w:val="00CA560A"/>
    <w:rsid w:val="00CA59C6"/>
    <w:rsid w:val="00CB0E4B"/>
    <w:rsid w:val="00CB13D3"/>
    <w:rsid w:val="00CB3B70"/>
    <w:rsid w:val="00CB599F"/>
    <w:rsid w:val="00CC1380"/>
    <w:rsid w:val="00CC3897"/>
    <w:rsid w:val="00CC389E"/>
    <w:rsid w:val="00CC483F"/>
    <w:rsid w:val="00CC5431"/>
    <w:rsid w:val="00CC796B"/>
    <w:rsid w:val="00CD2F6C"/>
    <w:rsid w:val="00CD3E99"/>
    <w:rsid w:val="00CD78E7"/>
    <w:rsid w:val="00CE35EC"/>
    <w:rsid w:val="00CE46FD"/>
    <w:rsid w:val="00CF004D"/>
    <w:rsid w:val="00CF3FD1"/>
    <w:rsid w:val="00CF5945"/>
    <w:rsid w:val="00D069BC"/>
    <w:rsid w:val="00D06AA1"/>
    <w:rsid w:val="00D10DD1"/>
    <w:rsid w:val="00D12C9F"/>
    <w:rsid w:val="00D16734"/>
    <w:rsid w:val="00D16BB9"/>
    <w:rsid w:val="00D2278F"/>
    <w:rsid w:val="00D2607A"/>
    <w:rsid w:val="00D27D0A"/>
    <w:rsid w:val="00D301D0"/>
    <w:rsid w:val="00D303A5"/>
    <w:rsid w:val="00D309E3"/>
    <w:rsid w:val="00D3365D"/>
    <w:rsid w:val="00D33A9C"/>
    <w:rsid w:val="00D35100"/>
    <w:rsid w:val="00D3574C"/>
    <w:rsid w:val="00D40601"/>
    <w:rsid w:val="00D4060C"/>
    <w:rsid w:val="00D42C51"/>
    <w:rsid w:val="00D45C60"/>
    <w:rsid w:val="00D46181"/>
    <w:rsid w:val="00D46D75"/>
    <w:rsid w:val="00D47BE2"/>
    <w:rsid w:val="00D51C88"/>
    <w:rsid w:val="00D52AB7"/>
    <w:rsid w:val="00D8038E"/>
    <w:rsid w:val="00D8115D"/>
    <w:rsid w:val="00D861D7"/>
    <w:rsid w:val="00D86BAA"/>
    <w:rsid w:val="00D903E5"/>
    <w:rsid w:val="00D915DA"/>
    <w:rsid w:val="00D94B8D"/>
    <w:rsid w:val="00D97767"/>
    <w:rsid w:val="00DA06A3"/>
    <w:rsid w:val="00DA434C"/>
    <w:rsid w:val="00DA6489"/>
    <w:rsid w:val="00DA6FFA"/>
    <w:rsid w:val="00DA7E03"/>
    <w:rsid w:val="00DB1DF3"/>
    <w:rsid w:val="00DB207D"/>
    <w:rsid w:val="00DB7509"/>
    <w:rsid w:val="00DC13DA"/>
    <w:rsid w:val="00DC1604"/>
    <w:rsid w:val="00DC1CEF"/>
    <w:rsid w:val="00DD0598"/>
    <w:rsid w:val="00DD21E8"/>
    <w:rsid w:val="00DD36AF"/>
    <w:rsid w:val="00DD4EAA"/>
    <w:rsid w:val="00DD5B9E"/>
    <w:rsid w:val="00DD7E15"/>
    <w:rsid w:val="00DE03DF"/>
    <w:rsid w:val="00DE161C"/>
    <w:rsid w:val="00DE196A"/>
    <w:rsid w:val="00DE2743"/>
    <w:rsid w:val="00DE2B1E"/>
    <w:rsid w:val="00DE4C0D"/>
    <w:rsid w:val="00DF38AC"/>
    <w:rsid w:val="00DF425E"/>
    <w:rsid w:val="00E0229C"/>
    <w:rsid w:val="00E041BF"/>
    <w:rsid w:val="00E051B2"/>
    <w:rsid w:val="00E07EAF"/>
    <w:rsid w:val="00E07FB0"/>
    <w:rsid w:val="00E143A9"/>
    <w:rsid w:val="00E14A73"/>
    <w:rsid w:val="00E20484"/>
    <w:rsid w:val="00E24571"/>
    <w:rsid w:val="00E25472"/>
    <w:rsid w:val="00E32758"/>
    <w:rsid w:val="00E35D80"/>
    <w:rsid w:val="00E3692D"/>
    <w:rsid w:val="00E41ADF"/>
    <w:rsid w:val="00E43213"/>
    <w:rsid w:val="00E432C4"/>
    <w:rsid w:val="00E43875"/>
    <w:rsid w:val="00E4683D"/>
    <w:rsid w:val="00E52B72"/>
    <w:rsid w:val="00E55C65"/>
    <w:rsid w:val="00E56502"/>
    <w:rsid w:val="00E57D2B"/>
    <w:rsid w:val="00E60ECA"/>
    <w:rsid w:val="00E6369E"/>
    <w:rsid w:val="00E65907"/>
    <w:rsid w:val="00E76AD6"/>
    <w:rsid w:val="00E91722"/>
    <w:rsid w:val="00E927BE"/>
    <w:rsid w:val="00E96530"/>
    <w:rsid w:val="00E97472"/>
    <w:rsid w:val="00E9761F"/>
    <w:rsid w:val="00EA640C"/>
    <w:rsid w:val="00EA6A26"/>
    <w:rsid w:val="00EA6C90"/>
    <w:rsid w:val="00EA6FFB"/>
    <w:rsid w:val="00EB13A2"/>
    <w:rsid w:val="00EB367D"/>
    <w:rsid w:val="00EB746E"/>
    <w:rsid w:val="00EB7B52"/>
    <w:rsid w:val="00EC27B6"/>
    <w:rsid w:val="00EC3C32"/>
    <w:rsid w:val="00EC4F2E"/>
    <w:rsid w:val="00EC7F7D"/>
    <w:rsid w:val="00ED0BE2"/>
    <w:rsid w:val="00ED4968"/>
    <w:rsid w:val="00EE0851"/>
    <w:rsid w:val="00EE27A0"/>
    <w:rsid w:val="00EE789D"/>
    <w:rsid w:val="00EF08B9"/>
    <w:rsid w:val="00EF1B9F"/>
    <w:rsid w:val="00EF484C"/>
    <w:rsid w:val="00EF4B0A"/>
    <w:rsid w:val="00F03729"/>
    <w:rsid w:val="00F13216"/>
    <w:rsid w:val="00F1334F"/>
    <w:rsid w:val="00F15534"/>
    <w:rsid w:val="00F23064"/>
    <w:rsid w:val="00F24875"/>
    <w:rsid w:val="00F25F3E"/>
    <w:rsid w:val="00F27843"/>
    <w:rsid w:val="00F31F3E"/>
    <w:rsid w:val="00F337B7"/>
    <w:rsid w:val="00F34CE3"/>
    <w:rsid w:val="00F407AA"/>
    <w:rsid w:val="00F4132D"/>
    <w:rsid w:val="00F416E0"/>
    <w:rsid w:val="00F41A00"/>
    <w:rsid w:val="00F423F7"/>
    <w:rsid w:val="00F4321F"/>
    <w:rsid w:val="00F557D4"/>
    <w:rsid w:val="00F56747"/>
    <w:rsid w:val="00F61F96"/>
    <w:rsid w:val="00F62A12"/>
    <w:rsid w:val="00F64B90"/>
    <w:rsid w:val="00F737FC"/>
    <w:rsid w:val="00F7738A"/>
    <w:rsid w:val="00F84E67"/>
    <w:rsid w:val="00F865F3"/>
    <w:rsid w:val="00F93D23"/>
    <w:rsid w:val="00FA1453"/>
    <w:rsid w:val="00FA18B0"/>
    <w:rsid w:val="00FB0F8F"/>
    <w:rsid w:val="00FB24E5"/>
    <w:rsid w:val="00FB488D"/>
    <w:rsid w:val="00FC275E"/>
    <w:rsid w:val="00FC30A7"/>
    <w:rsid w:val="00FC3355"/>
    <w:rsid w:val="00FC601E"/>
    <w:rsid w:val="00FC79A8"/>
    <w:rsid w:val="00FD7FFD"/>
    <w:rsid w:val="00FE067E"/>
    <w:rsid w:val="00FE5DAC"/>
    <w:rsid w:val="00FF3165"/>
    <w:rsid w:val="00FF67F5"/>
    <w:rsid w:val="00FF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4C813"/>
  <w15:chartTrackingRefBased/>
  <w15:docId w15:val="{D215EA54-A16F-4EDB-BBDF-0228ACCD2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rPr>
      <w:lang w:eastAsia="en-US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i/>
      <w:sz w:val="22"/>
      <w:szCs w:val="22"/>
      <w:u w:val="single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jc w:val="center"/>
      <w:outlineLvl w:val="2"/>
    </w:pPr>
    <w:rPr>
      <w:b/>
      <w:sz w:val="24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2"/>
      </w:numPr>
      <w:ind w:right="-143"/>
      <w:outlineLvl w:val="3"/>
    </w:pPr>
    <w:rPr>
      <w:b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-Bekezdsalap-bettpusa">
    <w:name w:val="WW-Bekezdés alap-betűtípusa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St1z0">
    <w:name w:val="WW8NumSt1z0"/>
    <w:rPr>
      <w:rFonts w:ascii="Symbol" w:hAnsi="Symbol"/>
    </w:rPr>
  </w:style>
  <w:style w:type="character" w:customStyle="1" w:styleId="WW-Bekezdsalap-bettpusa1">
    <w:name w:val="WW-Bekezdés alap-betűtípusa1"/>
  </w:style>
  <w:style w:type="paragraph" w:styleId="Szvegtrzs">
    <w:name w:val="Body Text"/>
    <w:basedOn w:val="Norml"/>
    <w:rPr>
      <w:b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Szvegtrzsbehzssal">
    <w:name w:val="Body Text Indent"/>
    <w:basedOn w:val="Norml"/>
    <w:pPr>
      <w:spacing w:after="120"/>
      <w:ind w:left="283"/>
    </w:p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lang w:val="x-none"/>
    </w:r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Cs/>
      <w:i/>
      <w:iCs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Dokumentumtrkp">
    <w:name w:val="WW-Dokumentumtérkép"/>
    <w:basedOn w:val="Norml"/>
    <w:pPr>
      <w:shd w:val="clear" w:color="auto" w:fill="000080"/>
    </w:pPr>
    <w:rPr>
      <w:rFonts w:ascii="Tahoma" w:hAnsi="Tahoma"/>
    </w:rPr>
  </w:style>
  <w:style w:type="paragraph" w:customStyle="1" w:styleId="toa">
    <w:name w:val="toa"/>
    <w:basedOn w:val="Norml"/>
    <w:pPr>
      <w:tabs>
        <w:tab w:val="right" w:pos="9360"/>
      </w:tabs>
    </w:pPr>
    <w:rPr>
      <w:rFonts w:ascii="Univers" w:hAnsi="Univers"/>
      <w:sz w:val="22"/>
      <w:lang w:val="en-US"/>
    </w:rPr>
  </w:style>
  <w:style w:type="paragraph" w:customStyle="1" w:styleId="Cmsor21">
    <w:name w:val="Címsor 21"/>
    <w:basedOn w:val="Norml"/>
    <w:next w:val="Norml"/>
    <w:pPr>
      <w:keepNext/>
    </w:pPr>
    <w:rPr>
      <w:b/>
      <w:sz w:val="26"/>
    </w:rPr>
  </w:style>
  <w:style w:type="paragraph" w:customStyle="1" w:styleId="WW-Szvegtrzs2">
    <w:name w:val="WW-Szövegtörzs 2"/>
    <w:basedOn w:val="Norml"/>
    <w:pPr>
      <w:spacing w:after="120" w:line="480" w:lineRule="auto"/>
    </w:pPr>
  </w:style>
  <w:style w:type="paragraph" w:customStyle="1" w:styleId="WW-NormlWeb">
    <w:name w:val="WW-Normál (Web)"/>
    <w:basedOn w:val="Norml"/>
    <w:pPr>
      <w:spacing w:before="280" w:after="119"/>
    </w:pPr>
    <w:rPr>
      <w:rFonts w:ascii="Arial Unicode MS" w:hAnsi="Arial Unicode MS"/>
      <w:sz w:val="24"/>
      <w:szCs w:val="24"/>
    </w:rPr>
  </w:style>
  <w:style w:type="paragraph" w:customStyle="1" w:styleId="WW-Szvegtrzs3">
    <w:name w:val="WW-Szövegtörzs 3"/>
    <w:basedOn w:val="Norml"/>
    <w:pPr>
      <w:tabs>
        <w:tab w:val="left" w:pos="1350"/>
      </w:tabs>
    </w:pPr>
    <w:rPr>
      <w:sz w:val="22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semiHidden/>
    <w:rsid w:val="007B70F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566D1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rsid w:val="007F4DD9"/>
  </w:style>
  <w:style w:type="paragraph" w:customStyle="1" w:styleId="Default">
    <w:name w:val="Default"/>
    <w:rsid w:val="00882AA6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character" w:styleId="Hiperhivatkozs">
    <w:name w:val="Hyperlink"/>
    <w:aliases w:val="Footer Char2,Footer Char1 Char,Footer Char2 Char Char1,Footer Char1 Char Char Char,Footer Char2 Char Char1 Char Char,Footer Char1 Char Char Char Char1 Char,Footer Char1 Char Char Char Char1 Char Char Char"/>
    <w:uiPriority w:val="99"/>
    <w:rsid w:val="006F351C"/>
    <w:rPr>
      <w:color w:val="0000FF"/>
      <w:u w:val="single"/>
    </w:rPr>
  </w:style>
  <w:style w:type="paragraph" w:styleId="Vltozat">
    <w:name w:val="Revision"/>
    <w:hidden/>
    <w:uiPriority w:val="99"/>
    <w:semiHidden/>
    <w:rsid w:val="00402FAE"/>
    <w:rPr>
      <w:rFonts w:ascii="Arial" w:hAnsi="Arial"/>
      <w:sz w:val="23"/>
      <w:lang w:eastAsia="ar-SA"/>
    </w:rPr>
  </w:style>
  <w:style w:type="character" w:customStyle="1" w:styleId="lfejChar">
    <w:name w:val="Élőfej Char"/>
    <w:link w:val="lfej"/>
    <w:uiPriority w:val="99"/>
    <w:rsid w:val="004D03C6"/>
    <w:rPr>
      <w:rFonts w:ascii="Arial" w:hAnsi="Arial"/>
      <w:sz w:val="23"/>
      <w:lang w:eastAsia="ar-SA"/>
    </w:rPr>
  </w:style>
  <w:style w:type="character" w:styleId="Jegyzethivatkozs">
    <w:name w:val="annotation reference"/>
    <w:semiHidden/>
    <w:unhideWhenUsed/>
    <w:rsid w:val="008E349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E3496"/>
    <w:rPr>
      <w:lang w:val="x-none"/>
    </w:rPr>
  </w:style>
  <w:style w:type="character" w:customStyle="1" w:styleId="JegyzetszvegChar">
    <w:name w:val="Jegyzetszöveg Char"/>
    <w:link w:val="Jegyzetszveg"/>
    <w:uiPriority w:val="99"/>
    <w:rsid w:val="008E3496"/>
    <w:rPr>
      <w:rFonts w:ascii="Arial" w:hAnsi="Arial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E349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8E3496"/>
    <w:rPr>
      <w:rFonts w:ascii="Arial" w:hAnsi="Arial"/>
      <w:b/>
      <w:bCs/>
      <w:lang w:eastAsia="ar-SA"/>
    </w:rPr>
  </w:style>
  <w:style w:type="paragraph" w:customStyle="1" w:styleId="Norml1">
    <w:name w:val="Normál1"/>
    <w:basedOn w:val="Norml"/>
    <w:rsid w:val="008B079B"/>
  </w:style>
  <w:style w:type="character" w:customStyle="1" w:styleId="Feloldatlanmegemlts1">
    <w:name w:val="Feloldatlan megemlítés1"/>
    <w:uiPriority w:val="99"/>
    <w:semiHidden/>
    <w:unhideWhenUsed/>
    <w:rsid w:val="00E52B72"/>
    <w:rPr>
      <w:color w:val="605E5C"/>
      <w:shd w:val="clear" w:color="auto" w:fill="E1DFDD"/>
    </w:rPr>
  </w:style>
  <w:style w:type="character" w:styleId="Mrltotthiperhivatkozs">
    <w:name w:val="FollowedHyperlink"/>
    <w:uiPriority w:val="99"/>
    <w:semiHidden/>
    <w:unhideWhenUsed/>
    <w:rsid w:val="00C5338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3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3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18010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2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FC16A-260F-4FC7-B6E7-E0726A003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3748</Words>
  <Characters>25863</Characters>
  <Application>Microsoft Office Word</Application>
  <DocSecurity>0</DocSecurity>
  <Lines>215</Lines>
  <Paragraphs>59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29552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Admin-2</dc:creator>
  <cp:keywords/>
  <cp:lastModifiedBy>HU_OGYI_62.1</cp:lastModifiedBy>
  <cp:revision>10</cp:revision>
  <dcterms:created xsi:type="dcterms:W3CDTF">2025-02-13T14:11:00Z</dcterms:created>
  <dcterms:modified xsi:type="dcterms:W3CDTF">2025-03-06T10:25:00Z</dcterms:modified>
</cp:coreProperties>
</file>