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2DCBD" w14:textId="5A4F6FF4" w:rsidR="00CE38C4" w:rsidRPr="00A2627F" w:rsidRDefault="00130566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bookmarkStart w:id="0" w:name="_GoBack"/>
      <w:bookmarkEnd w:id="0"/>
      <w:r w:rsidRPr="00A2627F">
        <w:rPr>
          <w:noProof/>
          <w:lang w:val="hu-HU" w:eastAsia="hu-HU"/>
        </w:rPr>
        <w:drawing>
          <wp:anchor distT="0" distB="0" distL="114300" distR="114300" simplePos="0" relativeHeight="251709440" behindDoc="1" locked="0" layoutInCell="1" allowOverlap="1" wp14:anchorId="5439ADC2" wp14:editId="20423C9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3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GYÓGYSZER NEVE</w:t>
      </w:r>
    </w:p>
    <w:p w14:paraId="4AB8F869" w14:textId="77777777" w:rsidR="0026418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-55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35A604E5" w14:textId="07158CFC" w:rsidR="00264189" w:rsidRPr="00A2627F" w:rsidRDefault="0066625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120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cr/>
      </w:r>
      <w:r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240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</w:p>
    <w:p w14:paraId="77B18F70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F5A11DC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79AFC1D" w14:textId="71A69351" w:rsidR="00264189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MINŐSÉGI ÉS MENNYISÉGI ÖSSZETÉTEL</w:t>
      </w:r>
    </w:p>
    <w:p w14:paraId="0D2B94CD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9A52259" w14:textId="60CE4173" w:rsidR="00264189" w:rsidRPr="00A2627F" w:rsidRDefault="0066625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120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</w:p>
    <w:p w14:paraId="54D153A2" w14:textId="26DF24E3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120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 dimetil-fumarátot tartalmaz gyomornedv-ellenálló kemény kapszulánként.</w:t>
      </w:r>
    </w:p>
    <w:p w14:paraId="020E04EF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D824776" w14:textId="63B1CD2D" w:rsidR="00CE38C4" w:rsidRPr="00A2627F" w:rsidRDefault="0066625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240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</w:p>
    <w:p w14:paraId="09FC835D" w14:textId="5F36D43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240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 dimetil-fumarátot tartalmaz gyomornedv-ellenálló kemény kapszulánként.</w:t>
      </w:r>
    </w:p>
    <w:p w14:paraId="68DE1F0A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7484640" w14:textId="0AA7F203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segédanyagok teljes listáját lásd a 6.1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pontban.</w:t>
      </w:r>
    </w:p>
    <w:p w14:paraId="087DB579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D14F412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ABBD951" w14:textId="54BD4C3D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GYÓGYSZERFORMA</w:t>
      </w:r>
    </w:p>
    <w:p w14:paraId="00B1E087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38CF0FC" w14:textId="3D601B14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Gyomornedv-ellenálló kemény kapszula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 xml:space="preserve"> (gyomornedv-ellenálló kapszula)</w:t>
      </w:r>
      <w:r w:rsidR="002E587E">
        <w:rPr>
          <w:rFonts w:ascii="Times New Roman" w:hAnsi="Times New Roman" w:cs="Times New Roman"/>
          <w:color w:val="000000"/>
          <w:lang w:val="hu-HU"/>
        </w:rPr>
        <w:t>.</w:t>
      </w:r>
    </w:p>
    <w:p w14:paraId="58098F43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105D75B" w14:textId="37192B30" w:rsidR="00CE38C4" w:rsidRPr="00A5121B" w:rsidRDefault="0066625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405861" w:rsidRPr="00A5121B">
        <w:rPr>
          <w:rFonts w:ascii="Times New Roman" w:hAnsi="Times New Roman" w:cs="Times New Roman"/>
          <w:color w:val="000000"/>
          <w:lang w:val="hu-HU"/>
        </w:rPr>
        <w:t>120</w:t>
      </w:r>
      <w:r w:rsidR="00B812CC"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5121B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</w:p>
    <w:p w14:paraId="28236F70" w14:textId="6521C723" w:rsidR="00CE38C4" w:rsidRPr="00A5121B" w:rsidRDefault="00C5649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F</w:t>
      </w:r>
      <w:r w:rsidR="00BF49E5" w:rsidRPr="00A5121B">
        <w:rPr>
          <w:rFonts w:ascii="Times New Roman" w:hAnsi="Times New Roman" w:cs="Times New Roman"/>
          <w:color w:val="000000"/>
          <w:lang w:val="hu-HU"/>
        </w:rPr>
        <w:t xml:space="preserve">ehér vagy törtfehér minitablettákat tartalmazó, </w:t>
      </w:r>
      <w:r w:rsidR="00F6731E" w:rsidRPr="00F6731E">
        <w:rPr>
          <w:rFonts w:ascii="Times New Roman" w:hAnsi="Times New Roman" w:cs="Times New Roman"/>
          <w:color w:val="000000"/>
          <w:lang w:val="hu-HU"/>
        </w:rPr>
        <w:t>zöld felsőrészű és fehér alsórészű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>, 21,4</w:t>
      </w:r>
      <w:r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 xml:space="preserve">mm-es kapszula, </w:t>
      </w:r>
      <w:r w:rsidR="00F6731E">
        <w:rPr>
          <w:rFonts w:ascii="Times New Roman" w:hAnsi="Times New Roman" w:cs="Times New Roman"/>
          <w:color w:val="000000"/>
          <w:lang w:val="hu-HU"/>
        </w:rPr>
        <w:t>alsó részén</w:t>
      </w:r>
      <w:r w:rsidR="00DD69E9" w:rsidRPr="00A5121B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 xml:space="preserve">fekete </w:t>
      </w:r>
      <w:r w:rsidR="00F6731E">
        <w:rPr>
          <w:rFonts w:ascii="Times New Roman" w:hAnsi="Times New Roman" w:cs="Times New Roman"/>
          <w:color w:val="000000"/>
          <w:lang w:val="hu-HU"/>
        </w:rPr>
        <w:t>„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>DMF</w:t>
      </w:r>
      <w:r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>120</w:t>
      </w:r>
      <w:r w:rsidR="00F6731E">
        <w:rPr>
          <w:rFonts w:ascii="Times New Roman" w:hAnsi="Times New Roman" w:cs="Times New Roman"/>
          <w:color w:val="000000"/>
          <w:lang w:val="hu-HU"/>
        </w:rPr>
        <w:t>” jelöléssel ellátva</w:t>
      </w:r>
      <w:r w:rsidR="006F0FE6" w:rsidRPr="00A5121B">
        <w:rPr>
          <w:rFonts w:ascii="Times New Roman" w:hAnsi="Times New Roman" w:cs="Times New Roman"/>
          <w:color w:val="000000"/>
          <w:lang w:val="hu-HU"/>
        </w:rPr>
        <w:t>.</w:t>
      </w:r>
    </w:p>
    <w:p w14:paraId="3B58C2F5" w14:textId="77777777" w:rsidR="00264189" w:rsidRPr="00A5121B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276EA0F" w14:textId="7A787CDF" w:rsidR="00CE38C4" w:rsidRPr="00A5121B" w:rsidRDefault="0066625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Arbicen</w:t>
      </w:r>
      <w:r w:rsidR="00405861" w:rsidRPr="00A5121B">
        <w:rPr>
          <w:rFonts w:ascii="Times New Roman" w:hAnsi="Times New Roman" w:cs="Times New Roman"/>
          <w:color w:val="000000"/>
          <w:lang w:val="hu-HU"/>
        </w:rPr>
        <w:t xml:space="preserve"> 240</w:t>
      </w:r>
      <w:r w:rsidR="00812D10"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405861" w:rsidRPr="00A5121B">
        <w:rPr>
          <w:rFonts w:ascii="Times New Roman" w:hAnsi="Times New Roman" w:cs="Times New Roman"/>
          <w:color w:val="000000"/>
          <w:lang w:val="hu-HU"/>
        </w:rPr>
        <w:t>mg gyomornedv-ellenálló kemény kapszula</w:t>
      </w:r>
    </w:p>
    <w:p w14:paraId="3228EF4C" w14:textId="7D78F738" w:rsidR="00264189" w:rsidRPr="00A2627F" w:rsidRDefault="00BF49E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 xml:space="preserve">Fehér vagy törtfehér minitablettákat tartalmazó, </w:t>
      </w:r>
      <w:r w:rsidR="002E587E" w:rsidRPr="002E587E">
        <w:rPr>
          <w:rFonts w:ascii="Times New Roman" w:hAnsi="Times New Roman" w:cs="Times New Roman"/>
          <w:color w:val="000000"/>
          <w:lang w:val="hu-HU"/>
        </w:rPr>
        <w:t>zöld felső- és alsórészű 23,2</w:t>
      </w:r>
      <w:r w:rsidR="002E587E">
        <w:rPr>
          <w:rFonts w:ascii="Times New Roman" w:hAnsi="Times New Roman" w:cs="Times New Roman"/>
          <w:color w:val="000000"/>
          <w:lang w:val="hu-HU"/>
        </w:rPr>
        <w:t> </w:t>
      </w:r>
      <w:r w:rsidR="002E587E" w:rsidRPr="002E587E">
        <w:rPr>
          <w:rFonts w:ascii="Times New Roman" w:hAnsi="Times New Roman" w:cs="Times New Roman"/>
          <w:color w:val="000000"/>
          <w:lang w:val="hu-HU"/>
        </w:rPr>
        <w:t>mm-es kapszula, alsó részén fekete „DMF 240” jelöléssel ellátva</w:t>
      </w:r>
      <w:r w:rsidR="00C5649B" w:rsidRPr="00A5121B">
        <w:rPr>
          <w:rFonts w:ascii="Times New Roman" w:hAnsi="Times New Roman" w:cs="Times New Roman"/>
          <w:color w:val="000000"/>
          <w:lang w:val="hu-HU"/>
        </w:rPr>
        <w:t>.</w:t>
      </w:r>
    </w:p>
    <w:p w14:paraId="745AC26F" w14:textId="77777777" w:rsidR="00264189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7266EEC" w14:textId="77777777" w:rsidR="002E587E" w:rsidRPr="00A2627F" w:rsidRDefault="002E587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323B5AC" w14:textId="0E76CC6F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KLINIKAI JELLEMZŐK</w:t>
      </w:r>
    </w:p>
    <w:p w14:paraId="73C3CBED" w14:textId="77777777" w:rsidR="00264189" w:rsidRPr="00A2627F" w:rsidRDefault="00264189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3BFD7016" w14:textId="33927397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Terápiás javallatok</w:t>
      </w:r>
    </w:p>
    <w:p w14:paraId="164E4E45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4C1C55A" w14:textId="506D2EF0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673ED4" w:rsidRPr="00A2627F">
        <w:rPr>
          <w:rFonts w:ascii="Times New Roman" w:hAnsi="Times New Roman" w:cs="Times New Roman"/>
          <w:color w:val="000000"/>
          <w:lang w:val="hu-HU"/>
        </w:rPr>
        <w:t>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</w:t>
      </w:r>
      <w:r w:rsidR="00375652">
        <w:rPr>
          <w:rFonts w:ascii="Times New Roman" w:hAnsi="Times New Roman" w:cs="Times New Roman"/>
          <w:color w:val="000000"/>
          <w:lang w:val="hu-HU"/>
        </w:rPr>
        <w:t>relabáló</w:t>
      </w:r>
      <w:r w:rsidRPr="00A2627F">
        <w:rPr>
          <w:rFonts w:ascii="Times New Roman" w:hAnsi="Times New Roman" w:cs="Times New Roman"/>
          <w:color w:val="000000"/>
          <w:lang w:val="hu-HU"/>
        </w:rPr>
        <w:t>-remittáló sclerosis multiplexben (RR</w:t>
      </w:r>
      <w:r w:rsidR="00AF6184">
        <w:rPr>
          <w:rFonts w:ascii="Times New Roman" w:hAnsi="Times New Roman" w:cs="Times New Roman"/>
          <w:color w:val="000000"/>
          <w:lang w:val="hu-HU"/>
        </w:rPr>
        <w:t>SM</w:t>
      </w:r>
      <w:r w:rsidRPr="00A2627F">
        <w:rPr>
          <w:rFonts w:ascii="Times New Roman" w:hAnsi="Times New Roman" w:cs="Times New Roman"/>
          <w:color w:val="000000"/>
          <w:lang w:val="hu-HU"/>
        </w:rPr>
        <w:t>) szenvedő felnőttek és 13</w:t>
      </w:r>
      <w:r w:rsidR="00375652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vagy annál idősebb gyermekek és serdülők kezelésére javallott.</w:t>
      </w:r>
    </w:p>
    <w:p w14:paraId="66747EFB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8BCBA81" w14:textId="71F5417F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Adagolás és alkalmazás</w:t>
      </w:r>
    </w:p>
    <w:p w14:paraId="7110A3C0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B4BB22B" w14:textId="4913FE82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kezelést a sclerosis multiplex kezelésében tapasztalattal rendelkező orvos</w:t>
      </w:r>
      <w:r w:rsidR="00B812C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felügyelete mellett kell megkezdeni.</w:t>
      </w:r>
    </w:p>
    <w:p w14:paraId="56F79A7D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1FEE427" w14:textId="2666F5F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Adagolás</w:t>
      </w:r>
    </w:p>
    <w:p w14:paraId="6A837F69" w14:textId="3F89210F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375652">
        <w:rPr>
          <w:rFonts w:ascii="Times New Roman" w:hAnsi="Times New Roman" w:cs="Times New Roman"/>
          <w:color w:val="000000"/>
          <w:lang w:val="hu-HU"/>
        </w:rPr>
        <w:t xml:space="preserve">A kezdő </w:t>
      </w:r>
      <w:r w:rsidR="003668BE" w:rsidRPr="00375652">
        <w:rPr>
          <w:rFonts w:ascii="Times New Roman" w:hAnsi="Times New Roman" w:cs="Times New Roman"/>
          <w:color w:val="000000"/>
          <w:lang w:val="hu-HU"/>
        </w:rPr>
        <w:t xml:space="preserve">dózis </w:t>
      </w:r>
      <w:r w:rsidRPr="00375652">
        <w:rPr>
          <w:rFonts w:ascii="Times New Roman" w:hAnsi="Times New Roman" w:cs="Times New Roman"/>
          <w:color w:val="000000"/>
          <w:lang w:val="hu-HU"/>
        </w:rPr>
        <w:t>naponta kétszer 120</w:t>
      </w:r>
      <w:r w:rsidR="00812D10" w:rsidRPr="00375652">
        <w:rPr>
          <w:rFonts w:ascii="Times New Roman" w:hAnsi="Times New Roman" w:cs="Times New Roman"/>
          <w:color w:val="000000"/>
          <w:lang w:val="hu-HU"/>
        </w:rPr>
        <w:t> </w:t>
      </w:r>
      <w:r w:rsidRPr="00375652">
        <w:rPr>
          <w:rFonts w:ascii="Times New Roman" w:hAnsi="Times New Roman" w:cs="Times New Roman"/>
          <w:color w:val="000000"/>
          <w:lang w:val="hu-HU"/>
        </w:rPr>
        <w:t xml:space="preserve">mg. Hét nap után </w:t>
      </w:r>
      <w:r w:rsidR="00375652" w:rsidRPr="00375652">
        <w:rPr>
          <w:rFonts w:ascii="Times New Roman" w:hAnsi="Times New Roman" w:cs="Times New Roman"/>
          <w:lang w:val="hu"/>
        </w:rPr>
        <w:t>a dózist a naponta kétszer 240 mg</w:t>
      </w:r>
      <w:r w:rsidR="00375652" w:rsidRPr="00375652">
        <w:rPr>
          <w:rFonts w:ascii="Times New Roman" w:hAnsi="Times New Roman" w:cs="Times New Roman"/>
          <w:lang w:val="hu"/>
        </w:rPr>
        <w:noBreakHyphen/>
        <w:t>os</w:t>
      </w:r>
      <w:r w:rsidR="00375652" w:rsidRPr="002A13C1">
        <w:rPr>
          <w:rFonts w:ascii="Times New Roman" w:hAnsi="Times New Roman" w:cs="Times New Roman"/>
          <w:lang w:val="hu"/>
        </w:rPr>
        <w:t xml:space="preserve"> </w:t>
      </w:r>
      <w:r w:rsidRPr="00375652">
        <w:rPr>
          <w:rFonts w:ascii="Times New Roman" w:hAnsi="Times New Roman" w:cs="Times New Roman"/>
          <w:color w:val="000000"/>
          <w:lang w:val="hu-HU"/>
        </w:rPr>
        <w:t>ajánlott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fenntartó dózisra</w:t>
      </w:r>
      <w:r w:rsidR="00375652">
        <w:rPr>
          <w:rFonts w:ascii="Times New Roman" w:hAnsi="Times New Roman" w:cs="Times New Roman"/>
          <w:color w:val="000000"/>
          <w:lang w:val="hu-HU"/>
        </w:rPr>
        <w:t xml:space="preserve"> kell emelni</w:t>
      </w:r>
      <w:r w:rsidR="003668B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(lásd 4.4 pont).</w:t>
      </w:r>
    </w:p>
    <w:p w14:paraId="2E6D9335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1BBD7C7" w14:textId="213CC2A7" w:rsidR="00CE38C4" w:rsidRPr="004516BA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4516BA">
        <w:rPr>
          <w:rFonts w:ascii="Times New Roman" w:hAnsi="Times New Roman" w:cs="Times New Roman"/>
          <w:color w:val="000000"/>
          <w:lang w:val="hu-HU"/>
        </w:rPr>
        <w:t xml:space="preserve">Ha a beteg kihagy egy </w:t>
      </w:r>
      <w:r w:rsidR="00D34A7D">
        <w:rPr>
          <w:rFonts w:ascii="Times New Roman" w:hAnsi="Times New Roman" w:cs="Times New Roman"/>
          <w:lang w:val="hu"/>
        </w:rPr>
        <w:t>dózis</w:t>
      </w:r>
      <w:r w:rsidR="004516BA" w:rsidRPr="004516BA">
        <w:rPr>
          <w:rFonts w:ascii="Times New Roman" w:hAnsi="Times New Roman" w:cs="Times New Roman"/>
          <w:lang w:val="hu"/>
        </w:rPr>
        <w:t>t</w:t>
      </w:r>
      <w:r w:rsidRPr="004516BA">
        <w:rPr>
          <w:rFonts w:ascii="Times New Roman" w:hAnsi="Times New Roman" w:cs="Times New Roman"/>
          <w:color w:val="000000"/>
          <w:lang w:val="hu-HU"/>
        </w:rPr>
        <w:t xml:space="preserve">, nem szabad kétszeres </w:t>
      </w:r>
      <w:r w:rsidR="00D34A7D">
        <w:rPr>
          <w:rFonts w:ascii="Times New Roman" w:hAnsi="Times New Roman" w:cs="Times New Roman"/>
          <w:lang w:val="hu"/>
        </w:rPr>
        <w:t>dózis</w:t>
      </w:r>
      <w:r w:rsidR="004516BA" w:rsidRPr="004516BA">
        <w:rPr>
          <w:rFonts w:ascii="Times New Roman" w:hAnsi="Times New Roman" w:cs="Times New Roman"/>
          <w:lang w:val="hu"/>
        </w:rPr>
        <w:t>t</w:t>
      </w:r>
      <w:r w:rsidR="004516BA">
        <w:rPr>
          <w:rFonts w:ascii="Times New Roman" w:hAnsi="Times New Roman" w:cs="Times New Roman"/>
          <w:lang w:val="hu"/>
        </w:rPr>
        <w:t xml:space="preserve"> </w:t>
      </w:r>
      <w:r w:rsidRPr="004516BA">
        <w:rPr>
          <w:rFonts w:ascii="Times New Roman" w:hAnsi="Times New Roman" w:cs="Times New Roman"/>
          <w:color w:val="000000"/>
          <w:lang w:val="hu-HU"/>
        </w:rPr>
        <w:t>bevennie. A beteg csak abban az esetben</w:t>
      </w:r>
      <w:r w:rsidR="00063CEB" w:rsidRPr="004516BA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4516BA">
        <w:rPr>
          <w:rFonts w:ascii="Times New Roman" w:hAnsi="Times New Roman" w:cs="Times New Roman"/>
          <w:color w:val="000000"/>
          <w:lang w:val="hu-HU"/>
        </w:rPr>
        <w:t xml:space="preserve">veheti be a kihagyott </w:t>
      </w:r>
      <w:r w:rsidR="00D34A7D">
        <w:rPr>
          <w:rFonts w:ascii="Times New Roman" w:hAnsi="Times New Roman" w:cs="Times New Roman"/>
          <w:lang w:val="hu"/>
        </w:rPr>
        <w:t>dózis</w:t>
      </w:r>
      <w:r w:rsidR="004516BA" w:rsidRPr="004516BA">
        <w:rPr>
          <w:rFonts w:ascii="Times New Roman" w:hAnsi="Times New Roman" w:cs="Times New Roman"/>
          <w:lang w:val="hu"/>
        </w:rPr>
        <w:t>t</w:t>
      </w:r>
      <w:r w:rsidRPr="004516BA">
        <w:rPr>
          <w:rFonts w:ascii="Times New Roman" w:hAnsi="Times New Roman" w:cs="Times New Roman"/>
          <w:color w:val="000000"/>
          <w:lang w:val="hu-HU"/>
        </w:rPr>
        <w:t xml:space="preserve">, ha a </w:t>
      </w:r>
      <w:r w:rsidR="00D34A7D">
        <w:rPr>
          <w:rFonts w:ascii="Times New Roman" w:hAnsi="Times New Roman" w:cs="Times New Roman"/>
          <w:lang w:val="hu"/>
        </w:rPr>
        <w:t>dózis</w:t>
      </w:r>
      <w:r w:rsidRPr="004516BA">
        <w:rPr>
          <w:rFonts w:ascii="Times New Roman" w:hAnsi="Times New Roman" w:cs="Times New Roman"/>
          <w:color w:val="000000"/>
          <w:lang w:val="hu-HU"/>
        </w:rPr>
        <w:t>ok bevétele között eltelik 4</w:t>
      </w:r>
      <w:r w:rsidR="00812D10" w:rsidRPr="004516BA">
        <w:rPr>
          <w:rFonts w:ascii="Times New Roman" w:hAnsi="Times New Roman" w:cs="Times New Roman"/>
          <w:color w:val="000000"/>
          <w:lang w:val="hu-HU"/>
        </w:rPr>
        <w:t> </w:t>
      </w:r>
      <w:r w:rsidRPr="004516BA">
        <w:rPr>
          <w:rFonts w:ascii="Times New Roman" w:hAnsi="Times New Roman" w:cs="Times New Roman"/>
          <w:color w:val="000000"/>
          <w:lang w:val="hu-HU"/>
        </w:rPr>
        <w:t>óra. Ellenkező esetben a betegnek</w:t>
      </w:r>
      <w:r w:rsidR="00063CEB" w:rsidRPr="004516BA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4516BA">
        <w:rPr>
          <w:rFonts w:ascii="Times New Roman" w:hAnsi="Times New Roman" w:cs="Times New Roman"/>
          <w:color w:val="000000"/>
          <w:lang w:val="hu-HU"/>
        </w:rPr>
        <w:t xml:space="preserve">meg kell várnia a következő </w:t>
      </w:r>
      <w:r w:rsidR="00D34A7D">
        <w:rPr>
          <w:rFonts w:ascii="Times New Roman" w:hAnsi="Times New Roman" w:cs="Times New Roman"/>
          <w:lang w:val="hu"/>
        </w:rPr>
        <w:t>dózis</w:t>
      </w:r>
      <w:r w:rsidRPr="004516BA">
        <w:rPr>
          <w:rFonts w:ascii="Times New Roman" w:hAnsi="Times New Roman" w:cs="Times New Roman"/>
          <w:color w:val="000000"/>
          <w:lang w:val="hu-HU"/>
        </w:rPr>
        <w:t xml:space="preserve"> esedékes időpontját.</w:t>
      </w:r>
    </w:p>
    <w:p w14:paraId="0B364397" w14:textId="77777777" w:rsidR="00264189" w:rsidRPr="00A2627F" w:rsidRDefault="0026418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896BD79" w14:textId="36D1B3DC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3668BE" w:rsidRPr="00A2627F">
        <w:rPr>
          <w:rFonts w:ascii="Times New Roman" w:hAnsi="Times New Roman" w:cs="Times New Roman"/>
          <w:color w:val="000000"/>
          <w:lang w:val="hu-HU"/>
        </w:rPr>
        <w:t xml:space="preserve"> dózis </w:t>
      </w:r>
      <w:r w:rsidRPr="00A2627F">
        <w:rPr>
          <w:rFonts w:ascii="Times New Roman" w:hAnsi="Times New Roman" w:cs="Times New Roman"/>
          <w:color w:val="000000"/>
          <w:lang w:val="hu-HU"/>
        </w:rPr>
        <w:t>naponta kétszer 120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mg-ra történő ideiglenes csökkentése mérsékelheti a kipirulás és az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emésztőrendszert érintő mellékhatások előfordulását. Az ajánlott</w:t>
      </w:r>
      <w:r w:rsidR="004516BA">
        <w:rPr>
          <w:rFonts w:ascii="Times New Roman" w:hAnsi="Times New Roman" w:cs="Times New Roman"/>
          <w:color w:val="000000"/>
          <w:lang w:val="hu-HU"/>
        </w:rPr>
        <w:t>,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naponta kétszer 240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mg-os fenntartó</w:t>
      </w:r>
      <w:r w:rsidR="00C740E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bookmarkStart w:id="1" w:name="br3"/>
      <w:bookmarkEnd w:id="1"/>
      <w:r w:rsidR="003668BE"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711488" behindDoc="1" locked="0" layoutInCell="1" allowOverlap="1" wp14:anchorId="742F4F45" wp14:editId="5601030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8BE" w:rsidRPr="00A2627F">
        <w:rPr>
          <w:rFonts w:ascii="Times New Roman" w:hAnsi="Times New Roman" w:cs="Times New Roman"/>
          <w:noProof/>
          <w:color w:val="000000"/>
          <w:lang w:val="hu-HU"/>
        </w:rPr>
        <w:t>dózisra</w:t>
      </w:r>
      <w:r w:rsidR="003668B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1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hónapon belül vissza kell állni.</w:t>
      </w:r>
    </w:p>
    <w:p w14:paraId="4093B09D" w14:textId="1667B204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9EFA9D1" w14:textId="25EDCA00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673ED4" w:rsidRPr="00A2627F">
        <w:rPr>
          <w:rFonts w:ascii="Times New Roman" w:hAnsi="Times New Roman" w:cs="Times New Roman"/>
          <w:color w:val="000000"/>
          <w:lang w:val="hu-HU"/>
        </w:rPr>
        <w:t>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Pr="00A2627F">
        <w:rPr>
          <w:rFonts w:ascii="Times New Roman" w:hAnsi="Times New Roman" w:cs="Times New Roman"/>
          <w:color w:val="000000"/>
          <w:lang w:val="hu-HU"/>
        </w:rPr>
        <w:t>t étkezés közben kell bevenni (lásd 5.2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Azoknál a betegeknél, akik kipirulást vagy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 emésztőrendszert érintő mellékhatásokat tapasztalnak, a</w:t>
      </w:r>
      <w:r w:rsidR="00673ED4" w:rsidRPr="00A2627F">
        <w:rPr>
          <w:rFonts w:ascii="Times New Roman" w:hAnsi="Times New Roman" w:cs="Times New Roman"/>
          <w:color w:val="000000"/>
          <w:lang w:val="hu-HU"/>
        </w:rPr>
        <w:t>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étkezés közben történő bevétele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javíthatja a tolerálhatóságot (lásd 4.4, 4.5 és 4.8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6BB285B9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A528F1D" w14:textId="7CEB589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u w:val="single"/>
          <w:lang w:val="hu-HU"/>
        </w:rPr>
        <w:t>Különleges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u w:val="single"/>
          <w:lang w:val="hu-HU"/>
        </w:rPr>
        <w:t>betegcsoportok</w:t>
      </w:r>
    </w:p>
    <w:p w14:paraId="7C4943B7" w14:textId="3AC10790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Idősek</w:t>
      </w:r>
    </w:p>
    <w:p w14:paraId="33F626D6" w14:textId="08141839" w:rsidR="001449D0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8A5C75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végzett klinikai vizsgálatokban korlátozott volt az 55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vagy ennél idősebb betegek</w:t>
      </w:r>
      <w:r w:rsidR="001449D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expozíciója, és a vizsgálatokba bevont 65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vagy ennél idősebb betegek száma nem volt elegendő</w:t>
      </w:r>
      <w:r w:rsidR="001449D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annak megállapításához, hogy a fiatalabb betegektől eltérően reagálnak-e (lásd 5.2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A hatóanyag</w:t>
      </w:r>
      <w:r w:rsidR="001449D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hatásmechanizmusát alapul véve, elméletileg semmi sem indokolja </w:t>
      </w:r>
      <w:r w:rsidR="00171E69">
        <w:rPr>
          <w:rFonts w:ascii="Times New Roman" w:hAnsi="Times New Roman" w:cs="Times New Roman"/>
          <w:color w:val="000000"/>
          <w:lang w:val="hu-HU"/>
        </w:rPr>
        <w:t>a 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módosítását időseknél.</w:t>
      </w:r>
    </w:p>
    <w:p w14:paraId="390CEA41" w14:textId="77777777" w:rsidR="00063CEB" w:rsidRPr="00A2627F" w:rsidRDefault="00063CE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3E04B0B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>Vese-</w:t>
      </w:r>
      <w:r w:rsidRPr="00A2627F">
        <w:rPr>
          <w:rFonts w:ascii="Times New Roman" w:hAnsi="Times New Roman" w:cs="Times New Roman"/>
          <w:i/>
          <w:i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 xml:space="preserve"> májkárosodás</w:t>
      </w:r>
    </w:p>
    <w:p w14:paraId="6EABB877" w14:textId="05F1F3CA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615C3E" w:rsidRPr="00A2627F">
        <w:rPr>
          <w:rFonts w:ascii="Times New Roman" w:hAnsi="Times New Roman" w:cs="Times New Roman"/>
          <w:color w:val="000000"/>
          <w:lang w:val="hu-HU"/>
        </w:rPr>
        <w:t xml:space="preserve"> dimetil-fumarátot </w:t>
      </w:r>
      <w:r w:rsidRPr="00A2627F">
        <w:rPr>
          <w:rFonts w:ascii="Times New Roman" w:hAnsi="Times New Roman" w:cs="Times New Roman"/>
          <w:color w:val="000000"/>
          <w:lang w:val="hu-HU"/>
        </w:rPr>
        <w:t>nem vizsgálták vese- vagy májkárosodásban szenvedő betegek esetében. A klinikai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farmakológiai vizsgálatok alapján nincs szükség </w:t>
      </w:r>
      <w:r w:rsidR="00171E69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615C3E" w:rsidRPr="00A2627F">
        <w:rPr>
          <w:rFonts w:ascii="Times New Roman" w:hAnsi="Times New Roman" w:cs="Times New Roman"/>
          <w:color w:val="000000"/>
          <w:lang w:val="hu-HU"/>
        </w:rPr>
        <w:t>dózis</w:t>
      </w:r>
      <w:r w:rsidR="00171E69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módosítás</w:t>
      </w:r>
      <w:r w:rsidR="00171E69">
        <w:rPr>
          <w:rFonts w:ascii="Times New Roman" w:hAnsi="Times New Roman" w:cs="Times New Roman"/>
          <w:color w:val="000000"/>
          <w:lang w:val="hu-HU"/>
        </w:rPr>
        <w:t>á</w:t>
      </w:r>
      <w:r w:rsidRPr="00A2627F">
        <w:rPr>
          <w:rFonts w:ascii="Times New Roman" w:hAnsi="Times New Roman" w:cs="Times New Roman"/>
          <w:color w:val="000000"/>
          <w:lang w:val="hu-HU"/>
        </w:rPr>
        <w:t>ra (lásd 5.2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pont). A súlyos vese- vagy májkárosodásban szenvedő betegek kezelésekor elővigyázatosság szükséges 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>(</w:t>
      </w:r>
      <w:r w:rsidRPr="00A2627F">
        <w:rPr>
          <w:rFonts w:ascii="Times New Roman" w:hAnsi="Times New Roman" w:cs="Times New Roman"/>
          <w:color w:val="000000"/>
          <w:lang w:val="hu-HU"/>
        </w:rPr>
        <w:t>lásd 4.4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05C7F962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CD09468" w14:textId="053CBA6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Gyermekek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és</w:t>
      </w:r>
      <w:r w:rsidRPr="00A2627F">
        <w:rPr>
          <w:rFonts w:ascii="Times New Roman" w:hAnsi="Times New Roman" w:cs="Times New Roman"/>
          <w:i/>
          <w:i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serdülők</w:t>
      </w:r>
    </w:p>
    <w:p w14:paraId="45D86C4B" w14:textId="15E2A067" w:rsidR="002B3708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adagolás felnőtteknél és 13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éves vagy annál idősebb gyermekeknél és serdülőknél azonos. </w:t>
      </w:r>
    </w:p>
    <w:p w14:paraId="482DA786" w14:textId="77777777" w:rsidR="00171E69" w:rsidRDefault="00171E6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665343A" w14:textId="32304F1C" w:rsidR="00AF6184" w:rsidRPr="00AF6184" w:rsidRDefault="00063CEB" w:rsidP="00AF6184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10–12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éves gyermekekre vonatkozóan </w:t>
      </w:r>
      <w:r w:rsidR="00171E69" w:rsidRPr="00171E69">
        <w:rPr>
          <w:rFonts w:ascii="Times New Roman" w:hAnsi="Times New Roman" w:cs="Times New Roman"/>
          <w:lang w:val="hu"/>
        </w:rPr>
        <w:t>korlátozott mennyiségű adat áll rendelkezésre</w:t>
      </w:r>
      <w:r w:rsidRPr="00171E69">
        <w:rPr>
          <w:rFonts w:ascii="Times New Roman" w:hAnsi="Times New Roman" w:cs="Times New Roman"/>
          <w:color w:val="000000"/>
          <w:lang w:val="hu-HU"/>
        </w:rPr>
        <w:t>.</w:t>
      </w:r>
      <w:r w:rsidR="008A5C7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D34A7D" w:rsidRPr="00A2627F">
        <w:rPr>
          <w:rFonts w:ascii="Times New Roman" w:hAnsi="Times New Roman" w:cs="Times New Roman"/>
          <w:color w:val="000000"/>
          <w:lang w:val="hu-HU"/>
        </w:rPr>
        <w:t>A jelenleg rendelkezésre álló adatok leírása a 4.8, 5.1 pontban található</w:t>
      </w:r>
      <w:r w:rsidR="00AF6184" w:rsidRPr="00AF6184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AF6184" w:rsidRPr="00AF6184">
        <w:rPr>
          <w:rFonts w:ascii="Times New Roman" w:hAnsi="Times New Roman" w:cs="Times New Roman"/>
          <w:lang w:val="hu-HU"/>
        </w:rPr>
        <w:t xml:space="preserve">de </w:t>
      </w:r>
      <w:r w:rsidR="00AF6184" w:rsidRPr="00AF6184">
        <w:rPr>
          <w:rFonts w:ascii="Times New Roman" w:eastAsia="Times New Roman" w:hAnsi="Times New Roman" w:cs="Times New Roman"/>
          <w:lang w:val="hu-HU"/>
        </w:rPr>
        <w:t xml:space="preserve">az adagolásra vonatkozóan nem </w:t>
      </w:r>
      <w:r w:rsidR="00AF6184" w:rsidRPr="00AF6184">
        <w:rPr>
          <w:rFonts w:ascii="Times New Roman" w:hAnsi="Times New Roman" w:cs="Times New Roman"/>
          <w:lang w:val="hu-HU"/>
        </w:rPr>
        <w:t>adható ajánlás</w:t>
      </w:r>
      <w:r w:rsidR="00AF6184" w:rsidRPr="00AF6184">
        <w:rPr>
          <w:rFonts w:ascii="Times New Roman" w:eastAsia="Times New Roman" w:hAnsi="Times New Roman" w:cs="Times New Roman"/>
          <w:lang w:val="hu-HU"/>
        </w:rPr>
        <w:t xml:space="preserve">. </w:t>
      </w:r>
    </w:p>
    <w:p w14:paraId="5CE1AF60" w14:textId="01AC56B5" w:rsidR="00D34A7D" w:rsidRPr="00A2627F" w:rsidRDefault="00D34A7D" w:rsidP="00D34A7D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4F21CF0" w14:textId="0257A7CA" w:rsidR="00CE38C4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980038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biztonságosságát és hatásosságát 10</w:t>
      </w:r>
      <w:r w:rsidR="00812D1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évesnél fiatalabb gyermekeknél  nem igazolták.</w:t>
      </w:r>
    </w:p>
    <w:p w14:paraId="1F6A3DDD" w14:textId="3C086D86" w:rsidR="00D34A7D" w:rsidRPr="00D34A7D" w:rsidRDefault="00D34A7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F6184">
        <w:rPr>
          <w:rFonts w:ascii="Times New Roman" w:hAnsi="Times New Roman" w:cs="Times New Roman"/>
          <w:lang w:val="hu-HU"/>
        </w:rPr>
        <w:t>Nincsenek rendelkezésre álló adatok</w:t>
      </w:r>
      <w:r w:rsidR="00814D5F">
        <w:rPr>
          <w:rFonts w:ascii="Times New Roman" w:hAnsi="Times New Roman" w:cs="Times New Roman"/>
          <w:lang w:val="hu-HU"/>
        </w:rPr>
        <w:t>.</w:t>
      </w:r>
    </w:p>
    <w:p w14:paraId="776FB5BD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74CE246" w14:textId="63B6D0A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Az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alkalmazás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módja</w:t>
      </w:r>
    </w:p>
    <w:p w14:paraId="5B919562" w14:textId="67A90FEC" w:rsidR="00CE38C4" w:rsidRPr="00A2627F" w:rsidRDefault="00C5649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Szájon át történő alkalmazásra.</w:t>
      </w:r>
    </w:p>
    <w:p w14:paraId="20E7B1AE" w14:textId="77777777" w:rsidR="008A5C75" w:rsidRPr="00A2627F" w:rsidRDefault="008A5C7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B1CB77A" w14:textId="042E46CF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kapszulát egészben kell lenyelni. A kapszulát vagy annak tartalmát nem szabad összetörni, szétválasztani, feloldani, elszopogatni vagy elrágni, mivel </w:t>
      </w:r>
      <w:r w:rsidR="00330754" w:rsidRPr="00A2627F">
        <w:rPr>
          <w:rFonts w:ascii="Times New Roman" w:hAnsi="Times New Roman" w:cs="Times New Roman"/>
          <w:color w:val="000000"/>
          <w:lang w:val="hu-HU"/>
        </w:rPr>
        <w:t xml:space="preserve">a kapszulahéjban található minitabletták </w:t>
      </w:r>
      <w:r w:rsidR="008E23D4" w:rsidRPr="008E23D4">
        <w:rPr>
          <w:rFonts w:ascii="Times New Roman" w:hAnsi="Times New Roman" w:cs="Times New Roman"/>
          <w:color w:val="000000"/>
          <w:lang w:val="hu"/>
        </w:rPr>
        <w:t>gyomornedv-ellenálló</w:t>
      </w:r>
      <w:r w:rsidR="008E23D4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="00330754" w:rsidRPr="00A2627F">
        <w:rPr>
          <w:rFonts w:ascii="Times New Roman" w:hAnsi="Times New Roman" w:cs="Times New Roman"/>
          <w:color w:val="000000"/>
          <w:lang w:val="hu-HU"/>
        </w:rPr>
        <w:t>b</w:t>
      </w:r>
      <w:r w:rsidRPr="00A2627F">
        <w:rPr>
          <w:rFonts w:ascii="Times New Roman" w:hAnsi="Times New Roman" w:cs="Times New Roman"/>
          <w:color w:val="000000"/>
          <w:lang w:val="hu-HU"/>
        </w:rPr>
        <w:t>evonata védi a</w:t>
      </w:r>
      <w:r w:rsidR="00D34A7D">
        <w:rPr>
          <w:rFonts w:ascii="Times New Roman" w:hAnsi="Times New Roman" w:cs="Times New Roman"/>
          <w:color w:val="000000"/>
          <w:lang w:val="hu-HU"/>
        </w:rPr>
        <w:t>z</w:t>
      </w:r>
      <w:r w:rsidR="00D34A7D" w:rsidRPr="00D34A7D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D34A7D" w:rsidRPr="00D34A7D">
        <w:rPr>
          <w:rFonts w:ascii="Times New Roman" w:hAnsi="Times New Roman" w:cs="Times New Roman"/>
          <w:lang w:val="hu-HU"/>
        </w:rPr>
        <w:t>emésztőrendszert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készítmény irritáló hatásaitól.</w:t>
      </w:r>
    </w:p>
    <w:p w14:paraId="63881011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7B7AC39" w14:textId="028A00FC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Ellenjavallatok</w:t>
      </w:r>
    </w:p>
    <w:p w14:paraId="42E9A390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6C528E8" w14:textId="5C8FF97E" w:rsidR="008A5C75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készítmény hatóanyagával vagy a 6.1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pontban felsorolt bármely segédanyagával szembeni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túlérzékenység.</w:t>
      </w:r>
    </w:p>
    <w:p w14:paraId="1F14117E" w14:textId="77777777" w:rsidR="008A5C75" w:rsidRPr="00A2627F" w:rsidRDefault="008A5C7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B414E4E" w14:textId="77777777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Feltételezett vagy igazolt progresszív multifokális leukoencephalopathia (PML).</w:t>
      </w:r>
    </w:p>
    <w:p w14:paraId="38D2C245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2365F515" w14:textId="6FEF0C3F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Különleges figyelmeztetések és az alkalmazással kapcsolatos óvintézkedések</w:t>
      </w:r>
    </w:p>
    <w:p w14:paraId="560373E3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1977EBF1" w14:textId="08739ABA" w:rsidR="00CE38C4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Vér-/laboratóriumi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vizsgálatok</w:t>
      </w:r>
    </w:p>
    <w:p w14:paraId="7CFE306F" w14:textId="77777777" w:rsidR="00D34A7D" w:rsidRDefault="00D34A7D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31EC3964" w14:textId="758A0365" w:rsidR="00D34A7D" w:rsidRPr="00D34A7D" w:rsidRDefault="00D34A7D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77C02">
        <w:rPr>
          <w:rFonts w:ascii="Times New Roman" w:hAnsi="Times New Roman" w:cs="Times New Roman"/>
          <w:i/>
          <w:u w:val="single" w:color="000000"/>
          <w:lang w:val="hu-HU"/>
        </w:rPr>
        <w:t>Veseműködés</w:t>
      </w:r>
    </w:p>
    <w:p w14:paraId="28A330B4" w14:textId="7E5F2120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Klinikai vizsgálatokban a dimetil-fumaráttal kezelt betegek vesefunkciós laboratóriumi vizsgálati eredményeinek változásait észlelték (lásd 4.8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Ezeknek a változásoknak a klinikai</w:t>
      </w:r>
      <w:r w:rsidR="007640CD" w:rsidRPr="00A2627F">
        <w:rPr>
          <w:rFonts w:ascii="Times New Roman" w:hAnsi="Times New Roman" w:cs="Times New Roman"/>
          <w:color w:val="000000"/>
          <w:lang w:val="hu-HU"/>
        </w:rPr>
        <w:t xml:space="preserve"> következménye</w:t>
      </w:r>
      <w:r w:rsidR="00AF6D0B">
        <w:rPr>
          <w:rFonts w:ascii="Times New Roman" w:hAnsi="Times New Roman" w:cs="Times New Roman"/>
          <w:color w:val="000000"/>
          <w:lang w:val="hu-HU"/>
        </w:rPr>
        <w:t>i</w:t>
      </w:r>
      <w:r w:rsidR="002B3708" w:rsidRPr="00A2627F">
        <w:rPr>
          <w:rFonts w:ascii="Times New Roman" w:hAnsi="Times New Roman" w:cs="Times New Roman"/>
          <w:color w:val="000000"/>
          <w:lang w:val="hu-HU"/>
        </w:rPr>
        <w:t xml:space="preserve"> nem ismert</w:t>
      </w:r>
      <w:r w:rsidR="00AF6D0B">
        <w:rPr>
          <w:rFonts w:ascii="Times New Roman" w:hAnsi="Times New Roman" w:cs="Times New Roman"/>
          <w:color w:val="000000"/>
          <w:lang w:val="hu-HU"/>
        </w:rPr>
        <w:t>ek</w:t>
      </w:r>
      <w:r w:rsidRPr="00A2627F">
        <w:rPr>
          <w:rFonts w:ascii="Times New Roman" w:hAnsi="Times New Roman" w:cs="Times New Roman"/>
          <w:color w:val="000000"/>
          <w:lang w:val="hu-HU"/>
        </w:rPr>
        <w:t>. Javasolt vesefunkciós vizsgálatot (pl. kreatinin, vér urea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nitrogén (BUN), vizeletvizsgálat) végezni a kezelés megkezdése előtt, 3 és 6</w:t>
      </w:r>
      <w:r w:rsidR="00AF6D0B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hónappal a kezelés </w:t>
      </w:r>
      <w:r w:rsidR="00AF6D0B">
        <w:rPr>
          <w:rFonts w:ascii="Times New Roman" w:hAnsi="Times New Roman" w:cs="Times New Roman"/>
          <w:color w:val="000000"/>
          <w:lang w:val="hu-HU"/>
        </w:rPr>
        <w:t xml:space="preserve">megkezdése </w:t>
      </w:r>
      <w:r w:rsidRPr="00A2627F">
        <w:rPr>
          <w:rFonts w:ascii="Times New Roman" w:hAnsi="Times New Roman" w:cs="Times New Roman"/>
          <w:color w:val="000000"/>
          <w:lang w:val="hu-HU"/>
        </w:rPr>
        <w:t>után, ez</w:t>
      </w:r>
      <w:r w:rsidR="0022250A" w:rsidRPr="00A2627F">
        <w:rPr>
          <w:rFonts w:ascii="Times New Roman" w:hAnsi="Times New Roman" w:cs="Times New Roman"/>
          <w:color w:val="000000"/>
          <w:lang w:val="hu-HU"/>
        </w:rPr>
        <w:t>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követően 6–12 havonta,</w:t>
      </w:r>
      <w:r w:rsidR="004D0002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valamint ha klinikailag indokolt.</w:t>
      </w:r>
    </w:p>
    <w:p w14:paraId="1D5B19FF" w14:textId="6F30C06E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9313CE2" w14:textId="3FAD3B21" w:rsidR="00D34A7D" w:rsidRPr="00D34A7D" w:rsidRDefault="00D34A7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D34A7D">
        <w:rPr>
          <w:rFonts w:ascii="Times New Roman" w:hAnsi="Times New Roman" w:cs="Times New Roman"/>
          <w:i/>
          <w:lang w:val="hu-HU"/>
        </w:rPr>
        <w:t>Májműködés</w:t>
      </w:r>
    </w:p>
    <w:p w14:paraId="51325B4A" w14:textId="5959C28B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</w:t>
      </w:r>
      <w:r w:rsidR="00830598">
        <w:rPr>
          <w:rFonts w:ascii="Times New Roman" w:hAnsi="Times New Roman" w:cs="Times New Roman"/>
          <w:color w:val="000000"/>
          <w:lang w:val="hu-HU"/>
        </w:rPr>
        <w:t xml:space="preserve">tal végzett </w:t>
      </w:r>
      <w:r w:rsidRPr="00A2627F">
        <w:rPr>
          <w:rFonts w:ascii="Times New Roman" w:hAnsi="Times New Roman" w:cs="Times New Roman"/>
          <w:color w:val="000000"/>
          <w:lang w:val="hu-HU"/>
        </w:rPr>
        <w:t>kezelés gyógyszer okozta májkárosodást eredményezhet, beleértve a májenzimszint-emelkedést (a normálérték felső határának [</w:t>
      </w:r>
      <w:r w:rsidRPr="00814D5F">
        <w:rPr>
          <w:rFonts w:ascii="Times New Roman" w:hAnsi="Times New Roman" w:cs="Times New Roman"/>
          <w:i/>
          <w:color w:val="000000"/>
          <w:lang w:val="hu-HU"/>
        </w:rPr>
        <w:t>upper limit of normal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ULN] legalább </w:t>
      </w:r>
      <w:r w:rsidR="00A14370" w:rsidRPr="00A2627F">
        <w:rPr>
          <w:rFonts w:ascii="Times New Roman" w:hAnsi="Times New Roman" w:cs="Times New Roman"/>
          <w:color w:val="000000"/>
          <w:lang w:val="hu-HU"/>
        </w:rPr>
        <w:t>háromszorosára</w:t>
      </w:r>
      <w:r w:rsidRPr="00A2627F">
        <w:rPr>
          <w:rFonts w:ascii="Times New Roman" w:hAnsi="Times New Roman" w:cs="Times New Roman"/>
          <w:color w:val="000000"/>
          <w:lang w:val="hu-HU"/>
        </w:rPr>
        <w:t>), valamint az összbilirubinszint-emelkedést (≥</w:t>
      </w:r>
      <w:r w:rsidR="00EB53D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2×ULN) is. </w:t>
      </w:r>
      <w:r w:rsidR="00D34A7D" w:rsidRPr="00D34A7D">
        <w:rPr>
          <w:rFonts w:ascii="Times New Roman" w:hAnsi="Times New Roman" w:cs="Times New Roman"/>
          <w:lang w:val="hu-HU"/>
        </w:rPr>
        <w:t>Ez néhány nap alatt is kialakulhat,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de jelentkezhet több hét vagy hosszabb idő elteltével is. A kezelés abbahagyása után a</w:t>
      </w:r>
      <w:r w:rsidR="0022250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mellékhatások elmúlását figyelték meg. A </w:t>
      </w:r>
      <w:r w:rsidR="00AF6184">
        <w:rPr>
          <w:rFonts w:ascii="Times New Roman" w:eastAsiaTheme="minorHAnsi" w:hAnsi="Times New Roman"/>
          <w:lang w:val="hu"/>
        </w:rPr>
        <w:t>szérumtranszaminázok (</w:t>
      </w:r>
      <w:r w:rsidR="00381B00" w:rsidRPr="00381B00">
        <w:rPr>
          <w:rFonts w:ascii="Times New Roman" w:hAnsi="Times New Roman" w:cs="Times New Roman"/>
          <w:color w:val="000000"/>
          <w:lang w:val="hu"/>
        </w:rPr>
        <w:t>aminotranszferázok</w:t>
      </w:r>
      <w:r w:rsidR="00AF6184">
        <w:rPr>
          <w:rFonts w:ascii="Times New Roman" w:hAnsi="Times New Roman" w:cs="Times New Roman"/>
          <w:color w:val="000000"/>
          <w:lang w:val="hu"/>
        </w:rPr>
        <w:t>)</w:t>
      </w:r>
      <w:r w:rsidR="00381B00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(pl. glutamát</w:t>
      </w:r>
      <w:r w:rsidR="00814D5F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piruvát-transzamináz [GPT], más néven alanin-aminotranszferáz [ALAT], illetve a </w:t>
      </w:r>
      <w:r w:rsidRPr="00A2627F">
        <w:rPr>
          <w:rFonts w:ascii="Times New Roman" w:hAnsi="Times New Roman" w:cs="Times New Roman"/>
          <w:color w:val="000000"/>
          <w:lang w:val="hu-HU"/>
        </w:rPr>
        <w:lastRenderedPageBreak/>
        <w:t>glutamát</w:t>
      </w:r>
      <w:r w:rsidR="00814D5F">
        <w:rPr>
          <w:rFonts w:ascii="Times New Roman" w:hAnsi="Times New Roman" w:cs="Times New Roman"/>
          <w:color w:val="000000"/>
          <w:lang w:val="hu-HU"/>
        </w:rPr>
        <w:noBreakHyphen/>
      </w:r>
      <w:bookmarkStart w:id="2" w:name="br4"/>
      <w:bookmarkEnd w:id="2"/>
      <w:r w:rsidR="00130566"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707392" behindDoc="1" locked="0" layoutInCell="1" allowOverlap="1" wp14:anchorId="7A499282" wp14:editId="6D6ADF1B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1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oxálacetát-transzamináz [GOT], más néven aszpartát-aminotranszferáz [ASAT]) </w:t>
      </w:r>
      <w:r w:rsidR="00AF6184">
        <w:rPr>
          <w:rFonts w:ascii="Times New Roman" w:hAnsi="Times New Roman" w:cs="Times New Roman"/>
          <w:color w:val="000000"/>
          <w:lang w:val="hu-HU"/>
        </w:rPr>
        <w:t xml:space="preserve">szintjét és </w:t>
      </w:r>
      <w:r w:rsidRPr="00A2627F">
        <w:rPr>
          <w:rFonts w:ascii="Times New Roman" w:hAnsi="Times New Roman" w:cs="Times New Roman"/>
          <w:color w:val="000000"/>
          <w:lang w:val="hu-HU"/>
        </w:rPr>
        <w:t>az</w:t>
      </w:r>
      <w:r w:rsidR="0022250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összbilirubinszintet javasolt meghatározni a kezelés megkezdése előtt, valamint klinikailag indokolt</w:t>
      </w:r>
      <w:r w:rsidR="0022250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esetben a kezelés alatt.</w:t>
      </w:r>
    </w:p>
    <w:p w14:paraId="03F0E30D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BCE9E76" w14:textId="77777777" w:rsidR="00D34A7D" w:rsidRPr="00D34A7D" w:rsidRDefault="00D34A7D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8F14C4">
        <w:rPr>
          <w:rFonts w:ascii="Times New Roman" w:hAnsi="Times New Roman" w:cs="Times New Roman"/>
          <w:i/>
          <w:lang w:val="hu-HU"/>
        </w:rPr>
        <w:t>Lymphocyták</w:t>
      </w:r>
      <w:r w:rsidRPr="00D34A7D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27995C8A" w14:textId="03B874A5" w:rsidR="003E73D0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980038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lymphopenia alakulhat ki (lásd 4.8</w:t>
      </w:r>
      <w:r w:rsidR="00A1437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Közvetlenül a</w:t>
      </w:r>
      <w:r w:rsidR="00980038" w:rsidRPr="00A2627F">
        <w:rPr>
          <w:rFonts w:ascii="Times New Roman" w:hAnsi="Times New Roman" w:cs="Times New Roman"/>
          <w:color w:val="000000"/>
          <w:lang w:val="hu-HU"/>
        </w:rPr>
        <w:t xml:space="preserve"> dimetil-fumarát-</w:t>
      </w:r>
      <w:r w:rsidRPr="00A2627F">
        <w:rPr>
          <w:rFonts w:ascii="Times New Roman" w:hAnsi="Times New Roman" w:cs="Times New Roman"/>
          <w:color w:val="000000"/>
          <w:lang w:val="hu-HU"/>
        </w:rPr>
        <w:t>kezelés megkezdése előtt a lymphocyta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számra is kiterjedő, teljes </w:t>
      </w:r>
      <w:r w:rsidR="00381B00" w:rsidRPr="00381B00">
        <w:rPr>
          <w:rFonts w:ascii="Times New Roman" w:hAnsi="Times New Roman" w:cs="Times New Roman"/>
          <w:color w:val="000000"/>
          <w:lang w:val="hu"/>
        </w:rPr>
        <w:t>vérvizsgálatot</w:t>
      </w:r>
      <w:r w:rsidR="00381B00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kell </w:t>
      </w:r>
      <w:r w:rsidR="00381B00">
        <w:rPr>
          <w:rFonts w:ascii="Times New Roman" w:hAnsi="Times New Roman" w:cs="Times New Roman"/>
          <w:color w:val="000000"/>
          <w:lang w:val="hu-HU"/>
        </w:rPr>
        <w:t>végezni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5198205F" w14:textId="1CA3428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Ha az eredmények szerint a lymphocyta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szám a normál tartomány alatt van, akkor alaposan ki kell</w:t>
      </w:r>
      <w:r w:rsidR="009622F8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vizsgálni a lehetséges kiváltó okokat a</w:t>
      </w:r>
      <w:r w:rsidR="00AF6184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 megkezdése előtt. A dimetil-fumarátot nem</w:t>
      </w:r>
      <w:r w:rsidR="00A1437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vizsgálták olyan betegek esetében, akiknél már a kezelés megkezdése előtt alacsony</w:t>
      </w:r>
      <w:r w:rsidR="00980038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lymphocyta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számot állapítottak meg, így körültekintően kell eljárni az ilyen betegek kezelésekor. A</w:t>
      </w:r>
      <w:r w:rsidR="00980038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D34A7D">
        <w:rPr>
          <w:rFonts w:ascii="Times New Roman" w:hAnsi="Times New Roman" w:cs="Times New Roman"/>
          <w:color w:val="000000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 kezdhető el olyan betegeknél, akiknél súlyos lymphopenia áll fenn (a</w:t>
      </w:r>
      <w:r w:rsidR="00BC4E0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lymphocyta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szám alacsonyabb, mint 0,5×10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/l).</w:t>
      </w:r>
    </w:p>
    <w:p w14:paraId="68960144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41EC3C3" w14:textId="0D125490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kezelés megkezdése után 3</w:t>
      </w:r>
      <w:r w:rsidR="00A1437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havonta a lymphocyta</w:t>
      </w:r>
      <w:r w:rsidR="00814D5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számra is kiterjedő, teljes</w:t>
      </w:r>
      <w:r w:rsidR="00381B00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vérvizsgálatot kell végezni.</w:t>
      </w:r>
    </w:p>
    <w:p w14:paraId="7D90A259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8BB05FA" w14:textId="77777777" w:rsidR="00AF6184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progresszív multifokális leukoencephalopathia (PML)</w:t>
      </w:r>
    </w:p>
    <w:p w14:paraId="3B48F538" w14:textId="397FC7D0" w:rsidR="00CE38C4" w:rsidRPr="00A2627F" w:rsidRDefault="00AF6184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A PML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megnövekedett kockázata miatt a lymphopeniás betegeknél fokozott éberség javasolt, az</w:t>
      </w:r>
      <w:r w:rsidR="00A1437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alábbiak szerint:</w:t>
      </w:r>
    </w:p>
    <w:p w14:paraId="78F435F7" w14:textId="5691E04C" w:rsidR="00CE38C4" w:rsidRPr="00A2627F" w:rsidRDefault="00CF280B" w:rsidP="000D32C0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a kezelést le kell állítani azoknál a betegeknél, akiknél több mint 6 hónapon keresztül</w:t>
      </w:r>
      <w:r w:rsidR="00417FAD" w:rsidRPr="00A2627F">
        <w:rPr>
          <w:rFonts w:ascii="Times New Roman" w:hAnsi="Times New Roman" w:cs="Times New Roman"/>
          <w:color w:val="000000"/>
          <w:lang w:val="hu-HU"/>
        </w:rPr>
        <w:t xml:space="preserve">, </w:t>
      </w:r>
      <w:r w:rsidRPr="00A2627F">
        <w:rPr>
          <w:rFonts w:ascii="Times New Roman" w:hAnsi="Times New Roman" w:cs="Times New Roman"/>
          <w:color w:val="000000"/>
          <w:lang w:val="hu-HU"/>
        </w:rPr>
        <w:t>súlyos lymphopenia áll fenn (a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alacsonyabb, mint 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</w:t>
      </w:r>
      <w:r w:rsidR="00417FAD" w:rsidRPr="00A2627F">
        <w:rPr>
          <w:rFonts w:ascii="Times New Roman" w:hAnsi="Times New Roman" w:cs="Times New Roman"/>
          <w:color w:val="000000"/>
          <w:lang w:val="hu-HU"/>
        </w:rPr>
        <w:t>,</w:t>
      </w:r>
    </w:p>
    <w:p w14:paraId="4BC72FA7" w14:textId="52B795DB" w:rsidR="00CE38C4" w:rsidRPr="00A2627F" w:rsidRDefault="00CF280B" w:rsidP="000D32C0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</w:r>
      <w:r w:rsidR="00417FAD" w:rsidRPr="00A2627F">
        <w:rPr>
          <w:rFonts w:ascii="Times New Roman" w:hAnsi="Times New Roman" w:cs="Times New Roman"/>
          <w:color w:val="000000"/>
          <w:lang w:val="hu-HU"/>
        </w:rPr>
        <w:t xml:space="preserve">azoknál </w:t>
      </w:r>
      <w:r w:rsidRPr="00A2627F">
        <w:rPr>
          <w:rFonts w:ascii="Times New Roman" w:hAnsi="Times New Roman" w:cs="Times New Roman"/>
          <w:color w:val="000000"/>
          <w:lang w:val="hu-HU"/>
        </w:rPr>
        <w:t>a betegeknél, akiknél az abszolút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 </w:t>
      </w:r>
      <w:r w:rsidR="00381B00" w:rsidRPr="00381B00">
        <w:rPr>
          <w:rFonts w:ascii="Times New Roman" w:hAnsi="Times New Roman" w:cs="Times New Roman"/>
          <w:color w:val="000000"/>
          <w:lang w:val="hu"/>
        </w:rPr>
        <w:t xml:space="preserve">több mint </w:t>
      </w:r>
      <w:r w:rsidR="00381B00">
        <w:rPr>
          <w:rFonts w:ascii="Times New Roman" w:hAnsi="Times New Roman" w:cs="Times New Roman"/>
          <w:color w:val="000000"/>
          <w:lang w:val="hu"/>
        </w:rPr>
        <w:t>6</w:t>
      </w:r>
      <w:r w:rsidR="00381B00" w:rsidRPr="00381B00">
        <w:rPr>
          <w:rFonts w:ascii="Times New Roman" w:hAnsi="Times New Roman" w:cs="Times New Roman"/>
          <w:color w:val="000000"/>
          <w:lang w:val="hu"/>
        </w:rPr>
        <w:t> hónapon keresztül</w:t>
      </w:r>
      <w:r w:rsidR="00381B00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mérsékelt csökkenést mutat (eléri vagy meghaladja a 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értéket, de alacsonyabb, mint</w:t>
      </w:r>
      <w:r w:rsidR="000D32C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0,8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/l), a</w:t>
      </w:r>
      <w:r w:rsidR="00934626" w:rsidRPr="00A2627F">
        <w:rPr>
          <w:rFonts w:ascii="Times New Roman" w:hAnsi="Times New Roman" w:cs="Times New Roman"/>
          <w:color w:val="000000"/>
          <w:lang w:val="hu-HU"/>
        </w:rPr>
        <w:t xml:space="preserve"> dimetil-fumará</w:t>
      </w:r>
      <w:r w:rsidR="00A77C02">
        <w:rPr>
          <w:rFonts w:ascii="Times New Roman" w:hAnsi="Times New Roman" w:cs="Times New Roman"/>
          <w:color w:val="000000"/>
          <w:lang w:val="hu-HU"/>
        </w:rPr>
        <w:t>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-kezelés előny/kockázat </w:t>
      </w:r>
      <w:r w:rsidR="00D34A7D">
        <w:rPr>
          <w:rFonts w:ascii="Times New Roman" w:hAnsi="Times New Roman" w:cs="Times New Roman"/>
          <w:color w:val="000000"/>
          <w:lang w:val="hu-HU"/>
        </w:rPr>
        <w:t>egyensúlyát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újra kell értékelni</w:t>
      </w:r>
      <w:r w:rsidR="00934626" w:rsidRPr="00A2627F">
        <w:rPr>
          <w:rFonts w:ascii="Times New Roman" w:hAnsi="Times New Roman" w:cs="Times New Roman"/>
          <w:color w:val="000000"/>
          <w:lang w:val="hu-HU"/>
        </w:rPr>
        <w:t>,</w:t>
      </w:r>
    </w:p>
    <w:p w14:paraId="0228F03A" w14:textId="5D45C8FE" w:rsidR="00934626" w:rsidRPr="0082378B" w:rsidRDefault="00CF280B" w:rsidP="000D32C0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</w:r>
      <w:r w:rsidR="00934626" w:rsidRPr="0082378B">
        <w:rPr>
          <w:rFonts w:ascii="Times New Roman" w:hAnsi="Times New Roman" w:cs="Times New Roman"/>
          <w:color w:val="000000"/>
          <w:lang w:val="hu-HU"/>
        </w:rPr>
        <w:t xml:space="preserve">azoknál </w:t>
      </w:r>
      <w:r w:rsidRPr="0082378B">
        <w:rPr>
          <w:rFonts w:ascii="Times New Roman" w:hAnsi="Times New Roman" w:cs="Times New Roman"/>
          <w:color w:val="000000"/>
          <w:lang w:val="hu-HU"/>
        </w:rPr>
        <w:t>a bete</w:t>
      </w:r>
      <w:r w:rsidR="00417FAD" w:rsidRPr="0082378B">
        <w:rPr>
          <w:rFonts w:ascii="Times New Roman" w:hAnsi="Times New Roman" w:cs="Times New Roman"/>
          <w:color w:val="000000"/>
          <w:lang w:val="hu-HU"/>
        </w:rPr>
        <w:t>ge</w:t>
      </w:r>
      <w:r w:rsidRPr="0082378B">
        <w:rPr>
          <w:rFonts w:ascii="Times New Roman" w:hAnsi="Times New Roman" w:cs="Times New Roman"/>
          <w:color w:val="000000"/>
          <w:lang w:val="hu-HU"/>
        </w:rPr>
        <w:t>knél, akiknél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82378B">
        <w:rPr>
          <w:rFonts w:ascii="Times New Roman" w:hAnsi="Times New Roman" w:cs="Times New Roman"/>
          <w:color w:val="000000"/>
          <w:lang w:val="hu-HU"/>
        </w:rPr>
        <w:t>m alacsonyabb az intézményi laboratóriumi referenciatartomány által meghatározott normálérték alsó határánál (</w:t>
      </w:r>
      <w:r w:rsidRPr="00814D5F">
        <w:rPr>
          <w:rFonts w:ascii="Times New Roman" w:hAnsi="Times New Roman" w:cs="Times New Roman"/>
          <w:i/>
          <w:color w:val="000000"/>
          <w:lang w:val="hu-HU"/>
        </w:rPr>
        <w:t>lower limit of normal</w:t>
      </w:r>
      <w:r w:rsidRPr="0082378B">
        <w:rPr>
          <w:rFonts w:ascii="Times New Roman" w:hAnsi="Times New Roman" w:cs="Times New Roman"/>
          <w:color w:val="000000"/>
          <w:lang w:val="hu-HU"/>
        </w:rPr>
        <w:t>, LLN), az abszolút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82378B">
        <w:rPr>
          <w:rFonts w:ascii="Times New Roman" w:hAnsi="Times New Roman" w:cs="Times New Roman"/>
          <w:color w:val="000000"/>
          <w:lang w:val="hu-HU"/>
        </w:rPr>
        <w:t xml:space="preserve">m rendszeres ellenőrzése javasolt. </w:t>
      </w:r>
    </w:p>
    <w:p w14:paraId="337BFB4D" w14:textId="2E295184" w:rsidR="00CE38C4" w:rsidRPr="00A2627F" w:rsidRDefault="00CF280B" w:rsidP="00BF49E5">
      <w:pPr>
        <w:spacing w:before="0" w:after="0" w:line="240" w:lineRule="auto"/>
        <w:ind w:left="567"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82378B">
        <w:rPr>
          <w:rFonts w:ascii="Times New Roman" w:hAnsi="Times New Roman" w:cs="Times New Roman"/>
          <w:color w:val="000000"/>
          <w:lang w:val="hu-HU"/>
        </w:rPr>
        <w:t>Mérlegelni kell azokat a tényezőket, amelyek a PML kockázatát az egyes betegeknél tovább növelhetik (lásd alább a PML-re vonatkozó alfejezetet).</w:t>
      </w:r>
    </w:p>
    <w:p w14:paraId="193542CB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41CE640" w14:textId="03035C9E" w:rsidR="00B2153C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mot annak helyreállásáig nyomon kell követni (lásd 5.1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 helyreállása esetén, alternatív kezelési lehetőségek hiányában, a kezelés megszakítását követően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alkalmazásának esetleges újraindításáról a klinikai állapot alapján kell döntést hozni.</w:t>
      </w:r>
    </w:p>
    <w:p w14:paraId="3E3FEAB6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986BC93" w14:textId="2B502FA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Mágneses rezonanciás képalkotás (MR-vizsgálat)</w:t>
      </w:r>
    </w:p>
    <w:p w14:paraId="50FD223A" w14:textId="75984E2A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 megkezdése előtt kiindulási (általában 3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hónapnál nem régebbi) MR-felvétel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>nek kell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rendelkezésre állnia referenciaként. A további MR-felvételek szükségességét a nemzeti és intézményi ajánlások alapján kell megfontolni. Az MR-vizsgálat elvégzése megfontolható a PML megnövekedett kockázatának kitett betegeknél, állapotuk fokozott figyelemmel történő megfigyelésének részeként. A PML klinikai gyanúja esetén diagnosztikai célból azonnal MR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vizsgálatot kell végezni.</w:t>
      </w:r>
    </w:p>
    <w:p w14:paraId="11665844" w14:textId="77777777" w:rsidR="009E02E5" w:rsidRPr="00A2627F" w:rsidRDefault="009E02E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A16E835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Progresszív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multifokális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leukoencephalopathia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(PML)</w:t>
      </w:r>
    </w:p>
    <w:p w14:paraId="7BD70A9F" w14:textId="4A013C4B" w:rsidR="00CE38C4" w:rsidRPr="00A2627F" w:rsidRDefault="009E02E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dimetil-fumaráttal kezelt betegeknél PML-ről számoltak be (lásd 4.8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 A PML opportunista fertőzés, amelyet a John–Cunningham-vírus (JCV) okoz, és amely halálos kimenetelű lehet, vagy súlyos egészségkárosodást okozhat.</w:t>
      </w:r>
    </w:p>
    <w:p w14:paraId="76374FCC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01F54D9" w14:textId="3304CBC0" w:rsidR="00FE232E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PML-esetek fordultak elő dimetil-fumarát és egyéb fumarát</w:t>
      </w:r>
      <w:r w:rsidR="00CB0C96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tartalmú gyógyszerek alkalmazásakor, lymphopenia fennállása esetén (LLN-nél alacsonyabb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m). Úgy tűnik, hogy a tartósan fennálló, közepesen súlyos vagy súlyos lymphopenia növeli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alkalmazásával összefüggő PML kockázatát, azonban a kockázat nem zárható ki az enyh</w:t>
      </w:r>
      <w:r w:rsidR="00CB0C96">
        <w:rPr>
          <w:rFonts w:ascii="Times New Roman" w:hAnsi="Times New Roman" w:cs="Times New Roman"/>
          <w:color w:val="000000"/>
          <w:lang w:val="hu-HU"/>
        </w:rPr>
        <w:t>én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lymphopeniá</w:t>
      </w:r>
      <w:r w:rsidR="00CB0C96">
        <w:rPr>
          <w:rFonts w:ascii="Times New Roman" w:hAnsi="Times New Roman" w:cs="Times New Roman"/>
          <w:color w:val="000000"/>
          <w:lang w:val="hu-HU"/>
        </w:rPr>
        <w:t>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82378B">
        <w:rPr>
          <w:rFonts w:ascii="Times New Roman" w:hAnsi="Times New Roman" w:cs="Times New Roman"/>
          <w:color w:val="000000"/>
          <w:lang w:val="hu-HU"/>
        </w:rPr>
        <w:t>betegeknél</w:t>
      </w:r>
      <w:r w:rsidR="00B2153C" w:rsidRPr="0082378B">
        <w:rPr>
          <w:rFonts w:ascii="Times New Roman" w:hAnsi="Times New Roman" w:cs="Times New Roman"/>
          <w:color w:val="000000"/>
          <w:lang w:val="hu-HU"/>
        </w:rPr>
        <w:t xml:space="preserve"> sem.</w:t>
      </w:r>
    </w:p>
    <w:p w14:paraId="5C3F1D27" w14:textId="77777777" w:rsidR="00BF49E5" w:rsidRPr="00A2627F" w:rsidRDefault="00BF49E5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BF9D4B6" w14:textId="7BFE3CE1" w:rsidR="00CE38C4" w:rsidRPr="00A2627F" w:rsidRDefault="009E02E5" w:rsidP="009867B3">
      <w:pPr>
        <w:keepNext/>
        <w:spacing w:before="0" w:after="0" w:line="240" w:lineRule="auto"/>
        <w:ind w:right="-6"/>
        <w:jc w:val="left"/>
        <w:rPr>
          <w:rFonts w:ascii="Times New Roman" w:hAnsi="Times New Roman" w:cs="Times New Roman"/>
          <w:color w:val="000000"/>
          <w:lang w:val="hu-HU"/>
        </w:rPr>
      </w:pPr>
      <w:bookmarkStart w:id="3" w:name="br5"/>
      <w:bookmarkEnd w:id="3"/>
      <w:r w:rsidRPr="00A2627F">
        <w:rPr>
          <w:rFonts w:ascii="Times New Roman" w:hAnsi="Times New Roman" w:cs="Times New Roman"/>
          <w:color w:val="000000"/>
          <w:lang w:val="hu-HU"/>
        </w:rPr>
        <w:lastRenderedPageBreak/>
        <w:t>L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ymphopenia fennállása esetén a PML megnövekedett kockázatához hozzájáruló további tényezők a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következők lehetnek:</w:t>
      </w:r>
    </w:p>
    <w:p w14:paraId="5323F313" w14:textId="75B7347E" w:rsidR="00CE38C4" w:rsidRPr="00A2627F" w:rsidRDefault="00CF280B" w:rsidP="00755D62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 időtartama. A PML-esetek körülbelül 1–5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 kezelés után fordultak elő,</w:t>
      </w:r>
      <w:r w:rsidR="00B2153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habár a kezelés időtartamával való pontos összefüggés nem ismert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>,</w:t>
      </w:r>
    </w:p>
    <w:p w14:paraId="25311265" w14:textId="1A14EA3B" w:rsidR="00CE38C4" w:rsidRPr="00A2627F" w:rsidRDefault="00CF280B" w:rsidP="00755D62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az </w:t>
      </w:r>
      <w:r w:rsidRPr="00A2627F">
        <w:rPr>
          <w:rFonts w:ascii="Times New Roman" w:hAnsi="Times New Roman" w:cs="Times New Roman"/>
          <w:color w:val="000000"/>
          <w:lang w:val="hu-HU"/>
        </w:rPr>
        <w:t>immunvédekezésben fontos szerepet játszó CD4</w:t>
      </w:r>
      <w:r w:rsidRPr="009867B3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különösen a CD8</w:t>
      </w:r>
      <w:r w:rsidRPr="009867B3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T-lymphocyt</w:t>
      </w:r>
      <w:r w:rsidR="00FB1F28">
        <w:rPr>
          <w:rFonts w:ascii="Times New Roman" w:hAnsi="Times New Roman" w:cs="Times New Roman"/>
          <w:color w:val="000000"/>
          <w:lang w:val="hu-HU"/>
        </w:rPr>
        <w:t>ák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számának nagymértékű csökkenése (lásd 4.8 pont.)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>, és</w:t>
      </w:r>
    </w:p>
    <w:p w14:paraId="669B7525" w14:textId="5D09FB9A" w:rsidR="00CE38C4" w:rsidRPr="00A2627F" w:rsidRDefault="00CF280B" w:rsidP="00755D62">
      <w:pPr>
        <w:spacing w:before="0" w:after="0" w:line="240" w:lineRule="auto"/>
        <w:ind w:left="567" w:right="-8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korábbi </w:t>
      </w:r>
      <w:r w:rsidRPr="00A2627F">
        <w:rPr>
          <w:rFonts w:ascii="Times New Roman" w:hAnsi="Times New Roman" w:cs="Times New Roman"/>
          <w:color w:val="000000"/>
          <w:lang w:val="hu-HU"/>
        </w:rPr>
        <w:t>immunszuppresszív vagy immunmoduláló terápia (lásd alább).</w:t>
      </w:r>
    </w:p>
    <w:p w14:paraId="0819CE18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19C8760" w14:textId="28363B17" w:rsidR="007910D9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 kezelő</w:t>
      </w:r>
      <w:r w:rsidRPr="00A2627F">
        <w:rPr>
          <w:rFonts w:ascii="Times New Roman" w:hAnsi="Times New Roman" w:cs="Times New Roman"/>
          <w:color w:val="000000"/>
          <w:lang w:val="hu-HU"/>
        </w:rPr>
        <w:t>orvosnak értékel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>nie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kell a beteg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FB1F28">
        <w:rPr>
          <w:rFonts w:ascii="Times New Roman" w:hAnsi="Times New Roman" w:cs="Times New Roman"/>
          <w:color w:val="000000"/>
          <w:lang w:val="hu-HU"/>
        </w:rPr>
        <w:t xml:space="preserve">állapotát </w:t>
      </w:r>
      <w:r w:rsidRPr="00A2627F">
        <w:rPr>
          <w:rFonts w:ascii="Times New Roman" w:hAnsi="Times New Roman" w:cs="Times New Roman"/>
          <w:color w:val="000000"/>
          <w:lang w:val="hu-HU"/>
        </w:rPr>
        <w:t>annak meghatározásá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>hoz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hogy </w:t>
      </w:r>
      <w:r w:rsidR="00FB1F28">
        <w:rPr>
          <w:rFonts w:ascii="Times New Roman" w:hAnsi="Times New Roman" w:cs="Times New Roman"/>
          <w:color w:val="000000"/>
          <w:lang w:val="hu-HU"/>
        </w:rPr>
        <w:t xml:space="preserve">a tünetek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neurológiai rendellenességet jeleznek-e, és ha igen, akkor azok az SM 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(sclerosis multiplex) </w:t>
      </w:r>
      <w:r w:rsidRPr="00A2627F">
        <w:rPr>
          <w:rFonts w:ascii="Times New Roman" w:hAnsi="Times New Roman" w:cs="Times New Roman"/>
          <w:color w:val="000000"/>
          <w:lang w:val="hu-HU"/>
        </w:rPr>
        <w:t>jellemző tünetei vagy esetleg</w:t>
      </w:r>
      <w:r w:rsidR="00755D62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PML-re utalnak.</w:t>
      </w:r>
    </w:p>
    <w:p w14:paraId="0742F6D0" w14:textId="77777777" w:rsidR="00D16A3A" w:rsidRPr="00A2627F" w:rsidRDefault="00D16A3A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FEB9F05" w14:textId="09855F82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PML-re utaló első jel vagy tünet megjelenésekor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-kezelést fel kell</w:t>
      </w:r>
      <w:r w:rsidR="007910D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függeszteni és el kell</w:t>
      </w:r>
      <w:r w:rsidR="007910D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végezni a megfelelő diagnosztikai vizsgálatokat, beleértve a JCV DNS kvantitatív polimeráz</w:t>
      </w:r>
      <w:r w:rsidR="007910D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láncreakció (PCR) módszerével történő kimutatását is a cerebrospinális folyadékban. A PML tünetei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hasonlóak lehetnek a sclerosis multiplex relapszusához. A PML-lel járó jellegzetes tünetek sokfélék,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napok vagy hetek alatt súlyosbodnak, kialakulhat többek között a test egyoldali, progresszív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gyengesége vagy a végtagok ügyetlensége, látászavar, valamint zavartsághoz és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személyiségváltozásokhoz vezető, a gondolkodásban, az emlékezőképességben és a tájékozódásban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bekövetkező változások. Az orvosoknak különösen figyelniük kell a PML-re utaló olyan tünetekre, amelyeket a beteg nem biztos, hogy észrevesz. A betegeknek azt is javasolni kell, hogy tájékoztassák partnerüket vagy gondozójukat a kezelésükről, mivel ők észrevehetnek olyan tüneteket is, amelyeket a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 nem.</w:t>
      </w:r>
    </w:p>
    <w:p w14:paraId="761F4FA7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D406D4B" w14:textId="43EE013B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PML csak JCV-fertőzés esetén alakulhat ki. Figyelembe kell venni, hogy a dimetil-fumarát-kezelésben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részesülő betegeknél nem vizsgálták a lymphopenia anti-JCV antitestvizsgálat eredményeire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gyakorolt hatását. Azt is meg kell jegyezni, hogy egy negatív anti-JCV antitestvizsgálati eredmény (normál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mellett) nem zárja ki egy későbbi JCV-fertőzés lehetőségét.</w:t>
      </w:r>
    </w:p>
    <w:p w14:paraId="68C4DD73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BAD8DFE" w14:textId="5CADA3EA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Ha a betegnél PML alakul ki,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-kezelést végleg le kell állítani.</w:t>
      </w:r>
    </w:p>
    <w:p w14:paraId="6D4E9280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13AD35C" w14:textId="63707BE9" w:rsidR="007910D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Korábbi</w:t>
      </w:r>
      <w:r w:rsidRPr="00A2627F">
        <w:rPr>
          <w:rFonts w:ascii="Times New Roman" w:hAnsi="Times New Roman" w:cs="Times New Roman"/>
          <w:color w:val="000000"/>
          <w:spacing w:val="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immunszuppresszív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vagy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immunmoduláló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terápiával</w:t>
      </w:r>
    </w:p>
    <w:p w14:paraId="4B77D7E5" w14:textId="60E8AECE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Nem végeztek vizsgálatokat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hatásosságának és biztonságosságának értékelésére a betegek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más betegségmódosító kezelésről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ra történő átállítása során. Lehetséges, hogy a dimetil-fumaráttal kezelt betegeknél a korábbi immunszuppresszív kezelés hozzájárul a PML kialakulásához.</w:t>
      </w:r>
    </w:p>
    <w:p w14:paraId="58C97654" w14:textId="77777777" w:rsidR="00352F10" w:rsidRPr="00A2627F" w:rsidRDefault="00352F1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FA24FC5" w14:textId="0EA88675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PML-esetek fordultak elő olyan betegeknél, akiket korábban natalizumabbal kezeltek, amely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gyógyszernél </w:t>
      </w:r>
      <w:r w:rsidR="00FB1F28" w:rsidRPr="00A2627F">
        <w:rPr>
          <w:rFonts w:ascii="Times New Roman" w:hAnsi="Times New Roman" w:cs="Times New Roman"/>
          <w:color w:val="000000"/>
          <w:lang w:val="hu-HU"/>
        </w:rPr>
        <w:t xml:space="preserve">bizonyított </w:t>
      </w:r>
      <w:r w:rsidRPr="00A2627F">
        <w:rPr>
          <w:rFonts w:ascii="Times New Roman" w:hAnsi="Times New Roman" w:cs="Times New Roman"/>
          <w:color w:val="000000"/>
          <w:lang w:val="hu-HU"/>
        </w:rPr>
        <w:t>a PML kockázata. Az orvosoknak tisztában kell lenniük azzal, hogy azoknál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PML-eseteknél, amelyek a natalizumab közelmúltbeli leállítása után alakultak ki, nem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feltétlenül állt fenn</w:t>
      </w:r>
      <w:r w:rsidR="00FB1F28" w:rsidRPr="00FB1F28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FB1F28" w:rsidRPr="00A2627F">
        <w:rPr>
          <w:rFonts w:ascii="Times New Roman" w:hAnsi="Times New Roman" w:cs="Times New Roman"/>
          <w:color w:val="000000"/>
          <w:lang w:val="hu-HU"/>
        </w:rPr>
        <w:t>lymphopenia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7F1303F7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0DB21C5" w14:textId="598702C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Továbbá, 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-kezeléssel összefüggő, igazolt PML-esetek többsége olyan betegeknél fordult elő, akik korábban immunmoduláló kezelést kaptak.</w:t>
      </w:r>
    </w:p>
    <w:p w14:paraId="7376A5A4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1AB36F2" w14:textId="69199DDA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Amikor a betegeket más betegségmódosító kezelésről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dimetil-fumarátra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állítják át, figyelembe kell venni a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másik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kezelésben alkalmazott gyógyszer felezési idejét és hatásmechanizmusát. Ezzel elkerülhető az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additív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immunrendszeri hatás, és egyúttal csökkenthető az SM reaktiválódásának kockázata. A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11352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 megkezdése előtt és a kezelés során rendszeres időközönként teljes</w:t>
      </w:r>
      <w:r w:rsidR="00343F75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vérvizsgálatot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javasolt végezni (lásd fent a Vér-/laboratóriumi vizsgálatok pontot).</w:t>
      </w:r>
    </w:p>
    <w:p w14:paraId="62DE898B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067941D" w14:textId="1CB20F7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Súlyos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vese-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="00D34A7D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vagy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májkárosodás</w:t>
      </w:r>
    </w:p>
    <w:p w14:paraId="50AA1133" w14:textId="310BFCE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dimetil-fumarátot </w:t>
      </w:r>
      <w:r w:rsidRPr="00A2627F">
        <w:rPr>
          <w:rFonts w:ascii="Times New Roman" w:hAnsi="Times New Roman" w:cs="Times New Roman"/>
          <w:color w:val="000000"/>
          <w:lang w:val="hu-HU"/>
        </w:rPr>
        <w:t>nem vizsgálták súlyos vese- vagy májkárosodásban szenvedő betegeknél, ezért körültekintően kell eljárni az ilyen betegek kezelésekor (lásd 4.2 pont).</w:t>
      </w:r>
    </w:p>
    <w:p w14:paraId="7685F3C0" w14:textId="77777777" w:rsidR="00CE38C4" w:rsidRPr="00A2627F" w:rsidRDefault="00CE38C4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BE511D3" w14:textId="614ABC16" w:rsidR="00CE38C4" w:rsidRPr="00A2627F" w:rsidRDefault="00130566" w:rsidP="009867B3">
      <w:pPr>
        <w:keepNext/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bookmarkStart w:id="4" w:name="br6"/>
      <w:bookmarkEnd w:id="4"/>
      <w:r w:rsidRPr="00A2627F">
        <w:rPr>
          <w:rFonts w:ascii="Times New Roman" w:hAnsi="Times New Roman" w:cs="Times New Roman"/>
          <w:noProof/>
          <w:lang w:val="hu-HU" w:eastAsia="hu-HU"/>
        </w:rPr>
        <w:lastRenderedPageBreak/>
        <w:drawing>
          <wp:anchor distT="0" distB="0" distL="114300" distR="114300" simplePos="0" relativeHeight="251705344" behindDoc="1" locked="0" layoutInCell="1" allowOverlap="1" wp14:anchorId="0C744ACC" wp14:editId="1CCF8C6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9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Súlyos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aktív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emésztőrendszeri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betegség</w:t>
      </w:r>
    </w:p>
    <w:p w14:paraId="6DE995E7" w14:textId="4059B2DB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9E02E5" w:rsidRPr="00A2627F">
        <w:rPr>
          <w:rFonts w:ascii="Times New Roman" w:hAnsi="Times New Roman" w:cs="Times New Roman"/>
          <w:color w:val="000000"/>
          <w:lang w:val="hu-HU"/>
        </w:rPr>
        <w:t>dimetil-fumarátot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 vizsgálták súlyos, aktív emésztőrendszeri betegségben szenvedő betegeknél, ezért körültekintően kell eljárni az ilyen betegek esetében.</w:t>
      </w:r>
    </w:p>
    <w:p w14:paraId="19BD93C5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528BF59" w14:textId="0E4F780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Kipirulás</w:t>
      </w:r>
    </w:p>
    <w:p w14:paraId="774179B1" w14:textId="16C995E8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Klinikai vizsgálatokban a 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34%-ánál jelentkezett kipirulás. A kipirulás </w:t>
      </w:r>
      <w:r w:rsidR="00343F75">
        <w:rPr>
          <w:rFonts w:ascii="Times New Roman" w:hAnsi="Times New Roman" w:cs="Times New Roman"/>
          <w:color w:val="000000"/>
          <w:lang w:val="hu-HU"/>
        </w:rPr>
        <w:t xml:space="preserve">intenzitása </w:t>
      </w:r>
      <w:r w:rsidRPr="00A2627F">
        <w:rPr>
          <w:rFonts w:ascii="Times New Roman" w:hAnsi="Times New Roman" w:cs="Times New Roman"/>
          <w:color w:val="000000"/>
          <w:lang w:val="hu-HU"/>
        </w:rPr>
        <w:t>az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azt tapasztaló betegek többségénél enyhe vagy közepes </w:t>
      </w:r>
      <w:r w:rsidR="00343F75">
        <w:rPr>
          <w:rFonts w:ascii="Times New Roman" w:hAnsi="Times New Roman" w:cs="Times New Roman"/>
          <w:color w:val="000000"/>
          <w:lang w:val="hu-HU"/>
        </w:rPr>
        <w:t>fokú</w:t>
      </w:r>
      <w:r w:rsidR="00343F7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volt. Egészséges önkéntesekkel</w:t>
      </w:r>
      <w:r w:rsidR="00352F1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végzett vizsgálatokból származó adatok arra utalnak, hogy a dimetil-fumarát alkalmazásával összefüggő kipirulás valószínűleg prosztaglandin-mediált. Azoknál a betegeknél, akiknél a kipirulás nem tolerálható, hasznos lehet 75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 gyomornedv-ellenálló bevonat nélküli acetilszalicilsavval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történő, rövid ideig tartó kezelés (lásd 4.5 pont). Két, egészséges önkéntesekkel végzett vizsgálatban a kipirulás előfordulása és súlyossága az acetilszalicilsav adagolási időszakában alacsonyabb volt.</w:t>
      </w:r>
    </w:p>
    <w:p w14:paraId="177F690F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5E67CA1" w14:textId="76086308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Klinikai vizsgálatokban a dimetil-fumaráttal kezelt 2560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betegből 3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főnél jelentkezett súlyos kipirulásos tünet, amelyeket valószínűleg túlérzékenység vagy </w:t>
      </w:r>
      <w:r w:rsidR="005B0A24" w:rsidRPr="005B0A24">
        <w:rPr>
          <w:rFonts w:ascii="Times New Roman" w:hAnsi="Times New Roman" w:cs="Times New Roman"/>
          <w:color w:val="000000"/>
          <w:lang w:val="hu"/>
        </w:rPr>
        <w:t>anaphylactoid</w:t>
      </w:r>
      <w:r w:rsidR="005B0A24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reakció okozott. Ezek a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 mellékhatások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 voltak életet veszélyeztetők, azonban kórházi kezelést igényeltek. A készítményt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felíró orvosoknak és a betegeknek tudniuk kell, hogy súlyos kipirulásos reakciók esetében ilyen lehetőség is bekövetkezhet (lásd 4.2, 4.5 és 4.8 pont).</w:t>
      </w:r>
    </w:p>
    <w:p w14:paraId="013B5ABB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647F3BF" w14:textId="0DEE122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Anaphylaxiás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reakciók</w:t>
      </w:r>
    </w:p>
    <w:p w14:paraId="689A5783" w14:textId="41453649" w:rsidR="00D95FAB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forgalomba hozatalt követően a 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alkalmazása után jelentkező anaphylaxia/anaphylactoid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reakció eseteiről számoltak be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D34A7D" w:rsidRPr="00D34A7D">
        <w:rPr>
          <w:rFonts w:ascii="Times New Roman" w:hAnsi="Times New Roman" w:cs="Times New Roman"/>
          <w:lang w:val="hu-HU"/>
        </w:rPr>
        <w:t>(lásd 4.8 pont)</w:t>
      </w:r>
      <w:r w:rsidRPr="00D34A7D">
        <w:rPr>
          <w:rFonts w:ascii="Times New Roman" w:hAnsi="Times New Roman" w:cs="Times New Roman"/>
          <w:color w:val="000000"/>
          <w:lang w:val="hu-HU"/>
        </w:rPr>
        <w:t>.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Tünetei közé tartozhatnak a dyspnoe, 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a </w:t>
      </w:r>
      <w:r w:rsidRPr="00A2627F">
        <w:rPr>
          <w:rFonts w:ascii="Times New Roman" w:hAnsi="Times New Roman" w:cs="Times New Roman"/>
          <w:color w:val="000000"/>
          <w:lang w:val="hu-HU"/>
        </w:rPr>
        <w:t>hypoxia,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 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hypot</w:t>
      </w:r>
      <w:r w:rsidR="00AF6184">
        <w:rPr>
          <w:rFonts w:ascii="Times New Roman" w:hAnsi="Times New Roman" w:cs="Times New Roman"/>
          <w:color w:val="000000"/>
          <w:lang w:val="hu-HU"/>
        </w:rPr>
        <w:t>ensio</w:t>
      </w:r>
      <w:r w:rsidRPr="00A2627F">
        <w:rPr>
          <w:rFonts w:ascii="Times New Roman" w:hAnsi="Times New Roman" w:cs="Times New Roman"/>
          <w:color w:val="000000"/>
          <w:lang w:val="hu-HU"/>
        </w:rPr>
        <w:t>,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az </w:t>
      </w:r>
      <w:r w:rsidRPr="00A2627F">
        <w:rPr>
          <w:rFonts w:ascii="Times New Roman" w:hAnsi="Times New Roman" w:cs="Times New Roman"/>
          <w:color w:val="000000"/>
          <w:lang w:val="hu-HU"/>
        </w:rPr>
        <w:t>angiooedema,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 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bőrkiütés vagy 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az </w:t>
      </w:r>
      <w:r w:rsidRPr="00A2627F">
        <w:rPr>
          <w:rFonts w:ascii="Times New Roman" w:hAnsi="Times New Roman" w:cs="Times New Roman"/>
          <w:color w:val="000000"/>
          <w:lang w:val="hu-HU"/>
        </w:rPr>
        <w:t>urticaria. A dimetil-fumarát által indukált anaphylaxia mechanizmusa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nem ismert. Ezek a reakciók általában az első </w:t>
      </w:r>
      <w:r w:rsidR="00D34A7D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után jelentkeznek, de a kezelés során bármikor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előfordulhatnak, és súlyosak, illetve életveszélyesek lehetnek. </w:t>
      </w:r>
    </w:p>
    <w:p w14:paraId="615EB642" w14:textId="41B4F909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betegek figyelmét fel kell hívni, hogy hagyják abba a 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alkalmazását, és azonnal forduljanak orvoshoz, ha anaphylaxiára jellemző jeleket vagy tüneteket tapasztalnak. A kezelést nem szabad újraindítani (lásd 4.8 pont).</w:t>
      </w:r>
    </w:p>
    <w:p w14:paraId="74E7BB9D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982F3F2" w14:textId="5D147560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Fertőzések</w:t>
      </w:r>
    </w:p>
    <w:p w14:paraId="7FD548F3" w14:textId="3279A683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III.</w:t>
      </w:r>
      <w:r w:rsidR="005B0A2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fázisú, placebokontrollos vizsgálatokban hasonló gyakorisággal fordult elő fertőzés (60%, ill.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58%) és súlyos fertőzés (2%, ill. 2%)</w:t>
      </w:r>
      <w:r w:rsidR="005B0A24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5B0A24" w:rsidRPr="00A2627F">
        <w:rPr>
          <w:rFonts w:ascii="Times New Roman" w:hAnsi="Times New Roman" w:cs="Times New Roman"/>
          <w:color w:val="000000"/>
          <w:lang w:val="hu-HU"/>
        </w:rPr>
        <w:t>a dimetil-fumaráttal, illetve a placebóval kezelt betegeknél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Ugyanakkor, tekintettel a </w:t>
      </w:r>
      <w:r w:rsidR="00063CEB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immunomoduláló tulajdonságaira (lásd 5.1 pont), ha egy betegnél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súlyos fertőzés jelentkezik, meg kell fontolni a</w:t>
      </w:r>
      <w:r w:rsidR="00A07350" w:rsidRPr="00A2627F">
        <w:rPr>
          <w:rFonts w:ascii="Times New Roman" w:hAnsi="Times New Roman" w:cs="Times New Roman"/>
          <w:color w:val="000000"/>
          <w:lang w:val="hu-HU"/>
        </w:rPr>
        <w:t xml:space="preserve"> 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 felfüggesztését, valamint a kezelés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újrakezdése előtt meg kell ismételni az előny/kockázat értékelését. A</w:t>
      </w:r>
      <w:r w:rsidR="00A07350" w:rsidRPr="00A2627F">
        <w:rPr>
          <w:rFonts w:ascii="Times New Roman" w:hAnsi="Times New Roman" w:cs="Times New Roman"/>
          <w:color w:val="000000"/>
          <w:lang w:val="hu-HU"/>
        </w:rPr>
        <w:t xml:space="preserve"> 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</w:t>
      </w:r>
      <w:r w:rsidR="005B0A24" w:rsidRPr="005B0A24">
        <w:rPr>
          <w:rFonts w:ascii="Times New Roman" w:eastAsiaTheme="minorHAnsi" w:hAnsi="Times New Roman" w:cs="Times New Roman"/>
          <w:lang w:val="hu"/>
        </w:rPr>
        <w:t xml:space="preserve"> </w:t>
      </w:r>
      <w:r w:rsidR="005B0A24" w:rsidRPr="005B0A24">
        <w:rPr>
          <w:rFonts w:ascii="Times New Roman" w:hAnsi="Times New Roman" w:cs="Times New Roman"/>
          <w:color w:val="000000"/>
          <w:lang w:val="hu"/>
        </w:rPr>
        <w:t>figyelmét fel</w:t>
      </w:r>
      <w:r w:rsidR="005B0A24" w:rsidRPr="002A13C1">
        <w:rPr>
          <w:rFonts w:ascii="Times New Roman" w:hAnsi="Times New Roman" w:cs="Times New Roman"/>
          <w:color w:val="000000"/>
          <w:lang w:val="hu"/>
        </w:rPr>
        <w:t xml:space="preserve"> kell </w:t>
      </w:r>
      <w:r w:rsidR="005B0A24" w:rsidRPr="005B0A24">
        <w:rPr>
          <w:rFonts w:ascii="Times New Roman" w:hAnsi="Times New Roman" w:cs="Times New Roman"/>
          <w:color w:val="000000"/>
          <w:lang w:val="hu"/>
        </w:rPr>
        <w:t>hívni arra</w:t>
      </w:r>
      <w:r w:rsidRPr="00A2627F">
        <w:rPr>
          <w:rFonts w:ascii="Times New Roman" w:hAnsi="Times New Roman" w:cs="Times New Roman"/>
          <w:color w:val="000000"/>
          <w:lang w:val="hu-HU"/>
        </w:rPr>
        <w:t>, hogy fertőzéses tüneteikről számoljanak be egy orvosnak. Súlyos fertőzésben szenvedő betegek nem kezdhetik meg a</w:t>
      </w:r>
      <w:r w:rsidR="00121CC7" w:rsidRPr="00121CC7">
        <w:rPr>
          <w:rFonts w:ascii="Times New Roman" w:hAnsi="Times New Roman" w:cs="Times New Roman"/>
          <w:color w:val="000000"/>
          <w:lang w:val="hu"/>
        </w:rPr>
        <w:t xml:space="preserve"> 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-kezelést addig, amíg a fertőzés(ek) el</w:t>
      </w:r>
      <w:r w:rsidR="003C010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nem múlt(ak).</w:t>
      </w:r>
    </w:p>
    <w:p w14:paraId="4765D3E8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45CA1C4" w14:textId="18175265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2A13C1">
        <w:rPr>
          <w:rFonts w:ascii="Times New Roman" w:hAnsi="Times New Roman" w:cs="Times New Roman"/>
          <w:color w:val="000000"/>
          <w:lang w:val="hu-HU"/>
        </w:rPr>
        <w:t>A súlyos fertőzések gyakorisága nem volt nagyobb azoknál a betegeknél, akiknek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2A13C1">
        <w:rPr>
          <w:rFonts w:ascii="Times New Roman" w:hAnsi="Times New Roman" w:cs="Times New Roman"/>
          <w:color w:val="000000"/>
          <w:lang w:val="hu-HU"/>
        </w:rPr>
        <w:t>ma</w:t>
      </w:r>
      <w:r w:rsidR="003C0104" w:rsidRPr="002A13C1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2A13C1">
        <w:rPr>
          <w:rFonts w:ascii="Times New Roman" w:hAnsi="Times New Roman" w:cs="Times New Roman"/>
          <w:color w:val="000000"/>
          <w:lang w:val="hu-HU"/>
        </w:rPr>
        <w:t>0,8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2A13C1">
        <w:rPr>
          <w:rFonts w:ascii="Times New Roman" w:hAnsi="Times New Roman" w:cs="Times New Roman"/>
          <w:color w:val="000000"/>
          <w:lang w:val="hu-HU"/>
        </w:rPr>
        <w:t>10</w:t>
      </w:r>
      <w:r w:rsidRPr="002A13C1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2A13C1">
        <w:rPr>
          <w:rFonts w:ascii="Times New Roman" w:hAnsi="Times New Roman" w:cs="Times New Roman"/>
          <w:color w:val="000000"/>
          <w:lang w:val="hu-HU"/>
        </w:rPr>
        <w:t>/l alatt</w:t>
      </w:r>
      <w:r w:rsidR="0049114D" w:rsidRPr="002A13C1">
        <w:rPr>
          <w:rFonts w:ascii="Times New Roman" w:hAnsi="Times New Roman" w:cs="Times New Roman"/>
          <w:color w:val="000000"/>
          <w:lang w:val="hu-HU"/>
        </w:rPr>
        <w:t>, sem pedig azoknál, a</w:t>
      </w:r>
      <w:r w:rsidR="0097690B" w:rsidRPr="002A13C1">
        <w:rPr>
          <w:rFonts w:ascii="Times New Roman" w:hAnsi="Times New Roman" w:cs="Times New Roman"/>
          <w:color w:val="000000"/>
          <w:lang w:val="hu-HU"/>
        </w:rPr>
        <w:t>k</w:t>
      </w:r>
      <w:r w:rsidR="0049114D" w:rsidRPr="002A13C1">
        <w:rPr>
          <w:rFonts w:ascii="Times New Roman" w:hAnsi="Times New Roman" w:cs="Times New Roman"/>
          <w:color w:val="000000"/>
          <w:lang w:val="hu-HU"/>
        </w:rPr>
        <w:t>iknek</w:t>
      </w:r>
      <w:r w:rsidR="000F7E7B" w:rsidRPr="002A13C1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2A13C1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2A13C1">
        <w:rPr>
          <w:rFonts w:ascii="Times New Roman" w:hAnsi="Times New Roman" w:cs="Times New Roman"/>
          <w:color w:val="000000"/>
          <w:lang w:val="hu-HU"/>
        </w:rPr>
        <w:t>10</w:t>
      </w:r>
      <w:r w:rsidRPr="002A13C1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2A13C1">
        <w:rPr>
          <w:rFonts w:ascii="Times New Roman" w:hAnsi="Times New Roman" w:cs="Times New Roman"/>
          <w:color w:val="000000"/>
          <w:lang w:val="hu-HU"/>
        </w:rPr>
        <w:t>/l alatt volt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(lásd 4.8 pont). Ha a</w:t>
      </w:r>
      <w:r w:rsidR="00BF0761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B34F90" w:rsidRPr="00B34F90">
        <w:rPr>
          <w:rFonts w:ascii="Times New Roman" w:hAnsi="Times New Roman" w:cs="Times New Roman"/>
          <w:color w:val="000000"/>
          <w:lang w:val="hu"/>
        </w:rPr>
        <w:t>dimetil</w:t>
      </w:r>
      <w:r w:rsidR="009867B3">
        <w:rPr>
          <w:rFonts w:ascii="Times New Roman" w:hAnsi="Times New Roman" w:cs="Times New Roman"/>
          <w:color w:val="000000"/>
          <w:lang w:val="hu"/>
        </w:rPr>
        <w:noBreakHyphen/>
      </w:r>
      <w:r w:rsidR="00B34F90" w:rsidRPr="00B34F90">
        <w:rPr>
          <w:rFonts w:ascii="Times New Roman" w:hAnsi="Times New Roman" w:cs="Times New Roman"/>
          <w:color w:val="000000"/>
          <w:lang w:val="hu"/>
        </w:rPr>
        <w:t>fumarát</w:t>
      </w:r>
      <w:r w:rsidR="009867B3">
        <w:rPr>
          <w:rFonts w:ascii="Times New Roman" w:hAnsi="Times New Roman" w:cs="Times New Roman"/>
          <w:color w:val="000000"/>
          <w:lang w:val="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kezelést közepesen súlyos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vagy súlyos fokú, tartósan fennálló lymphopenia fennállása esetén is folytatják, nem lehet kizárni az opportunista fertőzések kockázatát, beleértve a PML-t is (lásd 4.4 pont, PML-ről szóló alpont).</w:t>
      </w:r>
    </w:p>
    <w:p w14:paraId="36887C8E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0B6B00C" w14:textId="287F4BB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Herpes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zoster-fertőzések</w:t>
      </w:r>
    </w:p>
    <w:p w14:paraId="2E36CB9B" w14:textId="19C8627D" w:rsidR="001E76E6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4150C4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F147EC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alkalmazásakor herpes zoster </w:t>
      </w:r>
      <w:r w:rsidR="00D34A7D" w:rsidRPr="00D34A7D">
        <w:rPr>
          <w:lang w:val="hu-HU"/>
        </w:rPr>
        <w:t>-</w:t>
      </w:r>
      <w:r w:rsidRPr="00D34A7D">
        <w:rPr>
          <w:rFonts w:ascii="Times New Roman" w:hAnsi="Times New Roman" w:cs="Times New Roman"/>
          <w:color w:val="000000"/>
          <w:lang w:val="hu-HU"/>
        </w:rPr>
        <w:t>esetek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fordultak elő</w:t>
      </w:r>
      <w:r w:rsidR="00674F2B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74F2B" w:rsidRPr="00D34A7D">
        <w:rPr>
          <w:rFonts w:ascii="Times New Roman" w:hAnsi="Times New Roman" w:cs="Times New Roman"/>
          <w:lang w:val="hu-HU"/>
        </w:rPr>
        <w:t>(lásd 4.8 pont)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Az esetek többsége nem volt súlyos, azonban jelentettek súlyos eseteket is, köztük disszeminált herpes zostert, herpes zoster</w:t>
      </w:r>
      <w:r w:rsidR="0033462E" w:rsidRPr="00A2627F">
        <w:rPr>
          <w:rFonts w:ascii="Times New Roman" w:hAnsi="Times New Roman" w:cs="Times New Roman"/>
          <w:color w:val="000000"/>
          <w:lang w:val="hu-HU"/>
        </w:rPr>
        <w:t xml:space="preserve"> opht</w:t>
      </w:r>
      <w:r w:rsidR="00B34F90">
        <w:rPr>
          <w:rFonts w:ascii="Times New Roman" w:hAnsi="Times New Roman" w:cs="Times New Roman"/>
          <w:color w:val="000000"/>
          <w:lang w:val="hu-HU"/>
        </w:rPr>
        <w:t>h</w:t>
      </w:r>
      <w:r w:rsidR="0033462E" w:rsidRPr="00A2627F">
        <w:rPr>
          <w:rFonts w:ascii="Times New Roman" w:hAnsi="Times New Roman" w:cs="Times New Roman"/>
          <w:color w:val="000000"/>
          <w:lang w:val="hu-HU"/>
        </w:rPr>
        <w:t>almicus</w:t>
      </w:r>
      <w:r w:rsidR="001E76E6" w:rsidRPr="00A2627F">
        <w:rPr>
          <w:rFonts w:ascii="Times New Roman" w:hAnsi="Times New Roman" w:cs="Times New Roman"/>
          <w:color w:val="000000"/>
          <w:lang w:val="hu-HU"/>
        </w:rPr>
        <w:t>t, herpes zoster oticust</w:t>
      </w:r>
      <w:r w:rsidRPr="00A2627F">
        <w:rPr>
          <w:rFonts w:ascii="Times New Roman" w:hAnsi="Times New Roman" w:cs="Times New Roman"/>
          <w:color w:val="000000"/>
          <w:lang w:val="hu-HU"/>
        </w:rPr>
        <w:t>, neurológiai tünetekkel járó herpes zoster-fertőzést, herpes zoster</w:t>
      </w:r>
      <w:r w:rsidR="009867B3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meningoencephalitist és herpes zoster</w:t>
      </w:r>
      <w:r w:rsidR="009867B3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meningomyelitist. Ezek a</w:t>
      </w:r>
      <w:r w:rsidR="00D34A7D">
        <w:rPr>
          <w:rFonts w:ascii="Times New Roman" w:hAnsi="Times New Roman" w:cs="Times New Roman"/>
          <w:color w:val="000000"/>
          <w:lang w:val="hu-HU"/>
        </w:rPr>
        <w:t xml:space="preserve"> mellékhatások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kezelés során bármikor jelentkezhetnek. </w:t>
      </w:r>
    </w:p>
    <w:p w14:paraId="6FA9C988" w14:textId="3479E376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1E76E6" w:rsidRPr="00A2627F">
        <w:rPr>
          <w:rFonts w:ascii="Times New Roman" w:hAnsi="Times New Roman" w:cs="Times New Roman"/>
          <w:color w:val="000000"/>
          <w:lang w:val="hu-HU"/>
        </w:rPr>
        <w:t xml:space="preserve"> dimetil-fumaráto</w:t>
      </w:r>
      <w:r w:rsidRPr="00A2627F">
        <w:rPr>
          <w:rFonts w:ascii="Times New Roman" w:hAnsi="Times New Roman" w:cs="Times New Roman"/>
          <w:color w:val="000000"/>
          <w:lang w:val="hu-HU"/>
        </w:rPr>
        <w:t>t szedő betegeknél monitorozni kell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herpes zoster jeleit és tüneteit, különösen, ha egyidejűleg lymphocytopeniáról is beszámolnak.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Herpes zoster kialakulása esetén megfelelő herpes zoster elleni kezelést kell alkalmazni. Súlyos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bookmarkStart w:id="5" w:name="br7"/>
      <w:bookmarkEnd w:id="5"/>
      <w:r w:rsidR="004D519A" w:rsidRPr="00A2627F">
        <w:rPr>
          <w:rFonts w:ascii="Times New Roman" w:hAnsi="Times New Roman" w:cs="Times New Roman"/>
          <w:color w:val="000000"/>
          <w:lang w:val="hu-HU"/>
        </w:rPr>
        <w:t>f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 xml:space="preserve">ertőzés esetén mérlegelni kell a </w:t>
      </w:r>
      <w:r w:rsidR="002E0349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-kezelés felfüggesztését a fertőzés megszűnéséig (lásd</w:t>
      </w:r>
      <w:r w:rsidR="00B34F90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4.8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1D725F0D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FA5651C" w14:textId="2D1F1B98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 kezelés elkezdése</w:t>
      </w:r>
    </w:p>
    <w:p w14:paraId="6724C301" w14:textId="1FE3BBC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2E0349" w:rsidRPr="00A2627F">
        <w:rPr>
          <w:rFonts w:ascii="Times New Roman" w:hAnsi="Times New Roman" w:cs="Times New Roman"/>
          <w:color w:val="000000"/>
          <w:lang w:val="hu-HU"/>
        </w:rPr>
        <w:t xml:space="preserve"> 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-kezelést a kipirulás és az emésztőrendszeri mellékhatások előfordulásának csökkentése érdekében </w:t>
      </w:r>
      <w:r w:rsidR="00B34F90" w:rsidRPr="00A2627F">
        <w:rPr>
          <w:rFonts w:ascii="Times New Roman" w:hAnsi="Times New Roman" w:cs="Times New Roman"/>
          <w:color w:val="000000"/>
          <w:lang w:val="hu-HU"/>
        </w:rPr>
        <w:t xml:space="preserve">fokozatosan kell </w:t>
      </w:r>
      <w:r w:rsidR="00B34F90">
        <w:rPr>
          <w:rFonts w:ascii="Times New Roman" w:hAnsi="Times New Roman" w:cs="Times New Roman"/>
          <w:color w:val="000000"/>
          <w:lang w:val="hu-HU"/>
        </w:rPr>
        <w:t>bevezetni</w:t>
      </w:r>
      <w:r w:rsidR="00B34F9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(lásd 4.2 pont).</w:t>
      </w:r>
    </w:p>
    <w:p w14:paraId="0F2AB679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859E36B" w14:textId="47B53E7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Fanconi-szindróma</w:t>
      </w:r>
    </w:p>
    <w:p w14:paraId="32CFF7D4" w14:textId="6DA5323C" w:rsidR="00D34A7D" w:rsidRPr="00E95FE2" w:rsidRDefault="007C391E" w:rsidP="00C65C09">
      <w:pPr>
        <w:pStyle w:val="Cmsor2"/>
        <w:spacing w:line="240" w:lineRule="auto"/>
        <w:ind w:left="0" w:firstLine="0"/>
        <w:rPr>
          <w:u w:val="none"/>
        </w:rPr>
      </w:pP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Fanconi-szindróma eseteiről számoltak be egy olyan gyógyszer alkalmazása esetén, amely dimetil</w:t>
      </w:r>
      <w:r w:rsidR="009867B3">
        <w:rPr>
          <w:rFonts w:eastAsiaTheme="minorEastAsia"/>
          <w:kern w:val="0"/>
          <w:szCs w:val="22"/>
          <w:u w:val="none"/>
          <w:lang w:eastAsia="en-US"/>
          <w14:ligatures w14:val="none"/>
        </w:rPr>
        <w:noBreakHyphen/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fumarátot tartalmaz egyéb fumársav-észterekkel kombinációban. A vesekárosodás és az osteomalacia megelőzése érdekében fontos a Fanconi-szindróma korai diagnózisa és a dimetil-fumarát-kezelés leállítása, mivel a</w:t>
      </w:r>
      <w:r w:rsidR="007640CD"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 xml:space="preserve"> betegség</w:t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 xml:space="preserve"> rendszerint visszafordítható. A legfontosabb jelek a következők: proteinuria, gl</w:t>
      </w:r>
      <w:r w:rsidR="00B34F90"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y</w:t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cosuria (normál vérglükózszint mellett), hyperaminoaciduria és phosphaturia (esetleg hypophosphataemia mellett). Az állapot súlyosbodását olyan tünetek jelezhetik, mint a polyuria, polydipsia és a proximális izmok gyengesége. Ritkán nem lokalizált csontfájdalommal járó hypophosphataemiás osteomalacia, a szérum emelkedett alkalikus fosz</w:t>
      </w:r>
      <w:r w:rsidR="00B34F90"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f</w:t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atáz</w:t>
      </w:r>
      <w:r w:rsidR="009867B3">
        <w:rPr>
          <w:rFonts w:eastAsiaTheme="minorEastAsia"/>
          <w:kern w:val="0"/>
          <w:szCs w:val="22"/>
          <w:u w:val="none"/>
          <w:lang w:eastAsia="en-US"/>
          <w14:ligatures w14:val="none"/>
        </w:rPr>
        <w:noBreakHyphen/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szintje és fáradásos csonttörés fordulhat elő. Lényeges, hogy a Fanconi-szindróma emelkedett kreatininszint és alacsony</w:t>
      </w:r>
      <w:r w:rsidR="004D519A"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 xml:space="preserve"> </w:t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glomerulusfiltrációs ráta nélkül is előfordulhat. Nem egyértelmű tünetek esetén mérlegelni kell a</w:t>
      </w:r>
      <w:r w:rsidR="004D519A"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 xml:space="preserve"> </w:t>
      </w:r>
      <w:r w:rsidRPr="00C65C09">
        <w:rPr>
          <w:rFonts w:eastAsiaTheme="minorEastAsia"/>
          <w:kern w:val="0"/>
          <w:szCs w:val="22"/>
          <w:u w:val="none"/>
          <w:lang w:eastAsia="en-US"/>
          <w14:ligatures w14:val="none"/>
        </w:rPr>
        <w:t>Fanconi-szindróma lehetőségét és el kell végezni a megfelelő vizsgálatokat</w:t>
      </w:r>
      <w:r w:rsidRPr="00E95FE2">
        <w:rPr>
          <w:u w:val="none"/>
        </w:rPr>
        <w:t>.</w:t>
      </w:r>
    </w:p>
    <w:p w14:paraId="2D6CE17E" w14:textId="77777777" w:rsidR="001449D0" w:rsidRPr="00A2627F" w:rsidRDefault="001449D0" w:rsidP="00C65C09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50710E6" w14:textId="6126AB32" w:rsidR="00CE38C4" w:rsidRPr="00A2627F" w:rsidRDefault="007C391E" w:rsidP="00C65C09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Gyógyszerkölcsönhatások és egyéb interakciók</w:t>
      </w:r>
    </w:p>
    <w:p w14:paraId="16EFF1BF" w14:textId="77777777" w:rsidR="001449D0" w:rsidRPr="00A2627F" w:rsidRDefault="001449D0" w:rsidP="00C65C09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DDA6041" w14:textId="47AD0BCC" w:rsidR="00892E98" w:rsidRDefault="00892E98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C65C09">
        <w:rPr>
          <w:rFonts w:ascii="Times New Roman" w:hAnsi="Times New Roman" w:cs="Times New Roman"/>
          <w:color w:val="000000"/>
          <w:u w:val="single"/>
          <w:lang w:val="hu-HU"/>
        </w:rPr>
        <w:t xml:space="preserve">Daganatellenes, immunszuppresszív vagy kortikoszteroid-terápiák </w:t>
      </w:r>
    </w:p>
    <w:p w14:paraId="5D5823B8" w14:textId="77777777" w:rsidR="00F845FE" w:rsidRPr="00A242A5" w:rsidRDefault="00F845FE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1B201DCD" w14:textId="6539672E" w:rsidR="00CE38C4" w:rsidRPr="00A2627F" w:rsidRDefault="007C391E" w:rsidP="00C65C09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>dimetil-fumarátot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 vizsgálták antineoplasztikus vagy immunszuppresszív kezelésekkel kombináltan,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ezért körültekintően kell eljárni az ilyen gyógyszerekkel történő együttes alkalmazás során. A sclerosis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multiplexszel kapcsolatos klinikai vizsgálatokban a relapszusok intravénás kortikoszteroidokkal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történő rövid távú párhuzamos kezelése nem társult a fertőzések előfordulásának klinikailag releváns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emelkedésével.</w:t>
      </w:r>
    </w:p>
    <w:p w14:paraId="10CDBD0C" w14:textId="66383A68" w:rsidR="001449D0" w:rsidRPr="00A2627F" w:rsidRDefault="001449D0" w:rsidP="00C65C09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64E682A" w14:textId="6C172AB5" w:rsidR="00892E98" w:rsidRDefault="00892E98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42A5">
        <w:rPr>
          <w:rFonts w:ascii="Times New Roman" w:hAnsi="Times New Roman" w:cs="Times New Roman"/>
          <w:color w:val="000000"/>
          <w:u w:val="single"/>
          <w:lang w:val="hu-HU"/>
        </w:rPr>
        <w:t xml:space="preserve">Védőoltások </w:t>
      </w:r>
    </w:p>
    <w:p w14:paraId="04429DBF" w14:textId="77777777" w:rsidR="00F845FE" w:rsidRPr="00A242A5" w:rsidRDefault="00F845FE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40C4ACDC" w14:textId="16259ACD" w:rsidR="00D55F5E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nemzeti védőoltási rendben meghatározott, élő kórokozókat nem tartalmazó vakcinák egyidejű alkalmazása a 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 alatt megfontolható.</w:t>
      </w:r>
    </w:p>
    <w:p w14:paraId="3A23F792" w14:textId="0A72A94F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Egy klinikai vizsgálatban, amelyet összesen 71, </w:t>
      </w:r>
      <w:r w:rsidR="00375652">
        <w:rPr>
          <w:rFonts w:ascii="Times New Roman" w:hAnsi="Times New Roman" w:cs="Times New Roman"/>
          <w:color w:val="000000"/>
          <w:lang w:val="hu-HU"/>
        </w:rPr>
        <w:t>relabáló</w:t>
      </w:r>
      <w:r w:rsidRPr="00A2627F">
        <w:rPr>
          <w:rFonts w:ascii="Times New Roman" w:hAnsi="Times New Roman" w:cs="Times New Roman"/>
          <w:color w:val="000000"/>
          <w:lang w:val="hu-HU"/>
        </w:rPr>
        <w:t>-remittáló sclerosis multiplexben szenvedő beteggel végeztek, a legalább 6 hónapon át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naponta kétszer 240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 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>dimetil-fumarátot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kapó (n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38) vagy a legalább 3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hónapon át nem pegilált</w:t>
      </w:r>
      <w:r w:rsidR="004D5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interferon-kezelésben részesülő (n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497ED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33) betegek hasonló immunválaszt adtak (melynek meghatározása: az oltás előtti titerhez képest legalább 2-szeres titeremelkedés az oltás után) a tetanus toxoidra (emlékeztető antigén) és egy konjugált meningococcus</w:t>
      </w:r>
      <w:r w:rsidR="009867B3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C poliszacharid vakcinára (neoantigén), míg egy nem konjugált pneumococcus 23</w:t>
      </w:r>
      <w:r w:rsidR="009867B3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valens poliszacharid vakcina (T-sejt</w:t>
      </w:r>
      <w:r w:rsidR="00B34F90">
        <w:rPr>
          <w:rFonts w:ascii="Times New Roman" w:hAnsi="Times New Roman" w:cs="Times New Roman"/>
          <w:color w:val="000000"/>
          <w:lang w:val="hu-HU"/>
        </w:rPr>
        <w:t>-</w:t>
      </w:r>
      <w:r w:rsidR="00D465D5" w:rsidRPr="00A2627F">
        <w:rPr>
          <w:rFonts w:ascii="Times New Roman" w:hAnsi="Times New Roman" w:cs="Times New Roman"/>
          <w:color w:val="000000"/>
          <w:lang w:val="hu-HU"/>
        </w:rPr>
        <w:t xml:space="preserve">independens </w:t>
      </w:r>
      <w:r w:rsidRPr="00A2627F">
        <w:rPr>
          <w:rFonts w:ascii="Times New Roman" w:hAnsi="Times New Roman" w:cs="Times New Roman"/>
          <w:color w:val="000000"/>
          <w:lang w:val="hu-HU"/>
        </w:rPr>
        <w:t>antigén) különféle szerotípusaira adott immunválasz mindkét kezelési csoportban változó volt. A három vakcinára adott, legalább 4-szeres antitest-titer emelkedésként meghatározott pozitív immunválaszt mindkét kezelési csoportban kevesebb vizsgálati alanynál sikerült elérni. A tetanus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toxoidra és a 3-as szerotípusú pneumococcus poliszacharidra adott válaszban kismértékű számszerű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különbségeket figyeltek meg a nem pegilált interferon javára.</w:t>
      </w:r>
    </w:p>
    <w:p w14:paraId="3179D31A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1C41DE7" w14:textId="754C99CE" w:rsidR="001449D0" w:rsidRPr="00A2627F" w:rsidRDefault="00B34F9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D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imetil-fumarátot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szedő betegeknél az élő, attenuált kórokozót tartalmazó vakcinák hatásosságára és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biztonságosságára vonatkozó klinikai adatok nem állnak rendelkezésre. Az élő kórokozókat tartalmazó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>vakcinák esetében fokozott lehet a klinikai fertőzés kockázata, ezért ilyen védőoltás nem adható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dimetil-fumaráttal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kezelt betegnek, azokat a ritka eseteket kivéve, amikor a vakcina beadás</w:t>
      </w:r>
      <w:r w:rsidR="00A50680" w:rsidRPr="00A2627F">
        <w:rPr>
          <w:rFonts w:ascii="Times New Roman" w:hAnsi="Times New Roman" w:cs="Times New Roman"/>
          <w:color w:val="000000"/>
          <w:lang w:val="hu-HU"/>
        </w:rPr>
        <w:t>ának elmulasztása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olyan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nagy kockázattal járna, amely felülmúlja a vakcina és a 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405861" w:rsidRPr="00A2627F">
        <w:rPr>
          <w:rFonts w:ascii="Times New Roman" w:hAnsi="Times New Roman" w:cs="Times New Roman"/>
          <w:color w:val="000000"/>
          <w:lang w:val="hu-HU"/>
        </w:rPr>
        <w:t xml:space="preserve"> együttes alkalmazásának kockázatát.</w:t>
      </w:r>
      <w:bookmarkStart w:id="6" w:name="br8"/>
      <w:bookmarkEnd w:id="6"/>
    </w:p>
    <w:p w14:paraId="6B9592DE" w14:textId="77777777" w:rsidR="00CE417E" w:rsidRPr="00A2627F" w:rsidRDefault="00CE417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B262B32" w14:textId="6CBA7D29" w:rsidR="00892E98" w:rsidRDefault="00892E98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42A5">
        <w:rPr>
          <w:rFonts w:ascii="Times New Roman" w:hAnsi="Times New Roman" w:cs="Times New Roman"/>
          <w:color w:val="000000"/>
          <w:u w:val="single"/>
          <w:lang w:val="hu-HU"/>
        </w:rPr>
        <w:t>Egyéb fumársav-származékok</w:t>
      </w:r>
    </w:p>
    <w:p w14:paraId="7B603405" w14:textId="77777777" w:rsidR="00F845FE" w:rsidRPr="00A242A5" w:rsidRDefault="00F845FE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5F1EE6A5" w14:textId="16B55EC3" w:rsidR="00CE38C4" w:rsidRPr="00A2627F" w:rsidRDefault="00130566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703296" behindDoc="1" locked="0" layoutInCell="1" allowOverlap="1" wp14:anchorId="3BE74FBD" wp14:editId="359001EA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7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A50680" w:rsidRPr="00A2627F">
        <w:rPr>
          <w:rFonts w:ascii="Times New Roman" w:hAnsi="Times New Roman" w:cs="Times New Roman"/>
          <w:color w:val="000000"/>
          <w:lang w:val="hu-HU"/>
        </w:rPr>
        <w:t xml:space="preserve"> 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történő kezelés során kerülni kell más fumársav</w:t>
      </w:r>
      <w:r w:rsidR="00B34F90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származékok egyidejű (topikális vagy szisztémás) alkalmazását.</w:t>
      </w:r>
    </w:p>
    <w:p w14:paraId="72DE0D88" w14:textId="4D92DF5F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F83442C" w14:textId="47011A1C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Embereknél az észterázok nagy </w:t>
      </w:r>
      <w:r w:rsidR="00B34F90">
        <w:rPr>
          <w:rFonts w:ascii="Times New Roman" w:hAnsi="Times New Roman" w:cs="Times New Roman"/>
          <w:color w:val="000000"/>
          <w:lang w:val="hu-HU"/>
        </w:rPr>
        <w:t>arányban</w:t>
      </w:r>
      <w:r w:rsidR="00B34F9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metabolizálják a dimetil-fumarátot, mielőtt az elérné a szisztémás keringést, és további metabolizáció zajlik le a trikarboxilsav-cikluson keresztül, de ebben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nem játszik szerepet a citokróm P450 (CYP) rendszer. Az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in vitro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CYP-inhibiciós és -indukciós vizsgálatokban, a p-glikoprotein vizsgálatban vagy a dimetil-fumarát és a monometil-fumarát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(a dimetil-fumarát elsődleges metabolitja) fehérjekötődésére irányuló vizsgálatokban gyógyszerkölcsönhatásra vonatkozó lehetséges kockázatokat nem azonosítottak.</w:t>
      </w:r>
    </w:p>
    <w:p w14:paraId="39F84E52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412A8CE" w14:textId="13101274" w:rsidR="00892E98" w:rsidRDefault="00892E98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42A5">
        <w:rPr>
          <w:rFonts w:ascii="Times New Roman" w:hAnsi="Times New Roman" w:cs="Times New Roman"/>
          <w:color w:val="000000"/>
          <w:u w:val="single"/>
          <w:lang w:val="hu-HU"/>
        </w:rPr>
        <w:t xml:space="preserve">Más hatóanyagok hatása a dimetil-fumarátra </w:t>
      </w:r>
    </w:p>
    <w:p w14:paraId="7DD56FC5" w14:textId="77777777" w:rsidR="00F845FE" w:rsidRPr="00A242A5" w:rsidRDefault="00F845FE" w:rsidP="00A242A5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29DB2BF8" w14:textId="457B2B25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sclerosis multiplexben szenvedő betegek által általánosan használt gyógyszereket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(intramus</w:t>
      </w:r>
      <w:r w:rsidR="00B34F90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lang w:val="hu-HU"/>
        </w:rPr>
        <w:t>ul</w:t>
      </w:r>
      <w:r w:rsidR="00B34F90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risan </w:t>
      </w:r>
      <w:r w:rsidR="006A1E4A" w:rsidRPr="00A2627F">
        <w:rPr>
          <w:rFonts w:ascii="Times New Roman" w:hAnsi="Times New Roman" w:cs="Times New Roman"/>
          <w:color w:val="000000"/>
          <w:lang w:val="hu-HU"/>
        </w:rPr>
        <w:t xml:space="preserve">alkalmazott </w:t>
      </w:r>
      <w:r w:rsidRPr="00A2627F">
        <w:rPr>
          <w:rFonts w:ascii="Times New Roman" w:hAnsi="Times New Roman" w:cs="Times New Roman"/>
          <w:color w:val="000000"/>
          <w:lang w:val="hu-HU"/>
        </w:rPr>
        <w:t>béta-1a interferon és glatiramer-acetát) klinikailag tesztelték a dimetil-fumaráttal adott lehetséges kölcsönhatások tekintetében, és ezek nem módosították a dimetil-fumarát farmakokinetikai profilját.</w:t>
      </w:r>
    </w:p>
    <w:p w14:paraId="35DE88D8" w14:textId="4D832832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83296B8" w14:textId="218BED0E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Egészséges önkéntesekkel végzett vizsgálatokból származó bizonyítékok arra utalnak, hogy a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alkalmazásával összefüggő kipirulás valószínűleg prosztaglandin-mediált. Két, egészséges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önkéntesekkel végzett vizsgálatban a 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farmakokinetikai profilját nem befolyásolta, amikor az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önkéntesek 4 napon, illetve 4 héten keresztül adagolva 325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 (vagy ezzel egyenértékű),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gyomornedv-ellenálló bevonat nélküli acetilszalicilsavat kaptak 30</w:t>
      </w:r>
      <w:r w:rsidR="00B34F90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perccel a </w:t>
      </w:r>
      <w:r w:rsidR="00D55F5E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beadása előtt.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375652">
        <w:rPr>
          <w:rFonts w:ascii="Times New Roman" w:hAnsi="Times New Roman" w:cs="Times New Roman"/>
          <w:color w:val="000000"/>
          <w:lang w:val="hu-HU"/>
        </w:rPr>
        <w:t>Relabáló</w:t>
      </w:r>
      <w:r w:rsidRPr="00A2627F">
        <w:rPr>
          <w:rFonts w:ascii="Times New Roman" w:hAnsi="Times New Roman" w:cs="Times New Roman"/>
          <w:color w:val="000000"/>
          <w:lang w:val="hu-HU"/>
        </w:rPr>
        <w:t>-remittáló SM-ben szenvedő betegeknél mérlegelni kell az acetilszalicilsav-kezelés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lehetséges kockázatait a 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történő együttes alkalmazást megelőzően. Az acetilszalicilsav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B34F90">
        <w:rPr>
          <w:rFonts w:ascii="Times New Roman" w:hAnsi="Times New Roman" w:cs="Times New Roman"/>
          <w:color w:val="000000"/>
          <w:lang w:val="hu-HU"/>
        </w:rPr>
        <w:t>tartós</w:t>
      </w:r>
      <w:r w:rsidR="006A1E4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(&gt;</w:t>
      </w:r>
      <w:r w:rsidR="00587731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4 hetes)</w:t>
      </w:r>
      <w:r w:rsidR="006A1E4A" w:rsidRPr="00A2627F">
        <w:rPr>
          <w:rFonts w:ascii="Times New Roman" w:hAnsi="Times New Roman" w:cs="Times New Roman"/>
          <w:color w:val="000000"/>
          <w:lang w:val="hu-HU"/>
        </w:rPr>
        <w:t>,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folyamatos alkalmazását nem vizsgálták (lásd 4.4 és 4.8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3B6D511C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7CCF194" w14:textId="6BD5FF22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nefrotoxikus gyógyszerekkel (például aminoglikozidok</w:t>
      </w:r>
      <w:r w:rsidR="00B34F90">
        <w:rPr>
          <w:rFonts w:ascii="Times New Roman" w:hAnsi="Times New Roman" w:cs="Times New Roman"/>
          <w:color w:val="000000"/>
          <w:lang w:val="hu-HU"/>
        </w:rPr>
        <w:t>kal</w:t>
      </w:r>
      <w:r w:rsidRPr="00A2627F">
        <w:rPr>
          <w:rFonts w:ascii="Times New Roman" w:hAnsi="Times New Roman" w:cs="Times New Roman"/>
          <w:color w:val="000000"/>
          <w:lang w:val="hu-HU"/>
        </w:rPr>
        <w:t>, diuretikumok</w:t>
      </w:r>
      <w:r w:rsidR="00B34F90">
        <w:rPr>
          <w:rFonts w:ascii="Times New Roman" w:hAnsi="Times New Roman" w:cs="Times New Roman"/>
          <w:color w:val="000000"/>
          <w:lang w:val="hu-HU"/>
        </w:rPr>
        <w:t>kal</w:t>
      </w:r>
      <w:r w:rsidRPr="00A2627F">
        <w:rPr>
          <w:rFonts w:ascii="Times New Roman" w:hAnsi="Times New Roman" w:cs="Times New Roman"/>
          <w:color w:val="000000"/>
          <w:lang w:val="hu-HU"/>
        </w:rPr>
        <w:t>, nem szteroid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gyulladáscsökkentők</w:t>
      </w:r>
      <w:r w:rsidR="00B34F90">
        <w:rPr>
          <w:rFonts w:ascii="Times New Roman" w:hAnsi="Times New Roman" w:cs="Times New Roman"/>
          <w:color w:val="000000"/>
          <w:lang w:val="hu-HU"/>
        </w:rPr>
        <w:t>kkel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vagy lítium</w:t>
      </w:r>
      <w:r w:rsidR="00B34F90">
        <w:rPr>
          <w:rFonts w:ascii="Times New Roman" w:hAnsi="Times New Roman" w:cs="Times New Roman"/>
          <w:color w:val="000000"/>
          <w:lang w:val="hu-HU"/>
        </w:rPr>
        <w:t>mal</w:t>
      </w:r>
      <w:r w:rsidRPr="00A2627F">
        <w:rPr>
          <w:rFonts w:ascii="Times New Roman" w:hAnsi="Times New Roman" w:cs="Times New Roman"/>
          <w:color w:val="000000"/>
          <w:lang w:val="hu-HU"/>
        </w:rPr>
        <w:t>) folytatott egyidejű kezelés megnövelheti a vesében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jelentkező mellékhatások (p</w:t>
      </w:r>
      <w:r w:rsidR="00F16A5B" w:rsidRPr="00A2627F">
        <w:rPr>
          <w:rFonts w:ascii="Times New Roman" w:hAnsi="Times New Roman" w:cs="Times New Roman"/>
          <w:color w:val="000000"/>
          <w:lang w:val="hu-HU"/>
        </w:rPr>
        <w:t>éldául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proteinuria, lásd 4.8 pont) kialakulásának lehetőségét a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9867B3">
        <w:rPr>
          <w:rFonts w:ascii="Times New Roman" w:hAnsi="Times New Roman" w:cs="Times New Roman"/>
          <w:color w:val="000000"/>
          <w:lang w:val="hu-HU"/>
        </w:rPr>
        <w:noBreakHyphen/>
      </w:r>
      <w:r w:rsidR="006B7B19" w:rsidRPr="00A2627F">
        <w:rPr>
          <w:rFonts w:ascii="Times New Roman" w:hAnsi="Times New Roman" w:cs="Times New Roman"/>
          <w:color w:val="000000"/>
          <w:lang w:val="hu-HU"/>
        </w:rPr>
        <w:t>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szedő</w:t>
      </w:r>
      <w:r w:rsidR="00CE417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 (lásd 4.4</w:t>
      </w:r>
      <w:r w:rsidR="00B34F90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pont: Vér-/laboratóriumi vizsgálatok).</w:t>
      </w:r>
    </w:p>
    <w:p w14:paraId="35876859" w14:textId="03C0C2E2" w:rsidR="006B7B19" w:rsidRPr="00A2627F" w:rsidRDefault="006B7B19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7804A10" w14:textId="1436F8A5" w:rsidR="006B7B19" w:rsidRPr="00A2627F" w:rsidRDefault="00EA4AA6" w:rsidP="00EA4AA6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mértéktartó alkoholfogyasztás nem befolyásolta a dimetil-fumarát-expozíciót, és nem növelte a mellékhatások számát. Erős, 30 térfogatszázalékot meghaladó alkoholtartalmú italok nagy mennyiségben történő fogyasztása az Arbicen bevételét követő egy órán belül kerülendő,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 xml:space="preserve">mivel az alkohol a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emésztőrendszeri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 xml:space="preserve">mellékhatások gyakoriságának </w:t>
      </w:r>
      <w:r w:rsidRPr="00A2627F">
        <w:rPr>
          <w:rFonts w:ascii="Times New Roman" w:hAnsi="Times New Roman" w:cs="Times New Roman"/>
          <w:color w:val="000000"/>
          <w:lang w:val="hu-HU"/>
        </w:rPr>
        <w:t>fokozódásához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 xml:space="preserve"> vezethet.</w:t>
      </w:r>
    </w:p>
    <w:p w14:paraId="43A86546" w14:textId="628406F3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AD7FE53" w14:textId="7CC0F268" w:rsidR="00892E98" w:rsidRDefault="00892E98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</w:rPr>
      </w:pPr>
      <w:r w:rsidRPr="00892E98">
        <w:rPr>
          <w:rFonts w:ascii="Times New Roman" w:hAnsi="Times New Roman" w:cs="Times New Roman"/>
        </w:rPr>
        <w:t xml:space="preserve">A dimetil-fumarát hatása más hatóanyagokra </w:t>
      </w:r>
    </w:p>
    <w:p w14:paraId="2A7733D0" w14:textId="77777777" w:rsidR="00F845FE" w:rsidRPr="00A242A5" w:rsidRDefault="00F845F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</w:rPr>
      </w:pPr>
    </w:p>
    <w:p w14:paraId="666D4C37" w14:textId="2EE88F8E" w:rsidR="00B5448F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In vitro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CYP-indukciós vizsgálatokban nem mutattak ki kölcsönhatást a 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a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>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>orális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fogamzásgátlók között. Egy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in vivo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vizsgálatban a 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dimetil-fumarát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egy kombinált 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>orális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fogamzásgátlóval (norgesztimát és etinilösztradiol) történő együttes alkalmazása nem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mutatott lényeges változást a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>z orális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fogamzásgátló expozíció</w:t>
      </w:r>
      <w:r w:rsidR="00654CF1">
        <w:rPr>
          <w:rFonts w:ascii="Times New Roman" w:hAnsi="Times New Roman" w:cs="Times New Roman"/>
          <w:color w:val="000000"/>
          <w:lang w:val="hu-HU"/>
        </w:rPr>
        <w:t>já</w:t>
      </w:r>
      <w:r w:rsidRPr="00A2627F">
        <w:rPr>
          <w:rFonts w:ascii="Times New Roman" w:hAnsi="Times New Roman" w:cs="Times New Roman"/>
          <w:color w:val="000000"/>
          <w:lang w:val="hu-HU"/>
        </w:rPr>
        <w:t>ban.</w:t>
      </w:r>
    </w:p>
    <w:p w14:paraId="03DB1139" w14:textId="022E750F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Más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progesztogéneket tartalmazó, 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>orális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fogamzásgátlókkal nem végeztek interakciós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vizsgálatokat, azonban nem várható, hogy a</w:t>
      </w:r>
      <w:r w:rsidR="00B5448F" w:rsidRPr="00A2627F">
        <w:rPr>
          <w:rFonts w:ascii="Times New Roman" w:hAnsi="Times New Roman" w:cs="Times New Roman"/>
          <w:color w:val="000000"/>
          <w:lang w:val="hu-HU"/>
        </w:rPr>
        <w:t xml:space="preserve"> 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befolyásolná ezek expozíció</w:t>
      </w:r>
      <w:r w:rsidR="00654CF1">
        <w:rPr>
          <w:rFonts w:ascii="Times New Roman" w:hAnsi="Times New Roman" w:cs="Times New Roman"/>
          <w:color w:val="000000"/>
          <w:lang w:val="hu-HU"/>
        </w:rPr>
        <w:t>ját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6A3C3E4F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6305BC0" w14:textId="58FFD932" w:rsidR="00CE38C4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Gyermekek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serdülők</w:t>
      </w:r>
    </w:p>
    <w:p w14:paraId="63A8AD8E" w14:textId="77777777" w:rsidR="00F845FE" w:rsidRPr="00A2627F" w:rsidRDefault="00F845F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46962C67" w14:textId="33F6D625" w:rsidR="001449D0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Interakciós vizsgálatokat csak felnőttek körében végeztek.</w:t>
      </w:r>
    </w:p>
    <w:p w14:paraId="4552C9C1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1762324D" w14:textId="2E646393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Termékenység, terhesség és szoptatás</w:t>
      </w:r>
    </w:p>
    <w:p w14:paraId="2D82A106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2D3081C0" w14:textId="1412BA5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Terhesség</w:t>
      </w:r>
    </w:p>
    <w:p w14:paraId="2AC5A863" w14:textId="2A36A3D6" w:rsidR="00892E98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 terhes nőknél történő alkalmazás</w:t>
      </w:r>
      <w:r w:rsidR="00B12535" w:rsidRPr="00A2627F">
        <w:rPr>
          <w:rFonts w:ascii="Times New Roman" w:hAnsi="Times New Roman" w:cs="Times New Roman"/>
          <w:color w:val="000000"/>
          <w:lang w:val="hu-HU"/>
        </w:rPr>
        <w:t>áról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892E98" w:rsidRPr="00892E98">
        <w:rPr>
          <w:rFonts w:ascii="Times New Roman" w:hAnsi="Times New Roman" w:cs="Times New Roman"/>
          <w:lang w:val="hu-HU"/>
        </w:rPr>
        <w:t>közepes mennyiségű adat (300–1000 terhesség kimenetelének eredménye)</w:t>
      </w:r>
      <w:r w:rsidR="0058173B" w:rsidRPr="0058173B" w:rsidDel="0058173B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áll rendelkezésre</w:t>
      </w:r>
      <w:r w:rsidR="00892E98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892E98" w:rsidRPr="00892E98">
        <w:rPr>
          <w:rFonts w:ascii="Times New Roman" w:hAnsi="Times New Roman" w:cs="Times New Roman"/>
          <w:lang w:val="hu-HU"/>
        </w:rPr>
        <w:t xml:space="preserve">amelyek egy terhességi nyilvántartásból és a forgalomba hozatalt követő spontán jelentésekből származnak. A </w:t>
      </w:r>
      <w:r w:rsidR="00892E98">
        <w:rPr>
          <w:rFonts w:ascii="Times New Roman" w:hAnsi="Times New Roman" w:cs="Times New Roman"/>
          <w:lang w:val="hu-HU"/>
        </w:rPr>
        <w:t>dimet</w:t>
      </w:r>
      <w:r w:rsidR="00B31270">
        <w:rPr>
          <w:rFonts w:ascii="Times New Roman" w:hAnsi="Times New Roman" w:cs="Times New Roman"/>
          <w:lang w:val="hu-HU"/>
        </w:rPr>
        <w:t>i</w:t>
      </w:r>
      <w:r w:rsidR="00892E98">
        <w:rPr>
          <w:rFonts w:ascii="Times New Roman" w:hAnsi="Times New Roman" w:cs="Times New Roman"/>
          <w:lang w:val="hu-HU"/>
        </w:rPr>
        <w:t>l-fuma</w:t>
      </w:r>
      <w:r w:rsidR="008C635D">
        <w:rPr>
          <w:rFonts w:ascii="Times New Roman" w:hAnsi="Times New Roman" w:cs="Times New Roman"/>
          <w:lang w:val="hu-HU"/>
        </w:rPr>
        <w:t>r</w:t>
      </w:r>
      <w:r w:rsidR="00892E98">
        <w:rPr>
          <w:rFonts w:ascii="Times New Roman" w:hAnsi="Times New Roman" w:cs="Times New Roman"/>
          <w:lang w:val="hu-HU"/>
        </w:rPr>
        <w:t>át</w:t>
      </w:r>
      <w:r w:rsidR="00892E98" w:rsidRPr="00892E98">
        <w:rPr>
          <w:rFonts w:ascii="Times New Roman" w:hAnsi="Times New Roman" w:cs="Times New Roman"/>
          <w:lang w:val="hu-HU"/>
        </w:rPr>
        <w:t xml:space="preserve"> terhességi nyilvántartásában 289 terhesség kimenetelének prospektívan gyűjtött adatait dokumentálták olyan SM-es betegeknél, akik dimetil-fumarátot szedtek. A dimetil-fumarát-expozíció medián időtartama 4,6 gesztációs hét volt, a hatodik gesztációs hét után</w:t>
      </w:r>
      <w:r w:rsidR="00892E98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892E98" w:rsidRPr="00892E98">
        <w:rPr>
          <w:rFonts w:ascii="Times New Roman" w:hAnsi="Times New Roman" w:cs="Times New Roman"/>
          <w:color w:val="000000"/>
          <w:lang w:val="hu-HU"/>
        </w:rPr>
        <w:t xml:space="preserve">korlátozott </w:t>
      </w:r>
      <w:r w:rsidR="00892E98" w:rsidRPr="00892E98">
        <w:rPr>
          <w:rFonts w:ascii="Times New Roman" w:hAnsi="Times New Roman" w:cs="Times New Roman"/>
          <w:lang w:val="hu-HU"/>
        </w:rPr>
        <w:t>expozíció mellett (44 terhesség kimenetele). Ilyen korai terhességben a dimetil-fumarát-expozíció nem igazolt malformatív vagy f</w:t>
      </w:r>
      <w:r w:rsidR="009867B3">
        <w:rPr>
          <w:rFonts w:ascii="Times New Roman" w:hAnsi="Times New Roman" w:cs="Times New Roman"/>
          <w:lang w:val="hu-HU"/>
        </w:rPr>
        <w:t>oe</w:t>
      </w:r>
      <w:r w:rsidR="00892E98" w:rsidRPr="00892E98">
        <w:rPr>
          <w:rFonts w:ascii="Times New Roman" w:hAnsi="Times New Roman" w:cs="Times New Roman"/>
          <w:lang w:val="hu-HU"/>
        </w:rPr>
        <w:t>to</w:t>
      </w:r>
      <w:r w:rsidR="00844C04">
        <w:rPr>
          <w:rFonts w:ascii="Times New Roman" w:hAnsi="Times New Roman" w:cs="Times New Roman"/>
          <w:lang w:val="hu-HU"/>
        </w:rPr>
        <w:t>-</w:t>
      </w:r>
      <w:r w:rsidR="00892E98" w:rsidRPr="00892E98">
        <w:rPr>
          <w:rFonts w:ascii="Times New Roman" w:hAnsi="Times New Roman" w:cs="Times New Roman"/>
          <w:lang w:val="hu-HU"/>
        </w:rPr>
        <w:t xml:space="preserve">/neonatalis toxicitást az </w:t>
      </w:r>
      <w:r w:rsidR="00892E98" w:rsidRPr="00892E98">
        <w:rPr>
          <w:rFonts w:ascii="Times New Roman" w:hAnsi="Times New Roman" w:cs="Times New Roman"/>
          <w:lang w:val="hu-HU"/>
        </w:rPr>
        <w:lastRenderedPageBreak/>
        <w:t>általános populációhoz képest. A hosszabb ideig tartó dimetil-fumarát-expozíció, vagy a terhesség későbbi szakaszaiban történő expozíció kockázata nem ismert</w:t>
      </w:r>
      <w:r w:rsidR="00844C04">
        <w:rPr>
          <w:rFonts w:ascii="Times New Roman" w:hAnsi="Times New Roman" w:cs="Times New Roman"/>
          <w:lang w:val="hu-HU"/>
        </w:rPr>
        <w:t>.</w:t>
      </w:r>
    </w:p>
    <w:p w14:paraId="71E6C830" w14:textId="31105168" w:rsidR="007910D9" w:rsidRPr="00A2627F" w:rsidRDefault="00E95126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fi-FI"/>
        </w:rPr>
        <w:t>Az á</w:t>
      </w:r>
      <w:r w:rsidR="0058173B" w:rsidRPr="0058173B">
        <w:rPr>
          <w:rFonts w:ascii="Times New Roman" w:hAnsi="Times New Roman" w:cs="Times New Roman"/>
          <w:color w:val="000000"/>
          <w:lang w:val="fi-FI"/>
        </w:rPr>
        <w:t xml:space="preserve">llatokkal végzett vizsgálatok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reproduktív toxicitást igazoltak (lásd 5.3 pont). A</w:t>
      </w:r>
      <w:r w:rsidR="00673ED4" w:rsidRPr="00A2627F">
        <w:rPr>
          <w:rFonts w:ascii="Times New Roman" w:hAnsi="Times New Roman" w:cs="Times New Roman"/>
          <w:color w:val="000000"/>
          <w:lang w:val="hu-HU"/>
        </w:rPr>
        <w:t>z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Arbicen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58173B" w:rsidRPr="0058173B">
        <w:rPr>
          <w:rFonts w:ascii="Times New Roman" w:hAnsi="Times New Roman" w:cs="Times New Roman"/>
          <w:color w:val="000000"/>
          <w:lang w:val="fi-FI"/>
        </w:rPr>
        <w:t>alkalmaz</w:t>
      </w:r>
      <w:r>
        <w:rPr>
          <w:rFonts w:ascii="Times New Roman" w:hAnsi="Times New Roman" w:cs="Times New Roman"/>
          <w:color w:val="000000"/>
          <w:lang w:val="fi-FI"/>
        </w:rPr>
        <w:t>ása elővigyázatosságból kerülendő</w:t>
      </w:r>
      <w:r w:rsidR="0058173B" w:rsidRPr="0058173B">
        <w:rPr>
          <w:rFonts w:ascii="Times New Roman" w:hAnsi="Times New Roman" w:cs="Times New Roman"/>
          <w:color w:val="000000"/>
          <w:lang w:val="fi-FI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terhesség alatt</w:t>
      </w:r>
      <w:r>
        <w:rPr>
          <w:rFonts w:ascii="Times New Roman" w:hAnsi="Times New Roman" w:cs="Times New Roman"/>
          <w:color w:val="000000"/>
          <w:lang w:val="hu-HU"/>
        </w:rPr>
        <w:t>.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A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 xml:space="preserve">dimetil-fumarátot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csak akkor szabad terhesség alatt alkalmazni, ha egyértelműen szükség van rá, és a lehetséges előnyök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>
        <w:rPr>
          <w:rFonts w:ascii="Times New Roman" w:hAnsi="Times New Roman" w:cs="Times New Roman"/>
          <w:color w:val="000000"/>
          <w:lang w:val="hu-HU"/>
        </w:rPr>
        <w:t>felülmúlják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a magzatra gyakorolt hatás lehetséges kockázatát</w:t>
      </w:r>
      <w:bookmarkStart w:id="7" w:name="br9"/>
      <w:bookmarkEnd w:id="7"/>
      <w:r w:rsidR="00AF66DE"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6D7CEDE5" w14:textId="77777777" w:rsidR="00871A47" w:rsidRPr="00A2627F" w:rsidRDefault="00871A4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DD33EDA" w14:textId="6F9CCD4D" w:rsidR="00CE38C4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lang w:val="hu-HU"/>
        </w:rPr>
      </w:pPr>
      <w:r w:rsidRPr="00A2627F">
        <w:rPr>
          <w:rFonts w:ascii="Times New Roman" w:hAnsi="Times New Roman" w:cs="Times New Roman"/>
          <w:noProof/>
          <w:lang w:val="hu-HU" w:eastAsia="hu-HU"/>
        </w:rPr>
        <w:drawing>
          <wp:anchor distT="0" distB="0" distL="114300" distR="114300" simplePos="0" relativeHeight="251702272" behindDoc="1" locked="0" layoutInCell="1" allowOverlap="1" wp14:anchorId="33EAC86C" wp14:editId="4A2B316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6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u w:val="single"/>
          <w:lang w:val="hu-HU"/>
        </w:rPr>
        <w:t>Szoptatás</w:t>
      </w:r>
    </w:p>
    <w:p w14:paraId="7C1EEEC8" w14:textId="7C7C34FF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Nem ismert, hogy a dimetil-fumarát vagy metabolitjai kiválasztódnak-e a humán anyatejbe. Az anyatejjel táplált újszülöttre/csecsemőre nézve a kockázatot nem lehet kizárni. </w:t>
      </w:r>
      <w:r w:rsidR="00E95126" w:rsidRPr="00E95126">
        <w:rPr>
          <w:rFonts w:ascii="Times New Roman" w:hAnsi="Times New Roman" w:cs="Times New Roman"/>
          <w:lang w:val="hu-HU"/>
        </w:rPr>
        <w:t xml:space="preserve">A </w:t>
      </w:r>
      <w:r w:rsidR="00E95126">
        <w:rPr>
          <w:rFonts w:ascii="Times New Roman" w:hAnsi="Times New Roman" w:cs="Times New Roman"/>
          <w:lang w:val="hu-HU"/>
        </w:rPr>
        <w:t>dimet</w:t>
      </w:r>
      <w:r w:rsidR="00B31270">
        <w:rPr>
          <w:rFonts w:ascii="Times New Roman" w:hAnsi="Times New Roman" w:cs="Times New Roman"/>
          <w:lang w:val="hu-HU"/>
        </w:rPr>
        <w:t>i</w:t>
      </w:r>
      <w:r w:rsidR="00E95126">
        <w:rPr>
          <w:rFonts w:ascii="Times New Roman" w:hAnsi="Times New Roman" w:cs="Times New Roman"/>
          <w:lang w:val="hu-HU"/>
        </w:rPr>
        <w:t>l</w:t>
      </w:r>
      <w:r w:rsidR="00B31270">
        <w:rPr>
          <w:rFonts w:ascii="Times New Roman" w:hAnsi="Times New Roman" w:cs="Times New Roman"/>
          <w:lang w:val="hu-HU"/>
        </w:rPr>
        <w:t>-</w:t>
      </w:r>
      <w:r w:rsidR="00E95126">
        <w:rPr>
          <w:rFonts w:ascii="Times New Roman" w:hAnsi="Times New Roman" w:cs="Times New Roman"/>
          <w:lang w:val="hu-HU"/>
        </w:rPr>
        <w:t xml:space="preserve">fumarát </w:t>
      </w:r>
      <w:r w:rsidR="00E95126" w:rsidRPr="00E95126">
        <w:rPr>
          <w:rFonts w:ascii="Times New Roman" w:hAnsi="Times New Roman" w:cs="Times New Roman"/>
          <w:lang w:val="hu-HU"/>
        </w:rPr>
        <w:t>alkalmazása előtt el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 kell </w:t>
      </w:r>
      <w:r w:rsidR="00E95126">
        <w:rPr>
          <w:rFonts w:ascii="Times New Roman" w:hAnsi="Times New Roman" w:cs="Times New Roman"/>
          <w:color w:val="000000"/>
          <w:lang w:val="hu-HU"/>
        </w:rPr>
        <w:t>dönte</w:t>
      </w:r>
      <w:r w:rsidRPr="00E95126">
        <w:rPr>
          <w:rFonts w:ascii="Times New Roman" w:hAnsi="Times New Roman" w:cs="Times New Roman"/>
          <w:color w:val="000000"/>
          <w:lang w:val="hu-HU"/>
        </w:rPr>
        <w:t>ni, hogy a szoptatást függesztik fel, vagy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kezelést szakítják meg, figyelembe véve a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szoptatás előnyét a gyermek, </w:t>
      </w:r>
      <w:r w:rsidR="00E95126">
        <w:rPr>
          <w:rFonts w:ascii="Times New Roman" w:hAnsi="Times New Roman" w:cs="Times New Roman"/>
          <w:color w:val="000000"/>
          <w:lang w:val="hu-HU"/>
        </w:rPr>
        <w:t>illetve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</w:t>
      </w:r>
      <w:r w:rsidR="00E95126">
        <w:rPr>
          <w:rFonts w:ascii="Times New Roman" w:hAnsi="Times New Roman" w:cs="Times New Roman"/>
          <w:color w:val="000000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előnyét </w:t>
      </w:r>
      <w:r w:rsidR="00537B95">
        <w:rPr>
          <w:rFonts w:ascii="Times New Roman" w:hAnsi="Times New Roman" w:cs="Times New Roman"/>
          <w:color w:val="000000"/>
          <w:lang w:val="hu-HU"/>
        </w:rPr>
        <w:t>az anya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szempontjából.</w:t>
      </w:r>
    </w:p>
    <w:p w14:paraId="1E24C2F0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9BB7AB2" w14:textId="3D090580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Termékenység</w:t>
      </w:r>
    </w:p>
    <w:p w14:paraId="385EEB3C" w14:textId="51B27724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Nincsenek adatok arra vonatkozóan, hogy a dimetil-fumarát milyen hatással van a humán termékenységre. A preklinikai vizsgálatokból származó adatok szerint a dimetil-fumarát nem jár a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fertilitás csökkenésének emelkedett kockázatával (lásd 5.3</w:t>
      </w:r>
      <w:r w:rsidR="00537B95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43E3BFE0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C733E35" w14:textId="231BEF5C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készítmény hatásai a gépjárművezetéshez és a gépek kezeléséhez szükséges képességekre</w:t>
      </w:r>
    </w:p>
    <w:p w14:paraId="50603465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C262FD3" w14:textId="75A4990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nem, vagy csak elhanyagolható mértékben befolyásolja a gépjárművezetéshez és a gépek</w:t>
      </w:r>
      <w:r w:rsidR="00AF66D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kezeléséhez szükséges képességeket. </w:t>
      </w:r>
    </w:p>
    <w:p w14:paraId="1E577697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00590D0" w14:textId="74803FCB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Nemkívánatos hatások, mellékhatások</w:t>
      </w:r>
    </w:p>
    <w:p w14:paraId="27BD0FB0" w14:textId="77777777" w:rsidR="001449D0" w:rsidRPr="00A2627F" w:rsidRDefault="001449D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30914944" w14:textId="1C6D4A03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 biztonsági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profil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összefoglalása</w:t>
      </w:r>
    </w:p>
    <w:p w14:paraId="50B4770A" w14:textId="1D0D7F5B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Pr="00E95126">
        <w:rPr>
          <w:rFonts w:ascii="Times New Roman" w:hAnsi="Times New Roman" w:cs="Times New Roman"/>
          <w:color w:val="000000"/>
          <w:lang w:val="hu-HU"/>
        </w:rPr>
        <w:t>leggyakoribb mellékhatások a</w:t>
      </w:r>
      <w:r w:rsidR="00AF66DE" w:rsidRPr="00E95126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E95126">
        <w:rPr>
          <w:rFonts w:ascii="Times New Roman" w:hAnsi="Times New Roman" w:cs="Times New Roman"/>
          <w:color w:val="000000"/>
          <w:lang w:val="hu-HU"/>
        </w:rPr>
        <w:t>kipirulás</w:t>
      </w:r>
      <w:r w:rsidR="00B31270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E95126" w:rsidRPr="00E95126">
        <w:rPr>
          <w:rFonts w:ascii="Times New Roman" w:hAnsi="Times New Roman" w:cs="Times New Roman"/>
          <w:lang w:val="hu-HU"/>
        </w:rPr>
        <w:t>(35%)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 és az emésztőrendszeri </w:t>
      </w:r>
      <w:r w:rsidR="00537B95" w:rsidRPr="00E95126">
        <w:rPr>
          <w:rFonts w:ascii="Times New Roman" w:hAnsi="Times New Roman" w:cs="Times New Roman"/>
          <w:color w:val="000000"/>
          <w:lang w:val="hu-HU"/>
        </w:rPr>
        <w:t xml:space="preserve">események </w:t>
      </w:r>
      <w:r w:rsidRPr="00E95126">
        <w:rPr>
          <w:rFonts w:ascii="Times New Roman" w:hAnsi="Times New Roman" w:cs="Times New Roman"/>
          <w:color w:val="000000"/>
          <w:lang w:val="hu-HU"/>
        </w:rPr>
        <w:t>(vagyis a hasmenés</w:t>
      </w:r>
      <w:r w:rsidR="00E95126" w:rsidRPr="00E95126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E95126" w:rsidRPr="00E95126">
        <w:rPr>
          <w:rFonts w:ascii="Times New Roman" w:hAnsi="Times New Roman" w:cs="Times New Roman"/>
          <w:lang w:val="hu-HU"/>
        </w:rPr>
        <w:t>[14%], a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 hányinger</w:t>
      </w:r>
      <w:r w:rsidR="00E95126" w:rsidRPr="00E95126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E95126" w:rsidRPr="00E95126">
        <w:rPr>
          <w:rFonts w:ascii="Times New Roman" w:hAnsi="Times New Roman" w:cs="Times New Roman"/>
          <w:lang w:val="hu-HU"/>
        </w:rPr>
        <w:t>[12%]</w:t>
      </w:r>
      <w:r w:rsidRPr="00E95126">
        <w:rPr>
          <w:rFonts w:ascii="Times New Roman" w:hAnsi="Times New Roman" w:cs="Times New Roman"/>
          <w:color w:val="000000"/>
          <w:lang w:val="hu-HU"/>
        </w:rPr>
        <w:t>,</w:t>
      </w:r>
      <w:r w:rsidR="00830598">
        <w:rPr>
          <w:rFonts w:ascii="Times New Roman" w:hAnsi="Times New Roman" w:cs="Times New Roman"/>
          <w:color w:val="000000"/>
          <w:lang w:val="hu-HU"/>
        </w:rPr>
        <w:t xml:space="preserve"> a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 hasi fájdalom</w:t>
      </w:r>
      <w:r w:rsidR="00E95126" w:rsidRPr="00E95126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E95126" w:rsidRPr="00E95126">
        <w:rPr>
          <w:rFonts w:ascii="Times New Roman" w:hAnsi="Times New Roman" w:cs="Times New Roman"/>
          <w:lang w:val="hu-HU"/>
        </w:rPr>
        <w:t>[10%]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830598">
        <w:rPr>
          <w:rFonts w:ascii="Times New Roman" w:hAnsi="Times New Roman" w:cs="Times New Roman"/>
          <w:color w:val="000000"/>
          <w:lang w:val="hu-HU"/>
        </w:rPr>
        <w:t>a</w:t>
      </w:r>
      <w:r w:rsidR="00844C04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E95126">
        <w:rPr>
          <w:rFonts w:ascii="Times New Roman" w:hAnsi="Times New Roman" w:cs="Times New Roman"/>
          <w:color w:val="000000"/>
          <w:lang w:val="hu-HU"/>
        </w:rPr>
        <w:t>gyomortáji fájdalom</w:t>
      </w:r>
      <w:r w:rsidR="00E95126" w:rsidRPr="00E95126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E95126" w:rsidRPr="00E95126">
        <w:rPr>
          <w:rFonts w:ascii="Times New Roman" w:hAnsi="Times New Roman" w:cs="Times New Roman"/>
          <w:lang w:val="hu-HU"/>
        </w:rPr>
        <w:t>[10%]</w:t>
      </w:r>
      <w:r w:rsidRPr="00E95126">
        <w:rPr>
          <w:rFonts w:ascii="Times New Roman" w:hAnsi="Times New Roman" w:cs="Times New Roman"/>
          <w:color w:val="000000"/>
          <w:lang w:val="hu-HU"/>
        </w:rPr>
        <w:t xml:space="preserve">) voltak. Úgy tűnik, a kipirulás és az emésztőrendszeri </w:t>
      </w:r>
      <w:r w:rsidR="00537B95" w:rsidRPr="00E95126">
        <w:rPr>
          <w:rFonts w:ascii="Times New Roman" w:hAnsi="Times New Roman" w:cs="Times New Roman"/>
          <w:color w:val="000000"/>
          <w:lang w:val="hu-HU"/>
        </w:rPr>
        <w:t xml:space="preserve">események </w:t>
      </w:r>
      <w:r w:rsidRPr="00E95126">
        <w:rPr>
          <w:rFonts w:ascii="Times New Roman" w:hAnsi="Times New Roman" w:cs="Times New Roman"/>
          <w:color w:val="000000"/>
          <w:lang w:val="hu-HU"/>
        </w:rPr>
        <w:t>a kezelés korai</w:t>
      </w:r>
      <w:r w:rsidR="00AF66DE" w:rsidRPr="00E95126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E95126">
        <w:rPr>
          <w:rFonts w:ascii="Times New Roman" w:hAnsi="Times New Roman" w:cs="Times New Roman"/>
          <w:color w:val="000000"/>
          <w:lang w:val="hu-HU"/>
        </w:rPr>
        <w:t>szakaszában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(elsősorban az első hónapban) alakulnak ki, és a kipirulás és az emésztőrendszeri </w:t>
      </w:r>
      <w:r w:rsidR="00537B95">
        <w:rPr>
          <w:rFonts w:ascii="Times New Roman" w:hAnsi="Times New Roman" w:cs="Times New Roman"/>
          <w:color w:val="000000"/>
          <w:lang w:val="hu-HU"/>
        </w:rPr>
        <w:t>események</w:t>
      </w:r>
      <w:r w:rsidR="00537B9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 tünetet tapasztaló betegeknél időszakosan jelentkezhetnek a </w:t>
      </w:r>
      <w:r w:rsidR="006B7B19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B46407">
        <w:rPr>
          <w:rFonts w:ascii="Times New Roman" w:hAnsi="Times New Roman" w:cs="Times New Roman"/>
          <w:color w:val="000000"/>
          <w:lang w:val="hu-HU"/>
        </w:rPr>
        <w:t xml:space="preserve">tal történő </w:t>
      </w:r>
      <w:r w:rsidRPr="00A2627F">
        <w:rPr>
          <w:rFonts w:ascii="Times New Roman" w:hAnsi="Times New Roman" w:cs="Times New Roman"/>
          <w:color w:val="000000"/>
          <w:lang w:val="hu-HU"/>
        </w:rPr>
        <w:t>kezelés folyamán is. A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</w:t>
      </w:r>
      <w:r w:rsidR="00E95126">
        <w:rPr>
          <w:rFonts w:ascii="Times New Roman" w:hAnsi="Times New Roman" w:cs="Times New Roman"/>
          <w:color w:val="000000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leállítását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537B95">
        <w:rPr>
          <w:rFonts w:ascii="Times New Roman" w:hAnsi="Times New Roman" w:cs="Times New Roman"/>
          <w:color w:val="000000"/>
          <w:lang w:val="hu-HU"/>
        </w:rPr>
        <w:t>szükségessé tevő</w:t>
      </w:r>
      <w:r w:rsidR="00537B9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leggyakoribb mellékhatások, melyekről beszámoltak, a kipirulás (3%) és az emésztőrendszeri </w:t>
      </w:r>
      <w:r w:rsidR="00537B95">
        <w:rPr>
          <w:rFonts w:ascii="Times New Roman" w:hAnsi="Times New Roman" w:cs="Times New Roman"/>
          <w:color w:val="000000"/>
          <w:lang w:val="hu-HU"/>
        </w:rPr>
        <w:t>események</w:t>
      </w:r>
      <w:r w:rsidR="00537B9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(4%) voltak.</w:t>
      </w:r>
    </w:p>
    <w:p w14:paraId="3DE39F56" w14:textId="20F30D51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647A375" w14:textId="5DF00081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3E26C9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3E26C9" w:rsidRPr="003E26C9">
        <w:rPr>
          <w:rFonts w:ascii="Times New Roman" w:hAnsi="Times New Roman" w:cs="Times New Roman"/>
          <w:lang w:val="hu-HU"/>
        </w:rPr>
        <w:t xml:space="preserve">II. és III. fázisú, </w:t>
      </w:r>
      <w:r w:rsidRPr="003E26C9">
        <w:rPr>
          <w:rFonts w:ascii="Times New Roman" w:hAnsi="Times New Roman" w:cs="Times New Roman"/>
          <w:color w:val="000000"/>
          <w:lang w:val="hu-HU"/>
        </w:rPr>
        <w:t>placebokontrollos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a nem kontrollos klinikai vizsgálatokban összesen 2513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beteg kapott 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dimetil-fumarátot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legfeljebb 12</w:t>
      </w:r>
      <w:r w:rsidR="00E63A9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évig</w:t>
      </w:r>
      <w:r w:rsidR="00B80F86" w:rsidRPr="00A2627F">
        <w:rPr>
          <w:rFonts w:ascii="Times New Roman" w:hAnsi="Times New Roman" w:cs="Times New Roman"/>
          <w:color w:val="000000"/>
          <w:lang w:val="hu-HU"/>
        </w:rPr>
        <w:t xml:space="preserve"> követték őket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B80F86" w:rsidRPr="00A2627F">
        <w:rPr>
          <w:rFonts w:ascii="Times New Roman" w:hAnsi="Times New Roman" w:cs="Times New Roman"/>
          <w:color w:val="000000"/>
          <w:lang w:val="hu-HU"/>
        </w:rPr>
        <w:t xml:space="preserve">az összesített expozíció pedig </w:t>
      </w:r>
      <w:r w:rsidRPr="00A2627F">
        <w:rPr>
          <w:rFonts w:ascii="Times New Roman" w:hAnsi="Times New Roman" w:cs="Times New Roman"/>
          <w:color w:val="000000"/>
          <w:lang w:val="hu-HU"/>
        </w:rPr>
        <w:t>11</w:t>
      </w:r>
      <w:r w:rsidR="00E63A9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318</w:t>
      </w:r>
      <w:r w:rsidR="00E63A9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személyév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e</w:t>
      </w:r>
      <w:r w:rsidR="00B80F86" w:rsidRPr="00A2627F">
        <w:rPr>
          <w:rFonts w:ascii="Times New Roman" w:hAnsi="Times New Roman" w:cs="Times New Roman"/>
          <w:color w:val="000000"/>
          <w:lang w:val="hu-HU"/>
        </w:rPr>
        <w:t>t tett ki</w:t>
      </w:r>
      <w:r w:rsidRPr="00A2627F">
        <w:rPr>
          <w:rFonts w:ascii="Times New Roman" w:hAnsi="Times New Roman" w:cs="Times New Roman"/>
          <w:color w:val="000000"/>
          <w:lang w:val="hu-HU"/>
        </w:rPr>
        <w:t>. Összesen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1169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beteg részesült legalább 5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éves, míg 426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beteg legalább 10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éves 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>-kezelésben. A nem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kontrollos klinikai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vizsgálatokból nyert tapasztalatok egyeznek a placebokontrollos klinikai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vizsgálatokban szerzett ismeretekkel.</w:t>
      </w:r>
    </w:p>
    <w:p w14:paraId="086A9023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5569DC3" w14:textId="516E1E0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 mellékhatások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táblázatos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összefoglalása</w:t>
      </w:r>
    </w:p>
    <w:p w14:paraId="16EF2F03" w14:textId="52CE0233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klinikai vizsgálatokból, engedélyezés utáni gyógyszerbiztonságossági vizsgálatokból és spontán jelentésekből származó mellékhatásokat az alábbi táblázat mutatja be.</w:t>
      </w:r>
    </w:p>
    <w:p w14:paraId="617378F7" w14:textId="77777777" w:rsidR="001449D0" w:rsidRPr="00A2627F" w:rsidRDefault="001449D0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0EB5297" w14:textId="172F2C2A" w:rsidR="00CE38C4" w:rsidRPr="00A2627F" w:rsidRDefault="007C391E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mellékhatások a MedDRA rendszerben alkalmazott kifejezésekkel, a MedDRA szervrendszeri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besorolás szerint kerülnek bemutatásra. Az alábbi mellékhatások előfordulási gyakorisága a következő</w:t>
      </w:r>
      <w:r w:rsidR="00DD401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kategóriák szerint kerül besorolásra:</w:t>
      </w:r>
    </w:p>
    <w:p w14:paraId="0ECC5628" w14:textId="4E994165" w:rsidR="00CE38C4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Nagyon gyakori (≥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1/10)</w:t>
      </w:r>
    </w:p>
    <w:p w14:paraId="5011F434" w14:textId="26C6F327" w:rsidR="00CE38C4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Gyakori (≥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1/100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–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&lt;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1/10)</w:t>
      </w:r>
    </w:p>
    <w:p w14:paraId="12DB4887" w14:textId="79202429" w:rsidR="00FE3A7F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Nem gyakori</w:t>
      </w:r>
      <w:bookmarkStart w:id="8" w:name="_Hlk121306455"/>
      <w:r w:rsidR="00FE3A7F" w:rsidRPr="00A2627F">
        <w:rPr>
          <w:rFonts w:ascii="Times New Roman" w:hAnsi="Times New Roman" w:cs="Times New Roman"/>
          <w:color w:val="000000"/>
          <w:lang w:val="hu-HU"/>
        </w:rPr>
        <w:t xml:space="preserve"> (≥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 xml:space="preserve">1/1 000 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-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 xml:space="preserve"> &lt;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>1/100)</w:t>
      </w:r>
      <w:bookmarkEnd w:id="8"/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5BD24728" w14:textId="7808B4A0" w:rsidR="00CE38C4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 xml:space="preserve">Ritka </w:t>
      </w:r>
      <w:bookmarkStart w:id="9" w:name="_Hlk121306490"/>
      <w:r w:rsidR="00FE3A7F" w:rsidRPr="00A2627F">
        <w:rPr>
          <w:rFonts w:ascii="Times New Roman" w:hAnsi="Times New Roman" w:cs="Times New Roman"/>
          <w:color w:val="000000"/>
          <w:lang w:val="hu-HU"/>
        </w:rPr>
        <w:t>(≥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 xml:space="preserve">1/10 000 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-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 xml:space="preserve"> &lt;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FE3A7F" w:rsidRPr="00A2627F">
        <w:rPr>
          <w:rFonts w:ascii="Times New Roman" w:hAnsi="Times New Roman" w:cs="Times New Roman"/>
          <w:color w:val="000000"/>
          <w:lang w:val="hu-HU"/>
        </w:rPr>
        <w:t>1/1 000)</w:t>
      </w:r>
      <w:bookmarkEnd w:id="9"/>
      <w:r w:rsidR="00FE3A7F" w:rsidRPr="00A2627F" w:rsidDel="00CF280B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2D00A253" w14:textId="01064515" w:rsidR="00CE38C4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Nagyon ritka (&lt;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1/10</w:t>
      </w:r>
      <w:r w:rsidR="008D0D3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000)</w:t>
      </w:r>
    </w:p>
    <w:p w14:paraId="6ED8AA5C" w14:textId="3E2898B5" w:rsidR="00CE38C4" w:rsidRPr="00A2627F" w:rsidRDefault="00CF280B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Nem ismert (a gyakoriság a rendelkezésre álló adatokból nem állapítható meg)</w:t>
      </w:r>
      <w:r w:rsidR="007910D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23088E94" w14:textId="1A52773E" w:rsidR="00433D73" w:rsidRPr="00A2627F" w:rsidRDefault="00433D73" w:rsidP="00EC63F3">
      <w:pPr>
        <w:spacing w:before="0" w:after="0" w:line="240" w:lineRule="auto"/>
        <w:ind w:right="-8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2CE8FA8" w14:textId="6894D9EB" w:rsidR="00545ED6" w:rsidRPr="00A2627F" w:rsidRDefault="00545ED6" w:rsidP="00EC63F3">
      <w:pPr>
        <w:keepNext/>
        <w:keepLines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891"/>
        </w:tabs>
        <w:spacing w:before="0" w:after="0"/>
        <w:ind w:left="1134" w:hanging="1134"/>
        <w:jc w:val="left"/>
        <w:rPr>
          <w:rFonts w:ascii="Times New Roman" w:eastAsia="Calibri" w:hAnsi="Times New Roman" w:cs="Times New Roman"/>
          <w:b/>
          <w:lang w:val="hu-HU"/>
        </w:rPr>
      </w:pPr>
      <w:r w:rsidRPr="00A2627F">
        <w:rPr>
          <w:rFonts w:ascii="Times New Roman" w:eastAsia="Calibri" w:hAnsi="Times New Roman" w:cs="Times New Roman"/>
          <w:b/>
          <w:lang w:val="hu-HU"/>
        </w:rPr>
        <w:lastRenderedPageBreak/>
        <w:t>1</w:t>
      </w:r>
      <w:r w:rsidR="00871A47" w:rsidRPr="00A2627F">
        <w:rPr>
          <w:rFonts w:ascii="Times New Roman" w:eastAsia="Calibri" w:hAnsi="Times New Roman" w:cs="Times New Roman"/>
          <w:b/>
          <w:lang w:val="hu-HU"/>
        </w:rPr>
        <w:t>. táblázat</w:t>
      </w:r>
      <w:r w:rsidRPr="00A2627F">
        <w:rPr>
          <w:rFonts w:ascii="Times New Roman" w:eastAsia="Calibri" w:hAnsi="Times New Roman" w:cs="Times New Roman"/>
          <w:b/>
          <w:lang w:val="hu-HU"/>
        </w:rPr>
        <w:tab/>
      </w:r>
      <w:r w:rsidR="00EB53DF" w:rsidRPr="00A2627F">
        <w:rPr>
          <w:rFonts w:ascii="Times New Roman" w:eastAsia="Calibri" w:hAnsi="Times New Roman" w:cs="Times New Roman"/>
          <w:b/>
          <w:lang w:val="hu-HU"/>
        </w:rPr>
        <w:t>Klinikai vizsgálatokból, engedélyezés utáni biztonsági vizsgálatokból és spontán jelentésekből származó mellékhatások</w:t>
      </w:r>
    </w:p>
    <w:p w14:paraId="68B55731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FF0000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2538"/>
      </w:tblGrid>
      <w:tr w:rsidR="00433D73" w:rsidRPr="00A2627F" w14:paraId="5AB5AD2D" w14:textId="77777777" w:rsidTr="00863600">
        <w:trPr>
          <w:trHeight w:val="502"/>
          <w:tblHeader/>
        </w:trPr>
        <w:tc>
          <w:tcPr>
            <w:tcW w:w="3114" w:type="dxa"/>
          </w:tcPr>
          <w:p w14:paraId="648909C3" w14:textId="29DB859A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u w:val="single"/>
                <w:lang w:val="hu-HU" w:eastAsia="zh-CN"/>
              </w:rPr>
            </w:pPr>
            <w:r w:rsidRPr="00A2627F">
              <w:rPr>
                <w:b/>
                <w:snapToGrid w:val="0"/>
                <w:lang w:val="hu-HU" w:eastAsia="zh-CN"/>
              </w:rPr>
              <w:t>MedDRA szervrendszer</w:t>
            </w:r>
          </w:p>
        </w:tc>
        <w:tc>
          <w:tcPr>
            <w:tcW w:w="3402" w:type="dxa"/>
          </w:tcPr>
          <w:p w14:paraId="78485A0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lang w:val="hu-HU" w:eastAsia="zh-CN"/>
              </w:rPr>
              <w:t>Mellékhatás</w:t>
            </w:r>
          </w:p>
        </w:tc>
        <w:tc>
          <w:tcPr>
            <w:tcW w:w="2538" w:type="dxa"/>
          </w:tcPr>
          <w:p w14:paraId="0AB19BE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lang w:val="hu-HU" w:eastAsia="zh-CN"/>
              </w:rPr>
              <w:t>Gyakorisági kategória</w:t>
            </w:r>
          </w:p>
        </w:tc>
      </w:tr>
      <w:tr w:rsidR="00433D73" w:rsidRPr="00A2627F" w14:paraId="55AB1465" w14:textId="77777777" w:rsidTr="00863600">
        <w:trPr>
          <w:trHeight w:val="110"/>
        </w:trPr>
        <w:tc>
          <w:tcPr>
            <w:tcW w:w="3114" w:type="dxa"/>
            <w:vMerge w:val="restart"/>
          </w:tcPr>
          <w:p w14:paraId="06C17829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Fertőző betegségek és parazitafertőzések</w:t>
            </w:r>
          </w:p>
        </w:tc>
        <w:tc>
          <w:tcPr>
            <w:tcW w:w="3402" w:type="dxa"/>
          </w:tcPr>
          <w:p w14:paraId="472B6415" w14:textId="28112653" w:rsidR="00433D73" w:rsidRPr="00A2627F" w:rsidRDefault="00863600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>
              <w:rPr>
                <w:snapToGrid w:val="0"/>
                <w:lang w:val="en-GB" w:eastAsia="zh-CN"/>
              </w:rPr>
              <w:t>g</w:t>
            </w:r>
            <w:r w:rsidRPr="00863600">
              <w:rPr>
                <w:snapToGrid w:val="0"/>
                <w:lang w:val="en-GB" w:eastAsia="zh-CN"/>
              </w:rPr>
              <w:t>astroenteritis</w:t>
            </w:r>
          </w:p>
        </w:tc>
        <w:tc>
          <w:tcPr>
            <w:tcW w:w="2538" w:type="dxa"/>
          </w:tcPr>
          <w:p w14:paraId="66AB5364" w14:textId="34F7FC32" w:rsidR="00433D73" w:rsidRPr="00A2627F" w:rsidRDefault="00863600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>
              <w:rPr>
                <w:snapToGrid w:val="0"/>
                <w:lang w:val="hu-HU" w:eastAsia="zh-CN"/>
              </w:rPr>
              <w:t>g</w:t>
            </w:r>
            <w:r w:rsidR="00433D73" w:rsidRPr="00A2627F">
              <w:rPr>
                <w:snapToGrid w:val="0"/>
                <w:lang w:val="hu-HU" w:eastAsia="zh-CN"/>
              </w:rPr>
              <w:t>yakori</w:t>
            </w:r>
          </w:p>
        </w:tc>
      </w:tr>
      <w:tr w:rsidR="00433D73" w:rsidRPr="00A2627F" w14:paraId="266E1832" w14:textId="77777777" w:rsidTr="00863600">
        <w:trPr>
          <w:trHeight w:val="108"/>
        </w:trPr>
        <w:tc>
          <w:tcPr>
            <w:tcW w:w="3114" w:type="dxa"/>
            <w:vMerge/>
          </w:tcPr>
          <w:p w14:paraId="1F3A4434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19574CBE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progresszív multifokális leukoencephalopathia (PML)</w:t>
            </w:r>
          </w:p>
        </w:tc>
        <w:tc>
          <w:tcPr>
            <w:tcW w:w="2538" w:type="dxa"/>
          </w:tcPr>
          <w:p w14:paraId="4527E44C" w14:textId="6948153E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4DA189CB" w14:textId="77777777" w:rsidTr="00863600">
        <w:trPr>
          <w:trHeight w:val="108"/>
        </w:trPr>
        <w:tc>
          <w:tcPr>
            <w:tcW w:w="3114" w:type="dxa"/>
            <w:vMerge/>
          </w:tcPr>
          <w:p w14:paraId="68A2EECF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4DB06153" w14:textId="661A93CC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herpes zoster</w:t>
            </w:r>
          </w:p>
        </w:tc>
        <w:tc>
          <w:tcPr>
            <w:tcW w:w="2538" w:type="dxa"/>
          </w:tcPr>
          <w:p w14:paraId="02929D19" w14:textId="4AFB6B66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45118BFD" w14:textId="77777777" w:rsidTr="00863600">
        <w:trPr>
          <w:trHeight w:val="164"/>
        </w:trPr>
        <w:tc>
          <w:tcPr>
            <w:tcW w:w="3114" w:type="dxa"/>
            <w:vMerge w:val="restart"/>
          </w:tcPr>
          <w:p w14:paraId="4930160D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Vérképzőszervi és nyirokrendszeri betegségek és tünetek</w:t>
            </w:r>
          </w:p>
        </w:tc>
        <w:tc>
          <w:tcPr>
            <w:tcW w:w="3402" w:type="dxa"/>
          </w:tcPr>
          <w:p w14:paraId="54CAD16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lymphopenia</w:t>
            </w:r>
          </w:p>
        </w:tc>
        <w:tc>
          <w:tcPr>
            <w:tcW w:w="2538" w:type="dxa"/>
          </w:tcPr>
          <w:p w14:paraId="03CF5C38" w14:textId="76FE5BA6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75661E5C" w14:textId="77777777" w:rsidTr="00863600">
        <w:trPr>
          <w:trHeight w:val="163"/>
        </w:trPr>
        <w:tc>
          <w:tcPr>
            <w:tcW w:w="3114" w:type="dxa"/>
            <w:vMerge/>
          </w:tcPr>
          <w:p w14:paraId="4D3432DD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66902CD6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leukopenia</w:t>
            </w:r>
          </w:p>
        </w:tc>
        <w:tc>
          <w:tcPr>
            <w:tcW w:w="2538" w:type="dxa"/>
          </w:tcPr>
          <w:p w14:paraId="441504CE" w14:textId="3282E5EC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351E1D59" w14:textId="77777777" w:rsidTr="00863600">
        <w:trPr>
          <w:trHeight w:val="163"/>
        </w:trPr>
        <w:tc>
          <w:tcPr>
            <w:tcW w:w="3114" w:type="dxa"/>
            <w:vMerge/>
          </w:tcPr>
          <w:p w14:paraId="69A7B338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619358A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thrombocytopenia</w:t>
            </w:r>
          </w:p>
        </w:tc>
        <w:tc>
          <w:tcPr>
            <w:tcW w:w="2538" w:type="dxa"/>
          </w:tcPr>
          <w:p w14:paraId="6CBD4C1E" w14:textId="4B4B79B4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gyakori</w:t>
            </w:r>
          </w:p>
        </w:tc>
      </w:tr>
      <w:tr w:rsidR="00433D73" w:rsidRPr="00A2627F" w14:paraId="45357246" w14:textId="77777777" w:rsidTr="00863600">
        <w:trPr>
          <w:trHeight w:val="56"/>
        </w:trPr>
        <w:tc>
          <w:tcPr>
            <w:tcW w:w="3114" w:type="dxa"/>
            <w:vMerge w:val="restart"/>
          </w:tcPr>
          <w:p w14:paraId="5F58C25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Immunrendszeri betegségek és tünetek</w:t>
            </w:r>
          </w:p>
        </w:tc>
        <w:tc>
          <w:tcPr>
            <w:tcW w:w="3402" w:type="dxa"/>
          </w:tcPr>
          <w:p w14:paraId="6B234EE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túlérzékenység</w:t>
            </w:r>
          </w:p>
        </w:tc>
        <w:tc>
          <w:tcPr>
            <w:tcW w:w="2538" w:type="dxa"/>
          </w:tcPr>
          <w:p w14:paraId="4495E315" w14:textId="7EAFFA07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gyakori</w:t>
            </w:r>
          </w:p>
        </w:tc>
      </w:tr>
      <w:tr w:rsidR="00433D73" w:rsidRPr="00A2627F" w14:paraId="7B753200" w14:textId="77777777" w:rsidTr="00863600">
        <w:trPr>
          <w:trHeight w:val="54"/>
        </w:trPr>
        <w:tc>
          <w:tcPr>
            <w:tcW w:w="3114" w:type="dxa"/>
            <w:vMerge/>
          </w:tcPr>
          <w:p w14:paraId="2E6DB282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4165FF37" w14:textId="24A4F126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anaphylaxia</w:t>
            </w:r>
          </w:p>
        </w:tc>
        <w:tc>
          <w:tcPr>
            <w:tcW w:w="2538" w:type="dxa"/>
          </w:tcPr>
          <w:p w14:paraId="00FCC098" w14:textId="6B569EC2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4A60F460" w14:textId="77777777" w:rsidTr="00863600">
        <w:trPr>
          <w:trHeight w:val="54"/>
        </w:trPr>
        <w:tc>
          <w:tcPr>
            <w:tcW w:w="3114" w:type="dxa"/>
            <w:vMerge/>
          </w:tcPr>
          <w:p w14:paraId="5A0C1F56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1E1B1CDB" w14:textId="66C3F1D4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dyspnoe</w:t>
            </w:r>
          </w:p>
        </w:tc>
        <w:tc>
          <w:tcPr>
            <w:tcW w:w="2538" w:type="dxa"/>
          </w:tcPr>
          <w:p w14:paraId="112EC5A5" w14:textId="53929F3B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7290559B" w14:textId="77777777" w:rsidTr="00863600">
        <w:trPr>
          <w:trHeight w:val="54"/>
        </w:trPr>
        <w:tc>
          <w:tcPr>
            <w:tcW w:w="3114" w:type="dxa"/>
            <w:vMerge/>
          </w:tcPr>
          <w:p w14:paraId="048BF1E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07CAE08A" w14:textId="0621469C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hypoxia</w:t>
            </w:r>
          </w:p>
        </w:tc>
        <w:tc>
          <w:tcPr>
            <w:tcW w:w="2538" w:type="dxa"/>
          </w:tcPr>
          <w:p w14:paraId="0D14D086" w14:textId="29C8E735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3347C4CF" w14:textId="77777777" w:rsidTr="00863600">
        <w:trPr>
          <w:trHeight w:val="54"/>
        </w:trPr>
        <w:tc>
          <w:tcPr>
            <w:tcW w:w="3114" w:type="dxa"/>
            <w:vMerge/>
          </w:tcPr>
          <w:p w14:paraId="26310C9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42BD3BFF" w14:textId="65A1251F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hypot</w:t>
            </w:r>
            <w:r w:rsidR="003E26C9">
              <w:rPr>
                <w:snapToGrid w:val="0"/>
                <w:lang w:val="hu-HU" w:eastAsia="zh-CN"/>
              </w:rPr>
              <w:t>ensio</w:t>
            </w:r>
          </w:p>
        </w:tc>
        <w:tc>
          <w:tcPr>
            <w:tcW w:w="2538" w:type="dxa"/>
          </w:tcPr>
          <w:p w14:paraId="70B38D7C" w14:textId="7CE4039E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0A11C0BC" w14:textId="77777777" w:rsidTr="00863600">
        <w:trPr>
          <w:trHeight w:val="54"/>
        </w:trPr>
        <w:tc>
          <w:tcPr>
            <w:tcW w:w="3114" w:type="dxa"/>
            <w:vMerge/>
          </w:tcPr>
          <w:p w14:paraId="63560F4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77957EC5" w14:textId="6AD755CA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angiooedema</w:t>
            </w:r>
          </w:p>
        </w:tc>
        <w:tc>
          <w:tcPr>
            <w:tcW w:w="2538" w:type="dxa"/>
          </w:tcPr>
          <w:p w14:paraId="3D2D3331" w14:textId="0C760D48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0C70E472" w14:textId="77777777" w:rsidTr="00863600">
        <w:tc>
          <w:tcPr>
            <w:tcW w:w="3114" w:type="dxa"/>
          </w:tcPr>
          <w:p w14:paraId="661BAF48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Idegrendszeri betegségek és tünetek</w:t>
            </w:r>
          </w:p>
        </w:tc>
        <w:tc>
          <w:tcPr>
            <w:tcW w:w="3402" w:type="dxa"/>
          </w:tcPr>
          <w:p w14:paraId="4F2045D5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égő érzés</w:t>
            </w:r>
          </w:p>
        </w:tc>
        <w:tc>
          <w:tcPr>
            <w:tcW w:w="2538" w:type="dxa"/>
          </w:tcPr>
          <w:p w14:paraId="2423CCB4" w14:textId="11B2DFF8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0B2F35BC" w14:textId="77777777" w:rsidTr="00863600">
        <w:trPr>
          <w:trHeight w:val="82"/>
        </w:trPr>
        <w:tc>
          <w:tcPr>
            <w:tcW w:w="3114" w:type="dxa"/>
            <w:vMerge w:val="restart"/>
          </w:tcPr>
          <w:p w14:paraId="61F88EB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Érbetegségek és tünetek</w:t>
            </w:r>
          </w:p>
        </w:tc>
        <w:tc>
          <w:tcPr>
            <w:tcW w:w="3402" w:type="dxa"/>
          </w:tcPr>
          <w:p w14:paraId="178860F2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kipirulás</w:t>
            </w:r>
          </w:p>
        </w:tc>
        <w:tc>
          <w:tcPr>
            <w:tcW w:w="2538" w:type="dxa"/>
          </w:tcPr>
          <w:p w14:paraId="65FBE28D" w14:textId="3727FDF7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272CBDA5" w14:textId="77777777" w:rsidTr="00863600">
        <w:trPr>
          <w:trHeight w:val="81"/>
        </w:trPr>
        <w:tc>
          <w:tcPr>
            <w:tcW w:w="3114" w:type="dxa"/>
            <w:vMerge/>
          </w:tcPr>
          <w:p w14:paraId="2D2D201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37353EC4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hőhullám</w:t>
            </w:r>
          </w:p>
        </w:tc>
        <w:tc>
          <w:tcPr>
            <w:tcW w:w="2538" w:type="dxa"/>
          </w:tcPr>
          <w:p w14:paraId="10B5BD52" w14:textId="76686CCF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5CEBC6A8" w14:textId="77777777" w:rsidTr="00863600">
        <w:tc>
          <w:tcPr>
            <w:tcW w:w="3114" w:type="dxa"/>
          </w:tcPr>
          <w:p w14:paraId="55305A27" w14:textId="7219F2FC" w:rsidR="00433D73" w:rsidRPr="00A2627F" w:rsidRDefault="00433D73" w:rsidP="00844C04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Légzőrendszeri, mellkasi és mediastinalis betegségek és tünetek</w:t>
            </w:r>
          </w:p>
        </w:tc>
        <w:tc>
          <w:tcPr>
            <w:tcW w:w="3402" w:type="dxa"/>
          </w:tcPr>
          <w:p w14:paraId="3AFF5A44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rhinorrhoea</w:t>
            </w:r>
          </w:p>
        </w:tc>
        <w:tc>
          <w:tcPr>
            <w:tcW w:w="2538" w:type="dxa"/>
          </w:tcPr>
          <w:p w14:paraId="7136C335" w14:textId="2460574F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nem ismert</w:t>
            </w:r>
          </w:p>
        </w:tc>
      </w:tr>
      <w:tr w:rsidR="00433D73" w:rsidRPr="00A2627F" w14:paraId="7FD22890" w14:textId="77777777" w:rsidTr="00863600">
        <w:trPr>
          <w:trHeight w:val="46"/>
        </w:trPr>
        <w:tc>
          <w:tcPr>
            <w:tcW w:w="3114" w:type="dxa"/>
            <w:vMerge w:val="restart"/>
          </w:tcPr>
          <w:p w14:paraId="5C31055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Emésztőrendszeri betegségek és tünetek</w:t>
            </w:r>
          </w:p>
        </w:tc>
        <w:tc>
          <w:tcPr>
            <w:tcW w:w="3402" w:type="dxa"/>
          </w:tcPr>
          <w:p w14:paraId="5FA7443B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hasmenés</w:t>
            </w:r>
          </w:p>
        </w:tc>
        <w:tc>
          <w:tcPr>
            <w:tcW w:w="2538" w:type="dxa"/>
          </w:tcPr>
          <w:p w14:paraId="2EF172E9" w14:textId="35B9E313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1BC419D3" w14:textId="77777777" w:rsidTr="00863600">
        <w:trPr>
          <w:trHeight w:val="40"/>
        </w:trPr>
        <w:tc>
          <w:tcPr>
            <w:tcW w:w="3114" w:type="dxa"/>
            <w:vMerge/>
          </w:tcPr>
          <w:p w14:paraId="3C6B06F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70F5EAF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hányinger</w:t>
            </w:r>
          </w:p>
        </w:tc>
        <w:tc>
          <w:tcPr>
            <w:tcW w:w="2538" w:type="dxa"/>
          </w:tcPr>
          <w:p w14:paraId="254323E0" w14:textId="0A242E9C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593A2545" w14:textId="77777777" w:rsidTr="00863600">
        <w:trPr>
          <w:trHeight w:val="40"/>
        </w:trPr>
        <w:tc>
          <w:tcPr>
            <w:tcW w:w="3114" w:type="dxa"/>
            <w:vMerge/>
          </w:tcPr>
          <w:p w14:paraId="4D1F7823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4B50B14E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gyomortáji fájdalom</w:t>
            </w:r>
          </w:p>
        </w:tc>
        <w:tc>
          <w:tcPr>
            <w:tcW w:w="2538" w:type="dxa"/>
          </w:tcPr>
          <w:p w14:paraId="71AEC7F6" w14:textId="4E929BD9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4A0977EF" w14:textId="77777777" w:rsidTr="00863600">
        <w:trPr>
          <w:trHeight w:val="40"/>
        </w:trPr>
        <w:tc>
          <w:tcPr>
            <w:tcW w:w="3114" w:type="dxa"/>
            <w:vMerge/>
          </w:tcPr>
          <w:p w14:paraId="26B4C07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7F48DE2F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hasi fájdalom</w:t>
            </w:r>
          </w:p>
        </w:tc>
        <w:tc>
          <w:tcPr>
            <w:tcW w:w="2538" w:type="dxa"/>
          </w:tcPr>
          <w:p w14:paraId="2980B76C" w14:textId="4C6AAB43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08547D70" w14:textId="77777777" w:rsidTr="00863600">
        <w:trPr>
          <w:trHeight w:val="40"/>
        </w:trPr>
        <w:tc>
          <w:tcPr>
            <w:tcW w:w="3114" w:type="dxa"/>
            <w:vMerge/>
          </w:tcPr>
          <w:p w14:paraId="684AF386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1E6D4482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hányás</w:t>
            </w:r>
          </w:p>
        </w:tc>
        <w:tc>
          <w:tcPr>
            <w:tcW w:w="2538" w:type="dxa"/>
          </w:tcPr>
          <w:p w14:paraId="60E9E71F" w14:textId="302FCB5F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52487120" w14:textId="77777777" w:rsidTr="00844C04">
        <w:tc>
          <w:tcPr>
            <w:tcW w:w="3114" w:type="dxa"/>
            <w:vMerge/>
          </w:tcPr>
          <w:p w14:paraId="2C5CD7C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00CDC515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dyspepsia</w:t>
            </w:r>
          </w:p>
        </w:tc>
        <w:tc>
          <w:tcPr>
            <w:tcW w:w="2538" w:type="dxa"/>
          </w:tcPr>
          <w:p w14:paraId="710E726B" w14:textId="0B16A0D4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7A85961E" w14:textId="77777777" w:rsidTr="00863600">
        <w:trPr>
          <w:trHeight w:val="40"/>
        </w:trPr>
        <w:tc>
          <w:tcPr>
            <w:tcW w:w="3114" w:type="dxa"/>
            <w:vMerge/>
          </w:tcPr>
          <w:p w14:paraId="4028C08D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766FB896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gastritis</w:t>
            </w:r>
          </w:p>
        </w:tc>
        <w:tc>
          <w:tcPr>
            <w:tcW w:w="2538" w:type="dxa"/>
          </w:tcPr>
          <w:p w14:paraId="37094AC1" w14:textId="5FCC6AFC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1D003EF4" w14:textId="77777777" w:rsidTr="00863600">
        <w:trPr>
          <w:trHeight w:val="40"/>
        </w:trPr>
        <w:tc>
          <w:tcPr>
            <w:tcW w:w="3114" w:type="dxa"/>
            <w:vMerge/>
          </w:tcPr>
          <w:p w14:paraId="71DCEC17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435A1D79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emésztőrendszeri zavar</w:t>
            </w:r>
          </w:p>
        </w:tc>
        <w:tc>
          <w:tcPr>
            <w:tcW w:w="2538" w:type="dxa"/>
          </w:tcPr>
          <w:p w14:paraId="7329932E" w14:textId="37B628D4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5A44844F" w14:textId="77777777" w:rsidTr="00863600">
        <w:trPr>
          <w:trHeight w:val="110"/>
        </w:trPr>
        <w:tc>
          <w:tcPr>
            <w:tcW w:w="3114" w:type="dxa"/>
            <w:vMerge w:val="restart"/>
          </w:tcPr>
          <w:p w14:paraId="2D7BD834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Máj- és epebetegségek, illetve tünetek</w:t>
            </w:r>
          </w:p>
        </w:tc>
        <w:tc>
          <w:tcPr>
            <w:tcW w:w="3402" w:type="dxa"/>
          </w:tcPr>
          <w:p w14:paraId="03221A43" w14:textId="2892CCED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 xml:space="preserve">emelkedett glutamát-oxálacetát-transzamináz </w:t>
            </w:r>
            <w:r w:rsidR="00977972" w:rsidRPr="00A2627F">
              <w:rPr>
                <w:snapToGrid w:val="0"/>
                <w:lang w:val="hu-HU" w:eastAsia="zh-CN"/>
              </w:rPr>
              <w:t>(</w:t>
            </w:r>
            <w:r w:rsidRPr="00A2627F">
              <w:rPr>
                <w:snapToGrid w:val="0"/>
                <w:lang w:val="hu-HU" w:eastAsia="zh-CN"/>
              </w:rPr>
              <w:t>aszpartát-aminotranszferáz</w:t>
            </w:r>
            <w:r w:rsidR="00977972" w:rsidRPr="00A2627F">
              <w:rPr>
                <w:snapToGrid w:val="0"/>
                <w:lang w:val="hu-HU" w:eastAsia="zh-CN"/>
              </w:rPr>
              <w:t>)</w:t>
            </w:r>
            <w:r w:rsidR="00863600">
              <w:rPr>
                <w:snapToGrid w:val="0"/>
                <w:lang w:val="hu-HU" w:eastAsia="zh-CN"/>
              </w:rPr>
              <w:t xml:space="preserve"> </w:t>
            </w:r>
            <w:r w:rsidRPr="00A2627F">
              <w:rPr>
                <w:snapToGrid w:val="0"/>
                <w:lang w:val="hu-HU" w:eastAsia="zh-CN"/>
              </w:rPr>
              <w:t>-szint</w:t>
            </w:r>
          </w:p>
        </w:tc>
        <w:tc>
          <w:tcPr>
            <w:tcW w:w="2538" w:type="dxa"/>
          </w:tcPr>
          <w:p w14:paraId="4E5627DF" w14:textId="286D9360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397E2FA9" w14:textId="77777777" w:rsidTr="00863600">
        <w:trPr>
          <w:trHeight w:val="108"/>
        </w:trPr>
        <w:tc>
          <w:tcPr>
            <w:tcW w:w="3114" w:type="dxa"/>
            <w:vMerge/>
          </w:tcPr>
          <w:p w14:paraId="1194A39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0E53B57D" w14:textId="4D70C04B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emelkedett glutamát-piruvát</w:t>
            </w:r>
            <w:r w:rsidR="00844C04">
              <w:rPr>
                <w:snapToGrid w:val="0"/>
                <w:lang w:val="hu-HU" w:eastAsia="zh-CN"/>
              </w:rPr>
              <w:t>-</w:t>
            </w:r>
            <w:r w:rsidRPr="00A2627F">
              <w:rPr>
                <w:snapToGrid w:val="0"/>
                <w:lang w:val="hu-HU" w:eastAsia="zh-CN"/>
              </w:rPr>
              <w:t>transzamináz</w:t>
            </w:r>
            <w:r w:rsidR="00844C04">
              <w:rPr>
                <w:snapToGrid w:val="0"/>
                <w:lang w:val="hu-HU" w:eastAsia="zh-CN"/>
              </w:rPr>
              <w:t>-</w:t>
            </w:r>
            <w:r w:rsidRPr="00A2627F">
              <w:rPr>
                <w:snapToGrid w:val="0"/>
                <w:lang w:val="hu-HU" w:eastAsia="zh-CN"/>
              </w:rPr>
              <w:t xml:space="preserve"> </w:t>
            </w:r>
            <w:r w:rsidR="00977972" w:rsidRPr="00A2627F">
              <w:rPr>
                <w:snapToGrid w:val="0"/>
                <w:lang w:val="hu-HU" w:eastAsia="zh-CN"/>
              </w:rPr>
              <w:t>(</w:t>
            </w:r>
            <w:r w:rsidRPr="00A2627F">
              <w:rPr>
                <w:snapToGrid w:val="0"/>
                <w:lang w:val="hu-HU" w:eastAsia="zh-CN"/>
              </w:rPr>
              <w:t>alanin-aminotranszferáz</w:t>
            </w:r>
            <w:r w:rsidR="00977972" w:rsidRPr="00A2627F">
              <w:rPr>
                <w:snapToGrid w:val="0"/>
                <w:lang w:val="hu-HU" w:eastAsia="zh-CN"/>
              </w:rPr>
              <w:t>)</w:t>
            </w:r>
            <w:r w:rsidR="00863600">
              <w:rPr>
                <w:snapToGrid w:val="0"/>
                <w:lang w:val="hu-HU" w:eastAsia="zh-CN"/>
              </w:rPr>
              <w:t xml:space="preserve"> </w:t>
            </w:r>
            <w:r w:rsidRPr="00A2627F">
              <w:rPr>
                <w:snapToGrid w:val="0"/>
                <w:lang w:val="hu-HU" w:eastAsia="zh-CN"/>
              </w:rPr>
              <w:t>szint</w:t>
            </w:r>
          </w:p>
        </w:tc>
        <w:tc>
          <w:tcPr>
            <w:tcW w:w="2538" w:type="dxa"/>
          </w:tcPr>
          <w:p w14:paraId="3C663EA6" w14:textId="4BC46059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391C7ABA" w14:textId="77777777" w:rsidTr="00863600">
        <w:trPr>
          <w:trHeight w:val="108"/>
        </w:trPr>
        <w:tc>
          <w:tcPr>
            <w:tcW w:w="3114" w:type="dxa"/>
            <w:vMerge/>
          </w:tcPr>
          <w:p w14:paraId="38F7399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7F683AF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gyógyszer okozta májkárosodás</w:t>
            </w:r>
          </w:p>
        </w:tc>
        <w:tc>
          <w:tcPr>
            <w:tcW w:w="2538" w:type="dxa"/>
          </w:tcPr>
          <w:p w14:paraId="5CAB77B6" w14:textId="5172D94F" w:rsidR="00433D73" w:rsidRPr="00A2627F" w:rsidRDefault="003E26C9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>
              <w:rPr>
                <w:snapToGrid w:val="0"/>
                <w:lang w:val="hu-HU" w:eastAsia="zh-CN"/>
              </w:rPr>
              <w:t>ritka</w:t>
            </w:r>
          </w:p>
        </w:tc>
      </w:tr>
      <w:tr w:rsidR="00433D73" w:rsidRPr="00A2627F" w14:paraId="7497D82B" w14:textId="77777777" w:rsidTr="00863600">
        <w:trPr>
          <w:trHeight w:val="83"/>
        </w:trPr>
        <w:tc>
          <w:tcPr>
            <w:tcW w:w="3114" w:type="dxa"/>
            <w:vMerge w:val="restart"/>
          </w:tcPr>
          <w:p w14:paraId="149D03D8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A bőr és a bőr alatti szövet betegségei és tünetei</w:t>
            </w:r>
          </w:p>
        </w:tc>
        <w:tc>
          <w:tcPr>
            <w:tcW w:w="3402" w:type="dxa"/>
          </w:tcPr>
          <w:p w14:paraId="66A939E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bőrviszketés</w:t>
            </w:r>
          </w:p>
        </w:tc>
        <w:tc>
          <w:tcPr>
            <w:tcW w:w="2538" w:type="dxa"/>
          </w:tcPr>
          <w:p w14:paraId="051E405D" w14:textId="15439EC0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46352CF4" w14:textId="77777777" w:rsidTr="00863600">
        <w:trPr>
          <w:trHeight w:val="81"/>
        </w:trPr>
        <w:tc>
          <w:tcPr>
            <w:tcW w:w="3114" w:type="dxa"/>
            <w:vMerge/>
          </w:tcPr>
          <w:p w14:paraId="004CE628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21263BD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bőrkiütés</w:t>
            </w:r>
          </w:p>
        </w:tc>
        <w:tc>
          <w:tcPr>
            <w:tcW w:w="2538" w:type="dxa"/>
          </w:tcPr>
          <w:p w14:paraId="52D165A4" w14:textId="212FC1DD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61B27223" w14:textId="77777777" w:rsidTr="00863600">
        <w:trPr>
          <w:trHeight w:val="81"/>
        </w:trPr>
        <w:tc>
          <w:tcPr>
            <w:tcW w:w="3114" w:type="dxa"/>
            <w:vMerge/>
          </w:tcPr>
          <w:p w14:paraId="010A6775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072FACAE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erythema</w:t>
            </w:r>
          </w:p>
        </w:tc>
        <w:tc>
          <w:tcPr>
            <w:tcW w:w="2538" w:type="dxa"/>
          </w:tcPr>
          <w:p w14:paraId="4B003307" w14:textId="1B374DD2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20CD9DBE" w14:textId="77777777" w:rsidTr="00863600">
        <w:trPr>
          <w:trHeight w:val="81"/>
        </w:trPr>
        <w:tc>
          <w:tcPr>
            <w:tcW w:w="3114" w:type="dxa"/>
            <w:vMerge/>
          </w:tcPr>
          <w:p w14:paraId="15D1A21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26447CD0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alopecia</w:t>
            </w:r>
          </w:p>
        </w:tc>
        <w:tc>
          <w:tcPr>
            <w:tcW w:w="2538" w:type="dxa"/>
          </w:tcPr>
          <w:p w14:paraId="2C750856" w14:textId="2D2A0CE5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413115AE" w14:textId="77777777" w:rsidTr="00863600">
        <w:tc>
          <w:tcPr>
            <w:tcW w:w="3114" w:type="dxa"/>
          </w:tcPr>
          <w:p w14:paraId="0B2934FA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Vese- és húgyúti betegségek és tünetek</w:t>
            </w:r>
          </w:p>
        </w:tc>
        <w:tc>
          <w:tcPr>
            <w:tcW w:w="3402" w:type="dxa"/>
          </w:tcPr>
          <w:p w14:paraId="46E22214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proteinuria</w:t>
            </w:r>
          </w:p>
        </w:tc>
        <w:tc>
          <w:tcPr>
            <w:tcW w:w="2538" w:type="dxa"/>
          </w:tcPr>
          <w:p w14:paraId="6C422923" w14:textId="6E6CA6DB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31B2A6A6" w14:textId="77777777" w:rsidTr="00863600">
        <w:tc>
          <w:tcPr>
            <w:tcW w:w="3114" w:type="dxa"/>
          </w:tcPr>
          <w:p w14:paraId="131998B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Általános tünetek, az alkalmazás helyén fellépő reakciók</w:t>
            </w:r>
          </w:p>
        </w:tc>
        <w:tc>
          <w:tcPr>
            <w:tcW w:w="3402" w:type="dxa"/>
          </w:tcPr>
          <w:p w14:paraId="58038807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forróság érzése</w:t>
            </w:r>
          </w:p>
        </w:tc>
        <w:tc>
          <w:tcPr>
            <w:tcW w:w="2538" w:type="dxa"/>
          </w:tcPr>
          <w:p w14:paraId="1A866A8F" w14:textId="07CEBA56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0C10C28E" w14:textId="77777777" w:rsidTr="00863600">
        <w:trPr>
          <w:trHeight w:val="110"/>
        </w:trPr>
        <w:tc>
          <w:tcPr>
            <w:tcW w:w="3114" w:type="dxa"/>
            <w:vMerge w:val="restart"/>
          </w:tcPr>
          <w:p w14:paraId="2DAFF8B6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Laboratóriumi és egyéb vizsgálatok eredményei</w:t>
            </w:r>
          </w:p>
        </w:tc>
        <w:tc>
          <w:tcPr>
            <w:tcW w:w="3402" w:type="dxa"/>
          </w:tcPr>
          <w:p w14:paraId="52E51FC1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ketonok a vizeletben</w:t>
            </w:r>
          </w:p>
        </w:tc>
        <w:tc>
          <w:tcPr>
            <w:tcW w:w="2538" w:type="dxa"/>
          </w:tcPr>
          <w:p w14:paraId="3B000D73" w14:textId="484B3624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nagyon gyakori</w:t>
            </w:r>
          </w:p>
        </w:tc>
      </w:tr>
      <w:tr w:rsidR="00433D73" w:rsidRPr="00A2627F" w14:paraId="04C71D49" w14:textId="77777777" w:rsidTr="00863600">
        <w:trPr>
          <w:trHeight w:val="108"/>
        </w:trPr>
        <w:tc>
          <w:tcPr>
            <w:tcW w:w="3114" w:type="dxa"/>
            <w:vMerge/>
          </w:tcPr>
          <w:p w14:paraId="7A0489E3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1B2AD489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albumin jelenléte a vizeletben</w:t>
            </w:r>
          </w:p>
        </w:tc>
        <w:tc>
          <w:tcPr>
            <w:tcW w:w="2538" w:type="dxa"/>
          </w:tcPr>
          <w:p w14:paraId="5528440A" w14:textId="3C42FA46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  <w:tr w:rsidR="00433D73" w:rsidRPr="00A2627F" w14:paraId="57738057" w14:textId="77777777" w:rsidTr="00863600">
        <w:trPr>
          <w:trHeight w:val="108"/>
        </w:trPr>
        <w:tc>
          <w:tcPr>
            <w:tcW w:w="3114" w:type="dxa"/>
            <w:vMerge/>
          </w:tcPr>
          <w:p w14:paraId="65BB3157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3402" w:type="dxa"/>
          </w:tcPr>
          <w:p w14:paraId="5960BCCE" w14:textId="77777777" w:rsidR="00433D73" w:rsidRPr="00A2627F" w:rsidRDefault="00433D73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csökkent fehérvérsejtszám</w:t>
            </w:r>
          </w:p>
        </w:tc>
        <w:tc>
          <w:tcPr>
            <w:tcW w:w="2538" w:type="dxa"/>
          </w:tcPr>
          <w:p w14:paraId="6F3821BF" w14:textId="6F530E14" w:rsidR="00433D73" w:rsidRPr="00A2627F" w:rsidRDefault="00902895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gyakori</w:t>
            </w:r>
          </w:p>
        </w:tc>
      </w:tr>
    </w:tbl>
    <w:p w14:paraId="14BC189D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bookmarkStart w:id="10" w:name="br10"/>
      <w:bookmarkEnd w:id="10"/>
    </w:p>
    <w:p w14:paraId="152F090F" w14:textId="7EBC314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Egyes kiválasztott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mellékhatások ismertetése</w:t>
      </w:r>
    </w:p>
    <w:p w14:paraId="7D0B14EE" w14:textId="285A658C" w:rsidR="007910D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Kipirulás</w:t>
      </w:r>
    </w:p>
    <w:p w14:paraId="04379D2D" w14:textId="6F076EC2" w:rsidR="00FC2897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placebokontrollos vizsgálatokban a kipirulás (34% a 4%-kal szemben) és a hőhullámok (7% a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2%</w:t>
      </w:r>
      <w:r w:rsidR="00FC2897" w:rsidRPr="00A2627F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kal szemben) </w:t>
      </w:r>
      <w:r w:rsidR="00863600">
        <w:rPr>
          <w:rFonts w:ascii="Times New Roman" w:hAnsi="Times New Roman" w:cs="Times New Roman"/>
          <w:color w:val="000000"/>
          <w:lang w:val="hu-HU"/>
        </w:rPr>
        <w:t>gyakorisága</w:t>
      </w:r>
      <w:r w:rsidR="0086360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megemelkedett a 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a placebót kapó betegekhez viszonyítva. A kipirulás általában kipirulásként vagy hőhullámként van meghatározva, de</w:t>
      </w:r>
      <w:bookmarkStart w:id="11" w:name="br11"/>
      <w:bookmarkEnd w:id="11"/>
      <w:r w:rsidRPr="00A2627F">
        <w:rPr>
          <w:rFonts w:ascii="Times New Roman" w:hAnsi="Times New Roman" w:cs="Times New Roman"/>
          <w:color w:val="000000"/>
          <w:lang w:val="hu-HU"/>
        </w:rPr>
        <w:t xml:space="preserve"> más események is beletartozhatnak (p</w:t>
      </w:r>
      <w:r w:rsidR="00FC2897" w:rsidRPr="00A2627F">
        <w:rPr>
          <w:rFonts w:ascii="Times New Roman" w:hAnsi="Times New Roman" w:cs="Times New Roman"/>
          <w:color w:val="000000"/>
          <w:lang w:val="hu-HU"/>
        </w:rPr>
        <w:t>éldáu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l melegségérzés, pirosság, viszketés és égő érzés). Úgy tűnik, a kipirulás a kezelés korai szakaszában (elsősorban az első hónapban) alakul ki, és </w:t>
      </w:r>
      <w:r w:rsidR="00863600" w:rsidRPr="002A13C1">
        <w:rPr>
          <w:rFonts w:ascii="Times New Roman" w:hAnsi="Times New Roman" w:cs="Times New Roman"/>
          <w:color w:val="000000"/>
          <w:lang w:val="hu"/>
        </w:rPr>
        <w:t xml:space="preserve">a </w:t>
      </w:r>
      <w:r w:rsidR="00863600" w:rsidRPr="00863600">
        <w:rPr>
          <w:rFonts w:ascii="Times New Roman" w:hAnsi="Times New Roman" w:cs="Times New Roman"/>
          <w:color w:val="000000"/>
          <w:lang w:val="hu"/>
        </w:rPr>
        <w:t>kipirulás</w:t>
      </w:r>
      <w:r w:rsidR="00863600" w:rsidRPr="002A13C1">
        <w:rPr>
          <w:rFonts w:ascii="Times New Roman" w:hAnsi="Times New Roman" w:cs="Times New Roman"/>
          <w:color w:val="000000"/>
          <w:lang w:val="hu"/>
        </w:rPr>
        <w:t xml:space="preserve"> a tünetet </w:t>
      </w:r>
      <w:r w:rsidR="00863600" w:rsidRPr="00863600">
        <w:rPr>
          <w:rFonts w:ascii="Times New Roman" w:hAnsi="Times New Roman" w:cs="Times New Roman"/>
          <w:color w:val="000000"/>
          <w:lang w:val="hu"/>
        </w:rPr>
        <w:t xml:space="preserve">tapasztaló betegeknél </w:t>
      </w:r>
      <w:r w:rsidR="00863600" w:rsidRPr="002A13C1">
        <w:rPr>
          <w:rFonts w:ascii="Times New Roman" w:hAnsi="Times New Roman" w:cs="Times New Roman"/>
          <w:color w:val="000000"/>
          <w:lang w:val="hu"/>
        </w:rPr>
        <w:t xml:space="preserve">időszakosan </w:t>
      </w:r>
      <w:r w:rsidR="00863600" w:rsidRPr="00863600">
        <w:rPr>
          <w:rFonts w:ascii="Times New Roman" w:hAnsi="Times New Roman" w:cs="Times New Roman"/>
          <w:color w:val="000000"/>
          <w:lang w:val="hu"/>
        </w:rPr>
        <w:t xml:space="preserve">továbbra is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jelentkezhet a 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863600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kezelés </w:t>
      </w:r>
      <w:r w:rsidR="00FC2897" w:rsidRPr="00A2627F">
        <w:rPr>
          <w:rFonts w:ascii="Times New Roman" w:hAnsi="Times New Roman" w:cs="Times New Roman"/>
          <w:color w:val="000000"/>
          <w:lang w:val="hu-HU"/>
        </w:rPr>
        <w:t>során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</w:t>
      </w:r>
    </w:p>
    <w:p w14:paraId="3FC1C685" w14:textId="6FC2B403" w:rsidR="006557FD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lastRenderedPageBreak/>
        <w:t xml:space="preserve">A kipirulás a 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>b</w:t>
      </w:r>
      <w:r w:rsidRPr="00A2627F">
        <w:rPr>
          <w:rFonts w:ascii="Times New Roman" w:hAnsi="Times New Roman" w:cs="Times New Roman"/>
          <w:color w:val="000000"/>
          <w:lang w:val="hu-HU"/>
        </w:rPr>
        <w:t>etegek többségénél enyhe vagy közep</w:t>
      </w:r>
      <w:r w:rsidR="00863600">
        <w:rPr>
          <w:rFonts w:ascii="Times New Roman" w:hAnsi="Times New Roman" w:cs="Times New Roman"/>
          <w:color w:val="000000"/>
          <w:lang w:val="hu-HU"/>
        </w:rPr>
        <w:t xml:space="preserve">es </w:t>
      </w:r>
      <w:r w:rsidR="00863600" w:rsidRPr="00863600">
        <w:rPr>
          <w:rFonts w:ascii="Times New Roman" w:hAnsi="Times New Roman" w:cs="Times New Roman"/>
          <w:color w:val="000000"/>
          <w:lang w:val="hu"/>
        </w:rPr>
        <w:t>intenzitással jelentkezett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Összességében a 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3%-a hagyta abba a gyógyszer szedését a kipirulás miatt. </w:t>
      </w:r>
    </w:p>
    <w:p w14:paraId="1FC38464" w14:textId="3544ECF6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generalizált erythemával,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bőrkiütéssel és/vagy bőrviszketéssel jellemezhető súlyos kipirulás gyakorisága kevesebb, mint 1% volt</w:t>
      </w:r>
      <w:r w:rsidR="007910D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(lásd</w:t>
      </w:r>
      <w:r w:rsidR="00545ED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4.2, 4.4. és 4.5 pont).</w:t>
      </w:r>
    </w:p>
    <w:p w14:paraId="3F0E7B74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ABAA202" w14:textId="3E0799C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Emésztőrendszeri</w:t>
      </w:r>
      <w:r w:rsidRPr="00A2627F">
        <w:rPr>
          <w:rFonts w:ascii="Times New Roman" w:hAnsi="Times New Roman" w:cs="Times New Roman"/>
          <w:i/>
          <w:iCs/>
          <w:color w:val="000000"/>
          <w:spacing w:val="-1"/>
          <w:lang w:val="hu-HU"/>
        </w:rPr>
        <w:t xml:space="preserve"> </w:t>
      </w:r>
      <w:r w:rsidR="003E26C9">
        <w:rPr>
          <w:rFonts w:ascii="Times New Roman" w:hAnsi="Times New Roman" w:cs="Times New Roman"/>
          <w:i/>
          <w:iCs/>
          <w:color w:val="000000"/>
          <w:spacing w:val="-1"/>
          <w:lang w:val="hu-HU"/>
        </w:rPr>
        <w:t>mellékhatások</w:t>
      </w:r>
    </w:p>
    <w:p w14:paraId="608ECAD3" w14:textId="0A3D3701" w:rsidR="00545ED6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Az emésztőrendszeri </w:t>
      </w:r>
      <w:r w:rsidR="00893F09">
        <w:rPr>
          <w:rFonts w:ascii="Times New Roman" w:hAnsi="Times New Roman" w:cs="Times New Roman"/>
          <w:color w:val="000000"/>
          <w:lang w:val="hu-HU"/>
        </w:rPr>
        <w:t>események</w:t>
      </w:r>
      <w:r w:rsidR="00893F0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gyakorisága (p</w:t>
      </w:r>
      <w:r w:rsidR="006557FD" w:rsidRPr="00A2627F">
        <w:rPr>
          <w:rFonts w:ascii="Times New Roman" w:hAnsi="Times New Roman" w:cs="Times New Roman"/>
          <w:color w:val="000000"/>
          <w:lang w:val="hu-HU"/>
        </w:rPr>
        <w:t>éldáu</w:t>
      </w:r>
      <w:r w:rsidRPr="00A2627F">
        <w:rPr>
          <w:rFonts w:ascii="Times New Roman" w:hAnsi="Times New Roman" w:cs="Times New Roman"/>
          <w:color w:val="000000"/>
          <w:lang w:val="hu-HU"/>
        </w:rPr>
        <w:t>l hasmenés [14% a 10%-kal szemben], hányinger [12% a 9%-kal szemben], gyomortáji fájdalom [10% a 6%-kal szemben], hasi fájdalom [9% a 4%-kal szemben], hányás [8% az 5%-kal szemben] és emésztési zavar [5% a 3%-kal szemben])</w:t>
      </w:r>
      <w:r w:rsidR="00545E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893F09">
        <w:rPr>
          <w:rFonts w:ascii="Times New Roman" w:hAnsi="Times New Roman" w:cs="Times New Roman"/>
          <w:color w:val="000000"/>
          <w:lang w:val="hu-HU"/>
        </w:rPr>
        <w:t xml:space="preserve">magasabb volt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</w:t>
      </w:r>
      <w:r w:rsidR="00893F09">
        <w:rPr>
          <w:rFonts w:ascii="Times New Roman" w:hAnsi="Times New Roman" w:cs="Times New Roman"/>
          <w:color w:val="000000"/>
          <w:lang w:val="hu-HU"/>
        </w:rPr>
        <w:t>ek körében, mint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placebót kapó betegek</w:t>
      </w:r>
      <w:r w:rsidR="00893F09">
        <w:rPr>
          <w:rFonts w:ascii="Times New Roman" w:hAnsi="Times New Roman" w:cs="Times New Roman"/>
          <w:color w:val="000000"/>
          <w:lang w:val="hu-HU"/>
        </w:rPr>
        <w:t>nél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62BF0771" w14:textId="44A2EDE3" w:rsidR="006557FD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Úgy tűnik,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az emésztőrendszeri </w:t>
      </w:r>
      <w:r w:rsidR="003E26C9">
        <w:rPr>
          <w:rFonts w:ascii="Times New Roman" w:hAnsi="Times New Roman" w:cs="Times New Roman"/>
          <w:color w:val="000000"/>
          <w:lang w:val="hu-HU"/>
        </w:rPr>
        <w:t>mellékhatások</w:t>
      </w:r>
      <w:r w:rsidR="00357BE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kezelés korai szakaszában (elsősorban az első hónapban) alakulnak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ki, és </w:t>
      </w:r>
      <w:r w:rsidR="00357BE7" w:rsidRPr="00357BE7">
        <w:rPr>
          <w:rFonts w:ascii="Times New Roman" w:hAnsi="Times New Roman" w:cs="Times New Roman"/>
          <w:color w:val="000000"/>
          <w:lang w:val="hu"/>
        </w:rPr>
        <w:t>az</w:t>
      </w:r>
      <w:r w:rsidR="00357BE7" w:rsidRPr="002A13C1">
        <w:rPr>
          <w:rFonts w:ascii="Times New Roman" w:hAnsi="Times New Roman" w:cs="Times New Roman"/>
          <w:color w:val="000000"/>
          <w:lang w:val="hu"/>
        </w:rPr>
        <w:t xml:space="preserve"> emésztőrendszeri </w:t>
      </w:r>
      <w:r w:rsidR="00357BE7" w:rsidRPr="00357BE7">
        <w:rPr>
          <w:rFonts w:ascii="Times New Roman" w:hAnsi="Times New Roman" w:cs="Times New Roman"/>
          <w:color w:val="000000"/>
          <w:lang w:val="hu"/>
        </w:rPr>
        <w:t>események a tünetet tapasztaló betegeknél</w:t>
      </w:r>
      <w:r w:rsidR="00357BE7" w:rsidRPr="002A13C1">
        <w:rPr>
          <w:rFonts w:ascii="Times New Roman" w:hAnsi="Times New Roman" w:cs="Times New Roman"/>
          <w:color w:val="000000"/>
          <w:lang w:val="hu"/>
        </w:rPr>
        <w:t xml:space="preserve"> időszakosan továbbra is jelentkezhetnek a dimetil-fumaráttal történő kezelés </w:t>
      </w:r>
      <w:r w:rsidR="00357BE7" w:rsidRPr="00357BE7">
        <w:rPr>
          <w:rFonts w:ascii="Times New Roman" w:hAnsi="Times New Roman" w:cs="Times New Roman"/>
          <w:color w:val="000000"/>
          <w:lang w:val="hu"/>
        </w:rPr>
        <w:t>folyamán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</w:t>
      </w:r>
    </w:p>
    <w:p w14:paraId="2ECAA02D" w14:textId="398CF6B5" w:rsidR="006557FD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Az emésztőrendszeri </w:t>
      </w:r>
      <w:r w:rsidR="00357BE7" w:rsidRPr="00357BE7">
        <w:rPr>
          <w:rFonts w:ascii="Times New Roman" w:hAnsi="Times New Roman" w:cs="Times New Roman"/>
          <w:color w:val="000000"/>
          <w:lang w:val="hu"/>
        </w:rPr>
        <w:t>események az azokat tapasztaló</w:t>
      </w:r>
      <w:r w:rsidR="00357BE7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betegek többségénél enyhék vagy közepes </w:t>
      </w:r>
      <w:r w:rsidR="00357BE7" w:rsidRPr="00357BE7">
        <w:rPr>
          <w:rFonts w:ascii="Times New Roman" w:hAnsi="Times New Roman" w:cs="Times New Roman"/>
          <w:color w:val="000000"/>
          <w:lang w:val="hu"/>
        </w:rPr>
        <w:t>intenzitásúak</w:t>
      </w:r>
      <w:r w:rsidR="00357BE7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="006557FD" w:rsidRPr="00A2627F">
        <w:rPr>
          <w:rFonts w:ascii="Times New Roman" w:hAnsi="Times New Roman" w:cs="Times New Roman"/>
          <w:color w:val="000000"/>
          <w:lang w:val="hu-HU"/>
        </w:rPr>
        <w:t>voltak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A 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négy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százaléka (4%) hagyta abba a gyógyszer szedését az emésztőrendszeri </w:t>
      </w:r>
      <w:r w:rsidR="003E26C9">
        <w:rPr>
          <w:rFonts w:ascii="Times New Roman" w:hAnsi="Times New Roman" w:cs="Times New Roman"/>
          <w:color w:val="000000"/>
          <w:lang w:val="hu-HU"/>
        </w:rPr>
        <w:t>mellékhatások</w:t>
      </w:r>
      <w:r w:rsidR="00357BE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miatt. </w:t>
      </w:r>
    </w:p>
    <w:p w14:paraId="54E5EA9C" w14:textId="4AD824A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Súlyos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emésztőrendszeri </w:t>
      </w:r>
      <w:r w:rsidR="007C0E40">
        <w:rPr>
          <w:rFonts w:ascii="Times New Roman" w:hAnsi="Times New Roman" w:cs="Times New Roman"/>
          <w:color w:val="000000"/>
          <w:lang w:val="hu-HU"/>
        </w:rPr>
        <w:t>események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beleértve a gastroenteritist és a gastritist, a 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</w:t>
      </w:r>
      <w:r w:rsidR="005F70F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1%-ánál fordultak elő (lásd 4.2</w:t>
      </w:r>
      <w:r w:rsidR="007C0E40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692BFBB7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</w:p>
    <w:p w14:paraId="1366523E" w14:textId="0B4638B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Máj</w:t>
      </w:r>
      <w:r w:rsidR="00A557A3">
        <w:rPr>
          <w:rFonts w:ascii="Times New Roman" w:hAnsi="Times New Roman" w:cs="Times New Roman"/>
          <w:i/>
          <w:iCs/>
          <w:color w:val="000000"/>
          <w:lang w:val="hu-HU"/>
        </w:rPr>
        <w:t>funkció</w:t>
      </w:r>
    </w:p>
    <w:p w14:paraId="3E6FFE29" w14:textId="6B92123C" w:rsidR="000E0EE3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Placebokontrollos vizsgálatok adatai alapján azon betegek többségénél, akiknél megemelkedtek a hepatikus transzaminázszintek, az értékek alacsonyabbak voltak a normálérték felső határának háromszorosánál</w:t>
      </w:r>
      <w:r w:rsidR="003E26C9">
        <w:rPr>
          <w:rFonts w:ascii="Times New Roman" w:hAnsi="Times New Roman" w:cs="Times New Roman"/>
          <w:color w:val="000000"/>
          <w:lang w:val="hu-HU"/>
        </w:rPr>
        <w:t>.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Elsősorban a kezelés első 6 hónapjában volt megfigyelhető, hogy a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megnövekedett a hepatikus transzaminázszintek emelkedésének gyakorisága a placebóval kezelt betegekhez viszonyítva. </w:t>
      </w:r>
      <w:r w:rsidR="00A557A3">
        <w:rPr>
          <w:rFonts w:ascii="Times New Roman" w:hAnsi="Times New Roman" w:cs="Times New Roman"/>
          <w:color w:val="000000"/>
          <w:lang w:val="hu-HU"/>
        </w:rPr>
        <w:t xml:space="preserve">A </w:t>
      </w:r>
      <w:r w:rsidRPr="00A2627F">
        <w:rPr>
          <w:rFonts w:ascii="Times New Roman" w:hAnsi="Times New Roman" w:cs="Times New Roman"/>
          <w:color w:val="000000"/>
          <w:lang w:val="hu-HU"/>
        </w:rPr>
        <w:t>glutamát-piruvát-transzamináz (alanin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aminotranszferáz) </w:t>
      </w:r>
      <w:r w:rsidR="00A557A3">
        <w:rPr>
          <w:rFonts w:ascii="Times New Roman" w:hAnsi="Times New Roman" w:cs="Times New Roman"/>
          <w:color w:val="000000"/>
          <w:lang w:val="hu-HU"/>
        </w:rPr>
        <w:t>és 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glutamát-oxálacetát-transzamináz (aszpartát-aminotranszferáz) </w:t>
      </w:r>
      <w:r w:rsidR="00A557A3" w:rsidRPr="00A557A3">
        <w:rPr>
          <w:rFonts w:ascii="Times New Roman" w:hAnsi="Times New Roman" w:cs="Times New Roman"/>
          <w:color w:val="000000"/>
          <w:lang w:val="hu"/>
        </w:rPr>
        <w:t>értékeinek ≥ 3</w:t>
      </w:r>
      <w:r w:rsidR="00814D5F">
        <w:rPr>
          <w:rFonts w:ascii="Times New Roman" w:hAnsi="Times New Roman" w:cs="Times New Roman"/>
          <w:color w:val="000000"/>
          <w:lang w:val="hu"/>
        </w:rPr>
        <w:t>×</w:t>
      </w:r>
      <w:r w:rsidR="00A557A3" w:rsidRPr="00A557A3">
        <w:rPr>
          <w:rFonts w:ascii="Times New Roman" w:hAnsi="Times New Roman" w:cs="Times New Roman"/>
          <w:color w:val="000000"/>
          <w:lang w:val="hu"/>
        </w:rPr>
        <w:t>ULN mértékű emelkedését a placebót kapó betegek 5%</w:t>
      </w:r>
      <w:r w:rsidR="00A557A3" w:rsidRPr="00A557A3">
        <w:rPr>
          <w:rFonts w:ascii="Times New Roman" w:hAnsi="Times New Roman" w:cs="Times New Roman"/>
          <w:color w:val="000000"/>
          <w:lang w:val="hu"/>
        </w:rPr>
        <w:noBreakHyphen/>
        <w:t>ánál és 2%</w:t>
      </w:r>
      <w:r w:rsidR="00A557A3" w:rsidRPr="00A557A3">
        <w:rPr>
          <w:rFonts w:ascii="Times New Roman" w:hAnsi="Times New Roman" w:cs="Times New Roman"/>
          <w:color w:val="000000"/>
          <w:lang w:val="hu"/>
        </w:rPr>
        <w:noBreakHyphen/>
        <w:t>ánál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illetve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dime</w:t>
      </w:r>
      <w:r w:rsidR="0003624D" w:rsidRPr="00A2627F">
        <w:rPr>
          <w:rFonts w:ascii="Times New Roman" w:hAnsi="Times New Roman" w:cs="Times New Roman"/>
          <w:color w:val="000000"/>
          <w:lang w:val="hu-HU"/>
        </w:rPr>
        <w:t>t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</w:t>
      </w:r>
      <w:r w:rsidR="00A557A3">
        <w:rPr>
          <w:rFonts w:ascii="Times New Roman" w:hAnsi="Times New Roman" w:cs="Times New Roman"/>
          <w:color w:val="000000"/>
          <w:lang w:val="hu-HU"/>
        </w:rPr>
        <w:t xml:space="preserve">betegek </w:t>
      </w:r>
      <w:r w:rsidRPr="00A2627F">
        <w:rPr>
          <w:rFonts w:ascii="Times New Roman" w:hAnsi="Times New Roman" w:cs="Times New Roman"/>
          <w:color w:val="000000"/>
          <w:lang w:val="hu-HU"/>
        </w:rPr>
        <w:t>6%</w:t>
      </w:r>
      <w:r w:rsidR="00A557A3">
        <w:rPr>
          <w:rFonts w:ascii="Times New Roman" w:hAnsi="Times New Roman" w:cs="Times New Roman"/>
          <w:color w:val="000000"/>
          <w:lang w:val="hu-HU"/>
        </w:rPr>
        <w:t>-ánál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2%</w:t>
      </w:r>
      <w:r w:rsidR="00A557A3">
        <w:rPr>
          <w:rFonts w:ascii="Times New Roman" w:hAnsi="Times New Roman" w:cs="Times New Roman"/>
          <w:color w:val="000000"/>
          <w:lang w:val="hu-HU"/>
        </w:rPr>
        <w:t>-ánál észlelték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A </w:t>
      </w:r>
      <w:r w:rsidR="0003624D" w:rsidRPr="00A2627F">
        <w:rPr>
          <w:rFonts w:ascii="Times New Roman" w:hAnsi="Times New Roman" w:cs="Times New Roman"/>
          <w:color w:val="000000"/>
          <w:lang w:val="hu-HU"/>
        </w:rPr>
        <w:t>terápia leállítása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megemelkedett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hepatikus transzaminázok miatt &lt;</w:t>
      </w:r>
      <w:r w:rsidR="0003624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1% volt, és hasonló mértékű volt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dimetil-fumaráttal </w:t>
      </w:r>
      <w:r w:rsidRPr="00A2627F">
        <w:rPr>
          <w:rFonts w:ascii="Times New Roman" w:hAnsi="Times New Roman" w:cs="Times New Roman"/>
          <w:color w:val="000000"/>
          <w:lang w:val="hu-HU"/>
        </w:rPr>
        <w:t>és a placebóval kezelt betegeknél. A transzaminázértékek ≥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ULN mértékű emelkedését az összbilirubinszint &gt;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ULN mértékű emelkedésével egyidejűleg placebokontrollos vizsgálatokban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nem figyelték meg.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0C706B9E" w14:textId="77777777" w:rsidR="00377AD6" w:rsidRPr="00A2627F" w:rsidRDefault="00377AD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C47BB06" w14:textId="7F16E01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forgalomba hoz</w:t>
      </w:r>
      <w:r w:rsidR="00F75645"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talt követő időszakban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alkalmazását követően beszámoltak a májenzimszintek emelkedéséről, valamint gyógyszer okozta májkárosodás eseteiről (a transzaminázértékek ≥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ULN mértékű emelkedése az összbilirubinszint &gt;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ULN mértékű</w:t>
      </w:r>
      <w:r w:rsidR="0046019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emelkedésével egyidejűleg), amelyek a kezelés leállítása</w:t>
      </w:r>
      <w:r w:rsidR="00F75645" w:rsidRPr="00A2627F">
        <w:rPr>
          <w:rFonts w:ascii="Times New Roman" w:hAnsi="Times New Roman" w:cs="Times New Roman"/>
          <w:color w:val="000000"/>
          <w:lang w:val="hu-HU"/>
        </w:rPr>
        <w:t xml:space="preserve"> után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rendeződtek.</w:t>
      </w:r>
    </w:p>
    <w:p w14:paraId="49C69978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DCBDF3C" w14:textId="61AADFDD" w:rsidR="00433D73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Lymphopenia</w:t>
      </w:r>
    </w:p>
    <w:p w14:paraId="353863A8" w14:textId="70CF672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placebokontrollos vizsgálatokban a legtöbb beteg (&gt;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98%) lymphocyta-értékei normálisak voltak</w:t>
      </w:r>
      <w:r w:rsidR="009953EB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9953EB" w:rsidRPr="00A2627F">
        <w:rPr>
          <w:rFonts w:ascii="Times New Roman" w:hAnsi="Times New Roman" w:cs="Times New Roman"/>
          <w:color w:val="000000"/>
          <w:lang w:val="hu-HU"/>
        </w:rPr>
        <w:t>a kezelés megkezdése előtt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.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9953EB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kezelés alatt az első év során csökkent az átlagos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m, ami ezt követően stabilizálódott.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mok átlagosan hozzávetőleg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30%-kal csökkentek a kiindulási értékekhez képest.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mok átlag- és középértékei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normál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határértékeken belül maradtak. </w:t>
      </w:r>
      <w:r w:rsidR="001D0981" w:rsidRPr="00A2627F">
        <w:rPr>
          <w:rFonts w:ascii="Times New Roman" w:hAnsi="Times New Roman" w:cs="Times New Roman"/>
          <w:color w:val="000000"/>
          <w:lang w:val="hu-HU"/>
        </w:rPr>
        <w:t xml:space="preserve">A placebóval kezelt betegek kevesebb mint 1%-ánál figyeltek meg </w:t>
      </w:r>
      <w:r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/l-nél alacsonyabb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mot, illetve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dimetil-fumaráttal </w:t>
      </w:r>
      <w:r w:rsidRPr="00A2627F">
        <w:rPr>
          <w:rFonts w:ascii="Times New Roman" w:hAnsi="Times New Roman" w:cs="Times New Roman"/>
          <w:color w:val="000000"/>
          <w:lang w:val="hu-HU"/>
        </w:rPr>
        <w:t>kezelt betegek 6%</w:t>
      </w:r>
      <w:r w:rsidR="00096442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ánál. </w:t>
      </w:r>
      <w:r w:rsidR="001D0981" w:rsidRPr="00A2627F">
        <w:rPr>
          <w:rFonts w:ascii="Times New Roman" w:hAnsi="Times New Roman" w:cs="Times New Roman"/>
          <w:color w:val="000000"/>
          <w:lang w:val="hu-HU"/>
        </w:rPr>
        <w:t xml:space="preserve">Egy dimetil-fumaráttal betegnél figyeltek meg </w:t>
      </w:r>
      <w:r w:rsidRPr="00A2627F">
        <w:rPr>
          <w:rFonts w:ascii="Times New Roman" w:hAnsi="Times New Roman" w:cs="Times New Roman"/>
          <w:color w:val="000000"/>
          <w:lang w:val="hu-HU"/>
        </w:rPr>
        <w:t>0,2×10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/l-nél alacsonyabb lymphoc</w:t>
      </w:r>
      <w:r w:rsidR="00844C04">
        <w:rPr>
          <w:rFonts w:ascii="Times New Roman" w:hAnsi="Times New Roman" w:cs="Times New Roman"/>
          <w:color w:val="000000"/>
          <w:lang w:val="hu-HU"/>
        </w:rPr>
        <w:t>yta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="00814D5F">
        <w:rPr>
          <w:rFonts w:ascii="Times New Roman" w:hAnsi="Times New Roman" w:cs="Times New Roman"/>
          <w:color w:val="000000"/>
          <w:lang w:val="hu-HU"/>
        </w:rPr>
        <w:t>szá</w:t>
      </w:r>
      <w:r w:rsidRPr="00A2627F">
        <w:rPr>
          <w:rFonts w:ascii="Times New Roman" w:hAnsi="Times New Roman" w:cs="Times New Roman"/>
          <w:color w:val="000000"/>
          <w:lang w:val="hu-HU"/>
        </w:rPr>
        <w:t>mot, viszont nem volt ilyen eredmény egyetlen placebóval kezelt betegnél sem.</w:t>
      </w:r>
    </w:p>
    <w:p w14:paraId="1A2C2B75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4D0438A" w14:textId="097712C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Klinikai vizsgálatokban (kontrollos és nem kontrollos vizsgálatokban egyaránt) a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41%-a volt lymphopeniás (amelyet ezekben a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vizsgálatokban 0,91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alatti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mban határoztak meg). Enyhe lymphopeniát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m: 0,8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vagy ennél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magasabb, de alacsonyabb, mint 0,91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 a betegek 28%-ánál, legalább 6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hónapon keresztül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fennálló, </w:t>
      </w:r>
      <w:r w:rsidR="00E11AD4">
        <w:rPr>
          <w:rFonts w:ascii="Times New Roman" w:hAnsi="Times New Roman" w:cs="Times New Roman"/>
          <w:color w:val="000000"/>
          <w:lang w:val="hu-HU"/>
        </w:rPr>
        <w:t xml:space="preserve">közepes fokú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lymphopeniát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m: 0,5×10</w:t>
      </w:r>
      <w:r w:rsidR="00377AD6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/l vagy ennél magasabb, de alacsonyabb, mint 0,8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10</w:t>
      </w:r>
      <w:r w:rsidR="00377AD6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/l) a betegek 11%-ánál, legalább 6 hónapon keresztül fennálló, súlyos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E11AD4">
        <w:rPr>
          <w:rFonts w:ascii="Times New Roman" w:hAnsi="Times New Roman" w:cs="Times New Roman"/>
          <w:color w:val="000000"/>
          <w:lang w:val="hu-HU"/>
        </w:rPr>
        <w:t xml:space="preserve">fokú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lymphopeniát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m alacsonyabb, mint 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10</w:t>
      </w:r>
      <w:r w:rsidR="00377AD6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/l) pedig a betegek 2%-ánál figyeltek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meg. A súlyos</w:t>
      </w:r>
      <w:r w:rsidR="00E11AD4">
        <w:rPr>
          <w:rFonts w:ascii="Times New Roman" w:hAnsi="Times New Roman" w:cs="Times New Roman"/>
          <w:color w:val="000000"/>
          <w:lang w:val="hu-HU"/>
        </w:rPr>
        <w:t>an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lymphopeniá</w:t>
      </w:r>
      <w:r w:rsidR="00E11AD4">
        <w:rPr>
          <w:rFonts w:ascii="Times New Roman" w:hAnsi="Times New Roman" w:cs="Times New Roman"/>
          <w:color w:val="000000"/>
          <w:lang w:val="hu-HU"/>
        </w:rPr>
        <w:t>s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 xml:space="preserve"> betegek csoportjában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m többnyire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10</w:t>
      </w:r>
      <w:r w:rsidR="00377AD6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377AD6" w:rsidRPr="00A2627F">
        <w:rPr>
          <w:rFonts w:ascii="Times New Roman" w:hAnsi="Times New Roman" w:cs="Times New Roman"/>
          <w:color w:val="000000"/>
          <w:lang w:val="hu-HU"/>
        </w:rPr>
        <w:t>/l alatt maradt a kezelés folytatása során is.</w:t>
      </w:r>
    </w:p>
    <w:p w14:paraId="321A014D" w14:textId="08517B34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412E502" w14:textId="72903C75" w:rsidR="00A35E2C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Továbbá, egy </w:t>
      </w:r>
      <w:r w:rsidR="00A14A73" w:rsidRPr="00A2627F">
        <w:rPr>
          <w:rFonts w:ascii="Times New Roman" w:hAnsi="Times New Roman" w:cs="Times New Roman"/>
          <w:color w:val="000000"/>
          <w:lang w:val="hu-HU"/>
        </w:rPr>
        <w:t xml:space="preserve">nem </w:t>
      </w:r>
      <w:r w:rsidRPr="00A2627F">
        <w:rPr>
          <w:rFonts w:ascii="Times New Roman" w:hAnsi="Times New Roman" w:cs="Times New Roman"/>
          <w:color w:val="000000"/>
          <w:lang w:val="hu-HU"/>
        </w:rPr>
        <w:t>kontroll</w:t>
      </w:r>
      <w:r w:rsidR="00A14A73" w:rsidRPr="00A2627F">
        <w:rPr>
          <w:rFonts w:ascii="Times New Roman" w:hAnsi="Times New Roman" w:cs="Times New Roman"/>
          <w:color w:val="000000"/>
          <w:lang w:val="hu-HU"/>
        </w:rPr>
        <w:t>os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, prospektív, forgalomba hozatalt követő vizsgálatban a 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="00A35E2C" w:rsidRPr="00A2627F">
        <w:rPr>
          <w:rFonts w:ascii="Times New Roman" w:hAnsi="Times New Roman" w:cs="Times New Roman"/>
          <w:color w:val="000000"/>
          <w:lang w:val="hu-HU"/>
        </w:rPr>
        <w:t>fumarát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kezelés 48. hetében (n</w:t>
      </w:r>
      <w:r w:rsidR="00A14A73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A14A73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185) a CD4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T-lymphocyt</w:t>
      </w:r>
      <w:r w:rsidR="00444633">
        <w:rPr>
          <w:rFonts w:ascii="Times New Roman" w:hAnsi="Times New Roman" w:cs="Times New Roman"/>
          <w:color w:val="000000"/>
          <w:lang w:val="hu-HU"/>
        </w:rPr>
        <w:t>ák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számának csökkenése a betegek 37%-ánál mérsékelt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alacsonyabb, mint 0,4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/l, de eléri vagy meghaladja a 0,2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értéket), a betegek 6%-ánál pedig súlyos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alacsonyabb, mint 0,2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 mértékű volt, míg a CD8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T-lymphocyt</w:t>
      </w:r>
      <w:r w:rsidR="00444633">
        <w:rPr>
          <w:rFonts w:ascii="Times New Roman" w:hAnsi="Times New Roman" w:cs="Times New Roman"/>
          <w:color w:val="000000"/>
          <w:lang w:val="hu-HU"/>
        </w:rPr>
        <w:t>ák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száma gyakrabban volt csökkent mértékű, a betegek legfeljebb 59%-ánál 0,2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/l-nél alacsonyabb, legfeljebb 25%-uknál pedig 0,1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/l-nél alacsonyabb volt a sejtszám. Kontrollos és nem kontrollos klinikai vizsgálatokban azokat a betegeket, akiknél a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dimetil-fumarát</w:t>
      </w:r>
      <w:r w:rsidR="00385355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 abbahagyásakor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 </w:t>
      </w:r>
      <w:r w:rsidR="00444633">
        <w:rPr>
          <w:rFonts w:ascii="Times New Roman" w:hAnsi="Times New Roman" w:cs="Times New Roman"/>
          <w:color w:val="000000"/>
          <w:lang w:val="hu-HU"/>
        </w:rPr>
        <w:t xml:space="preserve">az LLN-nél </w:t>
      </w:r>
      <w:r w:rsidRPr="00A2627F">
        <w:rPr>
          <w:rFonts w:ascii="Times New Roman" w:hAnsi="Times New Roman" w:cs="Times New Roman"/>
          <w:color w:val="000000"/>
          <w:lang w:val="hu-HU"/>
        </w:rPr>
        <w:t>alacsonyabb volt, mindaddig monitorozták, amíg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visszatért az LLN-szintre (lásd 5.1 pont).</w:t>
      </w:r>
    </w:p>
    <w:p w14:paraId="589A0BFA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84DFFC2" w14:textId="5A42E533" w:rsidR="003E26C9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3E26C9">
        <w:rPr>
          <w:rFonts w:ascii="Times New Roman" w:hAnsi="Times New Roman" w:cs="Times New Roman"/>
          <w:i/>
          <w:iCs/>
          <w:color w:val="000000"/>
          <w:lang w:val="hu-HU"/>
        </w:rPr>
        <w:t>Progresszív multifokális leukoencephalopathi</w:t>
      </w:r>
      <w:r w:rsidR="003E26C9" w:rsidRPr="003E26C9">
        <w:rPr>
          <w:rFonts w:ascii="Times New Roman" w:hAnsi="Times New Roman" w:cs="Times New Roman"/>
          <w:i/>
          <w:iCs/>
          <w:color w:val="000000"/>
          <w:lang w:val="hu-HU"/>
        </w:rPr>
        <w:t>a</w:t>
      </w:r>
      <w:r w:rsidRPr="003E26C9">
        <w:rPr>
          <w:rFonts w:ascii="Times New Roman" w:hAnsi="Times New Roman" w:cs="Times New Roman"/>
          <w:i/>
          <w:iCs/>
          <w:color w:val="000000"/>
          <w:lang w:val="hu-HU"/>
        </w:rPr>
        <w:t xml:space="preserve"> (PML)</w:t>
      </w:r>
    </w:p>
    <w:p w14:paraId="0F233E45" w14:textId="77777777" w:rsidR="003E26C9" w:rsidRPr="003E26C9" w:rsidRDefault="003E26C9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</w:p>
    <w:p w14:paraId="0E1F7AC1" w14:textId="4A9ADC5E" w:rsidR="00CE38C4" w:rsidRPr="00A2627F" w:rsidRDefault="003E26C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PML-t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okozó John–Cunningham-vírus (JCV) okozta fertőzések eseteiről számoltak be a</w:t>
      </w:r>
      <w:r w:rsidR="00CB7D2C" w:rsidRPr="00A2627F">
        <w:rPr>
          <w:rFonts w:ascii="Times New Roman" w:hAnsi="Times New Roman" w:cs="Times New Roman"/>
          <w:color w:val="000000"/>
          <w:lang w:val="hu-HU"/>
        </w:rPr>
        <w:t xml:space="preserve"> dimetil-fum</w:t>
      </w:r>
      <w:r w:rsidR="00BE7F49" w:rsidRPr="00A2627F">
        <w:rPr>
          <w:rFonts w:ascii="Times New Roman" w:hAnsi="Times New Roman" w:cs="Times New Roman"/>
          <w:color w:val="000000"/>
          <w:lang w:val="hu-HU"/>
        </w:rPr>
        <w:t>a</w:t>
      </w:r>
      <w:r w:rsidR="00CB7D2C" w:rsidRPr="00A2627F">
        <w:rPr>
          <w:rFonts w:ascii="Times New Roman" w:hAnsi="Times New Roman" w:cs="Times New Roman"/>
          <w:color w:val="000000"/>
          <w:lang w:val="hu-HU"/>
        </w:rPr>
        <w:t>rát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alkalmazásával összefüggésben (lásd 4.4 pont). A PML halálos kimenetelű lehet vagy súlyos egészségkárosodást okozhat. Az egyik klinikai vizsgálatban egy </w:t>
      </w:r>
      <w:r w:rsidR="0023268B" w:rsidRPr="00A2627F">
        <w:rPr>
          <w:rFonts w:ascii="Times New Roman" w:hAnsi="Times New Roman" w:cs="Times New Roman"/>
          <w:color w:val="000000"/>
          <w:lang w:val="hu-HU"/>
        </w:rPr>
        <w:t>dimetil-fumarátot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szedő, tartósan fennálló, súlyos lymphopeniában (a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m túlnyomórészt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10</w:t>
      </w:r>
      <w:r w:rsidR="007C391E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/l alatt volt 3,5 éven keresztül) szenvedő betegnél halálos kimenetelű PML alakult ki. A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forgalomba hozatalt követően </w:t>
      </w:r>
      <w:r w:rsidR="00444633">
        <w:rPr>
          <w:rFonts w:ascii="Times New Roman" w:hAnsi="Times New Roman" w:cs="Times New Roman"/>
          <w:color w:val="000000"/>
          <w:lang w:val="hu-HU"/>
        </w:rPr>
        <w:t xml:space="preserve">közepes fokú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és enyhe lymphopenia mellett is előfordult PLM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(&gt;</w:t>
      </w:r>
      <w:r w:rsidR="0023268B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10</w:t>
      </w:r>
      <w:r w:rsidR="007C391E"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/l és &lt;</w:t>
      </w:r>
      <w:r w:rsidR="00844C04">
        <w:rPr>
          <w:rFonts w:ascii="Times New Roman" w:hAnsi="Times New Roman" w:cs="Times New Roman"/>
          <w:color w:val="000000"/>
          <w:lang w:val="hu-HU"/>
        </w:rPr>
        <w:t> 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LLN közötti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m, a helyi laboratóriumi referenciatartomány szerint).</w:t>
      </w:r>
    </w:p>
    <w:p w14:paraId="506D6A4F" w14:textId="2716697F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8B4F8A1" w14:textId="03DDD3B3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Számos olyan PML</w:t>
      </w:r>
      <w:r w:rsidR="0023268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esetnél, ahol a PML diagnózisakor a T-sejtek alcsoportjai meghatározásra</w:t>
      </w:r>
      <w:r w:rsidR="0023268B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kerültek, a CD8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T-sejtek száma 0,1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alá csökkent, míg a CD4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T-sejtek számának csökkenése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változó volt (tartomány: &lt;</w:t>
      </w:r>
      <w:r w:rsidR="0023268B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0,05–0,5×10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/l), és nagyobb összefüggést mutatott a lymphopenia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általános súlyosságával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&lt;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0,5×10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és &lt;</w:t>
      </w:r>
      <w:r w:rsidR="00844C0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LLN között). Következésképpen, ezeknél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betegeknél a CD4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>/CD8</w:t>
      </w:r>
      <w:r w:rsidRPr="00844C04">
        <w:rPr>
          <w:rFonts w:ascii="Times New Roman" w:hAnsi="Times New Roman" w:cs="Times New Roman"/>
          <w:color w:val="000000"/>
          <w:vertAlign w:val="superscript"/>
          <w:lang w:val="hu-HU"/>
        </w:rPr>
        <w:t>+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magasabb volt.</w:t>
      </w:r>
    </w:p>
    <w:p w14:paraId="1F3B9721" w14:textId="21DA04BB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1B33360" w14:textId="1034EC57" w:rsidR="00CE38C4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Úgy tűnik, a tartósan fennálló, </w:t>
      </w:r>
      <w:r w:rsidR="00770F51">
        <w:rPr>
          <w:rFonts w:ascii="Times New Roman" w:hAnsi="Times New Roman" w:cs="Times New Roman"/>
          <w:color w:val="000000"/>
          <w:lang w:val="hu-HU"/>
        </w:rPr>
        <w:t xml:space="preserve">közepes </w:t>
      </w:r>
      <w:r w:rsidRPr="00A2627F">
        <w:rPr>
          <w:rFonts w:ascii="Times New Roman" w:hAnsi="Times New Roman" w:cs="Times New Roman"/>
          <w:color w:val="000000"/>
          <w:lang w:val="hu-HU"/>
        </w:rPr>
        <w:t>vagy súlyos</w:t>
      </w:r>
      <w:r w:rsidR="00770F51">
        <w:rPr>
          <w:rFonts w:ascii="Times New Roman" w:hAnsi="Times New Roman" w:cs="Times New Roman"/>
          <w:color w:val="000000"/>
          <w:lang w:val="hu-HU"/>
        </w:rPr>
        <w:t xml:space="preserve"> fokú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lymphopenia növeli a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fumarát</w:t>
      </w:r>
      <w:r w:rsidR="00844C04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kezeléssel összefüggő PML kockázatát, azonban a PML enyhe lymphopeniában szenvedő betegeknél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is előfordult. Továbbá, a forgalomba hozatalt követően jelentett PML-esetek többsége 50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évesnél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idősebb betegeknél fordult elő.</w:t>
      </w:r>
    </w:p>
    <w:p w14:paraId="07C1CB28" w14:textId="77777777" w:rsidR="003E26C9" w:rsidRDefault="003E26C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09D3EC2" w14:textId="77777777" w:rsidR="003E26C9" w:rsidRPr="00AF6184" w:rsidRDefault="003E26C9" w:rsidP="003E26C9">
      <w:pPr>
        <w:spacing w:after="0"/>
        <w:rPr>
          <w:rFonts w:ascii="Times New Roman" w:hAnsi="Times New Roman" w:cs="Times New Roman"/>
          <w:lang w:val="hu-HU"/>
        </w:rPr>
      </w:pPr>
      <w:r w:rsidRPr="00AF6184">
        <w:rPr>
          <w:rFonts w:ascii="Times New Roman" w:hAnsi="Times New Roman" w:cs="Times New Roman"/>
          <w:i/>
          <w:lang w:val="hu-HU"/>
        </w:rPr>
        <w:t xml:space="preserve">Herpes zoster-fertőzések </w:t>
      </w:r>
    </w:p>
    <w:p w14:paraId="3C97C369" w14:textId="06942B60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F3D233D" w14:textId="29B45B6F" w:rsidR="00707FFC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alkalmazásakor herpes zoster-fertőzésekről számoltak be. </w:t>
      </w:r>
      <w:r w:rsidR="004D20EC">
        <w:rPr>
          <w:rFonts w:ascii="Times New Roman" w:hAnsi="Times New Roman" w:cs="Times New Roman"/>
          <w:color w:val="000000"/>
          <w:lang w:val="hu-HU"/>
        </w:rPr>
        <w:t xml:space="preserve">A </w:t>
      </w:r>
      <w:r w:rsidRPr="00A2627F">
        <w:rPr>
          <w:rFonts w:ascii="Times New Roman" w:hAnsi="Times New Roman" w:cs="Times New Roman"/>
          <w:color w:val="000000"/>
          <w:lang w:val="hu-HU"/>
        </w:rPr>
        <w:t>hosszú távú kiterjeszt</w:t>
      </w:r>
      <w:r w:rsidR="00707FFC" w:rsidRPr="00A2627F">
        <w:rPr>
          <w:rFonts w:ascii="Times New Roman" w:hAnsi="Times New Roman" w:cs="Times New Roman"/>
          <w:color w:val="000000"/>
          <w:lang w:val="hu-HU"/>
        </w:rPr>
        <w:t>ett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vizsgálatban, amelyben SM-ben szenvedő </w:t>
      </w:r>
      <w:r w:rsidR="00770F51" w:rsidRPr="00A2627F">
        <w:rPr>
          <w:rFonts w:ascii="Times New Roman" w:hAnsi="Times New Roman" w:cs="Times New Roman"/>
          <w:color w:val="000000"/>
          <w:lang w:val="hu-HU"/>
        </w:rPr>
        <w:t>1736</w:t>
      </w:r>
      <w:r w:rsidR="00770F51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beteget kezeltek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>, a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 körülbelül 5%-</w:t>
      </w:r>
      <w:r w:rsidR="00EA4AA6" w:rsidRPr="00A2627F">
        <w:rPr>
          <w:rFonts w:ascii="Times New Roman" w:hAnsi="Times New Roman" w:cs="Times New Roman"/>
          <w:color w:val="000000"/>
          <w:lang w:val="hu-HU"/>
        </w:rPr>
        <w:t>ánál fordult elő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egy vagy több </w:t>
      </w:r>
      <w:r w:rsidR="00EA4AA6" w:rsidRPr="00A2627F">
        <w:rPr>
          <w:rFonts w:ascii="Times New Roman" w:hAnsi="Times New Roman" w:cs="Times New Roman"/>
          <w:color w:val="000000"/>
          <w:lang w:val="hu-HU"/>
        </w:rPr>
        <w:t xml:space="preserve">alkalommal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herpes zoster, </w:t>
      </w:r>
      <w:r w:rsidR="004D20EC" w:rsidRPr="004D20EC">
        <w:rPr>
          <w:rFonts w:ascii="Times New Roman" w:hAnsi="Times New Roman" w:cs="Times New Roman"/>
          <w:lang w:val="hu-HU"/>
        </w:rPr>
        <w:t xml:space="preserve">amelyeknek 42%-a volt </w:t>
      </w:r>
      <w:r w:rsidRPr="004D20EC">
        <w:rPr>
          <w:rFonts w:ascii="Times New Roman" w:hAnsi="Times New Roman" w:cs="Times New Roman"/>
          <w:color w:val="000000"/>
          <w:lang w:val="hu-HU"/>
        </w:rPr>
        <w:t>enyhe</w:t>
      </w:r>
      <w:r w:rsidR="004D20EC">
        <w:rPr>
          <w:rFonts w:ascii="Times New Roman" w:hAnsi="Times New Roman" w:cs="Times New Roman"/>
          <w:color w:val="000000"/>
          <w:lang w:val="hu-HU"/>
        </w:rPr>
        <w:t>, 55%-a volt</w:t>
      </w:r>
      <w:r w:rsidRPr="004D20EC">
        <w:rPr>
          <w:rFonts w:ascii="Times New Roman" w:hAnsi="Times New Roman" w:cs="Times New Roman"/>
          <w:color w:val="000000"/>
          <w:lang w:val="hu-HU"/>
        </w:rPr>
        <w:t xml:space="preserve"> közepes</w:t>
      </w:r>
      <w:r w:rsidR="004D20EC">
        <w:rPr>
          <w:rFonts w:ascii="Times New Roman" w:hAnsi="Times New Roman" w:cs="Times New Roman"/>
          <w:color w:val="000000"/>
          <w:lang w:val="hu-HU"/>
        </w:rPr>
        <w:t xml:space="preserve">en súlyos </w:t>
      </w:r>
      <w:r w:rsidR="004D20EC" w:rsidRPr="00D75A40">
        <w:rPr>
          <w:rFonts w:ascii="Times New Roman" w:hAnsi="Times New Roman" w:cs="Times New Roman"/>
          <w:color w:val="000000"/>
          <w:lang w:val="hu-HU"/>
        </w:rPr>
        <w:t>és 3%-a volt súlyos fokú.</w:t>
      </w:r>
      <w:r w:rsidRPr="00D75A40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4D20EC" w:rsidRPr="00D75A40">
        <w:rPr>
          <w:rFonts w:ascii="Times New Roman" w:hAnsi="Times New Roman" w:cs="Times New Roman"/>
          <w:lang w:val="hu-HU"/>
        </w:rPr>
        <w:t>Az első dimet</w:t>
      </w:r>
      <w:r w:rsidR="00844C04">
        <w:rPr>
          <w:rFonts w:ascii="Times New Roman" w:hAnsi="Times New Roman" w:cs="Times New Roman"/>
          <w:lang w:val="hu-HU"/>
        </w:rPr>
        <w:t>i</w:t>
      </w:r>
      <w:r w:rsidR="004D20EC" w:rsidRPr="00D75A40">
        <w:rPr>
          <w:rFonts w:ascii="Times New Roman" w:hAnsi="Times New Roman" w:cs="Times New Roman"/>
          <w:lang w:val="hu-HU"/>
        </w:rPr>
        <w:t>l</w:t>
      </w:r>
      <w:r w:rsidR="00844C04">
        <w:rPr>
          <w:rFonts w:ascii="Times New Roman" w:hAnsi="Times New Roman" w:cs="Times New Roman"/>
          <w:lang w:val="hu-HU"/>
        </w:rPr>
        <w:t>-</w:t>
      </w:r>
      <w:r w:rsidR="004D20EC" w:rsidRPr="00D75A40">
        <w:rPr>
          <w:rFonts w:ascii="Times New Roman" w:hAnsi="Times New Roman" w:cs="Times New Roman"/>
          <w:lang w:val="hu-HU"/>
        </w:rPr>
        <w:t xml:space="preserve">fumarát-dózis beadásától a kialakulásig eltelt idő körülbelül 3 hónap és 10 év között változott. Súlyos esemény 4 betegnél fordult elő, amelyek mindegyike rendeződött. </w:t>
      </w:r>
      <w:r w:rsidRPr="00D75A40">
        <w:rPr>
          <w:rFonts w:ascii="Times New Roman" w:hAnsi="Times New Roman" w:cs="Times New Roman"/>
          <w:color w:val="000000"/>
          <w:lang w:val="hu-HU"/>
        </w:rPr>
        <w:t>A legtöbb alanynál, beleértve azokat is, akik súlyos herpes zoster-fertőzést tapasztaltak,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D75A40">
        <w:rPr>
          <w:rFonts w:ascii="Times New Roman" w:hAnsi="Times New Roman" w:cs="Times New Roman"/>
          <w:color w:val="000000"/>
          <w:lang w:val="hu-HU"/>
        </w:rPr>
        <w:t>m a normálérték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alsó határa felett volt. Azon betegek döntő többségénél, akiknél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az LLN</w:t>
      </w:r>
      <w:r w:rsidR="00770F51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érték alatt volt, a lymphopeniát közepes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vagy súlyos fokúnak értékelték. </w:t>
      </w:r>
    </w:p>
    <w:p w14:paraId="52C69927" w14:textId="716F170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forgalomba hozatalt követően tapasztalt herpes zoster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fertőzéses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esetek többsége nem volt súlyos és kezelés hatására elmúlt. A forgalomba hozatalt követően a herpes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zoster</w:t>
      </w:r>
      <w:r w:rsidR="00526464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fertőzésben szenvedő betegek abszolút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máról (</w:t>
      </w:r>
      <w:r w:rsidRPr="00C560E4">
        <w:rPr>
          <w:rFonts w:ascii="Times New Roman" w:hAnsi="Times New Roman" w:cs="Times New Roman"/>
          <w:i/>
          <w:color w:val="000000"/>
          <w:lang w:val="hu-HU"/>
        </w:rPr>
        <w:t>absolute lymphocyte count</w:t>
      </w:r>
      <w:r w:rsidRPr="00A2627F">
        <w:rPr>
          <w:rFonts w:ascii="Times New Roman" w:hAnsi="Times New Roman" w:cs="Times New Roman"/>
          <w:color w:val="000000"/>
          <w:lang w:val="hu-HU"/>
        </w:rPr>
        <w:t>, ALC)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korlátozott mennyiségű adat áll rendelkezésre. A jelentett esetekben azonban a betegeknél közepes</w:t>
      </w:r>
      <w:r w:rsidR="00526464">
        <w:rPr>
          <w:rFonts w:ascii="Times New Roman" w:hAnsi="Times New Roman" w:cs="Times New Roman"/>
          <w:color w:val="000000"/>
          <w:lang w:val="hu-HU"/>
        </w:rPr>
        <w:t xml:space="preserve"> fokú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(lymphoc</w:t>
      </w:r>
      <w:r w:rsidR="00C560E4">
        <w:rPr>
          <w:rFonts w:ascii="Times New Roman" w:hAnsi="Times New Roman" w:cs="Times New Roman"/>
          <w:color w:val="000000"/>
          <w:lang w:val="hu-HU"/>
        </w:rPr>
        <w:t>yta</w:t>
      </w:r>
      <w:r w:rsidR="00C560E4">
        <w:rPr>
          <w:rFonts w:ascii="Times New Roman" w:hAnsi="Times New Roman" w:cs="Times New Roman"/>
          <w:color w:val="000000"/>
          <w:lang w:val="hu-HU"/>
        </w:rPr>
        <w:noBreakHyphen/>
      </w:r>
      <w:r w:rsidR="00814D5F">
        <w:rPr>
          <w:rFonts w:ascii="Times New Roman" w:hAnsi="Times New Roman" w:cs="Times New Roman"/>
          <w:color w:val="000000"/>
          <w:lang w:val="hu-HU"/>
        </w:rPr>
        <w:t>szá</w:t>
      </w:r>
      <w:r w:rsidRPr="00A2627F">
        <w:rPr>
          <w:rFonts w:ascii="Times New Roman" w:hAnsi="Times New Roman" w:cs="Times New Roman"/>
          <w:color w:val="000000"/>
          <w:lang w:val="hu-HU"/>
        </w:rPr>
        <w:t>m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≥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– &lt;</w:t>
      </w:r>
      <w:r w:rsidR="00916EB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0,8×10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 vagy súlyos</w:t>
      </w:r>
      <w:r w:rsidR="00526464">
        <w:rPr>
          <w:rFonts w:ascii="Times New Roman" w:hAnsi="Times New Roman" w:cs="Times New Roman"/>
          <w:color w:val="000000"/>
          <w:lang w:val="hu-HU"/>
        </w:rPr>
        <w:t xml:space="preserve"> fokú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(lymphoc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</w:t>
      </w:r>
      <w:r w:rsidR="00916EB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&lt;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0,5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 – 0,2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 lymphopenia állt fenn (lásd 4.4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4E532B66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7EE5E9D" w14:textId="2530705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Laboratóriumi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eltérések</w:t>
      </w:r>
    </w:p>
    <w:p w14:paraId="67A1656C" w14:textId="17896F45" w:rsidR="00916EB0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placebokontrollos vizsgálatokban a vizeletben levő ketonok (1+ vagy magasabb) mennyisége magasabb volt a </w:t>
      </w:r>
      <w:r w:rsidR="00916EB0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(45%), mint a placebóval kezelt betegeknél (10%).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Ezekben a klinikai vizsgálatokban nem figyeltek meg kedvezőtlen klinikai következményeke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>t</w:t>
      </w:r>
      <w:bookmarkStart w:id="12" w:name="br13"/>
      <w:bookmarkEnd w:id="12"/>
      <w:r w:rsidR="00183224"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191B3092" w14:textId="77777777" w:rsidR="00916EB0" w:rsidRPr="00A2627F" w:rsidRDefault="00916EB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026117E" w14:textId="5DDEE8F1" w:rsidR="00797EB9" w:rsidRPr="00381E6D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381E6D">
        <w:rPr>
          <w:rFonts w:ascii="Times New Roman" w:hAnsi="Times New Roman" w:cs="Times New Roman"/>
          <w:color w:val="000000"/>
          <w:lang w:val="hu-HU"/>
        </w:rPr>
        <w:lastRenderedPageBreak/>
        <w:t>Az 1,25-dihidroxi-D-vitamin szintje</w:t>
      </w:r>
      <w:r w:rsidR="00526464" w:rsidRPr="00381E6D">
        <w:rPr>
          <w:rFonts w:ascii="Times New Roman" w:hAnsi="Times New Roman" w:cs="Times New Roman"/>
          <w:color w:val="000000"/>
          <w:lang w:val="hu-HU"/>
        </w:rPr>
        <w:t xml:space="preserve"> csökkent</w:t>
      </w:r>
      <w:r w:rsidRPr="00381E6D">
        <w:rPr>
          <w:rFonts w:ascii="Times New Roman" w:hAnsi="Times New Roman" w:cs="Times New Roman"/>
          <w:color w:val="000000"/>
          <w:lang w:val="hu-HU"/>
        </w:rPr>
        <w:t xml:space="preserve"> (a középérték százalékos csökkenése a kezelés megkezdésétől a 2. évig 25% a 15%-kal szemben), valamint </w:t>
      </w:r>
      <w:r w:rsidR="00797EB9" w:rsidRPr="00381E6D">
        <w:rPr>
          <w:rFonts w:ascii="Times New Roman" w:hAnsi="Times New Roman" w:cs="Times New Roman"/>
          <w:color w:val="000000"/>
          <w:lang w:val="hu-HU"/>
        </w:rPr>
        <w:t xml:space="preserve">emelkedett </w:t>
      </w:r>
      <w:r w:rsidRPr="00381E6D">
        <w:rPr>
          <w:rFonts w:ascii="Times New Roman" w:hAnsi="Times New Roman" w:cs="Times New Roman"/>
          <w:color w:val="000000"/>
          <w:lang w:val="hu-HU"/>
        </w:rPr>
        <w:t>a mellékpajzsmirigy-hormon (PTH)</w:t>
      </w:r>
      <w:r w:rsidR="00A35E2C" w:rsidRPr="00381E6D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mennyisége (a középérték százalékos növekedése a kiindulástól a 2. évig 29% a</w:t>
      </w:r>
      <w:r w:rsidR="00A35E2C" w:rsidRPr="00381E6D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15%-kal szemben)</w:t>
      </w:r>
      <w:r w:rsidR="00526464" w:rsidRPr="00381E6D">
        <w:rPr>
          <w:rFonts w:ascii="Times New Roman" w:hAnsi="Times New Roman" w:cs="Times New Roman"/>
          <w:color w:val="000000"/>
          <w:lang w:val="hu-HU"/>
        </w:rPr>
        <w:t xml:space="preserve"> a dimetil-fumaráttal kezelt betegeknél a placebóhoz viszonyítva</w:t>
      </w:r>
      <w:r w:rsidRPr="00381E6D">
        <w:rPr>
          <w:rFonts w:ascii="Times New Roman" w:hAnsi="Times New Roman" w:cs="Times New Roman"/>
          <w:color w:val="000000"/>
          <w:lang w:val="hu-HU"/>
        </w:rPr>
        <w:t>. Mindkét</w:t>
      </w:r>
      <w:r w:rsidR="00A35E2C" w:rsidRPr="00381E6D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paraméter átlagértékei a normál tartományon belül maradtak</w:t>
      </w:r>
      <w:r w:rsidR="00A35E2C" w:rsidRPr="00381E6D">
        <w:rPr>
          <w:rFonts w:ascii="Times New Roman" w:hAnsi="Times New Roman" w:cs="Times New Roman"/>
          <w:color w:val="000000"/>
          <w:lang w:val="hu-HU"/>
        </w:rPr>
        <w:t>.</w:t>
      </w:r>
    </w:p>
    <w:p w14:paraId="01C16B05" w14:textId="77777777" w:rsidR="00797EB9" w:rsidRPr="00381E6D" w:rsidRDefault="00797EB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B02815F" w14:textId="4A8FAED1" w:rsidR="00CE38C4" w:rsidRPr="00381E6D" w:rsidRDefault="00A35E2C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381E6D">
        <w:rPr>
          <w:rFonts w:ascii="Times New Roman" w:hAnsi="Times New Roman" w:cs="Times New Roman"/>
          <w:color w:val="000000"/>
          <w:lang w:val="hu-HU"/>
        </w:rPr>
        <w:t>Az átlagos eosinophil</w:t>
      </w:r>
      <w:r w:rsidR="00C560E4">
        <w:rPr>
          <w:rFonts w:ascii="Times New Roman" w:hAnsi="Times New Roman" w:cs="Times New Roman"/>
          <w:color w:val="000000"/>
          <w:lang w:val="hu-HU"/>
        </w:rPr>
        <w:t>-</w:t>
      </w:r>
      <w:r w:rsidRPr="00381E6D">
        <w:rPr>
          <w:rFonts w:ascii="Times New Roman" w:hAnsi="Times New Roman" w:cs="Times New Roman"/>
          <w:color w:val="000000"/>
          <w:lang w:val="hu-HU"/>
        </w:rPr>
        <w:t>szám átmeneti emelkedését figyelték meg a kezelés első 2 hónapjában.</w:t>
      </w:r>
    </w:p>
    <w:p w14:paraId="1D6255A6" w14:textId="77777777" w:rsidR="00433D73" w:rsidRPr="00381E6D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3A29FE71" w14:textId="67B4C7D0" w:rsidR="00CE38C4" w:rsidRPr="00381E6D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381E6D">
        <w:rPr>
          <w:rFonts w:ascii="Times New Roman" w:hAnsi="Times New Roman" w:cs="Times New Roman"/>
          <w:color w:val="000000"/>
          <w:u w:val="single"/>
          <w:lang w:val="hu-HU"/>
        </w:rPr>
        <w:t>Gyermekek</w:t>
      </w:r>
      <w:r w:rsidRPr="00381E6D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és</w:t>
      </w:r>
      <w:r w:rsidRPr="00381E6D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u w:val="single"/>
          <w:lang w:val="hu-HU"/>
        </w:rPr>
        <w:t>serdülők</w:t>
      </w:r>
    </w:p>
    <w:p w14:paraId="70B35253" w14:textId="7D78F47D" w:rsidR="0066625D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381E6D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Egy 96</w:t>
      </w:r>
      <w:r w:rsidR="00916EB0" w:rsidRPr="00381E6D">
        <w:rPr>
          <w:rFonts w:ascii="Times New Roman" w:hAnsi="Times New Roman" w:cs="Times New Roman"/>
          <w:color w:val="000000"/>
          <w:lang w:val="hu-HU"/>
        </w:rPr>
        <w:t> </w:t>
      </w:r>
      <w:r w:rsidRPr="00381E6D">
        <w:rPr>
          <w:rFonts w:ascii="Times New Roman" w:hAnsi="Times New Roman" w:cs="Times New Roman"/>
          <w:color w:val="000000"/>
          <w:lang w:val="hu-HU"/>
        </w:rPr>
        <w:t>hetes,</w:t>
      </w:r>
      <w:r w:rsidRPr="00381E6D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nyílt</w:t>
      </w:r>
      <w:r w:rsidRPr="00381E6D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elrendezésű, randomizált,</w:t>
      </w:r>
      <w:r w:rsidRPr="00381E6D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aktív kontrollos</w:t>
      </w:r>
      <w:r w:rsidR="00D75A40" w:rsidRPr="00381E6D">
        <w:rPr>
          <w:rFonts w:ascii="Times New Roman" w:hAnsi="Times New Roman" w:cs="Times New Roman"/>
          <w:color w:val="000000"/>
          <w:lang w:val="hu-HU"/>
        </w:rPr>
        <w:t xml:space="preserve"> vizsgálatban</w:t>
      </w:r>
      <w:r w:rsidR="00B31270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RRSM</w:t>
      </w:r>
      <w:r w:rsidRPr="00381E6D">
        <w:rPr>
          <w:rFonts w:ascii="Times New Roman" w:hAnsi="Times New Roman" w:cs="Times New Roman"/>
          <w:color w:val="000000"/>
          <w:spacing w:val="-1"/>
          <w:lang w:val="hu-HU"/>
        </w:rPr>
        <w:t>-</w:t>
      </w:r>
      <w:r w:rsidRPr="00381E6D">
        <w:rPr>
          <w:rFonts w:ascii="Times New Roman" w:hAnsi="Times New Roman" w:cs="Times New Roman"/>
          <w:color w:val="000000"/>
          <w:spacing w:val="1"/>
          <w:lang w:val="hu-HU"/>
        </w:rPr>
        <w:t>ben</w:t>
      </w:r>
      <w:r w:rsidRPr="00381E6D">
        <w:rPr>
          <w:rFonts w:ascii="Times New Roman" w:hAnsi="Times New Roman" w:cs="Times New Roman"/>
          <w:color w:val="000000"/>
          <w:lang w:val="hu-HU"/>
        </w:rPr>
        <w:t xml:space="preserve"> szenvedő</w:t>
      </w:r>
      <w:r w:rsidRPr="00381E6D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D75A40" w:rsidRPr="00381E6D">
        <w:rPr>
          <w:rFonts w:ascii="Times New Roman" w:hAnsi="Times New Roman" w:cs="Times New Roman"/>
          <w:lang w:val="hu-HU"/>
        </w:rPr>
        <w:t>gyermekeket és serdülőket (7 beteg volt 10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hAnsi="Times New Roman" w:cs="Times New Roman"/>
          <w:lang w:val="hu-HU"/>
        </w:rPr>
        <w:t>–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eastAsia="Segoe UI Symbol" w:hAnsi="Times New Roman" w:cs="Times New Roman"/>
          <w:lang w:val="hu-HU"/>
        </w:rPr>
        <w:t>&lt;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hAnsi="Times New Roman" w:cs="Times New Roman"/>
          <w:lang w:val="hu-HU"/>
        </w:rPr>
        <w:t>13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hAnsi="Times New Roman" w:cs="Times New Roman"/>
          <w:lang w:val="hu-HU"/>
        </w:rPr>
        <w:t>éves,71 beteg pedig 13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hAnsi="Times New Roman" w:cs="Times New Roman"/>
          <w:lang w:val="hu-HU"/>
        </w:rPr>
        <w:t>–</w:t>
      </w:r>
      <w:r w:rsidR="00C560E4">
        <w:rPr>
          <w:rFonts w:ascii="Times New Roman" w:hAnsi="Times New Roman" w:cs="Times New Roman"/>
          <w:lang w:val="hu-HU"/>
        </w:rPr>
        <w:t> </w:t>
      </w:r>
      <w:r w:rsidR="00D75A40" w:rsidRPr="00381E6D">
        <w:rPr>
          <w:rFonts w:ascii="Times New Roman" w:eastAsia="Segoe UI Symbol" w:hAnsi="Times New Roman" w:cs="Times New Roman"/>
          <w:lang w:val="hu-HU"/>
        </w:rPr>
        <w:t>&lt;</w:t>
      </w:r>
      <w:r w:rsidR="00C560E4">
        <w:rPr>
          <w:rFonts w:ascii="Times New Roman" w:eastAsia="Segoe UI Symbol" w:hAnsi="Times New Roman" w:cs="Times New Roman"/>
          <w:lang w:val="hu-HU"/>
        </w:rPr>
        <w:t> </w:t>
      </w:r>
      <w:r w:rsidRPr="00381E6D">
        <w:rPr>
          <w:rFonts w:ascii="Times New Roman" w:hAnsi="Times New Roman" w:cs="Times New Roman"/>
          <w:color w:val="000000"/>
          <w:lang w:val="hu-HU"/>
        </w:rPr>
        <w:t>18</w:t>
      </w:r>
      <w:r w:rsidR="00C560E4">
        <w:rPr>
          <w:rFonts w:ascii="Times New Roman" w:hAnsi="Times New Roman" w:cs="Times New Roman"/>
          <w:color w:val="000000"/>
          <w:lang w:val="hu-HU"/>
        </w:rPr>
        <w:t> éves</w:t>
      </w:r>
      <w:r w:rsidR="00D75A40" w:rsidRPr="00381E6D">
        <w:rPr>
          <w:rFonts w:ascii="Times New Roman" w:hAnsi="Times New Roman" w:cs="Times New Roman"/>
          <w:color w:val="000000"/>
          <w:lang w:val="hu-HU"/>
        </w:rPr>
        <w:t xml:space="preserve">) kezeltek </w:t>
      </w:r>
      <w:r w:rsidRPr="00381E6D">
        <w:rPr>
          <w:rFonts w:ascii="Times New Roman" w:hAnsi="Times New Roman" w:cs="Times New Roman"/>
          <w:color w:val="000000"/>
          <w:lang w:val="hu-HU"/>
        </w:rPr>
        <w:t>120</w:t>
      </w:r>
      <w:r w:rsidR="00916EB0" w:rsidRPr="00381E6D">
        <w:rPr>
          <w:rFonts w:ascii="Times New Roman" w:hAnsi="Times New Roman" w:cs="Times New Roman"/>
          <w:color w:val="000000"/>
          <w:lang w:val="hu-HU"/>
        </w:rPr>
        <w:t> </w:t>
      </w:r>
      <w:r w:rsidRPr="00381E6D">
        <w:rPr>
          <w:rFonts w:ascii="Times New Roman" w:hAnsi="Times New Roman" w:cs="Times New Roman"/>
          <w:color w:val="000000"/>
          <w:spacing w:val="2"/>
          <w:lang w:val="hu-HU"/>
        </w:rPr>
        <w:t>mg</w:t>
      </w:r>
      <w:r w:rsidR="00D75A40" w:rsidRPr="00381E6D">
        <w:rPr>
          <w:rFonts w:ascii="Times New Roman" w:hAnsi="Times New Roman" w:cs="Times New Roman"/>
          <w:color w:val="000000"/>
          <w:spacing w:val="2"/>
          <w:lang w:val="hu-HU"/>
        </w:rPr>
        <w:t>-os dózissal</w:t>
      </w:r>
      <w:r w:rsidRPr="00381E6D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381E6D">
        <w:rPr>
          <w:rFonts w:ascii="Times New Roman" w:hAnsi="Times New Roman" w:cs="Times New Roman"/>
          <w:color w:val="000000"/>
          <w:lang w:val="hu-HU"/>
        </w:rPr>
        <w:t>naponta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kétszer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7</w:t>
      </w:r>
      <w:r w:rsidR="0066625D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napon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át,</w:t>
      </w:r>
      <w:r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majd a</w:t>
      </w:r>
      <w:r w:rsidR="00A35E2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fennmaradó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részében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240</w:t>
      </w:r>
      <w:r w:rsidR="0066625D" w:rsidRPr="00A2627F">
        <w:rPr>
          <w:rFonts w:ascii="Times New Roman" w:hAnsi="Times New Roman" w:cs="Times New Roman"/>
          <w:color w:val="000000"/>
          <w:spacing w:val="-3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>mg</w:t>
      </w:r>
      <w:r w:rsidR="00D75A40">
        <w:rPr>
          <w:rFonts w:ascii="Times New Roman" w:hAnsi="Times New Roman" w:cs="Times New Roman"/>
          <w:color w:val="000000"/>
          <w:spacing w:val="2"/>
          <w:lang w:val="hu-HU"/>
        </w:rPr>
        <w:t>-os dózissal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naponta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kétszer</w:t>
      </w:r>
      <w:r w:rsidR="00D75A40">
        <w:rPr>
          <w:rFonts w:ascii="Times New Roman" w:hAnsi="Times New Roman" w:cs="Times New Roman"/>
          <w:color w:val="000000"/>
          <w:spacing w:val="-1"/>
          <w:lang w:val="hu-HU"/>
        </w:rPr>
        <w:t xml:space="preserve">. </w:t>
      </w:r>
      <w:r w:rsidR="00D75A40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gyermekek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>és</w:t>
      </w:r>
      <w:r w:rsidR="00A35E2C"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serdülők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biztonságossági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profilja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hasonlónak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tűnt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felnőtt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korábban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megfigyelthez.</w:t>
      </w:r>
    </w:p>
    <w:p w14:paraId="2C9F6AA3" w14:textId="77777777" w:rsidR="0066625D" w:rsidRPr="00A2627F" w:rsidRDefault="0066625D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269AA71" w14:textId="24485ABF" w:rsidR="00CE38C4" w:rsidRPr="00A2627F" w:rsidRDefault="00A35E2C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gyermekekkel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serdülők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kel </w:t>
      </w:r>
      <w:r w:rsidRPr="00A2627F">
        <w:rPr>
          <w:rFonts w:ascii="Times New Roman" w:hAnsi="Times New Roman" w:cs="Times New Roman"/>
          <w:color w:val="000000"/>
          <w:lang w:val="hu-HU"/>
        </w:rPr>
        <w:t>végzett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klinikai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elrendezése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elt</w:t>
      </w:r>
      <w:r w:rsidRPr="00A2627F">
        <w:rPr>
          <w:rFonts w:ascii="Times New Roman" w:hAnsi="Times New Roman" w:cs="Times New Roman"/>
          <w:color w:val="000000"/>
          <w:lang w:val="hu-HU"/>
        </w:rPr>
        <w:t>ért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felnőttek placebokontrollos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klinikai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vizsgálataitól,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ezért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nem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zárható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ki,</w:t>
      </w:r>
      <w:r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hogy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elrendezés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hozzájárult 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D75A40">
        <w:rPr>
          <w:rFonts w:ascii="Times New Roman" w:hAnsi="Times New Roman" w:cs="Times New Roman"/>
          <w:color w:val="000000"/>
          <w:lang w:val="hu-HU"/>
        </w:rPr>
        <w:t>nemkívánatos események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gyermekeknél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serdülőknél,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illetve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felnőtteknél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észlelt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számszerű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eltéréséhez.</w:t>
      </w:r>
    </w:p>
    <w:p w14:paraId="555B9C8D" w14:textId="77777777" w:rsidR="007A6CF9" w:rsidRPr="00A2627F" w:rsidRDefault="007A6CF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ABC93A8" w14:textId="5A61284D" w:rsidR="00CE38C4" w:rsidRPr="00D75A40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="00D75A40" w:rsidRPr="00D75A40">
        <w:rPr>
          <w:rFonts w:ascii="Times New Roman" w:hAnsi="Times New Roman" w:cs="Times New Roman"/>
          <w:lang w:val="hu-HU"/>
        </w:rPr>
        <w:t xml:space="preserve">Emésztőrendszeri, valamint légzőrendszeri, mellkasi és mediastinalis betegségekről és tünetekről, illetve a fejfájás és a dysmenorrhea mellékhatásokról </w:t>
      </w:r>
      <w:r w:rsidRPr="00D75A40">
        <w:rPr>
          <w:rFonts w:ascii="Times New Roman" w:hAnsi="Times New Roman" w:cs="Times New Roman"/>
          <w:color w:val="000000"/>
          <w:lang w:val="hu-HU"/>
        </w:rPr>
        <w:t>gyakrabban</w:t>
      </w:r>
      <w:r w:rsidRPr="00D75A40">
        <w:rPr>
          <w:rFonts w:ascii="Times New Roman" w:hAnsi="Times New Roman" w:cs="Times New Roman"/>
          <w:color w:val="000000"/>
          <w:spacing w:val="-1"/>
          <w:lang w:val="hu-HU"/>
        </w:rPr>
        <w:t xml:space="preserve"> (</w:t>
      </w:r>
      <w:r w:rsidRPr="00D75A40">
        <w:rPr>
          <w:rFonts w:ascii="Times New Roman" w:hAnsi="Times New Roman" w:cs="Times New Roman"/>
          <w:color w:val="000000"/>
          <w:lang w:val="hu-HU"/>
        </w:rPr>
        <w:t>≥</w:t>
      </w:r>
      <w:r w:rsidR="00916EB0" w:rsidRPr="00D75A40">
        <w:rPr>
          <w:rFonts w:ascii="Times New Roman" w:hAnsi="Times New Roman" w:cs="Times New Roman"/>
          <w:color w:val="000000"/>
          <w:spacing w:val="2"/>
          <w:lang w:val="hu-HU"/>
        </w:rPr>
        <w:t> </w:t>
      </w:r>
      <w:r w:rsidRPr="00D75A40">
        <w:rPr>
          <w:rFonts w:ascii="Times New Roman" w:hAnsi="Times New Roman" w:cs="Times New Roman"/>
          <w:color w:val="000000"/>
          <w:lang w:val="hu-HU"/>
        </w:rPr>
        <w:t>10%)</w:t>
      </w:r>
      <w:r w:rsidRPr="00D75A40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D75A40" w:rsidRPr="00D75A40">
        <w:rPr>
          <w:rFonts w:ascii="Times New Roman" w:hAnsi="Times New Roman" w:cs="Times New Roman"/>
          <w:lang w:val="hu-HU"/>
        </w:rPr>
        <w:t xml:space="preserve">számoltak be gyermekeknél és serdülőknél, mint felnőtteknél. Ezeket a nemkívánatos eseményeket az alábbi arányban </w:t>
      </w:r>
      <w:r w:rsidRPr="00D75A40">
        <w:rPr>
          <w:rFonts w:ascii="Times New Roman" w:hAnsi="Times New Roman" w:cs="Times New Roman"/>
          <w:color w:val="000000"/>
          <w:lang w:val="hu-HU"/>
        </w:rPr>
        <w:t>jelentették gyermekeknél</w:t>
      </w:r>
      <w:r w:rsidRPr="00D75A40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D75A40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D75A40">
        <w:rPr>
          <w:rFonts w:ascii="Times New Roman" w:hAnsi="Times New Roman" w:cs="Times New Roman"/>
          <w:color w:val="000000"/>
          <w:lang w:val="hu-HU"/>
        </w:rPr>
        <w:t xml:space="preserve"> serdülőknél:</w:t>
      </w:r>
    </w:p>
    <w:p w14:paraId="40B25319" w14:textId="23D6E8FE" w:rsidR="00CE38C4" w:rsidRPr="00A2627F" w:rsidRDefault="00FE3A7F" w:rsidP="00EC63F3">
      <w:pPr>
        <w:spacing w:before="0" w:after="0" w:line="240" w:lineRule="auto"/>
        <w:ind w:left="705" w:hanging="705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•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Fejfájást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kezelt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28%-ánál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jelentettek,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szemben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béta-1a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interferonnal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kezelt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>36%-ával.</w:t>
      </w:r>
    </w:p>
    <w:p w14:paraId="45311F42" w14:textId="5E7C41E9" w:rsidR="007A6CF9" w:rsidRPr="00A2627F" w:rsidRDefault="00FE3A7F" w:rsidP="00EC63F3">
      <w:pPr>
        <w:spacing w:before="0" w:after="0" w:line="240" w:lineRule="auto"/>
        <w:ind w:left="705" w:hanging="705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eastAsia="Calibri" w:hAnsi="Times New Roman" w:cs="Times New Roman"/>
          <w:lang w:val="hu-HU"/>
        </w:rPr>
        <w:t>•</w:t>
      </w:r>
      <w:r w:rsidRPr="00A2627F">
        <w:rPr>
          <w:rFonts w:ascii="Times New Roman" w:eastAsia="Calibri" w:hAnsi="Times New Roman" w:cs="Times New Roman"/>
          <w:lang w:val="hu-HU"/>
        </w:rPr>
        <w:tab/>
      </w:r>
      <w:r w:rsidRPr="00A2627F">
        <w:rPr>
          <w:rFonts w:ascii="Times New Roman" w:hAnsi="Times New Roman" w:cs="Times New Roman"/>
          <w:color w:val="000000"/>
          <w:lang w:val="hu-HU"/>
        </w:rPr>
        <w:t>Emésztőrendszeri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betegségeket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tüneteket</w:t>
      </w:r>
      <w:r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74%-ánál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jelentettek, szemben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béta-1a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interferonnal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31%-ával. Ezeknél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 xml:space="preserve">dimetil-fumarát </w:t>
      </w:r>
      <w:r w:rsidRPr="00A2627F">
        <w:rPr>
          <w:rFonts w:ascii="Times New Roman" w:hAnsi="Times New Roman" w:cs="Times New Roman"/>
          <w:color w:val="000000"/>
          <w:lang w:val="hu-HU"/>
        </w:rPr>
        <w:t>alkalmazásakor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leggyakrabban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hasi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fájdalomról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hányásról számoltak be.</w:t>
      </w:r>
    </w:p>
    <w:p w14:paraId="142AB9C8" w14:textId="3C2645D4" w:rsidR="00CE38C4" w:rsidRPr="00A2627F" w:rsidRDefault="00FE3A7F" w:rsidP="00EC63F3">
      <w:pPr>
        <w:spacing w:before="0" w:after="0" w:line="240" w:lineRule="auto"/>
        <w:ind w:left="705" w:hanging="705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eastAsia="Calibri" w:hAnsi="Times New Roman" w:cs="Times New Roman"/>
          <w:lang w:val="hu-HU"/>
        </w:rPr>
        <w:t>•</w:t>
      </w:r>
      <w:r w:rsidRPr="00A2627F">
        <w:rPr>
          <w:rFonts w:ascii="Times New Roman" w:eastAsia="Calibri" w:hAnsi="Times New Roman" w:cs="Times New Roman"/>
          <w:lang w:val="hu-HU"/>
        </w:rPr>
        <w:tab/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Légzőrendszer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>i,</w:t>
      </w:r>
      <w:r w:rsidR="007C391E"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mellkasi</w:t>
      </w:r>
      <w:r w:rsidR="007C391E"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="007C391E"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mediastinalis</w:t>
      </w:r>
      <w:r w:rsidR="007C391E"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betegségeket</w:t>
      </w:r>
      <w:r w:rsidR="007C391E"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tüneteket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a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="007C391E"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="007C391E" w:rsidRPr="00A2627F">
        <w:rPr>
          <w:rFonts w:ascii="Times New Roman" w:hAnsi="Times New Roman" w:cs="Times New Roman"/>
          <w:color w:val="000000"/>
          <w:spacing w:val="37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betegek 32%-ánál</w:t>
      </w:r>
      <w:r w:rsidR="007C391E"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jelentettek,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szemben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a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béta-1a</w:t>
      </w:r>
      <w:r w:rsidR="007C391E"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interferonnal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="007C391E"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="007C391E"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11%-ával. Ezeknél a betegeknél a </w:t>
      </w:r>
      <w:r w:rsidR="0066625D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 xml:space="preserve"> alkalmazásakor a leggyakrabban oropharyngealis fájdalomról és köhögésről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számoltak</w:t>
      </w:r>
      <w:r w:rsidR="007C391E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7C391E" w:rsidRPr="00A2627F">
        <w:rPr>
          <w:rFonts w:ascii="Times New Roman" w:hAnsi="Times New Roman" w:cs="Times New Roman"/>
          <w:color w:val="000000"/>
          <w:lang w:val="hu-HU"/>
        </w:rPr>
        <w:t>be.</w:t>
      </w:r>
    </w:p>
    <w:p w14:paraId="4625DD03" w14:textId="005B4F7A" w:rsidR="00CE38C4" w:rsidRPr="00A2627F" w:rsidRDefault="00FE3A7F" w:rsidP="00EC63F3">
      <w:pPr>
        <w:spacing w:before="0" w:after="0" w:line="240" w:lineRule="auto"/>
        <w:ind w:left="705" w:hanging="705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•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Dysmenorrhoeát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797EB9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17%-ánál jelentettek,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szemben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béta-1a</w:t>
      </w:r>
      <w:r w:rsidRPr="00A2627F">
        <w:rPr>
          <w:rFonts w:ascii="Times New Roman" w:hAnsi="Times New Roman" w:cs="Times New Roman"/>
          <w:color w:val="000000"/>
          <w:spacing w:val="37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interferonnal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>7%</w:t>
      </w:r>
      <w:r w:rsidRPr="00A2627F">
        <w:rPr>
          <w:rFonts w:ascii="Times New Roman" w:hAnsi="Times New Roman" w:cs="Times New Roman"/>
          <w:color w:val="000000"/>
          <w:lang w:val="hu-HU"/>
        </w:rPr>
        <w:t>-ával.</w:t>
      </w:r>
    </w:p>
    <w:p w14:paraId="389BE593" w14:textId="77777777" w:rsidR="00264189" w:rsidRPr="00A2627F" w:rsidRDefault="0026418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919BE0D" w14:textId="0922329D" w:rsidR="00916EB0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Egy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kis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esetszámú, 24</w:t>
      </w:r>
      <w:r w:rsidR="006115E4" w:rsidRPr="00A2627F">
        <w:rPr>
          <w:rFonts w:ascii="Times New Roman" w:hAnsi="Times New Roman" w:cs="Times New Roman"/>
          <w:color w:val="000000"/>
          <w:spacing w:val="-2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hetes,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nyílt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elrendezésű,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nem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kontrollos,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RRSM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ben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szenvedő, 13–17</w:t>
      </w:r>
      <w:r w:rsidR="006115E4" w:rsidRPr="00A2627F">
        <w:rPr>
          <w:rFonts w:ascii="Times New Roman" w:hAnsi="Times New Roman" w:cs="Times New Roman"/>
          <w:color w:val="000000"/>
          <w:spacing w:val="-2"/>
          <w:lang w:val="hu-HU"/>
        </w:rPr>
        <w:t> </w:t>
      </w:r>
      <w:r w:rsidR="0091180C" w:rsidRPr="00A2627F">
        <w:rPr>
          <w:rFonts w:ascii="Times New Roman" w:hAnsi="Times New Roman" w:cs="Times New Roman"/>
          <w:color w:val="000000"/>
          <w:spacing w:val="-2"/>
          <w:lang w:val="hu-HU"/>
        </w:rPr>
        <w:t>év közötti</w:t>
      </w:r>
      <w:r w:rsidR="00D75A40">
        <w:rPr>
          <w:rFonts w:ascii="Times New Roman" w:hAnsi="Times New Roman" w:cs="Times New Roman"/>
          <w:color w:val="000000"/>
          <w:spacing w:val="-2"/>
          <w:lang w:val="hu-HU"/>
        </w:rPr>
        <w:t xml:space="preserve"> gyermekek és </w:t>
      </w:r>
      <w:r w:rsidRPr="00A2627F">
        <w:rPr>
          <w:rFonts w:ascii="Times New Roman" w:hAnsi="Times New Roman" w:cs="Times New Roman"/>
          <w:color w:val="000000"/>
          <w:lang w:val="hu-HU"/>
        </w:rPr>
        <w:t>serdülők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bevonásával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végzett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vizsgálatban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(120</w:t>
      </w:r>
      <w:r w:rsidR="006115E4" w:rsidRPr="00A2627F">
        <w:rPr>
          <w:rFonts w:ascii="Times New Roman" w:hAnsi="Times New Roman" w:cs="Times New Roman"/>
          <w:color w:val="000000"/>
          <w:spacing w:val="-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>mg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naponta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kétszer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7</w:t>
      </w:r>
      <w:r w:rsidR="006115E4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napon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át,</w:t>
      </w:r>
      <w:r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majd 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fennmaradó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részében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240</w:t>
      </w:r>
      <w:r w:rsidR="006115E4" w:rsidRPr="00A2627F">
        <w:rPr>
          <w:rFonts w:ascii="Times New Roman" w:hAnsi="Times New Roman" w:cs="Times New Roman"/>
          <w:color w:val="000000"/>
          <w:spacing w:val="-2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>mg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naponta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kétszer;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</w:t>
      </w:r>
      <w:r w:rsidR="00797EB9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797EB9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22),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amelyet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egy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96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hetes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kiterjeszt</w:t>
      </w:r>
      <w:r w:rsidR="0085758C">
        <w:rPr>
          <w:rFonts w:ascii="Times New Roman" w:hAnsi="Times New Roman" w:cs="Times New Roman"/>
          <w:color w:val="000000"/>
          <w:lang w:val="hu-HU"/>
        </w:rPr>
        <w:t>éses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követett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(240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mg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naponta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kétszer,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</w:t>
      </w:r>
      <w:r w:rsidR="00797EB9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797EB9" w:rsidRPr="00A2627F">
        <w:rPr>
          <w:rFonts w:ascii="Times New Roman" w:hAnsi="Times New Roman" w:cs="Times New Roman"/>
          <w:color w:val="000000"/>
          <w:spacing w:val="1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20),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biztonságossági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profil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hasonlónak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tűnt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felnőtt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megfigyelthez.</w:t>
      </w:r>
    </w:p>
    <w:p w14:paraId="247BAD18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3E6DF61D" w14:textId="607C880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Feltételezett</w:t>
      </w:r>
      <w:r w:rsidRPr="00A2627F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mellékhatások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bejelentése</w:t>
      </w:r>
    </w:p>
    <w:p w14:paraId="1ADF11E2" w14:textId="77777777" w:rsidR="00AB2468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gyógyszer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engedélyezését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követően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lényeges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feltételezett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mellékhatások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bejelentése,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mert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ez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fontos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eszköze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annak, hogy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gyógyszer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előny/kockázat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profilját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folyamatosan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figyelemmel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lehessen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kísérni. </w:t>
      </w:r>
    </w:p>
    <w:p w14:paraId="1B87842A" w14:textId="782A21F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egészségügyi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szakembereket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kérjük, hogy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jelentsék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feltételezett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mellékhatásokat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hatóság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részére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hyperlink r:id="rId9" w:history="1">
        <w:r w:rsidRPr="00A2627F">
          <w:rPr>
            <w:rFonts w:ascii="Times New Roman" w:hAnsi="Times New Roman" w:cs="Times New Roman"/>
            <w:color w:val="000000"/>
            <w:spacing w:val="1"/>
            <w:lang w:val="hu-HU"/>
          </w:rPr>
          <w:t>az</w:t>
        </w:r>
      </w:hyperlink>
      <w:hyperlink r:id="rId10" w:history="1">
        <w:r w:rsidR="00AB2468" w:rsidRPr="00AB2468">
          <w:rPr>
            <w:rStyle w:val="Hiperhivatkozs"/>
            <w:rFonts w:ascii="Times New Roman" w:hAnsi="Times New Roman" w:cs="Times New Roman"/>
            <w:spacing w:val="1"/>
            <w:lang w:val="hu-HU"/>
          </w:rPr>
          <w:t xml:space="preserve"> </w:t>
        </w:r>
        <w:r w:rsidR="00AB2468" w:rsidRPr="00A5121B">
          <w:rPr>
            <w:rStyle w:val="Hiperhivatkozs"/>
            <w:rFonts w:ascii="Times New Roman" w:hAnsi="Times New Roman" w:cs="Times New Roman"/>
            <w:spacing w:val="1"/>
            <w:highlight w:val="lightGray"/>
            <w:lang w:val="hu-HU"/>
          </w:rPr>
          <w:t>V. függelékben</w:t>
        </w:r>
      </w:hyperlink>
      <w:hyperlink r:id="rId11" w:history="1">
        <w:r w:rsidRPr="00AB2468">
          <w:rPr>
            <w:rFonts w:ascii="Times New Roman" w:hAnsi="Times New Roman" w:cs="Times New Roman"/>
            <w:color w:val="000000"/>
            <w:spacing w:val="1"/>
            <w:highlight w:val="lightGray"/>
            <w:lang w:val="hu-HU"/>
          </w:rPr>
          <w:t xml:space="preserve"> </w:t>
        </w:r>
      </w:hyperlink>
      <w:r w:rsidRPr="00AB2468">
        <w:rPr>
          <w:rFonts w:ascii="Times New Roman" w:hAnsi="Times New Roman" w:cs="Times New Roman"/>
          <w:color w:val="000000"/>
          <w:highlight w:val="lightGray"/>
          <w:lang w:val="hu-HU"/>
        </w:rPr>
        <w:t>található elérhetőségek</w:t>
      </w:r>
      <w:r w:rsidRPr="00AB2468">
        <w:rPr>
          <w:rFonts w:ascii="Times New Roman" w:hAnsi="Times New Roman" w:cs="Times New Roman"/>
          <w:color w:val="000000"/>
          <w:spacing w:val="1"/>
          <w:highlight w:val="lightGray"/>
          <w:lang w:val="hu-HU"/>
        </w:rPr>
        <w:t xml:space="preserve"> </w:t>
      </w:r>
      <w:r w:rsidRPr="00AB2468">
        <w:rPr>
          <w:rFonts w:ascii="Times New Roman" w:hAnsi="Times New Roman" w:cs="Times New Roman"/>
          <w:color w:val="000000"/>
          <w:highlight w:val="lightGray"/>
          <w:lang w:val="hu-HU"/>
        </w:rPr>
        <w:t>valamelyikén</w:t>
      </w:r>
      <w:r w:rsidRPr="00AB2468">
        <w:rPr>
          <w:rFonts w:ascii="Times New Roman" w:hAnsi="Times New Roman" w:cs="Times New Roman"/>
          <w:color w:val="000000"/>
          <w:spacing w:val="1"/>
          <w:highlight w:val="lightGray"/>
          <w:lang w:val="hu-HU"/>
        </w:rPr>
        <w:t xml:space="preserve"> </w:t>
      </w:r>
      <w:r w:rsidRPr="00AB2468">
        <w:rPr>
          <w:rFonts w:ascii="Times New Roman" w:hAnsi="Times New Roman" w:cs="Times New Roman"/>
          <w:color w:val="000000"/>
          <w:highlight w:val="lightGray"/>
          <w:lang w:val="hu-HU"/>
        </w:rPr>
        <w:t>keresztül.</w:t>
      </w:r>
    </w:p>
    <w:p w14:paraId="644C479E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38E5F9A1" w14:textId="4C1FFB98" w:rsidR="00CE38C4" w:rsidRPr="00A2627F" w:rsidRDefault="007C391E" w:rsidP="00EC63F3">
      <w:pPr>
        <w:pStyle w:val="Listaszerbekezds"/>
        <w:numPr>
          <w:ilvl w:val="1"/>
          <w:numId w:val="1"/>
        </w:numPr>
        <w:spacing w:before="0" w:after="0" w:line="240" w:lineRule="auto"/>
        <w:ind w:left="709" w:hanging="709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Túladagolás</w:t>
      </w:r>
    </w:p>
    <w:p w14:paraId="6CF01D1D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365D167" w14:textId="3CA2FE3E" w:rsidR="00916EB0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Beszámoltak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történő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túladagolás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eseteiről. Az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ezekben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az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esetekben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leírt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tünetek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megfeleltek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ismert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="00D75A40">
        <w:rPr>
          <w:rFonts w:ascii="Times New Roman" w:hAnsi="Times New Roman" w:cs="Times New Roman"/>
          <w:color w:val="000000"/>
          <w:lang w:val="hu-HU"/>
        </w:rPr>
        <w:t xml:space="preserve">biztonságossági </w:t>
      </w:r>
      <w:r w:rsidRPr="00A2627F">
        <w:rPr>
          <w:rFonts w:ascii="Times New Roman" w:hAnsi="Times New Roman" w:cs="Times New Roman"/>
          <w:color w:val="000000"/>
          <w:lang w:val="hu-HU"/>
        </w:rPr>
        <w:t>profiljának.</w:t>
      </w:r>
    </w:p>
    <w:p w14:paraId="0CF1926F" w14:textId="77777777" w:rsidR="00916EB0" w:rsidRPr="00A2627F" w:rsidRDefault="00916EB0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0BEF4C2" w14:textId="14A6E850" w:rsidR="00433D73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Nincs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olyan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ismert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terápiás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beavatkozás, amely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felgyorsítja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eliminációját,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nincs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ismert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antidotuma</w:t>
      </w:r>
      <w:r w:rsidR="00797EB9" w:rsidRPr="00A2627F">
        <w:rPr>
          <w:rFonts w:ascii="Times New Roman" w:hAnsi="Times New Roman" w:cs="Times New Roman"/>
          <w:color w:val="000000"/>
          <w:lang w:val="hu-HU"/>
        </w:rPr>
        <w:t xml:space="preserve"> sem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Amennyiben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klinikailag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indokolt,</w:t>
      </w: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túladagolás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esetén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tüneti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szupportív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indítása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javallott.</w:t>
      </w:r>
      <w:bookmarkStart w:id="13" w:name="br14"/>
      <w:bookmarkEnd w:id="13"/>
    </w:p>
    <w:p w14:paraId="323319A5" w14:textId="1E69B5F1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58758FA1" w14:textId="77777777" w:rsidR="00916EB0" w:rsidRPr="00A2627F" w:rsidRDefault="00916EB0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6E573FC0" w14:textId="28DED973" w:rsidR="00CE38C4" w:rsidRPr="00A2627F" w:rsidRDefault="00130566" w:rsidP="00797EB9">
      <w:pPr>
        <w:pStyle w:val="Listaszerbekezds"/>
        <w:numPr>
          <w:ilvl w:val="0"/>
          <w:numId w:val="1"/>
        </w:numPr>
        <w:spacing w:before="0" w:after="0" w:line="240" w:lineRule="auto"/>
        <w:ind w:left="851" w:hanging="851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noProof/>
          <w:lang w:val="hu-HU" w:eastAsia="hu-HU"/>
        </w:rPr>
        <w:drawing>
          <wp:anchor distT="0" distB="0" distL="114300" distR="114300" simplePos="0" relativeHeight="251697152" behindDoc="1" locked="0" layoutInCell="1" allowOverlap="1" wp14:anchorId="37E65F52" wp14:editId="70D8098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1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FARMAKOLÓGIAI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TULAJDONSÁGOK</w:t>
      </w:r>
    </w:p>
    <w:p w14:paraId="559B9950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2435A210" w14:textId="24B7C0D8" w:rsidR="00CE38C4" w:rsidRPr="00A2627F" w:rsidRDefault="007C391E" w:rsidP="00EC63F3">
      <w:pPr>
        <w:pStyle w:val="Listaszerbekezds"/>
        <w:numPr>
          <w:ilvl w:val="1"/>
          <w:numId w:val="2"/>
        </w:numPr>
        <w:spacing w:before="0" w:after="0" w:line="240" w:lineRule="auto"/>
        <w:ind w:left="851" w:hanging="851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Farmakodinámiás tulajdonságok</w:t>
      </w:r>
    </w:p>
    <w:p w14:paraId="5C05E0C8" w14:textId="77777777" w:rsidR="006115E4" w:rsidRPr="00A2627F" w:rsidRDefault="006115E4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3896F649" w14:textId="127DEF5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Farmakoterápiás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csoport: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Immunszuppresszánsok,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egyéb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immunszuppresszánsok,</w:t>
      </w:r>
      <w:r w:rsidR="00916EB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ATC kód:</w:t>
      </w:r>
      <w:r w:rsidR="00FE3A7F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L04AX07</w:t>
      </w:r>
    </w:p>
    <w:p w14:paraId="5FE2DC8E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12732A62" w14:textId="4D5563C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Hatásmechanizmus</w:t>
      </w:r>
    </w:p>
    <w:p w14:paraId="672DBF9A" w14:textId="5194D663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1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Még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nem teljesen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="007D6AD8" w:rsidRPr="00A2627F">
        <w:rPr>
          <w:rFonts w:ascii="Times New Roman" w:hAnsi="Times New Roman" w:cs="Times New Roman"/>
          <w:color w:val="000000"/>
          <w:lang w:val="hu-HU"/>
        </w:rPr>
        <w:t>tisztázott</w:t>
      </w:r>
      <w:r w:rsidRPr="00A2627F">
        <w:rPr>
          <w:rFonts w:ascii="Times New Roman" w:hAnsi="Times New Roman" w:cs="Times New Roman"/>
          <w:color w:val="000000"/>
          <w:lang w:val="hu-HU"/>
        </w:rPr>
        <w:t>, hogy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fumarát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milyen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mechanizmus</w:t>
      </w:r>
      <w:r w:rsidR="0085758C">
        <w:rPr>
          <w:rFonts w:ascii="Times New Roman" w:hAnsi="Times New Roman" w:cs="Times New Roman"/>
          <w:color w:val="000000"/>
          <w:lang w:val="hu-HU"/>
        </w:rPr>
        <w:t>sal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fejti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>ki</w:t>
      </w:r>
      <w:r w:rsidR="007A6CF9"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terápiás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hatását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sclerosis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multiplexben. A preklinikai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mutatják, hogy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farmakodinámiás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válaszreakciói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elsősorban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az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="0085758C" w:rsidRPr="00A2627F">
        <w:rPr>
          <w:rFonts w:ascii="Times New Roman" w:hAnsi="Times New Roman" w:cs="Times New Roman"/>
          <w:color w:val="000000"/>
          <w:lang w:val="hu-HU"/>
        </w:rPr>
        <w:t>Nrf2</w:t>
      </w:r>
      <w:r w:rsidR="0085758C">
        <w:rPr>
          <w:rFonts w:ascii="Times New Roman" w:hAnsi="Times New Roman" w:cs="Times New Roman"/>
          <w:color w:val="000000"/>
          <w:lang w:val="hu-HU"/>
        </w:rPr>
        <w:t xml:space="preserve"> (</w:t>
      </w:r>
      <w:r w:rsidR="0085758C" w:rsidRPr="00FA06E6">
        <w:rPr>
          <w:rFonts w:ascii="Times New Roman" w:hAnsi="Times New Roman" w:cs="Times New Roman"/>
          <w:i/>
          <w:color w:val="000000"/>
          <w:lang w:val="hu-HU"/>
        </w:rPr>
        <w:t>Nuclear</w:t>
      </w:r>
      <w:r w:rsidR="0085758C" w:rsidRPr="00FA06E6">
        <w:rPr>
          <w:rFonts w:ascii="Times New Roman" w:hAnsi="Times New Roman" w:cs="Times New Roman"/>
          <w:i/>
          <w:color w:val="000000"/>
          <w:spacing w:val="1"/>
          <w:lang w:val="hu-HU"/>
        </w:rPr>
        <w:t xml:space="preserve"> </w:t>
      </w:r>
      <w:r w:rsidR="0085758C" w:rsidRPr="00FA06E6">
        <w:rPr>
          <w:rFonts w:ascii="Times New Roman" w:hAnsi="Times New Roman" w:cs="Times New Roman"/>
          <w:i/>
          <w:color w:val="000000"/>
          <w:lang w:val="hu-HU"/>
        </w:rPr>
        <w:t>factor</w:t>
      </w:r>
      <w:r w:rsidR="0085758C" w:rsidRPr="00FA06E6">
        <w:rPr>
          <w:rFonts w:ascii="Times New Roman" w:hAnsi="Times New Roman" w:cs="Times New Roman"/>
          <w:i/>
          <w:color w:val="000000"/>
          <w:spacing w:val="-1"/>
          <w:lang w:val="hu-HU"/>
        </w:rPr>
        <w:t xml:space="preserve"> </w:t>
      </w:r>
      <w:r w:rsidR="0085758C" w:rsidRPr="00FA06E6">
        <w:rPr>
          <w:rFonts w:ascii="Times New Roman" w:hAnsi="Times New Roman" w:cs="Times New Roman"/>
          <w:i/>
          <w:color w:val="000000"/>
          <w:lang w:val="hu-HU"/>
        </w:rPr>
        <w:t>[erythroid-derived</w:t>
      </w:r>
      <w:r w:rsidR="0085758C" w:rsidRPr="00FA06E6">
        <w:rPr>
          <w:rFonts w:ascii="Times New Roman" w:hAnsi="Times New Roman" w:cs="Times New Roman"/>
          <w:i/>
          <w:color w:val="000000"/>
          <w:spacing w:val="1"/>
          <w:lang w:val="hu-HU"/>
        </w:rPr>
        <w:t xml:space="preserve"> </w:t>
      </w:r>
      <w:r w:rsidR="0085758C" w:rsidRPr="00FA06E6">
        <w:rPr>
          <w:rFonts w:ascii="Times New Roman" w:hAnsi="Times New Roman" w:cs="Times New Roman"/>
          <w:i/>
          <w:color w:val="000000"/>
          <w:lang w:val="hu-HU"/>
        </w:rPr>
        <w:t>2]-like</w:t>
      </w:r>
      <w:r w:rsidR="0085758C" w:rsidRPr="00FA06E6">
        <w:rPr>
          <w:rFonts w:ascii="Times New Roman" w:hAnsi="Times New Roman" w:cs="Times New Roman"/>
          <w:i/>
          <w:color w:val="000000"/>
          <w:spacing w:val="-2"/>
          <w:lang w:val="hu-HU"/>
        </w:rPr>
        <w:t xml:space="preserve"> </w:t>
      </w:r>
      <w:r w:rsidR="0085758C" w:rsidRPr="00FA06E6">
        <w:rPr>
          <w:rFonts w:ascii="Times New Roman" w:hAnsi="Times New Roman" w:cs="Times New Roman"/>
          <w:i/>
          <w:color w:val="000000"/>
          <w:lang w:val="hu-HU"/>
        </w:rPr>
        <w:t>2</w:t>
      </w:r>
      <w:r w:rsidR="0085758C">
        <w:rPr>
          <w:rFonts w:ascii="Times New Roman" w:hAnsi="Times New Roman" w:cs="Times New Roman"/>
          <w:color w:val="000000"/>
          <w:spacing w:val="1"/>
          <w:lang w:val="hu-HU"/>
        </w:rPr>
        <w:t xml:space="preserve">; </w:t>
      </w:r>
      <w:r w:rsidR="0085758C" w:rsidRPr="0085758C">
        <w:rPr>
          <w:rFonts w:ascii="Times New Roman" w:hAnsi="Times New Roman" w:cs="Times New Roman"/>
          <w:color w:val="000000"/>
          <w:lang w:val="hu"/>
        </w:rPr>
        <w:t>eritroid eredetű 2</w:t>
      </w:r>
      <w:r w:rsidR="0085758C" w:rsidRPr="0085758C">
        <w:rPr>
          <w:rFonts w:ascii="Times New Roman" w:hAnsi="Times New Roman" w:cs="Times New Roman"/>
          <w:color w:val="000000"/>
          <w:lang w:val="hu"/>
        </w:rPr>
        <w:noBreakHyphen/>
        <w:t>es típusú nukleáris faktor 2-szerű faktor</w:t>
      </w:r>
      <w:r w:rsidRPr="00A2627F">
        <w:rPr>
          <w:rFonts w:ascii="Times New Roman" w:hAnsi="Times New Roman" w:cs="Times New Roman"/>
          <w:color w:val="000000"/>
          <w:lang w:val="hu-HU"/>
        </w:rPr>
        <w:t>)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transzkripciós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útvonal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aktivációja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révén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közvetítődnek. Kimutatták,</w:t>
      </w:r>
      <w:r w:rsidRPr="00A2627F">
        <w:rPr>
          <w:rFonts w:ascii="Times New Roman" w:hAnsi="Times New Roman" w:cs="Times New Roman"/>
          <w:color w:val="000000"/>
          <w:spacing w:val="-4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hogy 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up-regulálja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az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Nrf2-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függő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antioxidáns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géneket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(p</w:t>
      </w:r>
      <w:r w:rsidR="005A39F8" w:rsidRPr="00A2627F">
        <w:rPr>
          <w:rFonts w:ascii="Times New Roman" w:hAnsi="Times New Roman" w:cs="Times New Roman"/>
          <w:color w:val="000000"/>
          <w:lang w:val="hu-HU"/>
        </w:rPr>
        <w:t>é</w:t>
      </w:r>
      <w:r w:rsidR="0085758C">
        <w:rPr>
          <w:rFonts w:ascii="Times New Roman" w:hAnsi="Times New Roman" w:cs="Times New Roman"/>
          <w:color w:val="000000"/>
          <w:lang w:val="hu-HU"/>
        </w:rPr>
        <w:t>l</w:t>
      </w:r>
      <w:r w:rsidR="005A39F8" w:rsidRPr="00A2627F">
        <w:rPr>
          <w:rFonts w:ascii="Times New Roman" w:hAnsi="Times New Roman" w:cs="Times New Roman"/>
          <w:color w:val="000000"/>
          <w:lang w:val="hu-HU"/>
        </w:rPr>
        <w:t>dáu</w:t>
      </w:r>
      <w:r w:rsidRPr="00A2627F">
        <w:rPr>
          <w:rFonts w:ascii="Times New Roman" w:hAnsi="Times New Roman" w:cs="Times New Roman"/>
          <w:color w:val="000000"/>
          <w:lang w:val="hu-HU"/>
        </w:rPr>
        <w:t>l NAD(P)H</w:t>
      </w:r>
      <w:r w:rsidR="005A39F8"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dehidrogenáz, 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>kinon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1;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[NQO1]).</w:t>
      </w:r>
    </w:p>
    <w:p w14:paraId="571B1111" w14:textId="77777777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611C5428" w14:textId="238C440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Farmakodinámiás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hatások</w:t>
      </w:r>
    </w:p>
    <w:p w14:paraId="66BE4253" w14:textId="446AA66C" w:rsidR="0026418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Az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immunrendszerre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kifejtett</w:t>
      </w:r>
      <w:r w:rsidRPr="00A2627F">
        <w:rPr>
          <w:rFonts w:ascii="Times New Roman" w:hAnsi="Times New Roman" w:cs="Times New Roman"/>
          <w:i/>
          <w:i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hatások</w:t>
      </w:r>
    </w:p>
    <w:p w14:paraId="73FC5512" w14:textId="65932209" w:rsidR="000C7B0A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dimetil-fumarát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gyulladáscsökkentő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immunmoduláló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tulajdonságokat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mutatott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preklinikai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="007A6CF9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klinikai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vizsgálatokban. A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monometil-fumarát, amely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elsődleges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metabolitja, a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preklinikai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modellekben jelentős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mértékben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csökkentette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az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immunsejtek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aktiválódását,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ebből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következően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pedig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gyulladáskeltő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citokin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ek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gyulladásos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stimulusra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adott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válaszreakció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során történő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kibocsátását.</w:t>
      </w:r>
    </w:p>
    <w:p w14:paraId="49EB79B3" w14:textId="77777777" w:rsidR="000C7B0A" w:rsidRPr="00A2627F" w:rsidRDefault="000C7B0A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84D129F" w14:textId="54006E42" w:rsidR="00C367FC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Psoriasisos betegekkel végzett klinikai vizsgálatokban a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dimetil-fumarát hatással volt a lymphocyta</w:t>
      </w:r>
      <w:r w:rsidR="00FA06E6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fenotípusokra a gyulladáskeltő citokinprofilok (T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H</w:t>
      </w:r>
      <w:r w:rsidRPr="00A2627F">
        <w:rPr>
          <w:rFonts w:ascii="Times New Roman" w:hAnsi="Times New Roman" w:cs="Times New Roman"/>
          <w:color w:val="000000"/>
          <w:lang w:val="hu-HU"/>
        </w:rPr>
        <w:t>1, T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H</w:t>
      </w:r>
      <w:r w:rsidRPr="00A2627F">
        <w:rPr>
          <w:rFonts w:ascii="Times New Roman" w:hAnsi="Times New Roman" w:cs="Times New Roman"/>
          <w:color w:val="000000"/>
          <w:lang w:val="hu-HU"/>
        </w:rPr>
        <w:t>17) down-regulációja révén, és a gyulladáscsökkentő citokinek (T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H</w:t>
      </w:r>
      <w:r w:rsidRPr="00A2627F">
        <w:rPr>
          <w:rFonts w:ascii="Times New Roman" w:hAnsi="Times New Roman" w:cs="Times New Roman"/>
          <w:color w:val="000000"/>
          <w:lang w:val="hu-HU"/>
        </w:rPr>
        <w:t>2) termelése felé billentette a folyamatot. A dimetil-fumarát többféle inflammatorikus és neuroinflammatorikus károsodási</w:t>
      </w:r>
      <w:r w:rsidR="000C7B0A" w:rsidRPr="00A2627F">
        <w:rPr>
          <w:rFonts w:ascii="Times New Roman" w:hAnsi="Times New Roman" w:cs="Times New Roman"/>
          <w:color w:val="000000"/>
          <w:lang w:val="hu-HU"/>
        </w:rPr>
        <w:t xml:space="preserve"> modellben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mutatott terápiás aktivitást. </w:t>
      </w:r>
    </w:p>
    <w:p w14:paraId="0133768F" w14:textId="77777777" w:rsidR="00147049" w:rsidRPr="00A2627F" w:rsidRDefault="0014704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20BFCC6" w14:textId="5B2A7D3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SM-ben szenvedő betegek bevonásával végzett III. fázisú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vizsgálatokban (DEFINE, CONFIRM és ENDORSE) a 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történő kezelés hatására az átlagos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mok átlagosan a kiindulási értékük körülbelül 30%-ával csökkentek az első év folyamán, ezután az értékek stabilizálódtak. Ezekben a vizsgálatokban azokat a betegeket, </w:t>
      </w:r>
      <w:r w:rsidR="000C7B0A" w:rsidRPr="00A2627F">
        <w:rPr>
          <w:rFonts w:ascii="Times New Roman" w:hAnsi="Times New Roman" w:cs="Times New Roman"/>
          <w:color w:val="000000"/>
          <w:lang w:val="hu-HU"/>
        </w:rPr>
        <w:t xml:space="preserve">akiknél </w:t>
      </w:r>
      <w:r w:rsidR="00D70931"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Pr="00A2627F">
        <w:rPr>
          <w:rFonts w:ascii="Times New Roman" w:hAnsi="Times New Roman" w:cs="Times New Roman"/>
          <w:color w:val="000000"/>
          <w:lang w:val="hu-HU"/>
        </w:rPr>
        <w:t>kezelés abbahagyásakor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 a </w:t>
      </w:r>
      <w:r w:rsidR="00783B35" w:rsidRPr="00A2627F">
        <w:rPr>
          <w:rStyle w:val="ts-alignment-element"/>
          <w:rFonts w:ascii="Times New Roman" w:hAnsi="Times New Roman" w:cs="Times New Roman"/>
          <w:lang w:val="hu-HU"/>
        </w:rPr>
        <w:t>normálérték</w:t>
      </w:r>
      <w:r w:rsidR="00783B35" w:rsidRPr="00A2627F">
        <w:rPr>
          <w:rFonts w:ascii="Times New Roman" w:hAnsi="Times New Roman" w:cs="Times New Roman"/>
          <w:lang w:val="hu-HU"/>
        </w:rPr>
        <w:t xml:space="preserve"> </w:t>
      </w:r>
      <w:r w:rsidR="00783B35" w:rsidRPr="00A2627F">
        <w:rPr>
          <w:rStyle w:val="ts-alignment-element"/>
          <w:rFonts w:ascii="Times New Roman" w:hAnsi="Times New Roman" w:cs="Times New Roman"/>
          <w:lang w:val="hu-HU"/>
        </w:rPr>
        <w:t>alsó</w:t>
      </w:r>
      <w:r w:rsidR="00783B35" w:rsidRPr="00A2627F">
        <w:rPr>
          <w:rFonts w:ascii="Times New Roman" w:hAnsi="Times New Roman" w:cs="Times New Roman"/>
          <w:lang w:val="hu-HU"/>
        </w:rPr>
        <w:t xml:space="preserve"> </w:t>
      </w:r>
      <w:r w:rsidR="00783B35" w:rsidRPr="00A2627F">
        <w:rPr>
          <w:rStyle w:val="ts-alignment-element"/>
          <w:rFonts w:ascii="Times New Roman" w:hAnsi="Times New Roman" w:cs="Times New Roman"/>
          <w:lang w:val="hu-HU"/>
        </w:rPr>
        <w:t>határa</w:t>
      </w:r>
      <w:r w:rsidR="00783B35" w:rsidRPr="00A2627F">
        <w:rPr>
          <w:rFonts w:ascii="Times New Roman" w:hAnsi="Times New Roman" w:cs="Times New Roman"/>
          <w:lang w:val="hu-HU"/>
        </w:rPr>
        <w:t xml:space="preserve"> </w:t>
      </w:r>
      <w:r w:rsidR="00D8634E" w:rsidRPr="00A2627F">
        <w:rPr>
          <w:rStyle w:val="ts-alignment-element"/>
          <w:rFonts w:ascii="Segoe UI" w:hAnsi="Segoe UI" w:cs="Segoe UI"/>
          <w:sz w:val="21"/>
          <w:szCs w:val="21"/>
          <w:lang w:val="hu-HU"/>
        </w:rPr>
        <w:t>(</w:t>
      </w:r>
      <w:r w:rsidRPr="00A2627F">
        <w:rPr>
          <w:rFonts w:ascii="Times New Roman" w:hAnsi="Times New Roman" w:cs="Times New Roman"/>
          <w:color w:val="000000"/>
          <w:lang w:val="hu-HU"/>
        </w:rPr>
        <w:t>LLN</w:t>
      </w:r>
      <w:r w:rsidR="002C5205" w:rsidRPr="00A2627F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EC3EE9">
        <w:rPr>
          <w:rFonts w:ascii="Times New Roman" w:hAnsi="Times New Roman" w:cs="Times New Roman"/>
          <w:color w:val="000000"/>
          <w:lang w:val="hu-HU"/>
        </w:rPr>
        <w:t>0,9</w:t>
      </w:r>
      <w:r w:rsidR="00F321C9">
        <w:rPr>
          <w:rFonts w:ascii="Times New Roman" w:hAnsi="Times New Roman" w:cs="Times New Roman"/>
          <w:color w:val="000000"/>
          <w:lang w:val="hu-HU"/>
        </w:rPr>
        <w:t>×</w:t>
      </w:r>
      <w:r w:rsidR="00EC3EE9">
        <w:rPr>
          <w:rFonts w:ascii="Times New Roman" w:hAnsi="Times New Roman" w:cs="Times New Roman"/>
          <w:color w:val="000000"/>
          <w:lang w:val="hu-HU"/>
        </w:rPr>
        <w:t>10</w:t>
      </w:r>
      <w:r w:rsidR="00EC3EE9" w:rsidRPr="00EC3EE9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</w:t>
      </w:r>
      <w:r w:rsidR="00EC3EE9">
        <w:rPr>
          <w:rFonts w:ascii="Times New Roman" w:hAnsi="Times New Roman" w:cs="Times New Roman"/>
          <w:color w:val="000000"/>
          <w:lang w:val="hu-HU"/>
        </w:rPr>
        <w:t>l</w:t>
      </w:r>
      <w:r w:rsidRPr="00A2627F">
        <w:rPr>
          <w:rFonts w:ascii="Times New Roman" w:hAnsi="Times New Roman" w:cs="Times New Roman"/>
          <w:color w:val="000000"/>
          <w:lang w:val="hu-HU"/>
        </w:rPr>
        <w:t>) alatt volt,</w:t>
      </w:r>
      <w:r w:rsidR="00C367F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C7B0A" w:rsidRPr="00A2627F">
        <w:rPr>
          <w:rFonts w:ascii="Times New Roman" w:hAnsi="Times New Roman" w:cs="Times New Roman"/>
          <w:color w:val="000000"/>
          <w:lang w:val="hu-HU"/>
        </w:rPr>
        <w:t xml:space="preserve">mindaddig </w:t>
      </w:r>
      <w:r w:rsidRPr="00A2627F">
        <w:rPr>
          <w:rFonts w:ascii="Times New Roman" w:hAnsi="Times New Roman" w:cs="Times New Roman"/>
          <w:color w:val="000000"/>
          <w:lang w:val="hu-HU"/>
        </w:rPr>
        <w:t>monitorozták, amíg a lymphoc</w:t>
      </w:r>
      <w:r w:rsidR="00814D5F">
        <w:rPr>
          <w:rFonts w:ascii="Times New Roman" w:hAnsi="Times New Roman" w:cs="Times New Roman"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color w:val="000000"/>
          <w:lang w:val="hu-HU"/>
        </w:rPr>
        <w:t>m visszatért az LLN-szintre.</w:t>
      </w:r>
    </w:p>
    <w:p w14:paraId="219E5F32" w14:textId="441B6D3F" w:rsidR="00433D73" w:rsidRPr="00A2627F" w:rsidRDefault="00433D73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82AB07A" w14:textId="27FC5DF0" w:rsidR="00433D73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1.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ábra azon betegek arányát mutatja, akik a becslések szerint hosszan tartó, súlyos lymphopenia nélkül elérik az LLN-szintet a Kaplan–Meier-módszer alapján. A meghatározás szerint a lymphoc</w:t>
      </w:r>
      <w:r w:rsidR="00FA06E6">
        <w:rPr>
          <w:rFonts w:ascii="Times New Roman" w:hAnsi="Times New Roman" w:cs="Times New Roman"/>
          <w:color w:val="000000"/>
          <w:lang w:val="hu-HU"/>
        </w:rPr>
        <w:t>yta</w:t>
      </w:r>
      <w:r w:rsidR="00FA06E6">
        <w:rPr>
          <w:rFonts w:ascii="Times New Roman" w:hAnsi="Times New Roman" w:cs="Times New Roman"/>
          <w:color w:val="000000"/>
          <w:lang w:val="hu-HU"/>
        </w:rPr>
        <w:noBreakHyphen/>
      </w:r>
      <w:r w:rsidR="00814D5F">
        <w:rPr>
          <w:rFonts w:ascii="Times New Roman" w:hAnsi="Times New Roman" w:cs="Times New Roman"/>
          <w:color w:val="000000"/>
          <w:lang w:val="hu-HU"/>
        </w:rPr>
        <w:t>szá</w:t>
      </w:r>
      <w:r w:rsidRPr="00A2627F">
        <w:rPr>
          <w:rFonts w:ascii="Times New Roman" w:hAnsi="Times New Roman" w:cs="Times New Roman"/>
          <w:color w:val="000000"/>
          <w:lang w:val="hu-HU"/>
        </w:rPr>
        <w:t>m helyreállásának kiindulási értéke (</w:t>
      </w:r>
      <w:r w:rsidRPr="00FA06E6">
        <w:rPr>
          <w:rFonts w:ascii="Times New Roman" w:hAnsi="Times New Roman" w:cs="Times New Roman"/>
          <w:i/>
          <w:color w:val="000000"/>
          <w:lang w:val="hu-HU"/>
        </w:rPr>
        <w:t>recovery baseline</w:t>
      </w:r>
      <w:r w:rsidRPr="00A2627F">
        <w:rPr>
          <w:rFonts w:ascii="Times New Roman" w:hAnsi="Times New Roman" w:cs="Times New Roman"/>
          <w:color w:val="000000"/>
          <w:lang w:val="hu-HU"/>
        </w:rPr>
        <w:t>, RBL) a kezelés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leállítását megelőzően, a kezelés alatt mért utolsó ALC. Azon betegek becsült arányát, akik a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kiinduláskor (RBL) enyhe, közepesen súlyos vagy súlyos fokú lymphopeniában szenvedtek, és a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lymphoc</w:t>
      </w:r>
      <w:r w:rsidR="00FA06E6">
        <w:rPr>
          <w:rFonts w:ascii="Times New Roman" w:hAnsi="Times New Roman" w:cs="Times New Roman"/>
          <w:color w:val="000000"/>
          <w:lang w:val="hu-HU"/>
        </w:rPr>
        <w:t>yta</w:t>
      </w:r>
      <w:r w:rsidR="00FA06E6">
        <w:rPr>
          <w:rFonts w:ascii="Times New Roman" w:hAnsi="Times New Roman" w:cs="Times New Roman"/>
          <w:color w:val="000000"/>
          <w:lang w:val="hu-HU"/>
        </w:rPr>
        <w:noBreakHyphen/>
      </w:r>
      <w:r w:rsidR="00814D5F">
        <w:rPr>
          <w:rFonts w:ascii="Times New Roman" w:hAnsi="Times New Roman" w:cs="Times New Roman"/>
          <w:color w:val="000000"/>
          <w:lang w:val="hu-HU"/>
        </w:rPr>
        <w:t>szá</w:t>
      </w:r>
      <w:r w:rsidRPr="00A2627F">
        <w:rPr>
          <w:rFonts w:ascii="Times New Roman" w:hAnsi="Times New Roman" w:cs="Times New Roman"/>
          <w:color w:val="000000"/>
          <w:lang w:val="hu-HU"/>
        </w:rPr>
        <w:t>muk a 12.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hétre és a 24.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hétre eléri az LLN-szintet (ALC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≥ 0,9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>10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9</w:t>
      </w:r>
      <w:r w:rsidRPr="00A2627F">
        <w:rPr>
          <w:rFonts w:ascii="Times New Roman" w:hAnsi="Times New Roman" w:cs="Times New Roman"/>
          <w:color w:val="000000"/>
          <w:lang w:val="hu-HU"/>
        </w:rPr>
        <w:t>/l), az 1. táblázat,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2.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táblázat és a 3.</w:t>
      </w:r>
      <w:r w:rsidR="006115E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táblázat mutatja be 95%-os pontonkénti konfidenciaintervallummal. A túlélési függvény Kaplan–Meier-féle becslésének standard hibája Greenwood-képlettel kerül kiszámításra.</w:t>
      </w:r>
      <w:r w:rsidR="002641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31DE522D" w14:textId="77777777" w:rsidR="007A6CF9" w:rsidRPr="00A2627F" w:rsidRDefault="007A6CF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FF0000"/>
          <w:lang w:val="hu-HU"/>
        </w:rPr>
      </w:pPr>
    </w:p>
    <w:p w14:paraId="06F1F017" w14:textId="173C237A" w:rsidR="00CE38C4" w:rsidRPr="00A2627F" w:rsidRDefault="007C391E" w:rsidP="00FA06E6">
      <w:pPr>
        <w:keepNext/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bookmarkStart w:id="14" w:name="br15"/>
      <w:bookmarkEnd w:id="14"/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lastRenderedPageBreak/>
        <w:t>1.</w:t>
      </w:r>
      <w:r w:rsidRPr="00A2627F">
        <w:rPr>
          <w:rFonts w:ascii="Times New Roman" w:hAnsi="Times New Roman" w:cs="Times New Roman"/>
          <w:b/>
          <w:bCs/>
          <w:color w:val="000000"/>
          <w:spacing w:val="6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ábra:</w:t>
      </w:r>
      <w:r w:rsidRPr="00A2627F">
        <w:rPr>
          <w:rFonts w:ascii="Times New Roman" w:hAnsi="Times New Roman" w:cs="Times New Roman"/>
          <w:b/>
          <w:bCs/>
          <w:color w:val="000000"/>
          <w:spacing w:val="-6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Kaplan–Meier-módszer;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Azon betegek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aránya,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akiknél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lymphoc</w:t>
      </w:r>
      <w:r w:rsidR="00814D5F">
        <w:rPr>
          <w:rFonts w:ascii="Times New Roman" w:hAnsi="Times New Roman" w:cs="Times New Roman"/>
          <w:b/>
          <w:bCs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kiindulási</w:t>
      </w:r>
      <w:r w:rsidRPr="00A2627F">
        <w:rPr>
          <w:rFonts w:ascii="Times New Roman" w:hAnsi="Times New Roman" w:cs="Times New Roman"/>
          <w:b/>
          <w:bCs/>
          <w:color w:val="000000"/>
          <w:spacing w:val="37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értékről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(RBL)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visszatér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≥</w:t>
      </w:r>
      <w:r w:rsidR="006115E4" w:rsidRPr="00A2627F">
        <w:rPr>
          <w:rFonts w:ascii="Times New Roman" w:hAnsi="Times New Roman" w:cs="Times New Roman"/>
          <w:b/>
          <w:bCs/>
          <w:color w:val="000000"/>
          <w:spacing w:val="3"/>
          <w:lang w:val="hu-HU"/>
        </w:rPr>
        <w:t> 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910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sejt/</w:t>
      </w:r>
      <w:r w:rsidRPr="00EC3EE9">
        <w:rPr>
          <w:rFonts w:ascii="Times New Roman" w:hAnsi="Times New Roman" w:cs="Times New Roman"/>
          <w:b/>
          <w:bCs/>
          <w:color w:val="000000"/>
          <w:lang w:val="hu-HU"/>
        </w:rPr>
        <w:t>mm</w:t>
      </w:r>
      <w:r w:rsidRPr="00EC3EE9">
        <w:rPr>
          <w:rFonts w:ascii="Times New Roman" w:hAnsi="Times New Roman" w:cs="Times New Roman"/>
          <w:b/>
          <w:bCs/>
          <w:color w:val="000000"/>
          <w:vertAlign w:val="superscript"/>
          <w:lang w:val="hu-HU"/>
        </w:rPr>
        <w:t>3</w:t>
      </w:r>
      <w:r w:rsidRPr="00110482">
        <w:rPr>
          <w:rFonts w:ascii="Times New Roman" w:hAnsi="Times New Roman" w:cs="Times New Roman"/>
          <w:b/>
          <w:bCs/>
          <w:color w:val="000000"/>
          <w:spacing w:val="20"/>
          <w:lang w:val="hu-HU"/>
        </w:rPr>
        <w:t xml:space="preserve"> </w:t>
      </w:r>
      <w:r w:rsidR="00110482" w:rsidRPr="00110482">
        <w:rPr>
          <w:rFonts w:ascii="Times New Roman" w:hAnsi="Times New Roman" w:cs="Times New Roman"/>
          <w:b/>
          <w:bCs/>
          <w:color w:val="000000"/>
          <w:spacing w:val="20"/>
          <w:lang w:val="hu-HU"/>
        </w:rPr>
        <w:t>(</w:t>
      </w:r>
      <w:r w:rsidR="00EC3EE9" w:rsidRPr="00EC3EE9">
        <w:rPr>
          <w:rFonts w:ascii="Times New Roman" w:hAnsi="Times New Roman" w:cs="Times New Roman"/>
          <w:b/>
          <w:bCs/>
          <w:color w:val="000000"/>
          <w:lang w:val="hu-HU"/>
        </w:rPr>
        <w:t>0,9</w:t>
      </w:r>
      <w:r w:rsidR="00F321C9">
        <w:rPr>
          <w:rFonts w:ascii="Times New Roman" w:hAnsi="Times New Roman" w:cs="Times New Roman"/>
          <w:b/>
          <w:bCs/>
          <w:color w:val="000000"/>
          <w:lang w:val="hu-HU"/>
        </w:rPr>
        <w:t>×</w:t>
      </w:r>
      <w:r w:rsidR="00EC3EE9" w:rsidRPr="00EC3EE9">
        <w:rPr>
          <w:rFonts w:ascii="Times New Roman" w:hAnsi="Times New Roman" w:cs="Times New Roman"/>
          <w:b/>
          <w:bCs/>
          <w:color w:val="000000"/>
          <w:lang w:val="hu-HU"/>
        </w:rPr>
        <w:t>10</w:t>
      </w:r>
      <w:r w:rsidR="00EC3EE9" w:rsidRPr="00EC3EE9">
        <w:rPr>
          <w:rFonts w:ascii="Times New Roman" w:hAnsi="Times New Roman" w:cs="Times New Roman"/>
          <w:b/>
          <w:bCs/>
          <w:color w:val="000000"/>
          <w:vertAlign w:val="superscript"/>
          <w:lang w:val="hu-HU"/>
        </w:rPr>
        <w:t>9</w:t>
      </w:r>
      <w:r w:rsidR="00EC3EE9" w:rsidRPr="00EC3EE9">
        <w:rPr>
          <w:rFonts w:ascii="Times New Roman" w:hAnsi="Times New Roman" w:cs="Times New Roman"/>
          <w:b/>
          <w:bCs/>
          <w:color w:val="000000"/>
          <w:lang w:val="hu-HU"/>
        </w:rPr>
        <w:t>/l</w:t>
      </w:r>
      <w:r w:rsidR="00110482">
        <w:rPr>
          <w:rFonts w:ascii="Times New Roman" w:hAnsi="Times New Roman" w:cs="Times New Roman"/>
          <w:b/>
          <w:bCs/>
          <w:color w:val="000000"/>
          <w:lang w:val="hu-HU"/>
        </w:rPr>
        <w:t>)</w:t>
      </w:r>
      <w:r w:rsidR="00EC3EE9"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LLN-szintre</w:t>
      </w:r>
    </w:p>
    <w:p w14:paraId="154D1780" w14:textId="69247487" w:rsidR="00433D73" w:rsidRPr="00A2627F" w:rsidRDefault="00433D73" w:rsidP="00EC63F3">
      <w:pPr>
        <w:spacing w:before="0" w:after="0" w:line="240" w:lineRule="auto"/>
        <w:ind w:left="142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eastAsia="SimSun" w:hAnsi="Times New Roman" w:cs="Times New Roman"/>
          <w:noProof/>
          <w:sz w:val="20"/>
          <w:szCs w:val="20"/>
          <w:lang w:val="hu-HU" w:eastAsia="hu-HU"/>
        </w:rPr>
        <w:drawing>
          <wp:inline distT="0" distB="0" distL="0" distR="0" wp14:anchorId="36975C06" wp14:editId="67B22B1E">
            <wp:extent cx="5711825" cy="3096895"/>
            <wp:effectExtent l="0" t="0" r="317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73471" w14:textId="6E717060" w:rsidR="00EC3EE9" w:rsidRPr="00EC3EE9" w:rsidRDefault="00EC3EE9" w:rsidP="00EC3EE9">
      <w:pPr>
        <w:spacing w:after="14" w:line="248" w:lineRule="auto"/>
        <w:ind w:right="693"/>
        <w:rPr>
          <w:rFonts w:ascii="Times New Roman" w:hAnsi="Times New Roman" w:cs="Times New Roman"/>
          <w:lang w:val="hu-HU"/>
        </w:rPr>
      </w:pPr>
      <w:r w:rsidRPr="00EC3EE9">
        <w:rPr>
          <w:rFonts w:ascii="Times New Roman" w:hAnsi="Times New Roman" w:cs="Times New Roman"/>
          <w:lang w:val="hu-HU"/>
        </w:rPr>
        <w:t>Megjegyzés: 500 sejt/mm</w:t>
      </w:r>
      <w:r w:rsidRPr="00EC3EE9">
        <w:rPr>
          <w:rFonts w:ascii="Times New Roman" w:hAnsi="Times New Roman" w:cs="Times New Roman"/>
          <w:vertAlign w:val="superscript"/>
          <w:lang w:val="hu-HU"/>
        </w:rPr>
        <w:t>3</w:t>
      </w:r>
      <w:r w:rsidRPr="00EC3EE9">
        <w:rPr>
          <w:rFonts w:ascii="Times New Roman" w:hAnsi="Times New Roman" w:cs="Times New Roman"/>
          <w:lang w:val="hu-HU"/>
        </w:rPr>
        <w:t xml:space="preserve"> = 0,5×10</w:t>
      </w:r>
      <w:r w:rsidRPr="00EC3EE9">
        <w:rPr>
          <w:rFonts w:ascii="Times New Roman" w:hAnsi="Times New Roman" w:cs="Times New Roman"/>
          <w:vertAlign w:val="superscript"/>
          <w:lang w:val="hu-HU"/>
        </w:rPr>
        <w:t>9</w:t>
      </w:r>
      <w:r w:rsidRPr="00EC3EE9">
        <w:rPr>
          <w:rFonts w:ascii="Times New Roman" w:hAnsi="Times New Roman" w:cs="Times New Roman"/>
          <w:lang w:val="hu-HU"/>
        </w:rPr>
        <w:t>/l; 800 sejt/mm</w:t>
      </w:r>
      <w:r w:rsidRPr="00EC3EE9">
        <w:rPr>
          <w:rFonts w:ascii="Times New Roman" w:hAnsi="Times New Roman" w:cs="Times New Roman"/>
          <w:vertAlign w:val="superscript"/>
          <w:lang w:val="hu-HU"/>
        </w:rPr>
        <w:t>3</w:t>
      </w:r>
      <w:r w:rsidRPr="00EC3EE9">
        <w:rPr>
          <w:rFonts w:ascii="Times New Roman" w:hAnsi="Times New Roman" w:cs="Times New Roman"/>
          <w:lang w:val="hu-HU"/>
        </w:rPr>
        <w:t xml:space="preserve"> = 0,8 10</w:t>
      </w:r>
      <w:r w:rsidRPr="00EC3EE9">
        <w:rPr>
          <w:rFonts w:ascii="Times New Roman" w:hAnsi="Times New Roman" w:cs="Times New Roman"/>
          <w:vertAlign w:val="superscript"/>
          <w:lang w:val="hu-HU"/>
        </w:rPr>
        <w:t>9</w:t>
      </w:r>
      <w:r w:rsidRPr="00EC3EE9">
        <w:rPr>
          <w:rFonts w:ascii="Times New Roman" w:hAnsi="Times New Roman" w:cs="Times New Roman"/>
          <w:lang w:val="hu-HU"/>
        </w:rPr>
        <w:t>/l; 910 sejt/mm</w:t>
      </w:r>
      <w:r w:rsidRPr="00EC3EE9">
        <w:rPr>
          <w:rFonts w:ascii="Times New Roman" w:hAnsi="Times New Roman" w:cs="Times New Roman"/>
          <w:vertAlign w:val="superscript"/>
          <w:lang w:val="hu-HU"/>
        </w:rPr>
        <w:t>3</w:t>
      </w:r>
      <w:r w:rsidRPr="00EC3EE9">
        <w:rPr>
          <w:rFonts w:ascii="Times New Roman" w:hAnsi="Times New Roman" w:cs="Times New Roman"/>
          <w:lang w:val="hu-HU"/>
        </w:rPr>
        <w:t xml:space="preserve"> = 0,9×10</w:t>
      </w:r>
      <w:r w:rsidRPr="00EC3EE9">
        <w:rPr>
          <w:rFonts w:ascii="Times New Roman" w:hAnsi="Times New Roman" w:cs="Times New Roman"/>
          <w:vertAlign w:val="superscript"/>
          <w:lang w:val="hu-HU"/>
        </w:rPr>
        <w:t>9</w:t>
      </w:r>
      <w:r w:rsidRPr="00EC3EE9">
        <w:rPr>
          <w:rFonts w:ascii="Times New Roman" w:hAnsi="Times New Roman" w:cs="Times New Roman"/>
          <w:lang w:val="hu-HU"/>
        </w:rPr>
        <w:t xml:space="preserve">/l. </w:t>
      </w:r>
    </w:p>
    <w:p w14:paraId="59CACD02" w14:textId="77777777" w:rsidR="001E515B" w:rsidRPr="00A2627F" w:rsidRDefault="001E515B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0A944773" w14:textId="10F10751" w:rsidR="00CE38C4" w:rsidRPr="00A2627F" w:rsidRDefault="000C7B0A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2. táblázat: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Kaplan–Meier-módszer;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Azon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aránya, akiknél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lymphoc</w:t>
      </w:r>
      <w:r w:rsidR="00814D5F">
        <w:rPr>
          <w:rFonts w:ascii="Times New Roman" w:hAnsi="Times New Roman" w:cs="Times New Roman"/>
          <w:b/>
          <w:bCs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becslések</w:t>
      </w:r>
      <w:r w:rsidRPr="00A2627F">
        <w:rPr>
          <w:rFonts w:ascii="Times New Roman" w:hAnsi="Times New Roman" w:cs="Times New Roman"/>
          <w:b/>
          <w:bCs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szerint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eléri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az</w:t>
      </w:r>
      <w:r w:rsidRPr="00A2627F">
        <w:rPr>
          <w:rFonts w:ascii="Times New Roman" w:hAnsi="Times New Roman" w:cs="Times New Roman"/>
          <w:b/>
          <w:bCs/>
          <w:color w:val="000000"/>
          <w:spacing w:val="-4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LLN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-szin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tet,</w:t>
      </w:r>
      <w:r w:rsidRPr="00A2627F">
        <w:rPr>
          <w:rFonts w:ascii="Times New Roman" w:hAnsi="Times New Roman" w:cs="Times New Roman"/>
          <w:b/>
          <w:bCs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kiinduláskor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(RBL)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enyhe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Pr="00A2627F">
        <w:rPr>
          <w:rFonts w:ascii="Times New Roman" w:hAnsi="Times New Roman" w:cs="Times New Roman"/>
          <w:b/>
          <w:bCs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szenvednek, kivéve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hosszan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tartó,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súlyos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szenvedő betegeket</w:t>
      </w:r>
    </w:p>
    <w:p w14:paraId="7D4F2D07" w14:textId="77777777" w:rsidR="00AE072E" w:rsidRPr="00A2627F" w:rsidRDefault="00AE072E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9"/>
        <w:gridCol w:w="1761"/>
        <w:gridCol w:w="1948"/>
        <w:gridCol w:w="1806"/>
      </w:tblGrid>
      <w:tr w:rsidR="00AE072E" w:rsidRPr="00A2627F" w14:paraId="78AE65C3" w14:textId="77777777" w:rsidTr="00871A47">
        <w:tc>
          <w:tcPr>
            <w:tcW w:w="3539" w:type="dxa"/>
          </w:tcPr>
          <w:p w14:paraId="1592669E" w14:textId="14FBFE79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bookmarkStart w:id="15" w:name="_Hlk120106113"/>
            <w:r w:rsidRPr="00A2627F">
              <w:rPr>
                <w:b/>
                <w:bCs/>
                <w:color w:val="000000"/>
                <w:lang w:val="hu-HU" w:eastAsia="en-GB"/>
              </w:rPr>
              <w:t xml:space="preserve">Enyhe </w:t>
            </w:r>
            <w:r w:rsidR="00894B04">
              <w:rPr>
                <w:b/>
                <w:bCs/>
                <w:color w:val="000000"/>
                <w:lang w:val="hu-HU" w:eastAsia="en-GB"/>
              </w:rPr>
              <w:t xml:space="preserve">fokú </w:t>
            </w:r>
            <w:r w:rsidRPr="00A2627F">
              <w:rPr>
                <w:b/>
                <w:bCs/>
                <w:color w:val="000000"/>
                <w:lang w:val="hu-HU" w:eastAsia="en-GB"/>
              </w:rPr>
              <w:t>lymphopeniát</w:t>
            </w:r>
            <w:r w:rsidRPr="00A2627F">
              <w:rPr>
                <w:b/>
                <w:bCs/>
                <w:color w:val="000000"/>
                <w:vertAlign w:val="superscript"/>
                <w:lang w:val="hu-HU" w:eastAsia="en-GB"/>
              </w:rPr>
              <w:t>a</w:t>
            </w:r>
            <w:r w:rsidRPr="00A2627F">
              <w:rPr>
                <w:b/>
                <w:bCs/>
                <w:color w:val="000000"/>
                <w:lang w:val="hu-HU" w:eastAsia="en-GB"/>
              </w:rPr>
              <w:t xml:space="preserve"> mutató, kockázatnak kitett betegek száma </w:t>
            </w:r>
          </w:p>
          <w:p w14:paraId="2C77703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761" w:type="dxa"/>
          </w:tcPr>
          <w:p w14:paraId="7D1916B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Kiindulás</w:t>
            </w:r>
          </w:p>
          <w:p w14:paraId="46896CC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86</w:t>
            </w:r>
          </w:p>
        </w:tc>
        <w:tc>
          <w:tcPr>
            <w:tcW w:w="1948" w:type="dxa"/>
          </w:tcPr>
          <w:p w14:paraId="211F09B4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12. hét</w:t>
            </w:r>
          </w:p>
          <w:p w14:paraId="3EC3F81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12</w:t>
            </w:r>
          </w:p>
        </w:tc>
        <w:tc>
          <w:tcPr>
            <w:tcW w:w="1806" w:type="dxa"/>
          </w:tcPr>
          <w:p w14:paraId="7F11389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 xml:space="preserve">24. hét </w:t>
            </w:r>
          </w:p>
          <w:p w14:paraId="52B4AF1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 xml:space="preserve">N = 4 </w:t>
            </w:r>
          </w:p>
        </w:tc>
      </w:tr>
      <w:tr w:rsidR="00AE072E" w:rsidRPr="00A2627F" w14:paraId="134A5049" w14:textId="77777777" w:rsidTr="00871A47">
        <w:tc>
          <w:tcPr>
            <w:tcW w:w="3539" w:type="dxa"/>
          </w:tcPr>
          <w:p w14:paraId="1E1D0C71" w14:textId="77777777" w:rsidR="00FA06E6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 xml:space="preserve">LLN-szintet elérők aránya </w:t>
            </w:r>
          </w:p>
          <w:p w14:paraId="1A6D98EA" w14:textId="09B26C65" w:rsidR="00AE072E" w:rsidRPr="00A2627F" w:rsidRDefault="00AE072E" w:rsidP="00FA06E6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lang w:val="hu-HU" w:eastAsia="en-GB"/>
              </w:rPr>
              <w:t xml:space="preserve">(95%-os CI) </w:t>
            </w:r>
          </w:p>
        </w:tc>
        <w:tc>
          <w:tcPr>
            <w:tcW w:w="1761" w:type="dxa"/>
          </w:tcPr>
          <w:p w14:paraId="7990137C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948" w:type="dxa"/>
          </w:tcPr>
          <w:p w14:paraId="27486B04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 xml:space="preserve">0,81 </w:t>
            </w:r>
          </w:p>
          <w:p w14:paraId="203E52B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 xml:space="preserve">(0,71–0,89) </w:t>
            </w:r>
          </w:p>
        </w:tc>
        <w:tc>
          <w:tcPr>
            <w:tcW w:w="1806" w:type="dxa"/>
          </w:tcPr>
          <w:p w14:paraId="11F9182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 xml:space="preserve">0,90 </w:t>
            </w:r>
          </w:p>
          <w:p w14:paraId="1C20041B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 xml:space="preserve">(0,81–0,96) </w:t>
            </w:r>
          </w:p>
        </w:tc>
      </w:tr>
    </w:tbl>
    <w:bookmarkEnd w:id="15"/>
    <w:p w14:paraId="7585B6E1" w14:textId="4A4B1653" w:rsidR="00CE38C4" w:rsidRPr="00FA06E6" w:rsidRDefault="007C391E" w:rsidP="00EC63F3">
      <w:pPr>
        <w:spacing w:before="0" w:after="0" w:line="240" w:lineRule="auto"/>
        <w:jc w:val="left"/>
        <w:rPr>
          <w:rFonts w:ascii="Times New Roman" w:eastAsia="SimSun" w:hAnsi="Times New Roman" w:cs="Times New Roman"/>
          <w:snapToGrid w:val="0"/>
          <w:lang w:val="hu-HU" w:eastAsia="zh-CN"/>
        </w:rPr>
      </w:pPr>
      <w:r w:rsidRPr="00FA06E6">
        <w:rPr>
          <w:rFonts w:ascii="Times New Roman" w:eastAsia="SimSun" w:hAnsi="Times New Roman" w:cs="Times New Roman"/>
          <w:snapToGrid w:val="0"/>
          <w:vertAlign w:val="superscript"/>
          <w:lang w:val="hu-HU" w:eastAsia="zh-CN"/>
        </w:rPr>
        <w:t>a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 xml:space="preserve"> Kiinduláskor (RBL) </w:t>
      </w:r>
      <w:r w:rsidR="007A3637" w:rsidRPr="00FA06E6">
        <w:rPr>
          <w:rFonts w:ascii="Times New Roman" w:hAnsi="Times New Roman" w:cs="Times New Roman"/>
        </w:rPr>
        <w:t>&lt;</w:t>
      </w:r>
      <w:r w:rsidR="00FA06E6">
        <w:rPr>
          <w:rFonts w:ascii="Times New Roman" w:hAnsi="Times New Roman" w:cs="Times New Roman"/>
        </w:rPr>
        <w:t> </w:t>
      </w:r>
      <w:r w:rsidR="007A3637" w:rsidRPr="00FA06E6">
        <w:rPr>
          <w:rFonts w:ascii="Times New Roman" w:hAnsi="Times New Roman" w:cs="Times New Roman"/>
        </w:rPr>
        <w:t>0,9×10</w:t>
      </w:r>
      <w:r w:rsidR="007A3637" w:rsidRPr="00FA06E6">
        <w:rPr>
          <w:rFonts w:ascii="Times New Roman" w:hAnsi="Times New Roman" w:cs="Times New Roman"/>
          <w:vertAlign w:val="superscript"/>
        </w:rPr>
        <w:t>9</w:t>
      </w:r>
      <w:r w:rsidR="007A3637" w:rsidRPr="00FA06E6">
        <w:rPr>
          <w:rFonts w:ascii="Times New Roman" w:hAnsi="Times New Roman" w:cs="Times New Roman"/>
        </w:rPr>
        <w:t>/l és ≥</w:t>
      </w:r>
      <w:r w:rsidR="00FA06E6">
        <w:rPr>
          <w:rFonts w:ascii="Times New Roman" w:hAnsi="Times New Roman" w:cs="Times New Roman"/>
        </w:rPr>
        <w:t> </w:t>
      </w:r>
      <w:r w:rsidR="007A3637" w:rsidRPr="00FA06E6">
        <w:rPr>
          <w:rFonts w:ascii="Times New Roman" w:hAnsi="Times New Roman" w:cs="Times New Roman"/>
        </w:rPr>
        <w:t>0,8×10</w:t>
      </w:r>
      <w:r w:rsidR="007A3637" w:rsidRPr="00FA06E6">
        <w:rPr>
          <w:rFonts w:ascii="Times New Roman" w:hAnsi="Times New Roman" w:cs="Times New Roman"/>
          <w:vertAlign w:val="superscript"/>
        </w:rPr>
        <w:t>9</w:t>
      </w:r>
      <w:r w:rsidR="007A3637" w:rsidRPr="00FA06E6">
        <w:rPr>
          <w:rFonts w:ascii="Times New Roman" w:hAnsi="Times New Roman" w:cs="Times New Roman"/>
        </w:rPr>
        <w:t>/l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 xml:space="preserve"> ALC-t mutató betegek, kivéve a hosszan tartó, súlyos</w:t>
      </w:r>
      <w:r w:rsidR="001E515B" w:rsidRPr="00FA06E6">
        <w:rPr>
          <w:rFonts w:ascii="Times New Roman" w:eastAsia="SimSun" w:hAnsi="Times New Roman" w:cs="Times New Roman"/>
          <w:snapToGrid w:val="0"/>
          <w:lang w:val="hu-HU" w:eastAsia="zh-CN"/>
        </w:rPr>
        <w:t xml:space="preserve"> 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>lymphopeniában szenvedő betegeket.</w:t>
      </w:r>
    </w:p>
    <w:p w14:paraId="713F5A0B" w14:textId="77777777" w:rsidR="00AE072E" w:rsidRPr="00FA06E6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90B5311" w14:textId="3DA455A1" w:rsidR="00AE072E" w:rsidRDefault="000C7B0A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3. táblázat: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Kaplan–Meier-módszer;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Azon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aránya, akiknél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lymphoc</w:t>
      </w:r>
      <w:r w:rsidR="00814D5F">
        <w:rPr>
          <w:rFonts w:ascii="Times New Roman" w:hAnsi="Times New Roman" w:cs="Times New Roman"/>
          <w:b/>
          <w:bCs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becslések</w:t>
      </w:r>
      <w:r w:rsidRPr="00A2627F">
        <w:rPr>
          <w:rFonts w:ascii="Times New Roman" w:hAnsi="Times New Roman" w:cs="Times New Roman"/>
          <w:b/>
          <w:bCs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szerint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eléri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az</w:t>
      </w:r>
      <w:r w:rsidRPr="00A2627F">
        <w:rPr>
          <w:rFonts w:ascii="Times New Roman" w:hAnsi="Times New Roman" w:cs="Times New Roman"/>
          <w:b/>
          <w:bCs/>
          <w:color w:val="000000"/>
          <w:spacing w:val="-4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LLN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-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szintet,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kiinduláskor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(RBL)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közepesen súlyos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="00AE072E"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szenvednek, kivéve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hosszan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tartó,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súlyos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szenvedő betegeket</w:t>
      </w:r>
    </w:p>
    <w:p w14:paraId="08DE125C" w14:textId="77777777" w:rsidR="00A91A18" w:rsidRPr="00A2627F" w:rsidRDefault="00A91A18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3347"/>
        <w:gridCol w:w="1958"/>
        <w:gridCol w:w="1948"/>
        <w:gridCol w:w="1806"/>
      </w:tblGrid>
      <w:tr w:rsidR="00AE072E" w:rsidRPr="00A2627F" w14:paraId="75441426" w14:textId="77777777" w:rsidTr="00FA06E6">
        <w:tc>
          <w:tcPr>
            <w:tcW w:w="3347" w:type="dxa"/>
          </w:tcPr>
          <w:p w14:paraId="25EC4927" w14:textId="472B006C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bookmarkStart w:id="16" w:name="_Hlk120106071"/>
            <w:r w:rsidRPr="00A2627F">
              <w:rPr>
                <w:b/>
                <w:bCs/>
                <w:color w:val="000000"/>
                <w:lang w:val="hu-HU" w:eastAsia="en-GB"/>
              </w:rPr>
              <w:t>Közepes</w:t>
            </w:r>
            <w:r w:rsidR="00894B04">
              <w:rPr>
                <w:b/>
                <w:bCs/>
                <w:color w:val="000000"/>
                <w:lang w:val="hu-HU" w:eastAsia="en-GB"/>
              </w:rPr>
              <w:t xml:space="preserve"> fokú</w:t>
            </w:r>
            <w:r w:rsidRPr="00A2627F">
              <w:rPr>
                <w:b/>
                <w:bCs/>
                <w:color w:val="000000"/>
                <w:lang w:val="hu-HU" w:eastAsia="en-GB"/>
              </w:rPr>
              <w:t xml:space="preserve"> lymphopeniát</w:t>
            </w:r>
            <w:r w:rsidRPr="00A2627F">
              <w:rPr>
                <w:b/>
                <w:bCs/>
                <w:color w:val="000000"/>
                <w:vertAlign w:val="superscript"/>
                <w:lang w:val="hu-HU" w:eastAsia="en-GB"/>
              </w:rPr>
              <w:t xml:space="preserve">a </w:t>
            </w:r>
            <w:r w:rsidRPr="00A2627F">
              <w:rPr>
                <w:b/>
                <w:bCs/>
                <w:color w:val="000000"/>
                <w:lang w:val="hu-HU" w:eastAsia="en-GB"/>
              </w:rPr>
              <w:t xml:space="preserve">mutató, kockázatnak kitett betegek száma </w:t>
            </w:r>
          </w:p>
        </w:tc>
        <w:tc>
          <w:tcPr>
            <w:tcW w:w="1958" w:type="dxa"/>
          </w:tcPr>
          <w:p w14:paraId="74BF31D6" w14:textId="77777777" w:rsidR="00AE072E" w:rsidRPr="00A2627F" w:rsidRDefault="00AE072E" w:rsidP="0056504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Kiindulás</w:t>
            </w:r>
          </w:p>
          <w:p w14:paraId="65E7C252" w14:textId="77777777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124</w:t>
            </w:r>
          </w:p>
        </w:tc>
        <w:tc>
          <w:tcPr>
            <w:tcW w:w="1948" w:type="dxa"/>
          </w:tcPr>
          <w:p w14:paraId="0716AD11" w14:textId="77777777" w:rsidR="00AE072E" w:rsidRPr="00A2627F" w:rsidRDefault="00AE072E" w:rsidP="0056504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12. hét</w:t>
            </w:r>
          </w:p>
          <w:p w14:paraId="0BFA2086" w14:textId="77777777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33</w:t>
            </w:r>
          </w:p>
        </w:tc>
        <w:tc>
          <w:tcPr>
            <w:tcW w:w="1806" w:type="dxa"/>
          </w:tcPr>
          <w:p w14:paraId="15BE62C3" w14:textId="39453E6A" w:rsidR="00AE072E" w:rsidRPr="00A2627F" w:rsidRDefault="00AE072E" w:rsidP="0056504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24. hét</w:t>
            </w:r>
          </w:p>
          <w:p w14:paraId="43DFA184" w14:textId="77777777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17</w:t>
            </w:r>
          </w:p>
        </w:tc>
      </w:tr>
      <w:tr w:rsidR="00AE072E" w:rsidRPr="00A2627F" w14:paraId="7B2AA189" w14:textId="77777777" w:rsidTr="00FA06E6">
        <w:tc>
          <w:tcPr>
            <w:tcW w:w="3347" w:type="dxa"/>
          </w:tcPr>
          <w:p w14:paraId="66206E0C" w14:textId="77777777" w:rsidR="00FA06E6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LLN-szintet elérők aránya</w:t>
            </w:r>
          </w:p>
          <w:p w14:paraId="7872DCC9" w14:textId="1788E168" w:rsidR="00AE072E" w:rsidRPr="00A2627F" w:rsidRDefault="00AE072E" w:rsidP="00FA06E6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lang w:val="hu-HU" w:eastAsia="en-GB"/>
              </w:rPr>
              <w:t xml:space="preserve">(95%-os CI) </w:t>
            </w:r>
          </w:p>
        </w:tc>
        <w:tc>
          <w:tcPr>
            <w:tcW w:w="1958" w:type="dxa"/>
          </w:tcPr>
          <w:p w14:paraId="698CF0C5" w14:textId="77777777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948" w:type="dxa"/>
          </w:tcPr>
          <w:p w14:paraId="5EFDA92E" w14:textId="77777777" w:rsidR="00AE072E" w:rsidRPr="00A2627F" w:rsidRDefault="00AE072E" w:rsidP="0056504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0,57</w:t>
            </w:r>
          </w:p>
          <w:p w14:paraId="44502DF7" w14:textId="30783EE7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(0,46–0,67)</w:t>
            </w:r>
          </w:p>
        </w:tc>
        <w:tc>
          <w:tcPr>
            <w:tcW w:w="1806" w:type="dxa"/>
          </w:tcPr>
          <w:p w14:paraId="530037EB" w14:textId="1011E7F5" w:rsidR="00AE072E" w:rsidRPr="00A2627F" w:rsidRDefault="00AE072E" w:rsidP="0056504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0,70</w:t>
            </w:r>
          </w:p>
          <w:p w14:paraId="4A6E0E62" w14:textId="19FC52C9" w:rsidR="00AE072E" w:rsidRPr="00A2627F" w:rsidRDefault="00AE072E" w:rsidP="0056504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(0,60-0,80)</w:t>
            </w:r>
          </w:p>
        </w:tc>
      </w:tr>
    </w:tbl>
    <w:bookmarkEnd w:id="16"/>
    <w:p w14:paraId="16786D9E" w14:textId="1D47B750" w:rsidR="00CE38C4" w:rsidRPr="00FA06E6" w:rsidRDefault="007C391E" w:rsidP="00A91A18">
      <w:pPr>
        <w:spacing w:before="0" w:after="0" w:line="240" w:lineRule="auto"/>
        <w:jc w:val="left"/>
        <w:rPr>
          <w:rFonts w:ascii="Times New Roman" w:eastAsia="SimSun" w:hAnsi="Times New Roman" w:cs="Times New Roman"/>
          <w:snapToGrid w:val="0"/>
          <w:lang w:val="hu-HU" w:eastAsia="zh-CN"/>
        </w:rPr>
      </w:pPr>
      <w:r w:rsidRPr="00FA06E6">
        <w:rPr>
          <w:rFonts w:ascii="Times New Roman" w:eastAsia="SimSun" w:hAnsi="Times New Roman" w:cs="Times New Roman"/>
          <w:snapToGrid w:val="0"/>
          <w:vertAlign w:val="superscript"/>
          <w:lang w:val="hu-HU" w:eastAsia="zh-CN"/>
        </w:rPr>
        <w:t>a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 xml:space="preserve"> Kiinduláskor (RBL) </w:t>
      </w:r>
      <w:r w:rsidR="007A3637" w:rsidRPr="00FA06E6">
        <w:rPr>
          <w:rFonts w:ascii="Times New Roman" w:hAnsi="Times New Roman" w:cs="Times New Roman"/>
        </w:rPr>
        <w:t>&lt;</w:t>
      </w:r>
      <w:r w:rsidR="00FA06E6" w:rsidRPr="00FA06E6">
        <w:rPr>
          <w:rFonts w:ascii="Times New Roman" w:hAnsi="Times New Roman" w:cs="Times New Roman"/>
        </w:rPr>
        <w:t> </w:t>
      </w:r>
      <w:r w:rsidR="007A3637" w:rsidRPr="00FA06E6">
        <w:rPr>
          <w:rFonts w:ascii="Times New Roman" w:hAnsi="Times New Roman" w:cs="Times New Roman"/>
        </w:rPr>
        <w:t>0,8×10</w:t>
      </w:r>
      <w:r w:rsidR="007A3637" w:rsidRPr="00FA06E6">
        <w:rPr>
          <w:rFonts w:ascii="Times New Roman" w:hAnsi="Times New Roman" w:cs="Times New Roman"/>
          <w:vertAlign w:val="superscript"/>
        </w:rPr>
        <w:t>9</w:t>
      </w:r>
      <w:r w:rsidR="007A3637" w:rsidRPr="00FA06E6">
        <w:rPr>
          <w:rFonts w:ascii="Times New Roman" w:hAnsi="Times New Roman" w:cs="Times New Roman"/>
        </w:rPr>
        <w:t>/l és ≥</w:t>
      </w:r>
      <w:r w:rsidR="00FA06E6" w:rsidRPr="00FA06E6">
        <w:rPr>
          <w:rFonts w:ascii="Times New Roman" w:hAnsi="Times New Roman" w:cs="Times New Roman"/>
        </w:rPr>
        <w:t> </w:t>
      </w:r>
      <w:r w:rsidR="007A3637" w:rsidRPr="00FA06E6">
        <w:rPr>
          <w:rFonts w:ascii="Times New Roman" w:hAnsi="Times New Roman" w:cs="Times New Roman"/>
        </w:rPr>
        <w:t>0,5×10</w:t>
      </w:r>
      <w:r w:rsidR="007A3637" w:rsidRPr="00FA06E6">
        <w:rPr>
          <w:rFonts w:ascii="Times New Roman" w:hAnsi="Times New Roman" w:cs="Times New Roman"/>
          <w:vertAlign w:val="superscript"/>
        </w:rPr>
        <w:t>9</w:t>
      </w:r>
      <w:r w:rsidR="007A3637" w:rsidRPr="00FA06E6">
        <w:rPr>
          <w:rFonts w:ascii="Times New Roman" w:hAnsi="Times New Roman" w:cs="Times New Roman"/>
        </w:rPr>
        <w:t>/l</w:t>
      </w:r>
      <w:r w:rsidR="007A3637" w:rsidRPr="00FA06E6" w:rsidDel="007A3637">
        <w:rPr>
          <w:rFonts w:ascii="Times New Roman" w:eastAsia="SimSun" w:hAnsi="Times New Roman" w:cs="Times New Roman"/>
          <w:snapToGrid w:val="0"/>
          <w:lang w:val="hu-HU" w:eastAsia="zh-CN"/>
        </w:rPr>
        <w:t xml:space="preserve"> 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>ALC-t mutató betegek, kivéve a hosszan tartó, súlyos</w:t>
      </w:r>
      <w:r w:rsidR="007A6CF9" w:rsidRPr="00FA06E6">
        <w:rPr>
          <w:rFonts w:ascii="Times New Roman" w:eastAsia="SimSun" w:hAnsi="Times New Roman" w:cs="Times New Roman"/>
          <w:snapToGrid w:val="0"/>
          <w:lang w:val="hu-HU" w:eastAsia="zh-CN"/>
        </w:rPr>
        <w:t xml:space="preserve"> </w:t>
      </w:r>
      <w:r w:rsidRPr="00FA06E6">
        <w:rPr>
          <w:rFonts w:ascii="Times New Roman" w:eastAsia="SimSun" w:hAnsi="Times New Roman" w:cs="Times New Roman"/>
          <w:snapToGrid w:val="0"/>
          <w:lang w:val="hu-HU" w:eastAsia="zh-CN"/>
        </w:rPr>
        <w:t>lymphopeniában szenvedő betegeket.</w:t>
      </w:r>
    </w:p>
    <w:p w14:paraId="71FECA86" w14:textId="77777777" w:rsidR="00AE072E" w:rsidRPr="00A2627F" w:rsidRDefault="00AE072E" w:rsidP="00A91A18">
      <w:pPr>
        <w:spacing w:before="0" w:after="0" w:line="240" w:lineRule="auto"/>
        <w:jc w:val="left"/>
        <w:rPr>
          <w:rFonts w:ascii="Times New Roman" w:eastAsia="SimSun" w:hAnsi="Times New Roman" w:cs="Times New Roman"/>
          <w:snapToGrid w:val="0"/>
          <w:sz w:val="20"/>
          <w:szCs w:val="20"/>
          <w:lang w:val="hu-HU" w:eastAsia="zh-CN"/>
        </w:rPr>
      </w:pPr>
    </w:p>
    <w:p w14:paraId="6E133E4A" w14:textId="635033C7" w:rsidR="00AE072E" w:rsidRDefault="000C7B0A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4. táblázat: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Kaplan–Meier-módszer;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Azon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betegek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aránya, akiknél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lymphoc</w:t>
      </w:r>
      <w:r w:rsidR="00814D5F">
        <w:rPr>
          <w:rFonts w:ascii="Times New Roman" w:hAnsi="Times New Roman" w:cs="Times New Roman"/>
          <w:b/>
          <w:bCs/>
          <w:color w:val="000000"/>
          <w:lang w:val="hu-HU"/>
        </w:rPr>
        <w:t>yta-szá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becslések</w:t>
      </w:r>
      <w:r w:rsidRPr="00A2627F">
        <w:rPr>
          <w:rFonts w:ascii="Times New Roman" w:hAnsi="Times New Roman" w:cs="Times New Roman"/>
          <w:b/>
          <w:bCs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szerint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eléri</w:t>
      </w:r>
      <w:r w:rsidRPr="00A2627F">
        <w:rPr>
          <w:rFonts w:ascii="Times New Roman" w:hAnsi="Times New Roman" w:cs="Times New Roman"/>
          <w:b/>
          <w:bCs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az</w:t>
      </w:r>
      <w:r w:rsidRPr="00A2627F">
        <w:rPr>
          <w:rFonts w:ascii="Times New Roman" w:hAnsi="Times New Roman" w:cs="Times New Roman"/>
          <w:b/>
          <w:bCs/>
          <w:color w:val="000000"/>
          <w:spacing w:val="-4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>LLN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-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szintet,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>és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kiinduláskor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(RBL)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súlyos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Pr="00A2627F">
        <w:rPr>
          <w:rFonts w:ascii="Times New Roman" w:hAnsi="Times New Roman" w:cs="Times New Roman"/>
          <w:b/>
          <w:bCs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szenvednek, kivéve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hosszan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tartó,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súlyos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lymphopeniában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szenvedő betegeket</w:t>
      </w:r>
    </w:p>
    <w:p w14:paraId="1601125F" w14:textId="77777777" w:rsidR="00A91A18" w:rsidRPr="00A2627F" w:rsidRDefault="00A91A18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9"/>
        <w:gridCol w:w="1761"/>
        <w:gridCol w:w="1948"/>
        <w:gridCol w:w="1806"/>
      </w:tblGrid>
      <w:tr w:rsidR="00AE072E" w:rsidRPr="00A2627F" w14:paraId="2DDAD32F" w14:textId="77777777" w:rsidTr="00A91A18">
        <w:tc>
          <w:tcPr>
            <w:tcW w:w="3539" w:type="dxa"/>
          </w:tcPr>
          <w:p w14:paraId="7298507E" w14:textId="0C7990D1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 xml:space="preserve">Súlyos </w:t>
            </w:r>
            <w:r w:rsidR="00894B04">
              <w:rPr>
                <w:b/>
                <w:bCs/>
                <w:color w:val="000000"/>
                <w:lang w:val="hu-HU" w:eastAsia="en-GB"/>
              </w:rPr>
              <w:t xml:space="preserve">fokú </w:t>
            </w:r>
            <w:r w:rsidRPr="00A2627F">
              <w:rPr>
                <w:b/>
                <w:bCs/>
                <w:color w:val="000000"/>
                <w:lang w:val="hu-HU" w:eastAsia="en-GB"/>
              </w:rPr>
              <w:t>lymphopeniát</w:t>
            </w:r>
            <w:r w:rsidRPr="00A2627F">
              <w:rPr>
                <w:b/>
                <w:bCs/>
                <w:color w:val="000000"/>
                <w:vertAlign w:val="superscript"/>
                <w:lang w:val="hu-HU" w:eastAsia="en-GB"/>
              </w:rPr>
              <w:t>a</w:t>
            </w:r>
            <w:r w:rsidRPr="00A2627F">
              <w:rPr>
                <w:b/>
                <w:bCs/>
                <w:color w:val="000000"/>
                <w:sz w:val="22"/>
                <w:szCs w:val="22"/>
                <w:lang w:val="hu-HU" w:eastAsia="en-GB"/>
              </w:rPr>
              <w:t xml:space="preserve"> </w:t>
            </w:r>
            <w:r w:rsidRPr="00A2627F">
              <w:rPr>
                <w:b/>
                <w:bCs/>
                <w:color w:val="000000"/>
                <w:lang w:val="hu-HU" w:eastAsia="en-GB"/>
              </w:rPr>
              <w:t>mutató, kockázatnak kitett betegek száma</w:t>
            </w:r>
          </w:p>
        </w:tc>
        <w:tc>
          <w:tcPr>
            <w:tcW w:w="1761" w:type="dxa"/>
          </w:tcPr>
          <w:p w14:paraId="5854D61A" w14:textId="77777777" w:rsidR="00AE072E" w:rsidRPr="00A2627F" w:rsidRDefault="00AE072E" w:rsidP="001E356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Kiindulás</w:t>
            </w:r>
          </w:p>
          <w:p w14:paraId="49A685AD" w14:textId="77777777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18</w:t>
            </w:r>
          </w:p>
        </w:tc>
        <w:tc>
          <w:tcPr>
            <w:tcW w:w="1948" w:type="dxa"/>
          </w:tcPr>
          <w:p w14:paraId="14631CB6" w14:textId="77777777" w:rsidR="00AE072E" w:rsidRPr="00A2627F" w:rsidRDefault="00AE072E" w:rsidP="001E356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12. hét</w:t>
            </w:r>
          </w:p>
          <w:p w14:paraId="395123F2" w14:textId="77777777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6</w:t>
            </w:r>
          </w:p>
        </w:tc>
        <w:tc>
          <w:tcPr>
            <w:tcW w:w="1806" w:type="dxa"/>
          </w:tcPr>
          <w:p w14:paraId="78DCCCBC" w14:textId="19F06C79" w:rsidR="00AE072E" w:rsidRPr="00A2627F" w:rsidRDefault="00AE072E" w:rsidP="001E356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lang w:val="hu-HU" w:eastAsia="en-GB"/>
              </w:rPr>
              <w:t>24. hét</w:t>
            </w:r>
          </w:p>
          <w:p w14:paraId="49A72F9F" w14:textId="77777777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bCs/>
                <w:snapToGrid w:val="0"/>
                <w:lang w:val="hu-HU" w:eastAsia="zh-CN"/>
              </w:rPr>
              <w:t>N = 4</w:t>
            </w:r>
          </w:p>
        </w:tc>
      </w:tr>
      <w:tr w:rsidR="00AE072E" w:rsidRPr="00A2627F" w14:paraId="4C8104F8" w14:textId="77777777" w:rsidTr="00A91A18">
        <w:tc>
          <w:tcPr>
            <w:tcW w:w="3539" w:type="dxa"/>
          </w:tcPr>
          <w:p w14:paraId="0DF8095E" w14:textId="77777777" w:rsidR="00A91A18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LLN-szintet elérők aránya</w:t>
            </w:r>
          </w:p>
          <w:p w14:paraId="3EE4858B" w14:textId="16DF5095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fr-FR" w:eastAsia="en-GB"/>
              </w:rPr>
            </w:pPr>
            <w:r w:rsidRPr="00A2627F">
              <w:rPr>
                <w:color w:val="000000"/>
                <w:lang w:val="hu-HU" w:eastAsia="en-GB"/>
              </w:rPr>
              <w:t>(95%-os CI)</w:t>
            </w:r>
          </w:p>
        </w:tc>
        <w:tc>
          <w:tcPr>
            <w:tcW w:w="1761" w:type="dxa"/>
          </w:tcPr>
          <w:p w14:paraId="5FE40CAC" w14:textId="77777777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948" w:type="dxa"/>
          </w:tcPr>
          <w:p w14:paraId="4AC700E5" w14:textId="77777777" w:rsidR="00AE072E" w:rsidRPr="00A2627F" w:rsidRDefault="00AE072E" w:rsidP="001E356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0,43</w:t>
            </w:r>
          </w:p>
          <w:p w14:paraId="4F7A25EF" w14:textId="77777777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(0,20-075)</w:t>
            </w:r>
          </w:p>
        </w:tc>
        <w:tc>
          <w:tcPr>
            <w:tcW w:w="1806" w:type="dxa"/>
          </w:tcPr>
          <w:p w14:paraId="1C0E2C60" w14:textId="77777777" w:rsidR="00AE072E" w:rsidRPr="00A2627F" w:rsidRDefault="00AE072E" w:rsidP="001E356F">
            <w:pPr>
              <w:autoSpaceDE w:val="0"/>
              <w:autoSpaceDN w:val="0"/>
              <w:adjustRightInd w:val="0"/>
              <w:spacing w:before="0" w:after="0"/>
              <w:jc w:val="center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lang w:val="hu-HU" w:eastAsia="en-GB"/>
              </w:rPr>
              <w:t>0,62</w:t>
            </w:r>
          </w:p>
          <w:p w14:paraId="66C91D97" w14:textId="377E2238" w:rsidR="00AE072E" w:rsidRPr="00A2627F" w:rsidRDefault="00AE072E" w:rsidP="001E356F">
            <w:pPr>
              <w:tabs>
                <w:tab w:val="left" w:pos="567"/>
              </w:tabs>
              <w:spacing w:before="0" w:after="0"/>
              <w:jc w:val="center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lang w:val="hu-HU" w:eastAsia="zh-CN"/>
              </w:rPr>
              <w:t>(0,35-0,88)</w:t>
            </w:r>
          </w:p>
        </w:tc>
      </w:tr>
    </w:tbl>
    <w:p w14:paraId="40F71903" w14:textId="7BA3F9B6" w:rsidR="00CE38C4" w:rsidRPr="00A91A18" w:rsidRDefault="007C391E" w:rsidP="00A91A18">
      <w:pPr>
        <w:spacing w:before="0" w:after="0" w:line="240" w:lineRule="auto"/>
        <w:jc w:val="left"/>
        <w:rPr>
          <w:rFonts w:ascii="Times New Roman" w:eastAsia="SimSun" w:hAnsi="Times New Roman" w:cs="Times New Roman"/>
          <w:snapToGrid w:val="0"/>
          <w:lang w:val="hu-HU" w:eastAsia="zh-CN"/>
        </w:rPr>
      </w:pPr>
      <w:r w:rsidRPr="00A91A18">
        <w:rPr>
          <w:rFonts w:ascii="Times New Roman" w:eastAsia="SimSun" w:hAnsi="Times New Roman" w:cs="Times New Roman"/>
          <w:snapToGrid w:val="0"/>
          <w:vertAlign w:val="superscript"/>
          <w:lang w:val="hu-HU" w:eastAsia="zh-CN"/>
        </w:rPr>
        <w:t>a</w:t>
      </w:r>
      <w:r w:rsidRPr="00A91A18">
        <w:rPr>
          <w:rFonts w:ascii="Times New Roman" w:eastAsia="SimSun" w:hAnsi="Times New Roman" w:cs="Times New Roman"/>
          <w:snapToGrid w:val="0"/>
          <w:lang w:val="hu-HU" w:eastAsia="zh-CN"/>
        </w:rPr>
        <w:t xml:space="preserve"> Kiinduláskor (RBL) &lt;</w:t>
      </w:r>
      <w:r w:rsidR="00575DC4" w:rsidRPr="00A91A18">
        <w:rPr>
          <w:rFonts w:ascii="Times New Roman" w:eastAsia="SimSun" w:hAnsi="Times New Roman" w:cs="Times New Roman"/>
          <w:snapToGrid w:val="0"/>
          <w:lang w:val="hu-HU" w:eastAsia="zh-CN"/>
        </w:rPr>
        <w:t> </w:t>
      </w:r>
      <w:r w:rsidR="007A3637" w:rsidRPr="00A91A18">
        <w:rPr>
          <w:rFonts w:ascii="Times New Roman" w:hAnsi="Times New Roman" w:cs="Times New Roman"/>
        </w:rPr>
        <w:t>0,5 × 10</w:t>
      </w:r>
      <w:r w:rsidR="007A3637" w:rsidRPr="00A91A18">
        <w:rPr>
          <w:rFonts w:ascii="Times New Roman" w:hAnsi="Times New Roman" w:cs="Times New Roman"/>
          <w:vertAlign w:val="superscript"/>
        </w:rPr>
        <w:t>9</w:t>
      </w:r>
      <w:r w:rsidR="007A3637" w:rsidRPr="00A91A18">
        <w:rPr>
          <w:rFonts w:ascii="Times New Roman" w:hAnsi="Times New Roman" w:cs="Times New Roman"/>
        </w:rPr>
        <w:t xml:space="preserve">/l </w:t>
      </w:r>
      <w:r w:rsidRPr="00A91A18">
        <w:rPr>
          <w:rFonts w:ascii="Times New Roman" w:eastAsia="SimSun" w:hAnsi="Times New Roman" w:cs="Times New Roman"/>
          <w:snapToGrid w:val="0"/>
          <w:lang w:val="hu-HU" w:eastAsia="zh-CN"/>
        </w:rPr>
        <w:t>ALC-t mutató betegek, kivéve a hosszan tartó, súlyos lymphopeniában</w:t>
      </w:r>
      <w:r w:rsidR="001E356F" w:rsidRPr="00A91A18">
        <w:rPr>
          <w:rFonts w:ascii="Times New Roman" w:eastAsia="SimSun" w:hAnsi="Times New Roman" w:cs="Times New Roman"/>
          <w:snapToGrid w:val="0"/>
          <w:lang w:val="hu-HU" w:eastAsia="zh-CN"/>
        </w:rPr>
        <w:t xml:space="preserve"> </w:t>
      </w:r>
      <w:r w:rsidRPr="00A91A18">
        <w:rPr>
          <w:rFonts w:ascii="Times New Roman" w:eastAsia="SimSun" w:hAnsi="Times New Roman" w:cs="Times New Roman"/>
          <w:snapToGrid w:val="0"/>
          <w:lang w:val="hu-HU" w:eastAsia="zh-CN"/>
        </w:rPr>
        <w:t>szenvedő betegeket.</w:t>
      </w:r>
    </w:p>
    <w:p w14:paraId="2DCF452A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bookmarkStart w:id="17" w:name="br16"/>
      <w:bookmarkEnd w:id="17"/>
    </w:p>
    <w:p w14:paraId="3E885A27" w14:textId="76E8B2D6" w:rsidR="00CE38C4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noProof/>
          <w:lang w:val="hu-HU" w:eastAsia="hu-HU"/>
        </w:rPr>
        <w:drawing>
          <wp:anchor distT="0" distB="0" distL="114300" distR="114300" simplePos="0" relativeHeight="251692032" behindDoc="1" locked="0" layoutInCell="1" allowOverlap="1" wp14:anchorId="24586072" wp14:editId="26391509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6" name="_x0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Klinikai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hatásosság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és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biztonságosság</w:t>
      </w:r>
    </w:p>
    <w:p w14:paraId="0FF75733" w14:textId="591A33E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Két, 2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éves, randomizált, kettős vak, placebokontrollos vizsgálatot (DEFINE, 1234 beteggel, és CONFIRM, 1417 beteggel) végeztek </w:t>
      </w:r>
      <w:r w:rsidR="00375652">
        <w:rPr>
          <w:rFonts w:ascii="Times New Roman" w:hAnsi="Times New Roman" w:cs="Times New Roman"/>
          <w:color w:val="000000"/>
          <w:lang w:val="hu-HU"/>
        </w:rPr>
        <w:t>relabáló</w:t>
      </w:r>
      <w:r w:rsidRPr="00A2627F">
        <w:rPr>
          <w:rFonts w:ascii="Times New Roman" w:hAnsi="Times New Roman" w:cs="Times New Roman"/>
          <w:color w:val="000000"/>
          <w:lang w:val="hu-HU"/>
        </w:rPr>
        <w:t>-remittáló sclerosis multiplexben RRSM szenvedő betegekkel. Az SM progresszív formájában szenvedő betegek nem kerültek be ezekbe a vizsgálatokba.</w:t>
      </w:r>
    </w:p>
    <w:p w14:paraId="3DDB752A" w14:textId="4FDCC25E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2A8F331" w14:textId="5D46AD1D" w:rsidR="001E356F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hatásosságot (lásd 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>5. táblázat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) és a biztonságosságot olyan betegeknél bizonyították, akiknek a Kiterjesztett </w:t>
      </w:r>
      <w:r w:rsidR="00894B04">
        <w:rPr>
          <w:rFonts w:ascii="Times New Roman" w:hAnsi="Times New Roman" w:cs="Times New Roman"/>
          <w:color w:val="000000"/>
          <w:lang w:val="hu-HU"/>
        </w:rPr>
        <w:t>r</w:t>
      </w:r>
      <w:r w:rsidRPr="00A2627F">
        <w:rPr>
          <w:rFonts w:ascii="Times New Roman" w:hAnsi="Times New Roman" w:cs="Times New Roman"/>
          <w:color w:val="000000"/>
          <w:lang w:val="hu-HU"/>
        </w:rPr>
        <w:t>okkantsági</w:t>
      </w:r>
      <w:r w:rsidR="00894B04">
        <w:rPr>
          <w:rFonts w:ascii="Times New Roman" w:hAnsi="Times New Roman" w:cs="Times New Roman"/>
          <w:color w:val="000000"/>
          <w:lang w:val="hu-HU"/>
        </w:rPr>
        <w:t>á</w:t>
      </w:r>
      <w:r w:rsidRPr="00A2627F">
        <w:rPr>
          <w:rFonts w:ascii="Times New Roman" w:hAnsi="Times New Roman" w:cs="Times New Roman"/>
          <w:color w:val="000000"/>
          <w:lang w:val="hu-HU"/>
        </w:rPr>
        <w:t>llapot</w:t>
      </w:r>
      <w:r w:rsidR="00894B04">
        <w:rPr>
          <w:rFonts w:ascii="Times New Roman" w:hAnsi="Times New Roman" w:cs="Times New Roman"/>
          <w:color w:val="000000"/>
          <w:lang w:val="hu-HU"/>
        </w:rPr>
        <w:t>-s</w:t>
      </w:r>
      <w:r w:rsidRPr="00A2627F">
        <w:rPr>
          <w:rFonts w:ascii="Times New Roman" w:hAnsi="Times New Roman" w:cs="Times New Roman"/>
          <w:color w:val="000000"/>
          <w:lang w:val="hu-HU"/>
        </w:rPr>
        <w:t>kálán (Expanded Disability Status Scale – EDSS) 0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és</w:t>
      </w:r>
      <w:r w:rsidR="00894B04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5</w:t>
      </w:r>
      <w:r w:rsidR="00894B0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közötti pontszáma volt, és akiknél előfordult legalább 1 relapszus a randomizálást megelőző évben, vagy pedig a randomizálás előtti 6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hétben készült róluk olyan koponya mágneses rezonanc</w:t>
      </w:r>
      <w:r w:rsidR="001E356F" w:rsidRPr="00A2627F">
        <w:rPr>
          <w:rFonts w:ascii="Times New Roman" w:hAnsi="Times New Roman" w:cs="Times New Roman"/>
          <w:color w:val="000000"/>
          <w:lang w:val="hu-HU"/>
        </w:rPr>
        <w:t>i</w:t>
      </w:r>
      <w:r w:rsidR="00894B04">
        <w:rPr>
          <w:rFonts w:ascii="Times New Roman" w:hAnsi="Times New Roman" w:cs="Times New Roman"/>
          <w:color w:val="000000"/>
          <w:lang w:val="hu-HU"/>
        </w:rPr>
        <w:t>ás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(MR-)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vizsgálat,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amin látható volt legalább egy gadolínium-dúsulással járó (Gd+) lézió. </w:t>
      </w:r>
    </w:p>
    <w:p w14:paraId="1ED8E884" w14:textId="66DC720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 xml:space="preserve">CONFIRM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vizsgálatban volt egy, a kiértékelő számára </w:t>
      </w:r>
      <w:r w:rsidR="00894B04" w:rsidRPr="00894B04">
        <w:rPr>
          <w:rFonts w:ascii="Times New Roman" w:hAnsi="Times New Roman" w:cs="Times New Roman"/>
          <w:color w:val="000000"/>
          <w:lang w:val="hu"/>
        </w:rPr>
        <w:t>titkosított besorolással értékelt</w:t>
      </w:r>
      <w:r w:rsidR="00894B04" w:rsidRPr="002A13C1">
        <w:rPr>
          <w:rFonts w:ascii="Times New Roman" w:hAnsi="Times New Roman" w:cs="Times New Roman"/>
          <w:color w:val="000000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(azaz a vizsgálati kezelésre adott választ kiértékelő vizsgálóorvos/vizsgáló nem ismerte az alkalmazott kezelést) összehasonlító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referenciakészítmény, a glatiramer-acetát.</w:t>
      </w:r>
    </w:p>
    <w:p w14:paraId="2994C5DE" w14:textId="328E8725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25CD125" w14:textId="168F589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DEFINE vizsgálatban részt vevő betegek kiindulási jellemzőinek középértékei a következők voltak: 39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életkor, 7,0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 fennálló betegség, és 2,0-es EDSS pontszám. Továbbá a betegek 16%-ának az EDSS pontszáma &gt;</w:t>
      </w:r>
      <w:r w:rsidR="001E356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3,5 volt, 28%-uknál következett be ≥</w:t>
      </w:r>
      <w:r w:rsidR="00A91A18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 relapszus az előző évben és 42%-uk kapott már más, jóváhagyott SM kezelést. Az MR-vizsgálati kohorszban a vizsgálatba belépő betegek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36%</w:t>
      </w:r>
      <w:r w:rsidR="00183224" w:rsidRPr="00A2627F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ánál találtak Gd+ léziót a kiinduláskor (Gd+ léziók átlagos száma 1,4).</w:t>
      </w:r>
    </w:p>
    <w:p w14:paraId="48FBC6F0" w14:textId="4D4F72E6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DD02CF7" w14:textId="7B6C1D34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CONFIRM vizsgálatban részt vevő betegek kiindulási jellemzőinek középértékei a következők voltak: 37 éves életkor, 6,0 éve fennálló betegség, és 2,5-es EDSS pontszám. Továbbá a betegek 17%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ának az EDSS pontszáma &gt;</w:t>
      </w:r>
      <w:r w:rsidR="001E356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3,5 volt, 32%-uknál következett be ≥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2 relapszus az előző évben és 30%-</w:t>
      </w:r>
      <w:r w:rsidR="004E723C" w:rsidRPr="00A2627F">
        <w:rPr>
          <w:rFonts w:ascii="Times New Roman" w:hAnsi="Times New Roman" w:cs="Times New Roman"/>
          <w:color w:val="000000"/>
          <w:lang w:val="hu-HU"/>
        </w:rPr>
        <w:t xml:space="preserve">uk </w:t>
      </w:r>
      <w:r w:rsidRPr="00A2627F">
        <w:rPr>
          <w:rFonts w:ascii="Times New Roman" w:hAnsi="Times New Roman" w:cs="Times New Roman"/>
          <w:color w:val="000000"/>
          <w:lang w:val="hu-HU"/>
        </w:rPr>
        <w:t>kapott már más, jóváhagyott SM kezelést. Az MR-vizsgálati kohorszban a vizsgálatba belépő betegek</w:t>
      </w:r>
      <w:r w:rsidR="007A6C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45%-ánál találtak Gd+ léziót a kiinduláskor (Gd+ léziók átlagos száma 2,4).</w:t>
      </w:r>
    </w:p>
    <w:p w14:paraId="21D7B64C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6D63D8F" w14:textId="7DA954C4" w:rsidR="00AE072E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-55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placebóhoz viszonyítva a </w:t>
      </w:r>
      <w:r w:rsidR="001E356F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klinikailag jelentős és statisztikailag</w:t>
      </w:r>
      <w:r w:rsidR="004E723C"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szignifikáns csökkenést mutattak: a DEFINE vizsgálat elsődleges végpontjában, a 2</w:t>
      </w:r>
      <w:r w:rsidR="00894B0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év alatt </w:t>
      </w:r>
      <w:r w:rsidR="00375652">
        <w:rPr>
          <w:rFonts w:ascii="Times New Roman" w:hAnsi="Times New Roman" w:cs="Times New Roman"/>
          <w:color w:val="000000"/>
          <w:lang w:val="hu-HU"/>
        </w:rPr>
        <w:t>relabáló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betegek arányában; valamint a CONFIRM vizsgálat elsődleges végpontjában, az éves szintre vetített relapszusrátában (annualised relapse rate, ARR) 2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 alatt.</w:t>
      </w: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797F0280" w14:textId="77777777" w:rsidR="004E723C" w:rsidRPr="00A2627F" w:rsidRDefault="004E723C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767552C" w14:textId="77777777" w:rsidR="00A91A18" w:rsidRDefault="004E723C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7A3637">
        <w:rPr>
          <w:rFonts w:ascii="Times New Roman" w:eastAsia="Calibri" w:hAnsi="Times New Roman" w:cs="Times New Roman"/>
          <w:b/>
          <w:lang w:val="hu-HU"/>
        </w:rPr>
        <w:t>5</w:t>
      </w:r>
      <w:r w:rsidR="00AF1D22" w:rsidRPr="007A3637">
        <w:rPr>
          <w:rFonts w:ascii="Times New Roman" w:hAnsi="Times New Roman" w:cs="Times New Roman"/>
          <w:b/>
          <w:bCs/>
          <w:color w:val="000000"/>
          <w:lang w:val="hu-HU"/>
        </w:rPr>
        <w:t>. táblázat</w:t>
      </w:r>
      <w:r w:rsidRPr="007A3637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="007A3637" w:rsidRPr="007A3637">
        <w:rPr>
          <w:rFonts w:ascii="Times New Roman" w:hAnsi="Times New Roman" w:cs="Times New Roman"/>
          <w:b/>
          <w:bCs/>
          <w:color w:val="000000"/>
          <w:lang w:val="hu-HU"/>
        </w:rPr>
        <w:t xml:space="preserve">Klinikai és MR-végpontok a DEFINE és a CONFIRM vizsgálatokban </w:t>
      </w:r>
    </w:p>
    <w:p w14:paraId="6264DDC9" w14:textId="77777777" w:rsidR="00AE072E" w:rsidRPr="007A3637" w:rsidRDefault="00AE072E" w:rsidP="00A91A18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tbl>
      <w:tblPr>
        <w:tblStyle w:val="Rcsostblzat"/>
        <w:tblW w:w="9776" w:type="dxa"/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38"/>
        <w:gridCol w:w="2106"/>
      </w:tblGrid>
      <w:tr w:rsidR="00AE072E" w:rsidRPr="00A2627F" w14:paraId="46E58349" w14:textId="77777777" w:rsidTr="00814D5F">
        <w:tc>
          <w:tcPr>
            <w:tcW w:w="2122" w:type="dxa"/>
          </w:tcPr>
          <w:p w14:paraId="7A9D70E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2835" w:type="dxa"/>
            <w:gridSpan w:val="2"/>
          </w:tcPr>
          <w:p w14:paraId="05012C68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DEFINE </w:t>
            </w:r>
          </w:p>
        </w:tc>
        <w:tc>
          <w:tcPr>
            <w:tcW w:w="4819" w:type="dxa"/>
            <w:gridSpan w:val="3"/>
          </w:tcPr>
          <w:p w14:paraId="1911473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CONFIRM </w:t>
            </w:r>
          </w:p>
        </w:tc>
      </w:tr>
      <w:tr w:rsidR="00AE072E" w:rsidRPr="00A2627F" w14:paraId="5CFCE848" w14:textId="77777777" w:rsidTr="00814D5F">
        <w:tc>
          <w:tcPr>
            <w:tcW w:w="2122" w:type="dxa"/>
          </w:tcPr>
          <w:p w14:paraId="6DEA68D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275" w:type="dxa"/>
          </w:tcPr>
          <w:p w14:paraId="54C54B2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Placebo</w:t>
            </w:r>
          </w:p>
        </w:tc>
        <w:tc>
          <w:tcPr>
            <w:tcW w:w="1560" w:type="dxa"/>
          </w:tcPr>
          <w:p w14:paraId="2FE1475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dimetil-fumarát 240</w:t>
            </w:r>
            <w:r w:rsidRPr="00A2627F">
              <w:rPr>
                <w:snapToGrid w:val="0"/>
                <w:sz w:val="22"/>
                <w:szCs w:val="22"/>
                <w:lang w:val="hu-HU" w:eastAsia="zh-CN"/>
              </w:rPr>
              <w:t> </w:t>
            </w: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mg naponta kétszer</w:t>
            </w:r>
          </w:p>
        </w:tc>
        <w:tc>
          <w:tcPr>
            <w:tcW w:w="1275" w:type="dxa"/>
          </w:tcPr>
          <w:p w14:paraId="707A166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Placebo</w:t>
            </w:r>
          </w:p>
        </w:tc>
        <w:tc>
          <w:tcPr>
            <w:tcW w:w="1438" w:type="dxa"/>
          </w:tcPr>
          <w:p w14:paraId="16BAC37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dimetil-fumarát 240</w:t>
            </w:r>
            <w:r w:rsidRPr="00A2627F">
              <w:rPr>
                <w:snapToGrid w:val="0"/>
                <w:sz w:val="22"/>
                <w:szCs w:val="22"/>
                <w:lang w:val="hu-HU" w:eastAsia="zh-CN"/>
              </w:rPr>
              <w:t> </w:t>
            </w: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mg naponta kétszer</w:t>
            </w:r>
          </w:p>
        </w:tc>
        <w:tc>
          <w:tcPr>
            <w:tcW w:w="2106" w:type="dxa"/>
          </w:tcPr>
          <w:p w14:paraId="15EA6A4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b/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Glatiramer-acetát</w:t>
            </w:r>
          </w:p>
        </w:tc>
      </w:tr>
      <w:tr w:rsidR="00C5639F" w:rsidRPr="00A2627F" w14:paraId="51EE8F81" w14:textId="77777777" w:rsidTr="00C5639F">
        <w:trPr>
          <w:trHeight w:val="566"/>
        </w:trPr>
        <w:tc>
          <w:tcPr>
            <w:tcW w:w="9776" w:type="dxa"/>
            <w:gridSpan w:val="6"/>
          </w:tcPr>
          <w:p w14:paraId="4B533394" w14:textId="08A686A5" w:rsidR="00C5639F" w:rsidRPr="00A2627F" w:rsidRDefault="00C5639F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b/>
                <w:snapToGrid w:val="0"/>
                <w:sz w:val="22"/>
                <w:szCs w:val="22"/>
                <w:lang w:val="hu-HU" w:eastAsia="zh-CN"/>
              </w:rPr>
              <w:t>Klinikai végpontok</w:t>
            </w:r>
            <w:r w:rsidRPr="00A2627F">
              <w:rPr>
                <w:b/>
                <w:snapToGrid w:val="0"/>
                <w:sz w:val="22"/>
                <w:szCs w:val="22"/>
                <w:vertAlign w:val="superscript"/>
                <w:lang w:val="hu-HU" w:eastAsia="zh-CN"/>
              </w:rPr>
              <w:t>a</w:t>
            </w:r>
          </w:p>
        </w:tc>
      </w:tr>
      <w:tr w:rsidR="00AE072E" w:rsidRPr="00A2627F" w14:paraId="55C58FF0" w14:textId="77777777" w:rsidTr="00814D5F">
        <w:tc>
          <w:tcPr>
            <w:tcW w:w="2122" w:type="dxa"/>
          </w:tcPr>
          <w:p w14:paraId="4804206E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Betegek száma </w:t>
            </w:r>
          </w:p>
        </w:tc>
        <w:tc>
          <w:tcPr>
            <w:tcW w:w="1275" w:type="dxa"/>
          </w:tcPr>
          <w:p w14:paraId="615CEA42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408</w:t>
            </w:r>
          </w:p>
        </w:tc>
        <w:tc>
          <w:tcPr>
            <w:tcW w:w="1560" w:type="dxa"/>
          </w:tcPr>
          <w:p w14:paraId="4493DF10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410</w:t>
            </w:r>
          </w:p>
        </w:tc>
        <w:tc>
          <w:tcPr>
            <w:tcW w:w="1275" w:type="dxa"/>
          </w:tcPr>
          <w:p w14:paraId="77E130A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363</w:t>
            </w:r>
          </w:p>
        </w:tc>
        <w:tc>
          <w:tcPr>
            <w:tcW w:w="1438" w:type="dxa"/>
          </w:tcPr>
          <w:p w14:paraId="1514F162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359</w:t>
            </w:r>
          </w:p>
        </w:tc>
        <w:tc>
          <w:tcPr>
            <w:tcW w:w="2106" w:type="dxa"/>
          </w:tcPr>
          <w:p w14:paraId="5F7CE762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350</w:t>
            </w:r>
          </w:p>
        </w:tc>
      </w:tr>
      <w:tr w:rsidR="00AE072E" w:rsidRPr="00A2627F" w14:paraId="3F0D6053" w14:textId="77777777" w:rsidTr="00814D5F">
        <w:tc>
          <w:tcPr>
            <w:tcW w:w="2122" w:type="dxa"/>
          </w:tcPr>
          <w:p w14:paraId="172FD543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Éves relapszusráta </w:t>
            </w:r>
          </w:p>
        </w:tc>
        <w:tc>
          <w:tcPr>
            <w:tcW w:w="1275" w:type="dxa"/>
          </w:tcPr>
          <w:p w14:paraId="2115347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0,364</w:t>
            </w:r>
          </w:p>
        </w:tc>
        <w:tc>
          <w:tcPr>
            <w:tcW w:w="1560" w:type="dxa"/>
          </w:tcPr>
          <w:p w14:paraId="458AC43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0,172***</w:t>
            </w:r>
          </w:p>
        </w:tc>
        <w:tc>
          <w:tcPr>
            <w:tcW w:w="1275" w:type="dxa"/>
          </w:tcPr>
          <w:p w14:paraId="7796965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0,401</w:t>
            </w:r>
          </w:p>
        </w:tc>
        <w:tc>
          <w:tcPr>
            <w:tcW w:w="1438" w:type="dxa"/>
          </w:tcPr>
          <w:p w14:paraId="6713A84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0,224***</w:t>
            </w:r>
          </w:p>
        </w:tc>
        <w:tc>
          <w:tcPr>
            <w:tcW w:w="2106" w:type="dxa"/>
          </w:tcPr>
          <w:p w14:paraId="782BB00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0,286*</w:t>
            </w:r>
          </w:p>
        </w:tc>
      </w:tr>
      <w:tr w:rsidR="00AE072E" w:rsidRPr="00A2627F" w14:paraId="3EF8AD2F" w14:textId="77777777" w:rsidTr="00814D5F">
        <w:tc>
          <w:tcPr>
            <w:tcW w:w="2122" w:type="dxa"/>
          </w:tcPr>
          <w:p w14:paraId="7F35312E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Arányhányados </w:t>
            </w:r>
          </w:p>
          <w:p w14:paraId="36ACBA8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1B7CC0F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1C0350C5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0,47</w:t>
            </w:r>
          </w:p>
          <w:p w14:paraId="463E604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(0,37–0,61) </w:t>
            </w:r>
          </w:p>
        </w:tc>
        <w:tc>
          <w:tcPr>
            <w:tcW w:w="1275" w:type="dxa"/>
          </w:tcPr>
          <w:p w14:paraId="6200149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38223F9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0,56</w:t>
            </w:r>
          </w:p>
          <w:p w14:paraId="14EF5FAD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(0,42–0,74)</w:t>
            </w:r>
          </w:p>
        </w:tc>
        <w:tc>
          <w:tcPr>
            <w:tcW w:w="2106" w:type="dxa"/>
          </w:tcPr>
          <w:p w14:paraId="5DF2F933" w14:textId="77777777" w:rsidR="00C5639F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0,71</w:t>
            </w:r>
          </w:p>
          <w:p w14:paraId="3E362A11" w14:textId="01CE2F23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(0,55; 0,93) </w:t>
            </w:r>
          </w:p>
        </w:tc>
      </w:tr>
      <w:tr w:rsidR="00AE072E" w:rsidRPr="00A2627F" w14:paraId="1666999C" w14:textId="77777777" w:rsidTr="00814D5F">
        <w:trPr>
          <w:trHeight w:val="304"/>
        </w:trPr>
        <w:tc>
          <w:tcPr>
            <w:tcW w:w="2122" w:type="dxa"/>
          </w:tcPr>
          <w:p w14:paraId="6518CA33" w14:textId="2BC5D985" w:rsidR="00AE072E" w:rsidRPr="00A2627F" w:rsidRDefault="00375652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>
              <w:rPr>
                <w:color w:val="000000"/>
                <w:sz w:val="22"/>
                <w:szCs w:val="22"/>
                <w:lang w:val="hu-HU" w:eastAsia="en-GB"/>
              </w:rPr>
              <w:t>Relabáló</w:t>
            </w:r>
            <w:r w:rsidR="00AE072E"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k aránya </w:t>
            </w:r>
          </w:p>
        </w:tc>
        <w:tc>
          <w:tcPr>
            <w:tcW w:w="1275" w:type="dxa"/>
          </w:tcPr>
          <w:p w14:paraId="0311F679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0,461 </w:t>
            </w:r>
          </w:p>
        </w:tc>
        <w:tc>
          <w:tcPr>
            <w:tcW w:w="1560" w:type="dxa"/>
          </w:tcPr>
          <w:p w14:paraId="40C9226D" w14:textId="21379532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0,270*** </w:t>
            </w:r>
          </w:p>
        </w:tc>
        <w:tc>
          <w:tcPr>
            <w:tcW w:w="1275" w:type="dxa"/>
          </w:tcPr>
          <w:p w14:paraId="04BCF398" w14:textId="3BFB5181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0,410</w:t>
            </w:r>
          </w:p>
        </w:tc>
        <w:tc>
          <w:tcPr>
            <w:tcW w:w="1438" w:type="dxa"/>
          </w:tcPr>
          <w:p w14:paraId="4124CD1C" w14:textId="506A0770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0,291**</w:t>
            </w:r>
          </w:p>
        </w:tc>
        <w:tc>
          <w:tcPr>
            <w:tcW w:w="2106" w:type="dxa"/>
          </w:tcPr>
          <w:p w14:paraId="3D418A62" w14:textId="01580351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0,321**</w:t>
            </w:r>
          </w:p>
        </w:tc>
      </w:tr>
      <w:tr w:rsidR="00AE072E" w:rsidRPr="00A2627F" w14:paraId="5ED87410" w14:textId="77777777" w:rsidTr="00814D5F">
        <w:tc>
          <w:tcPr>
            <w:tcW w:w="2122" w:type="dxa"/>
          </w:tcPr>
          <w:p w14:paraId="791FBE80" w14:textId="6AABED2C" w:rsidR="00AE072E" w:rsidRPr="00A2627F" w:rsidRDefault="00C5639F" w:rsidP="00EC63F3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>Relatív hazárd</w:t>
            </w:r>
            <w:r w:rsidR="00AE072E"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 </w:t>
            </w:r>
          </w:p>
          <w:p w14:paraId="51DC239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054F4CA1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4E3B6300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0,51 </w:t>
            </w:r>
          </w:p>
          <w:p w14:paraId="5751DEC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(0,40–0,66) </w:t>
            </w:r>
          </w:p>
        </w:tc>
        <w:tc>
          <w:tcPr>
            <w:tcW w:w="1275" w:type="dxa"/>
          </w:tcPr>
          <w:p w14:paraId="7ADC41B8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438" w:type="dxa"/>
          </w:tcPr>
          <w:p w14:paraId="6ED23058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0,66 </w:t>
            </w:r>
          </w:p>
          <w:p w14:paraId="10958D9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(0,51–0,86) </w:t>
            </w:r>
          </w:p>
        </w:tc>
        <w:tc>
          <w:tcPr>
            <w:tcW w:w="2106" w:type="dxa"/>
          </w:tcPr>
          <w:p w14:paraId="5465A9CE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0,71 </w:t>
            </w:r>
          </w:p>
          <w:p w14:paraId="5B30166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(0,55–0,92) </w:t>
            </w:r>
          </w:p>
        </w:tc>
      </w:tr>
      <w:tr w:rsidR="00AE072E" w:rsidRPr="00A2627F" w14:paraId="543DB221" w14:textId="77777777" w:rsidTr="00814D5F">
        <w:tc>
          <w:tcPr>
            <w:tcW w:w="2122" w:type="dxa"/>
          </w:tcPr>
          <w:p w14:paraId="30E97350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Megerősített, 12 hétig fennálló funkciózavar progressziót mutatók aránya </w:t>
            </w:r>
          </w:p>
        </w:tc>
        <w:tc>
          <w:tcPr>
            <w:tcW w:w="12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1"/>
            </w:tblGrid>
            <w:tr w:rsidR="00AE072E" w:rsidRPr="00A2627F" w14:paraId="2FBB8925" w14:textId="77777777" w:rsidTr="00814D5F">
              <w:trPr>
                <w:trHeight w:val="148"/>
              </w:trPr>
              <w:tc>
                <w:tcPr>
                  <w:tcW w:w="0" w:type="auto"/>
                </w:tcPr>
                <w:p w14:paraId="06F99451" w14:textId="77777777" w:rsidR="00AE072E" w:rsidRPr="00A2627F" w:rsidRDefault="00AE072E" w:rsidP="00EC63F3">
                  <w:pPr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Times New Roman" w:eastAsia="SimSun" w:hAnsi="Times New Roman" w:cs="Times New Roman"/>
                      <w:color w:val="000000"/>
                      <w:lang w:eastAsia="en-GB"/>
                    </w:rPr>
                  </w:pPr>
                  <w:r w:rsidRPr="00A2627F">
                    <w:rPr>
                      <w:rFonts w:ascii="Times New Roman" w:eastAsia="SimSun" w:hAnsi="Times New Roman" w:cs="Times New Roman"/>
                      <w:color w:val="000000"/>
                      <w:lang w:eastAsia="en-GB"/>
                    </w:rPr>
                    <w:t xml:space="preserve">0,271 </w:t>
                  </w:r>
                </w:p>
              </w:tc>
            </w:tr>
          </w:tbl>
          <w:p w14:paraId="4889203D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489A7A0E" w14:textId="58EE0048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0,164**</w:t>
            </w:r>
          </w:p>
        </w:tc>
        <w:tc>
          <w:tcPr>
            <w:tcW w:w="1275" w:type="dxa"/>
          </w:tcPr>
          <w:p w14:paraId="3D221009" w14:textId="3D8DC1AB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0,169 </w:t>
            </w:r>
          </w:p>
        </w:tc>
        <w:tc>
          <w:tcPr>
            <w:tcW w:w="1438" w:type="dxa"/>
          </w:tcPr>
          <w:p w14:paraId="1E1E1495" w14:textId="274A5FCB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0,128</w:t>
            </w:r>
            <w:r w:rsidRPr="00A2627F">
              <w:rPr>
                <w:color w:val="000000"/>
                <w:sz w:val="22"/>
                <w:szCs w:val="22"/>
                <w:vertAlign w:val="superscript"/>
                <w:lang w:eastAsia="en-GB"/>
              </w:rPr>
              <w:t>#</w:t>
            </w:r>
          </w:p>
        </w:tc>
        <w:tc>
          <w:tcPr>
            <w:tcW w:w="2106" w:type="dxa"/>
          </w:tcPr>
          <w:p w14:paraId="7262D2CB" w14:textId="06200803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0,156</w:t>
            </w:r>
            <w:r w:rsidRPr="00A2627F">
              <w:rPr>
                <w:color w:val="000000"/>
                <w:sz w:val="22"/>
                <w:szCs w:val="22"/>
                <w:vertAlign w:val="superscript"/>
                <w:lang w:eastAsia="en-GB"/>
              </w:rPr>
              <w:t>#</w:t>
            </w:r>
          </w:p>
        </w:tc>
      </w:tr>
      <w:tr w:rsidR="00AE072E" w:rsidRPr="00A2627F" w14:paraId="64211B2F" w14:textId="77777777" w:rsidTr="00814D5F">
        <w:tc>
          <w:tcPr>
            <w:tcW w:w="2122" w:type="dxa"/>
          </w:tcPr>
          <w:p w14:paraId="62C292DE" w14:textId="77777777" w:rsidR="00C5639F" w:rsidRPr="00A2627F" w:rsidRDefault="00C5639F" w:rsidP="00C5639F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Relatív hazárd </w:t>
            </w:r>
          </w:p>
          <w:p w14:paraId="14580F6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11540D55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609035B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0,62 </w:t>
            </w:r>
          </w:p>
          <w:p w14:paraId="1769A465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(0,44–0,87) </w:t>
            </w:r>
          </w:p>
        </w:tc>
        <w:tc>
          <w:tcPr>
            <w:tcW w:w="1275" w:type="dxa"/>
          </w:tcPr>
          <w:p w14:paraId="4AD4744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537DD3D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0,79 </w:t>
            </w:r>
          </w:p>
          <w:p w14:paraId="1D347EE1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(0,52–1,19) </w:t>
            </w:r>
          </w:p>
        </w:tc>
        <w:tc>
          <w:tcPr>
            <w:tcW w:w="2106" w:type="dxa"/>
          </w:tcPr>
          <w:p w14:paraId="01F431D1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0,93 </w:t>
            </w:r>
          </w:p>
          <w:p w14:paraId="1027DB9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(0,63–1,37) </w:t>
            </w:r>
          </w:p>
        </w:tc>
      </w:tr>
      <w:tr w:rsidR="00AE072E" w:rsidRPr="00A2627F" w14:paraId="5C0937E6" w14:textId="77777777" w:rsidTr="00814D5F">
        <w:tc>
          <w:tcPr>
            <w:tcW w:w="2122" w:type="dxa"/>
          </w:tcPr>
          <w:p w14:paraId="651CC24C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lastRenderedPageBreak/>
              <w:t xml:space="preserve">Megerősített, 24 hétig fennálló funkciózavar progressziót mutatók aránya </w:t>
            </w:r>
          </w:p>
        </w:tc>
        <w:tc>
          <w:tcPr>
            <w:tcW w:w="1275" w:type="dxa"/>
          </w:tcPr>
          <w:p w14:paraId="6C96FC9B" w14:textId="4DF2357D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0,169 </w:t>
            </w:r>
          </w:p>
        </w:tc>
        <w:tc>
          <w:tcPr>
            <w:tcW w:w="1560" w:type="dxa"/>
          </w:tcPr>
          <w:p w14:paraId="1407DD96" w14:textId="34536E6C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0,128</w:t>
            </w:r>
            <w:r w:rsidRPr="00A2627F">
              <w:rPr>
                <w:color w:val="000000"/>
                <w:sz w:val="22"/>
                <w:szCs w:val="22"/>
                <w:vertAlign w:val="superscript"/>
                <w:lang w:eastAsia="en-GB"/>
              </w:rPr>
              <w:t>#</w:t>
            </w:r>
          </w:p>
        </w:tc>
        <w:tc>
          <w:tcPr>
            <w:tcW w:w="1275" w:type="dxa"/>
          </w:tcPr>
          <w:p w14:paraId="0CCC8AC1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0,125</w:t>
            </w:r>
          </w:p>
        </w:tc>
        <w:tc>
          <w:tcPr>
            <w:tcW w:w="1438" w:type="dxa"/>
          </w:tcPr>
          <w:p w14:paraId="29D840BB" w14:textId="7FC00776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0,078</w:t>
            </w:r>
            <w:r w:rsidRPr="00A2627F">
              <w:rPr>
                <w:color w:val="000000"/>
                <w:sz w:val="22"/>
                <w:szCs w:val="22"/>
                <w:vertAlign w:val="superscript"/>
                <w:lang w:eastAsia="en-GB"/>
              </w:rPr>
              <w:t xml:space="preserve"># </w:t>
            </w:r>
          </w:p>
        </w:tc>
        <w:tc>
          <w:tcPr>
            <w:tcW w:w="2106" w:type="dxa"/>
          </w:tcPr>
          <w:p w14:paraId="47FD5095" w14:textId="04EB3F18" w:rsidR="00AE072E" w:rsidRPr="00A2627F" w:rsidRDefault="00AE072E" w:rsidP="00C5639F">
            <w:pPr>
              <w:autoSpaceDE w:val="0"/>
              <w:autoSpaceDN w:val="0"/>
              <w:adjustRightInd w:val="0"/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0,108</w:t>
            </w:r>
            <w:r w:rsidRPr="00A2627F">
              <w:rPr>
                <w:color w:val="000000"/>
                <w:sz w:val="22"/>
                <w:szCs w:val="22"/>
                <w:vertAlign w:val="superscript"/>
                <w:lang w:eastAsia="en-GB"/>
              </w:rPr>
              <w:t xml:space="preserve"># </w:t>
            </w:r>
          </w:p>
        </w:tc>
      </w:tr>
      <w:tr w:rsidR="00AE072E" w:rsidRPr="00A2627F" w14:paraId="3F81F1C6" w14:textId="77777777" w:rsidTr="00814D5F">
        <w:tc>
          <w:tcPr>
            <w:tcW w:w="2122" w:type="dxa"/>
          </w:tcPr>
          <w:p w14:paraId="568591AC" w14:textId="77777777" w:rsidR="00C5639F" w:rsidRPr="00A2627F" w:rsidRDefault="00C5639F" w:rsidP="00C5639F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Relatív hazárd </w:t>
            </w:r>
          </w:p>
          <w:p w14:paraId="1B96CB74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0307D10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5DEA894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0,77</w:t>
            </w:r>
          </w:p>
          <w:p w14:paraId="09A1482F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(0,52–1,14) </w:t>
            </w:r>
          </w:p>
        </w:tc>
        <w:tc>
          <w:tcPr>
            <w:tcW w:w="1275" w:type="dxa"/>
          </w:tcPr>
          <w:p w14:paraId="0B5ADFF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384E8C4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0,62</w:t>
            </w:r>
          </w:p>
          <w:p w14:paraId="38684434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>(0,37–1,03)</w:t>
            </w:r>
          </w:p>
        </w:tc>
        <w:tc>
          <w:tcPr>
            <w:tcW w:w="2106" w:type="dxa"/>
          </w:tcPr>
          <w:p w14:paraId="130D5283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0,87 </w:t>
            </w:r>
          </w:p>
          <w:p w14:paraId="01233A58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(0,55–1,38) </w:t>
            </w:r>
          </w:p>
        </w:tc>
      </w:tr>
      <w:tr w:rsidR="00AE072E" w:rsidRPr="00A2627F" w14:paraId="208A892E" w14:textId="77777777" w:rsidTr="00814D5F">
        <w:tc>
          <w:tcPr>
            <w:tcW w:w="2122" w:type="dxa"/>
          </w:tcPr>
          <w:p w14:paraId="77250E6C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b/>
                <w:bCs/>
                <w:color w:val="000000"/>
                <w:sz w:val="22"/>
                <w:szCs w:val="22"/>
                <w:lang w:val="hu-HU" w:eastAsia="en-GB"/>
              </w:rPr>
              <w:t>MR-végpontok</w:t>
            </w:r>
            <w:r w:rsidRPr="00A2627F">
              <w:rPr>
                <w:b/>
                <w:bCs/>
                <w:color w:val="000000"/>
                <w:sz w:val="22"/>
                <w:szCs w:val="22"/>
                <w:vertAlign w:val="superscript"/>
                <w:lang w:val="hu-HU" w:eastAsia="en-GB"/>
              </w:rPr>
              <w:t xml:space="preserve"> b </w:t>
            </w:r>
          </w:p>
        </w:tc>
        <w:tc>
          <w:tcPr>
            <w:tcW w:w="7654" w:type="dxa"/>
            <w:gridSpan w:val="5"/>
          </w:tcPr>
          <w:p w14:paraId="63A73434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</w:tr>
      <w:tr w:rsidR="00AE072E" w:rsidRPr="00A2627F" w14:paraId="5EFDFEA7" w14:textId="77777777" w:rsidTr="00814D5F">
        <w:tc>
          <w:tcPr>
            <w:tcW w:w="2122" w:type="dxa"/>
          </w:tcPr>
          <w:p w14:paraId="7DBD7ED3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Betegek száma </w:t>
            </w:r>
          </w:p>
        </w:tc>
        <w:tc>
          <w:tcPr>
            <w:tcW w:w="1275" w:type="dxa"/>
          </w:tcPr>
          <w:p w14:paraId="69B7720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165</w:t>
            </w:r>
          </w:p>
        </w:tc>
        <w:tc>
          <w:tcPr>
            <w:tcW w:w="1560" w:type="dxa"/>
          </w:tcPr>
          <w:p w14:paraId="3D9EE08B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152</w:t>
            </w:r>
          </w:p>
        </w:tc>
        <w:tc>
          <w:tcPr>
            <w:tcW w:w="1275" w:type="dxa"/>
          </w:tcPr>
          <w:p w14:paraId="13191874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144</w:t>
            </w:r>
          </w:p>
        </w:tc>
        <w:tc>
          <w:tcPr>
            <w:tcW w:w="1438" w:type="dxa"/>
          </w:tcPr>
          <w:p w14:paraId="44CBD974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147</w:t>
            </w:r>
          </w:p>
        </w:tc>
        <w:tc>
          <w:tcPr>
            <w:tcW w:w="2106" w:type="dxa"/>
          </w:tcPr>
          <w:p w14:paraId="5B6223A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>161</w:t>
            </w:r>
          </w:p>
        </w:tc>
      </w:tr>
      <w:tr w:rsidR="00AE072E" w:rsidRPr="00A2627F" w14:paraId="4747BC2A" w14:textId="77777777" w:rsidTr="00814D5F">
        <w:tc>
          <w:tcPr>
            <w:tcW w:w="2122" w:type="dxa"/>
          </w:tcPr>
          <w:p w14:paraId="511F2FB9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Új vagy újonnan növekvő T2-léziók számának átlaga (középértéke) 2 év alatt </w:t>
            </w:r>
          </w:p>
        </w:tc>
        <w:tc>
          <w:tcPr>
            <w:tcW w:w="1275" w:type="dxa"/>
          </w:tcPr>
          <w:p w14:paraId="3476AAFE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16,5 </w:t>
            </w:r>
          </w:p>
          <w:p w14:paraId="478AA37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(7,0) </w:t>
            </w:r>
          </w:p>
        </w:tc>
        <w:tc>
          <w:tcPr>
            <w:tcW w:w="1560" w:type="dxa"/>
          </w:tcPr>
          <w:p w14:paraId="2CAF1515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3,2 </w:t>
            </w:r>
          </w:p>
          <w:p w14:paraId="53C88737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(1,0)*** </w:t>
            </w:r>
          </w:p>
        </w:tc>
        <w:tc>
          <w:tcPr>
            <w:tcW w:w="1275" w:type="dxa"/>
          </w:tcPr>
          <w:p w14:paraId="4EF838D9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19,9 </w:t>
            </w:r>
          </w:p>
          <w:p w14:paraId="23A9BDF1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(11,0) </w:t>
            </w:r>
          </w:p>
        </w:tc>
        <w:tc>
          <w:tcPr>
            <w:tcW w:w="1438" w:type="dxa"/>
          </w:tcPr>
          <w:p w14:paraId="41E8899D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5,7 </w:t>
            </w:r>
          </w:p>
          <w:p w14:paraId="10F41551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(2,0)*** </w:t>
            </w:r>
          </w:p>
        </w:tc>
        <w:tc>
          <w:tcPr>
            <w:tcW w:w="2106" w:type="dxa"/>
          </w:tcPr>
          <w:p w14:paraId="7EE290A0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9,6 </w:t>
            </w:r>
          </w:p>
          <w:p w14:paraId="54D33FE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(3,0)*** </w:t>
            </w:r>
          </w:p>
        </w:tc>
      </w:tr>
      <w:tr w:rsidR="00AE072E" w:rsidRPr="00A2627F" w14:paraId="1EE527D7" w14:textId="77777777" w:rsidTr="00814D5F">
        <w:tc>
          <w:tcPr>
            <w:tcW w:w="2122" w:type="dxa"/>
          </w:tcPr>
          <w:p w14:paraId="260A6E0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Léziók arányának átlaga </w:t>
            </w:r>
          </w:p>
          <w:p w14:paraId="792BC30E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1EE6D8FD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191F20C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0,15 </w:t>
            </w:r>
          </w:p>
          <w:p w14:paraId="5A3934F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(0,10–0,23) </w:t>
            </w:r>
          </w:p>
        </w:tc>
        <w:tc>
          <w:tcPr>
            <w:tcW w:w="1275" w:type="dxa"/>
          </w:tcPr>
          <w:p w14:paraId="5FB24DFC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56669D5A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0,29 </w:t>
            </w:r>
          </w:p>
          <w:p w14:paraId="39AF799C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(0,21–0,41) </w:t>
            </w:r>
          </w:p>
        </w:tc>
        <w:tc>
          <w:tcPr>
            <w:tcW w:w="2106" w:type="dxa"/>
          </w:tcPr>
          <w:p w14:paraId="1BD92F70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0,46 </w:t>
            </w:r>
          </w:p>
          <w:p w14:paraId="75FDA66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(0,33–0,63) </w:t>
            </w:r>
          </w:p>
        </w:tc>
      </w:tr>
      <w:tr w:rsidR="00AE072E" w:rsidRPr="00A2627F" w14:paraId="2F7A2467" w14:textId="77777777" w:rsidTr="00814D5F">
        <w:tc>
          <w:tcPr>
            <w:tcW w:w="2122" w:type="dxa"/>
          </w:tcPr>
          <w:p w14:paraId="583630F4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A Gd léziók számának átlaga (középértéke) a 2 év alatt </w:t>
            </w:r>
          </w:p>
        </w:tc>
        <w:tc>
          <w:tcPr>
            <w:tcW w:w="1275" w:type="dxa"/>
          </w:tcPr>
          <w:p w14:paraId="3200F64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1,8 </w:t>
            </w:r>
          </w:p>
          <w:p w14:paraId="69F4E260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(0) </w:t>
            </w:r>
          </w:p>
        </w:tc>
        <w:tc>
          <w:tcPr>
            <w:tcW w:w="1560" w:type="dxa"/>
          </w:tcPr>
          <w:p w14:paraId="729D5BE2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0,1 </w:t>
            </w:r>
          </w:p>
          <w:p w14:paraId="19DAD33B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(0)*** </w:t>
            </w:r>
          </w:p>
        </w:tc>
        <w:tc>
          <w:tcPr>
            <w:tcW w:w="1275" w:type="dxa"/>
          </w:tcPr>
          <w:p w14:paraId="7AE64816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2,0 </w:t>
            </w:r>
          </w:p>
          <w:p w14:paraId="6F68630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(0,0) </w:t>
            </w:r>
          </w:p>
        </w:tc>
        <w:tc>
          <w:tcPr>
            <w:tcW w:w="1438" w:type="dxa"/>
          </w:tcPr>
          <w:p w14:paraId="12AC319B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0,5 </w:t>
            </w:r>
          </w:p>
          <w:p w14:paraId="72F7B8FC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(0,0)*** </w:t>
            </w:r>
          </w:p>
        </w:tc>
        <w:tc>
          <w:tcPr>
            <w:tcW w:w="2106" w:type="dxa"/>
          </w:tcPr>
          <w:p w14:paraId="248085CC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0,7 </w:t>
            </w:r>
          </w:p>
          <w:p w14:paraId="7199AC7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(0,0)** </w:t>
            </w:r>
          </w:p>
        </w:tc>
      </w:tr>
      <w:tr w:rsidR="00AE072E" w:rsidRPr="00A2627F" w14:paraId="6A50E83F" w14:textId="77777777" w:rsidTr="00814D5F">
        <w:tc>
          <w:tcPr>
            <w:tcW w:w="2122" w:type="dxa"/>
          </w:tcPr>
          <w:p w14:paraId="7BD34EDE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Esélyhányados </w:t>
            </w:r>
          </w:p>
          <w:p w14:paraId="7485977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441114D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5E5936C6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0,10 </w:t>
            </w:r>
          </w:p>
          <w:p w14:paraId="1F972C6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(0,05–0,22) </w:t>
            </w:r>
          </w:p>
        </w:tc>
        <w:tc>
          <w:tcPr>
            <w:tcW w:w="1275" w:type="dxa"/>
          </w:tcPr>
          <w:p w14:paraId="058E9F5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4B84A4FA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0,26 </w:t>
            </w:r>
          </w:p>
          <w:p w14:paraId="3AB9DDC4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(0,15–0,46) </w:t>
            </w:r>
          </w:p>
        </w:tc>
        <w:tc>
          <w:tcPr>
            <w:tcW w:w="2106" w:type="dxa"/>
          </w:tcPr>
          <w:p w14:paraId="077D84F8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0,39 </w:t>
            </w:r>
          </w:p>
          <w:p w14:paraId="7562CC9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(0,24–0,65) </w:t>
            </w:r>
          </w:p>
        </w:tc>
      </w:tr>
      <w:tr w:rsidR="00AE072E" w:rsidRPr="00A2627F" w14:paraId="2C21AB15" w14:textId="77777777" w:rsidTr="00814D5F">
        <w:tc>
          <w:tcPr>
            <w:tcW w:w="2122" w:type="dxa"/>
          </w:tcPr>
          <w:p w14:paraId="3CEA95B9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A 2 év alatt újonnan kialakult hypointenzív T1-léziók számának átlaga (középértéke) </w:t>
            </w:r>
          </w:p>
        </w:tc>
        <w:tc>
          <w:tcPr>
            <w:tcW w:w="1275" w:type="dxa"/>
          </w:tcPr>
          <w:p w14:paraId="0E7EB613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5,7 </w:t>
            </w:r>
          </w:p>
          <w:p w14:paraId="2E1B9E8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(2,0) </w:t>
            </w:r>
          </w:p>
        </w:tc>
        <w:tc>
          <w:tcPr>
            <w:tcW w:w="1560" w:type="dxa"/>
          </w:tcPr>
          <w:p w14:paraId="749DF15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2,0 </w:t>
            </w:r>
          </w:p>
          <w:p w14:paraId="6A40954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(1,0)*** </w:t>
            </w:r>
          </w:p>
        </w:tc>
        <w:tc>
          <w:tcPr>
            <w:tcW w:w="1275" w:type="dxa"/>
          </w:tcPr>
          <w:p w14:paraId="4AACD788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8,1 </w:t>
            </w:r>
          </w:p>
          <w:p w14:paraId="63D56275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(4,0) </w:t>
            </w:r>
          </w:p>
        </w:tc>
        <w:tc>
          <w:tcPr>
            <w:tcW w:w="1438" w:type="dxa"/>
          </w:tcPr>
          <w:p w14:paraId="0C2F0B7B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3,8 </w:t>
            </w:r>
          </w:p>
          <w:p w14:paraId="03D83385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(1,0)*** </w:t>
            </w:r>
          </w:p>
        </w:tc>
        <w:tc>
          <w:tcPr>
            <w:tcW w:w="2106" w:type="dxa"/>
          </w:tcPr>
          <w:p w14:paraId="183D33E2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4,5 </w:t>
            </w:r>
          </w:p>
          <w:p w14:paraId="7EFC3246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(2,0)** </w:t>
            </w:r>
          </w:p>
        </w:tc>
      </w:tr>
      <w:tr w:rsidR="00AE072E" w:rsidRPr="00A2627F" w14:paraId="36F6695E" w14:textId="77777777" w:rsidTr="00814D5F">
        <w:tc>
          <w:tcPr>
            <w:tcW w:w="2122" w:type="dxa"/>
          </w:tcPr>
          <w:p w14:paraId="22ACFDA7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ind w:left="310"/>
              <w:jc w:val="left"/>
              <w:rPr>
                <w:color w:val="000000"/>
                <w:sz w:val="22"/>
                <w:szCs w:val="22"/>
                <w:lang w:val="hu-HU" w:eastAsia="en-GB"/>
              </w:rPr>
            </w:pPr>
            <w:r w:rsidRPr="00A2627F">
              <w:rPr>
                <w:color w:val="000000"/>
                <w:sz w:val="22"/>
                <w:szCs w:val="22"/>
                <w:lang w:val="hu-HU" w:eastAsia="en-GB"/>
              </w:rPr>
              <w:t xml:space="preserve">Léziók arányának átlaga </w:t>
            </w:r>
          </w:p>
          <w:p w14:paraId="618BABE9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ind w:left="31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(95%-os CI) </w:t>
            </w:r>
          </w:p>
        </w:tc>
        <w:tc>
          <w:tcPr>
            <w:tcW w:w="1275" w:type="dxa"/>
          </w:tcPr>
          <w:p w14:paraId="464EE4FB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560" w:type="dxa"/>
          </w:tcPr>
          <w:p w14:paraId="5BB35B21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0,28 </w:t>
            </w:r>
          </w:p>
          <w:p w14:paraId="0ABBFB0D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(0,20–0,39) </w:t>
            </w:r>
          </w:p>
        </w:tc>
        <w:tc>
          <w:tcPr>
            <w:tcW w:w="1275" w:type="dxa"/>
          </w:tcPr>
          <w:p w14:paraId="689AD113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</w:p>
        </w:tc>
        <w:tc>
          <w:tcPr>
            <w:tcW w:w="1438" w:type="dxa"/>
          </w:tcPr>
          <w:p w14:paraId="1653BE51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0,43 </w:t>
            </w:r>
          </w:p>
          <w:p w14:paraId="25B8D8EF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(0,30–0,61) </w:t>
            </w:r>
          </w:p>
        </w:tc>
        <w:tc>
          <w:tcPr>
            <w:tcW w:w="2106" w:type="dxa"/>
          </w:tcPr>
          <w:p w14:paraId="3F670272" w14:textId="77777777" w:rsidR="00AE072E" w:rsidRPr="00A2627F" w:rsidRDefault="00AE072E" w:rsidP="00EC63F3">
            <w:pPr>
              <w:autoSpaceDE w:val="0"/>
              <w:autoSpaceDN w:val="0"/>
              <w:adjustRightInd w:val="0"/>
              <w:spacing w:before="0" w:after="0"/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A2627F">
              <w:rPr>
                <w:color w:val="000000"/>
                <w:sz w:val="22"/>
                <w:szCs w:val="22"/>
                <w:lang w:eastAsia="en-GB"/>
              </w:rPr>
              <w:t xml:space="preserve">0,59 </w:t>
            </w:r>
          </w:p>
          <w:p w14:paraId="6DD59D0A" w14:textId="77777777" w:rsidR="00AE072E" w:rsidRPr="00A2627F" w:rsidRDefault="00AE072E" w:rsidP="00EC63F3">
            <w:pPr>
              <w:tabs>
                <w:tab w:val="left" w:pos="567"/>
              </w:tabs>
              <w:spacing w:before="0" w:after="0"/>
              <w:jc w:val="left"/>
              <w:rPr>
                <w:snapToGrid w:val="0"/>
                <w:sz w:val="22"/>
                <w:szCs w:val="22"/>
                <w:lang w:val="hu-HU" w:eastAsia="zh-CN"/>
              </w:rPr>
            </w:pPr>
            <w:r w:rsidRPr="00A2627F">
              <w:rPr>
                <w:snapToGrid w:val="0"/>
                <w:sz w:val="22"/>
                <w:szCs w:val="22"/>
                <w:lang w:val="hu-HU" w:eastAsia="zh-CN"/>
              </w:rPr>
              <w:t xml:space="preserve">(0,42–0,82) </w:t>
            </w:r>
          </w:p>
        </w:tc>
      </w:tr>
    </w:tbl>
    <w:p w14:paraId="5131A34B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vertAlign w:val="superscript"/>
          <w:lang w:val="hu-HU"/>
        </w:rPr>
      </w:pPr>
    </w:p>
    <w:p w14:paraId="36EFFBA6" w14:textId="77777777" w:rsidR="002E6FF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</w:pPr>
      <w:r w:rsidRPr="00A2627F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hu-HU"/>
        </w:rPr>
        <w:t>a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vertAlign w:val="superscript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A klinikai végpontok</w:t>
      </w:r>
      <w:r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összes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analízise ITT (intention-to-treat,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beválasztás</w:t>
      </w:r>
      <w:r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szerinti)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populációban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történt;</w:t>
      </w:r>
    </w:p>
    <w:p w14:paraId="0EF22D72" w14:textId="34072124" w:rsidR="002E6FF9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z w:val="20"/>
          <w:szCs w:val="20"/>
          <w:lang w:val="hu-HU"/>
        </w:rPr>
      </w:pPr>
      <w:r w:rsidRPr="00A2627F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hu-HU"/>
        </w:rPr>
        <w:t>b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vertAlign w:val="superscript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Az</w:t>
      </w:r>
      <w:r w:rsidR="002E6FF9"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 xml:space="preserve">MR-analízis 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>MR-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kohorsz alkalmazásával történt</w:t>
      </w:r>
    </w:p>
    <w:p w14:paraId="23854DDE" w14:textId="53AAF80B" w:rsidR="00AE072E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z w:val="20"/>
          <w:szCs w:val="2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>*</w:t>
      </w:r>
      <w:r w:rsidR="00974866"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>P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-érték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 xml:space="preserve">&lt; 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>0,05;</w:t>
      </w:r>
      <w:r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 xml:space="preserve"> **P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-érték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 xml:space="preserve">&lt; 0,01; </w:t>
      </w:r>
      <w:r w:rsidRPr="00A2627F">
        <w:rPr>
          <w:rFonts w:ascii="Times New Roman" w:hAnsi="Times New Roman" w:cs="Times New Roman"/>
          <w:color w:val="000000"/>
          <w:spacing w:val="-1"/>
          <w:sz w:val="20"/>
          <w:szCs w:val="20"/>
          <w:lang w:val="hu-HU"/>
        </w:rPr>
        <w:t>***P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-érték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&lt; 0,0001</w:t>
      </w:r>
    </w:p>
    <w:p w14:paraId="642A0848" w14:textId="60FAAEE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hu-HU"/>
        </w:rPr>
        <w:t>#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statisztikailag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nem</w:t>
      </w:r>
      <w:r w:rsidRPr="00A2627F">
        <w:rPr>
          <w:rFonts w:ascii="Times New Roman" w:hAnsi="Times New Roman" w:cs="Times New Roman"/>
          <w:color w:val="000000"/>
          <w:spacing w:val="1"/>
          <w:sz w:val="20"/>
          <w:szCs w:val="2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z w:val="20"/>
          <w:szCs w:val="20"/>
          <w:lang w:val="hu-HU"/>
        </w:rPr>
        <w:t>szignifikáns</w:t>
      </w:r>
    </w:p>
    <w:p w14:paraId="09340C0A" w14:textId="77777777" w:rsidR="00AE072E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-55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3B8CA074" w14:textId="19630BA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kulcsfontosságú (pivotális) vizsgálatokból (DEFINE és CONFIRM) 1736 alkalmas RRSM-beteget vontak be egy nyílt elrendezésű, nem kontrollos, 8 éves kiterjesztett vizsgálatba (ENDORSE). A vizsgálat elsődleges célja a 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hosszú távú biztonságosságának értékelése volt RRSM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ben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szenvedő betegeknél. Az 1736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beteg kb. felét (909</w:t>
      </w:r>
      <w:r w:rsidR="00974866" w:rsidRPr="00A2627F">
        <w:rPr>
          <w:rFonts w:ascii="Times New Roman" w:hAnsi="Times New Roman" w:cs="Times New Roman"/>
          <w:color w:val="000000"/>
          <w:lang w:val="hu-HU"/>
        </w:rPr>
        <w:t>-et</w:t>
      </w:r>
      <w:r w:rsidRPr="00A2627F">
        <w:rPr>
          <w:rFonts w:ascii="Times New Roman" w:hAnsi="Times New Roman" w:cs="Times New Roman"/>
          <w:color w:val="000000"/>
          <w:lang w:val="hu-HU"/>
        </w:rPr>
        <w:t>,</w:t>
      </w:r>
      <w:r w:rsidR="0097486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52%) legalább 6 évig kezelték. A 3 vizsgálatban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501 beteget kezeltek folyamatosan 240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 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naponta kétszer, és 249 beteg, akiket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korábban a DEFINE és a CONFIRM vizsgálatokban placebóval kezeltek, az ENDORSE vizsgálatban napi kétszeri 240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mg-os kezelést kapott. A folyamatosan napi kétszeri kezelésben részesült betegeket legfeljebb 12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évig kezelték.</w:t>
      </w:r>
    </w:p>
    <w:p w14:paraId="7C225207" w14:textId="77777777" w:rsidR="004D79AF" w:rsidRPr="00A2627F" w:rsidRDefault="004D79AF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CF44401" w14:textId="03C58A9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ENDORSE vizsgálat során a naponta kétszer 240</w:t>
      </w:r>
      <w:r w:rsidR="00974866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 </w:t>
      </w:r>
      <w:r w:rsidR="00974866" w:rsidRPr="00A2627F">
        <w:rPr>
          <w:rFonts w:ascii="Times New Roman" w:hAnsi="Times New Roman" w:cs="Times New Roman"/>
          <w:color w:val="000000"/>
          <w:lang w:val="hu-HU"/>
        </w:rPr>
        <w:t>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 több mint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felénél nem lépett fel relapszus. A 3 vizsgálatban folyamatosan, naponta kétszer kezelt betegek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esetében a korrigált ARR 0,187 volt (95%-os CI: [0,156–0,224]) a DEFINE és CONFIRM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vizsgálatokban, és 0,141 (95%-os CI: [0,119–0,167]) az ENDORSE vizsgálatban. A korábban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placebóval kezelt betegek esetében a DEFINE és CONFIRM vizsgálatokban számított korrigált ARR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0,330-ról (95%-os CI: [0,266–0,408]) 0,149-re csökkent (95%-os CI: [0,116–0,190]) az ENDORSE vizsgálatban.</w:t>
      </w:r>
    </w:p>
    <w:p w14:paraId="3C7825FA" w14:textId="1540FDA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ENDORSE vizsgálatban a betegek többségénél (&gt; 75%) nem igazoltak funkciózavar-progressziót (a funkciózavar-progresszió folyamatos fennállása 6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hónapon keresztül). A három vizsgálat összesített eredményei azt mutatták, hogy a 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E6384B">
        <w:rPr>
          <w:rFonts w:ascii="Times New Roman" w:hAnsi="Times New Roman" w:cs="Times New Roman"/>
          <w:color w:val="000000"/>
          <w:lang w:val="hu-HU"/>
        </w:rPr>
        <w:t>-</w:t>
      </w:r>
      <w:r w:rsidR="00575DC4" w:rsidRPr="00A2627F">
        <w:rPr>
          <w:rFonts w:ascii="Times New Roman" w:hAnsi="Times New Roman" w:cs="Times New Roman"/>
          <w:color w:val="000000"/>
          <w:lang w:val="hu-HU"/>
        </w:rPr>
        <w:t>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betegeknél a megerősített funkciózavar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progresszió aránya konzisztens és alacsony volt, az ENDORSE vizsgálatban pedig a </w:t>
      </w:r>
      <w:r w:rsidRPr="00A2627F">
        <w:rPr>
          <w:rFonts w:ascii="Times New Roman" w:hAnsi="Times New Roman" w:cs="Times New Roman"/>
          <w:color w:val="000000"/>
          <w:lang w:val="hu-HU"/>
        </w:rPr>
        <w:lastRenderedPageBreak/>
        <w:t>betegek átlagos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EDSS pontszámai enyhén emelkedtek. Az MR-értékelések (a 6. évig, 752 olyan betegnél, akik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korábban a DEFINE és CONFIRM vizsgálatok MR-vizsgálati kohorszába tartoztak) azt mutatták,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hogy a betegek többségénél (körülbelül 90%-uknál) nem volt Gd-dúsulással járó lézió. A 6</w:t>
      </w:r>
      <w:r w:rsidR="00A91A18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 alatt az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bookmarkStart w:id="18" w:name="br18"/>
      <w:bookmarkEnd w:id="18"/>
      <w:r w:rsidR="00130566"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688960" behindDoc="1" locked="0" layoutInCell="1" allowOverlap="1" wp14:anchorId="30108400" wp14:editId="5E18553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3" name="_x0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új vagy újonnan növekvő T2-léziók, valamint az új T1-léziók számának éves korrigált átlaga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(középértéke) alacsony maradt.</w:t>
      </w:r>
    </w:p>
    <w:p w14:paraId="2CD55264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855AE2D" w14:textId="73D4267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Hatásosság a</w:t>
      </w:r>
      <w:r w:rsidRPr="00A2627F">
        <w:rPr>
          <w:rFonts w:ascii="Times New Roman" w:hAnsi="Times New Roman" w:cs="Times New Roman"/>
          <w:i/>
          <w:i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magas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a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ktivitású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betegségben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szenvedő</w:t>
      </w:r>
      <w:r w:rsidRPr="00A2627F">
        <w:rPr>
          <w:rFonts w:ascii="Times New Roman" w:hAnsi="Times New Roman" w:cs="Times New Roman"/>
          <w:i/>
          <w:i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betegeknél:</w:t>
      </w:r>
    </w:p>
    <w:p w14:paraId="3A07E3B1" w14:textId="2703898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DEFINE és a CONFIRM vizsgálatokban a magas betegségaktivitású betegek alcsoportjában 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kezelés konzisztensen befolyásolta a relapszusokat, míg a 3 hónapig fennálló funkciózavar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progresszióig eltelt időre gyakorolt hatást nem sikerült egyértelműen meghatározni. A vizsgálatok elrendezése miatt a következőképpen határozták meg a magas betegségaktivitást:</w:t>
      </w:r>
    </w:p>
    <w:p w14:paraId="5BB6D3FE" w14:textId="203DD4F4" w:rsidR="00CE38C4" w:rsidRPr="00A2627F" w:rsidRDefault="00CF280B" w:rsidP="006271F4">
      <w:pPr>
        <w:spacing w:before="0" w:after="0" w:line="240" w:lineRule="auto"/>
        <w:ind w:left="567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a betegnél 2 vagy több relapszus jelentkezik egy év alatt, és egy vagy több Gd-dúsulással járó lézió látható az agyról készített MR-felvételen (n = 42 a DEFINE, n = 51 a CONFIRM vizsgálatban), vagy</w:t>
      </w:r>
    </w:p>
    <w:p w14:paraId="0FEF972F" w14:textId="4DBFB637" w:rsidR="00CE38C4" w:rsidRPr="00A2627F" w:rsidRDefault="00CF280B" w:rsidP="006271F4">
      <w:pPr>
        <w:spacing w:before="0" w:after="0" w:line="240" w:lineRule="auto"/>
        <w:ind w:left="567" w:hanging="567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ab/>
        <w:t>a beteg nem reagál egy teljes és megfelelő (legalább egy évig tartó) béta-interferon kezelésre, legalább 1 relapszusa volt az előző évben a kezelés mellett, és legalább 9, T2-hiperintenz</w:t>
      </w:r>
      <w:r w:rsidR="007A3637">
        <w:rPr>
          <w:rFonts w:ascii="Times New Roman" w:hAnsi="Times New Roman" w:cs="Times New Roman"/>
          <w:color w:val="000000"/>
          <w:lang w:val="hu-HU"/>
        </w:rPr>
        <w:t>ív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lézió vagy legalább 1 Gd-dúsulással járó lézió látható a cranialis MR-felvételen, vagy a beteg relapszusrátája az előző évben nem változott vagy emelkedett a megelőző 2 évhez képest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(n</w:t>
      </w:r>
      <w:r w:rsidR="006271F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6271F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177 a DEFINE, n</w:t>
      </w:r>
      <w:r w:rsidR="00894B0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=</w:t>
      </w:r>
      <w:r w:rsidR="00894B04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141 a CONFIRM vizsgálatban).</w:t>
      </w:r>
    </w:p>
    <w:p w14:paraId="44CC7C95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587ACBB" w14:textId="4925A8E0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Gyermekek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>és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serdülők</w:t>
      </w:r>
    </w:p>
    <w:p w14:paraId="70FA66C9" w14:textId="7AFE5E9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dimetil-fumarát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biztonságosságát és hatásosságát RRSM-ben szenvedő gyermekeknél és serdülőknél egy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randomizált, nyílt elrendezésű, aktív kontrollos (béta-1a interferon), párhuzamos csoportos 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vizsgálatban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értékelték, amelyben 10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894B04">
        <w:rPr>
          <w:rFonts w:ascii="Times New Roman" w:hAnsi="Times New Roman" w:cs="Times New Roman"/>
          <w:color w:val="000000"/>
          <w:lang w:val="hu-HU"/>
        </w:rPr>
        <w:t>–</w:t>
      </w:r>
      <w:r w:rsidR="006271F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&lt;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18 éves, RRSM-ben szenvedő gyermekek és serdülők vettek</w:t>
      </w:r>
      <w:r w:rsidR="004D79AF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részt. Százötven beteget randomizáltak dimetil-fumarát-kezelésre (240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per os</w:t>
      </w:r>
      <w:r w:rsidRPr="00A2627F">
        <w:rPr>
          <w:rFonts w:ascii="Times New Roman" w:hAnsi="Times New Roman" w:cs="Times New Roman"/>
          <w:color w:val="000000"/>
          <w:lang w:val="hu-HU"/>
        </w:rPr>
        <w:t>, naponta kétszer) vagy béta-1a interferon-kezelésre (30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mikrogramm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im</w:t>
      </w:r>
      <w:r w:rsidRPr="00A2627F">
        <w:rPr>
          <w:rFonts w:ascii="Times New Roman" w:hAnsi="Times New Roman" w:cs="Times New Roman"/>
          <w:color w:val="000000"/>
          <w:lang w:val="hu-HU"/>
        </w:rPr>
        <w:t>., hetente egyszer) 96 héten keresztül. A vizsgálat elsődleges végpontja azoknak a betegeknek az aránya volt, akiknél a 96. héten nem találtak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új vagy újonnan megnagyobbodott T2-hiperintenzív léziókat az agyi MR-felvételeken. A fő </w:t>
      </w:r>
      <w:r w:rsidR="00A80940" w:rsidRPr="00A2627F">
        <w:rPr>
          <w:rFonts w:ascii="Times New Roman" w:hAnsi="Times New Roman" w:cs="Times New Roman"/>
          <w:color w:val="000000"/>
          <w:lang w:val="hu-HU"/>
        </w:rPr>
        <w:t>másodlagos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végpont az új vagy újonnan megnagyobbodott T2-hiperintenzív léziók száma volt az </w:t>
      </w:r>
      <w:r w:rsidR="004D79AF" w:rsidRPr="00A2627F">
        <w:rPr>
          <w:rFonts w:ascii="Times New Roman" w:hAnsi="Times New Roman" w:cs="Times New Roman"/>
          <w:color w:val="000000"/>
          <w:lang w:val="hu-HU"/>
        </w:rPr>
        <w:t xml:space="preserve">agyi </w:t>
      </w:r>
      <w:r w:rsidRPr="00A2627F">
        <w:rPr>
          <w:rFonts w:ascii="Times New Roman" w:hAnsi="Times New Roman" w:cs="Times New Roman"/>
          <w:color w:val="000000"/>
          <w:lang w:val="hu-HU"/>
        </w:rPr>
        <w:t>MR-felvételeken a 96. héten. Leíró statisztika kerül bemutatásra, mivel az elsődleges végpontra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vonatkozóan előre nem terveztek megerősítő hipotézist.</w:t>
      </w:r>
    </w:p>
    <w:p w14:paraId="74886877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14619BD" w14:textId="7403955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ITT-populációban azoknak a betegeknek az aránya, akiknél a kiinduláshoz viszonyítva a 96. héten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nem volt észlelhető új vagy újonnan megnagyobbodott T2-lézió az MR-felvételen, 12,8% volt a dimetil-fumarát-csoportban és 2,8% a béta-1a interferon-csoportban. A kiinduláshoz viszonyítva az új vagy újonnan megnagyobbodott T2-léziók átlagos száma a 96. héten (amelyet a kiindulási T2-léziók számához és kiindulási életkorhoz igazítottak [ITT-populáció, az MR-vizsgálati eredményekkel nem rendelkező betegek kivételével]) 12,4 volt a dimetil-fumarát-csoportban, és 32,6 a béta-1a interferon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csoportban.</w:t>
      </w:r>
    </w:p>
    <w:p w14:paraId="50B46C67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9565715" w14:textId="4885EC7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96 hetes, nyílt elrendezésű vizsgálati szakasz lezárásáig a klinikai relapszus valószínűsége a dimetil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fumarát-csoportban 34%, a béta-1a interferon-csoportban pedig 48% volt.</w:t>
      </w:r>
    </w:p>
    <w:p w14:paraId="4F63C672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05777ED" w14:textId="0B7ED23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</w:t>
      </w:r>
      <w:r w:rsidR="006271F4" w:rsidRPr="00A2627F">
        <w:rPr>
          <w:rFonts w:ascii="Times New Roman" w:hAnsi="Times New Roman" w:cs="Times New Roman"/>
          <w:color w:val="000000"/>
          <w:lang w:val="hu-HU"/>
        </w:rPr>
        <w:t xml:space="preserve"> dimetil-fumaráttal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kezelt (13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894B04">
        <w:rPr>
          <w:rFonts w:ascii="Times New Roman" w:hAnsi="Times New Roman" w:cs="Times New Roman"/>
          <w:color w:val="000000"/>
          <w:lang w:val="hu-HU"/>
        </w:rPr>
        <w:t>–</w:t>
      </w:r>
      <w:r w:rsidR="006271F4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&lt;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18 éves) gyermekek és serdülők biztonságossági profilja minőségileg megegyezett a felnőtt betegeknél korábban megfigyeltekkel (lásd 4.8 pont).</w:t>
      </w:r>
    </w:p>
    <w:p w14:paraId="20566861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6A09AE2" w14:textId="2CA6869A" w:rsidR="00CE38C4" w:rsidRPr="00A2627F" w:rsidRDefault="007C391E" w:rsidP="00EC63F3">
      <w:pPr>
        <w:pStyle w:val="Listaszerbekezds"/>
        <w:numPr>
          <w:ilvl w:val="1"/>
          <w:numId w:val="2"/>
        </w:numPr>
        <w:spacing w:before="0" w:after="0" w:line="240" w:lineRule="auto"/>
        <w:ind w:left="851" w:hanging="851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Farmakokinetikai tulajdonságok</w:t>
      </w:r>
    </w:p>
    <w:p w14:paraId="4A09DECF" w14:textId="5DC7BBDF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035F648" w14:textId="1C9B5017" w:rsidR="00915A3C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szájon át alkalmazott dimetil-fumará</w:t>
      </w:r>
      <w:r w:rsidR="00915A3C" w:rsidRPr="00A2627F">
        <w:rPr>
          <w:rFonts w:ascii="Times New Roman" w:hAnsi="Times New Roman" w:cs="Times New Roman"/>
          <w:color w:val="000000"/>
          <w:lang w:val="hu-HU"/>
        </w:rPr>
        <w:t>tot észterázok hidrolizálják gyors ütemben, mielőtt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keringésbe kerül, majd az elsődleges metabolitjává, monometil-fumaráttá alakul, ami szintén aktív. </w:t>
      </w:r>
    </w:p>
    <w:p w14:paraId="358A6F4E" w14:textId="1B5282D6" w:rsidR="00915A3C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894B04">
        <w:rPr>
          <w:rFonts w:ascii="Times New Roman" w:hAnsi="Times New Roman" w:cs="Times New Roman"/>
          <w:color w:val="000000"/>
          <w:lang w:val="hu-HU"/>
        </w:rPr>
        <w:t>-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szájon át történő bevételét követően nem határozható meg a dimetil-fumarát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mennyisége a plazmában. Ezért a dimetil-fumarátra vonatkozó összes farmakokinetikai analízist a plazmában levő monometil-fumaráttal végezték.</w:t>
      </w:r>
    </w:p>
    <w:p w14:paraId="1A62BD80" w14:textId="29CB6D0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farmakokinetikai adatokat sclerosis multiplexes betegektől és egészséges önkéntesektől nyerték.</w:t>
      </w:r>
    </w:p>
    <w:p w14:paraId="0BB4ABAD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90C9278" w14:textId="77B59226" w:rsidR="00CE38C4" w:rsidRPr="00A2627F" w:rsidRDefault="007C391E" w:rsidP="00A91A18">
      <w:pPr>
        <w:keepNext/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lastRenderedPageBreak/>
        <w:t>Felszívódás</w:t>
      </w:r>
    </w:p>
    <w:p w14:paraId="4082723C" w14:textId="477207D6" w:rsidR="00530751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monometil-fumarát t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>-értéke 2–2,5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óra. Mivel a </w:t>
      </w:r>
      <w:r w:rsidR="00530751" w:rsidRPr="00A2627F">
        <w:rPr>
          <w:rFonts w:ascii="Times New Roman" w:hAnsi="Times New Roman" w:cs="Times New Roman"/>
          <w:color w:val="000000"/>
          <w:lang w:val="hu-HU"/>
        </w:rPr>
        <w:t>dimetil 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kemény kapszulák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gyomornedv- ellenálló bevonattal védett </w:t>
      </w:r>
      <w:r w:rsidR="00F07FD7">
        <w:rPr>
          <w:rFonts w:ascii="Times New Roman" w:hAnsi="Times New Roman" w:cs="Times New Roman"/>
          <w:color w:val="000000"/>
          <w:lang w:val="hu-HU"/>
        </w:rPr>
        <w:t>mini</w:t>
      </w:r>
      <w:r w:rsidR="00F07FD7" w:rsidRPr="00A2627F">
        <w:rPr>
          <w:rFonts w:ascii="Times New Roman" w:hAnsi="Times New Roman" w:cs="Times New Roman"/>
          <w:color w:val="000000"/>
          <w:lang w:val="hu-HU"/>
        </w:rPr>
        <w:t xml:space="preserve">tablettákat </w:t>
      </w:r>
      <w:r w:rsidRPr="00A2627F">
        <w:rPr>
          <w:rFonts w:ascii="Times New Roman" w:hAnsi="Times New Roman" w:cs="Times New Roman"/>
          <w:color w:val="000000"/>
          <w:lang w:val="hu-HU"/>
        </w:rPr>
        <w:t>tartalmaznak, addig nem kezdődik meg a felszívódásuk,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bookmarkStart w:id="19" w:name="br19"/>
      <w:bookmarkEnd w:id="19"/>
      <w:r w:rsidR="00130566"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687936" behindDoc="1" locked="0" layoutInCell="1" allowOverlap="1" wp14:anchorId="04A4B498" wp14:editId="136BE7C9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2" name="_x0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amíg el nem hagyják a gyomrot (ez általában kevesebb mint 1 órát vesz igénybe).</w:t>
      </w:r>
    </w:p>
    <w:p w14:paraId="4D221F7D" w14:textId="54CEAA90" w:rsidR="00530751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Naponta kétszer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240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</w:t>
      </w:r>
      <w:r w:rsidR="00915A3C" w:rsidRPr="00A2627F">
        <w:rPr>
          <w:rFonts w:ascii="Times New Roman" w:hAnsi="Times New Roman" w:cs="Times New Roman"/>
          <w:color w:val="000000"/>
          <w:lang w:val="hu-HU"/>
        </w:rPr>
        <w:t>-os 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F07FD7">
        <w:rPr>
          <w:rFonts w:ascii="Times New Roman" w:hAnsi="Times New Roman" w:cs="Times New Roman"/>
          <w:color w:val="000000"/>
          <w:lang w:val="hu-HU"/>
        </w:rPr>
        <w:t>étkezés közben</w:t>
      </w:r>
      <w:r w:rsidR="00F07FD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történő bevételét követően a csúcsérték </w:t>
      </w:r>
      <w:r w:rsidR="00F07FD7">
        <w:rPr>
          <w:rFonts w:ascii="Times New Roman" w:hAnsi="Times New Roman" w:cs="Times New Roman"/>
          <w:color w:val="000000"/>
          <w:lang w:val="hu-HU"/>
        </w:rPr>
        <w:t>mediánja</w:t>
      </w:r>
      <w:r w:rsidR="00F07FD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</w:t>
      </w:r>
      <w:r w:rsidR="00915A3C" w:rsidRPr="00A2627F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>) 1,72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mg/l, az összesített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görbe alatti terület (AUC, </w:t>
      </w:r>
      <w:r w:rsidRPr="00A91A18">
        <w:rPr>
          <w:rFonts w:ascii="Times New Roman" w:hAnsi="Times New Roman" w:cs="Times New Roman"/>
          <w:i/>
          <w:color w:val="000000"/>
          <w:lang w:val="hu-HU"/>
        </w:rPr>
        <w:t>area under the curve</w:t>
      </w:r>
      <w:r w:rsidRPr="00A2627F">
        <w:rPr>
          <w:rFonts w:ascii="Times New Roman" w:hAnsi="Times New Roman" w:cs="Times New Roman"/>
          <w:color w:val="000000"/>
          <w:lang w:val="hu-HU"/>
        </w:rPr>
        <w:t>) expozíció pedig 8,02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óra</w:t>
      </w:r>
      <w:r w:rsidR="00A91A18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×</w:t>
      </w:r>
      <w:r w:rsidR="00A91A18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mg/l volt a sclerosis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multiplexes betegek esetében. A dózistartomány-vizsgálatokban (120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360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mg) a </w:t>
      </w:r>
      <w:r w:rsidR="00915A3C" w:rsidRPr="00A2627F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az AUC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általánosságban körülbelül a dózis emelésével arányosan emelkedett.</w:t>
      </w:r>
    </w:p>
    <w:p w14:paraId="4E40B01D" w14:textId="4E70249B" w:rsidR="00CE38C4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Sclerosis multiplexben szenvedő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betegeknél a napi háromszori adagolási rendben 4 órás kihagyás volt két 240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mg-os dózis beadása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között. Ez az expozíció minimális mértékű felhalmozódását eredményezte, aminek következtében 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915A3C" w:rsidRPr="00A2627F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középértéke 12%-kal emelkedett a napi kétszeri adagoláshoz képest (1,72 mg/l a napi kétszeri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adagolás esetében, a napi háromszori adagolás 1,93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mg/l-es értékével szemben), és ez nem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befolyásolta a biztonságosságot.</w:t>
      </w:r>
    </w:p>
    <w:p w14:paraId="58140ACB" w14:textId="77777777" w:rsidR="00530751" w:rsidRPr="00A2627F" w:rsidRDefault="00530751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2B12FA3" w14:textId="17723BC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Az ételnek nincs klinikailag jelentős hatása a dimetil-fumarát expozíciójára. Azonban a 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dimetil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fumarátot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 jobb tolerálhatóság miatt, tekintettel a kipirulásra vagy az emésztőrendszeri nemkívánatos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eseményekre </w:t>
      </w:r>
      <w:r w:rsidR="00F07FD7">
        <w:rPr>
          <w:rFonts w:ascii="Times New Roman" w:hAnsi="Times New Roman" w:cs="Times New Roman"/>
          <w:color w:val="000000"/>
          <w:lang w:val="hu-HU"/>
        </w:rPr>
        <w:t>étkezés közben</w:t>
      </w:r>
      <w:r w:rsidR="00F07FD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kell bevenni (lásd 4.2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pont).</w:t>
      </w:r>
    </w:p>
    <w:p w14:paraId="5D145826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27D57A9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Eloszlás</w:t>
      </w:r>
    </w:p>
    <w:p w14:paraId="1D98A0E6" w14:textId="3008CB1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240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 dimetil-fumarát szájon át történő bevételét követően a látszólagos eloszlási térfogat 60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l és</w:t>
      </w:r>
      <w:r w:rsidR="00530751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90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l között változik. A monometil-fumarát emberi plazmafehérjéhez történő kötődése általában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27% és 40% közé esik.</w:t>
      </w:r>
    </w:p>
    <w:p w14:paraId="1452C996" w14:textId="77777777" w:rsidR="002E6FF9" w:rsidRPr="00A2627F" w:rsidRDefault="002E6FF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3615B5F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Biotranszformáció</w:t>
      </w:r>
    </w:p>
    <w:p w14:paraId="24FF0218" w14:textId="00C4438D" w:rsidR="005E64C2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Az emberi szervezetben a dimetil-fumarát nagymértékben metabolizálódik, a bevett </w:t>
      </w:r>
      <w:r w:rsidR="007A3637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kevesebb, mint 0,1%-a választódik ki a vizeletben változatlan dimetil-fumarát formában. A szisztémás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keringésbe jutása előtt a vegyületet először észterázok metabolizálják, melyek egyaránt jelen vannak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 emésztőrendszerben, a vérben és a szövetekben. További metabolizáción esik át trikarboxilsav</w:t>
      </w:r>
      <w:r w:rsidR="00A91A18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cikluson keresztül, de ebben nem játszik szerepet a citokróm P450 (CYP) rendszer. </w:t>
      </w:r>
    </w:p>
    <w:p w14:paraId="48FAFE63" w14:textId="3886C34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Egy egyszeri 240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mg-os </w:t>
      </w:r>
      <w:r w:rsidRPr="00A2627F">
        <w:rPr>
          <w:rFonts w:ascii="Times New Roman" w:hAnsi="Times New Roman" w:cs="Times New Roman"/>
          <w:color w:val="000000"/>
          <w:vertAlign w:val="superscript"/>
          <w:lang w:val="hu-HU"/>
        </w:rPr>
        <w:t>14</w:t>
      </w:r>
      <w:r w:rsidRPr="00A2627F">
        <w:rPr>
          <w:rFonts w:ascii="Times New Roman" w:hAnsi="Times New Roman" w:cs="Times New Roman"/>
          <w:color w:val="000000"/>
          <w:lang w:val="hu-HU"/>
        </w:rPr>
        <w:t>C-dimetil-fumarát adagolást elemző vizsgálatban az emberi plazmából a glükózt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azonosították, mint predomináns metabolitot. A keringésben levő többi metabolit közé tartozik 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fumársav, a citromsav és a monometil-fumarát. A fumársav folytatólagos (downstream)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metabolizációja a trikarboxilsav-cikluson keresztül történik, és a CO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2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kilélegzése szolgál az elimináció elsődleges módjául.</w:t>
      </w:r>
    </w:p>
    <w:p w14:paraId="761B8417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FFE029D" w14:textId="70869553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Elimináció</w:t>
      </w:r>
    </w:p>
    <w:p w14:paraId="35B80025" w14:textId="046033CB" w:rsidR="00530751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CO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2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kilélegzése a dimetil-fumarát eliminációjának elsődleges útvonala, mely módon a bevitt </w:t>
      </w:r>
      <w:r w:rsidR="007A3637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60%-a távozik.</w:t>
      </w:r>
    </w:p>
    <w:p w14:paraId="2EB73B65" w14:textId="79AFB5B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vesén keresztül és a széklettel történő kiválasztás az elimináció másodlagos útjai, melyeken keresztül a bevitt dózis 15,5%-a (vese) és 0,9%-a (széklet) távozik.</w:t>
      </w:r>
    </w:p>
    <w:p w14:paraId="06BBED2A" w14:textId="77777777" w:rsidR="00530751" w:rsidRPr="00A2627F" w:rsidRDefault="00530751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66E5CEB" w14:textId="1F13D4B6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monometil-fumarát terminális felezési ideje rövid (körülbelül 1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óra), és 24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óra elteltével az emberek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többségének keringésében a monometil-fumarát már nincs jelen. Terápiás adagolási rend esetén a</w:t>
      </w:r>
      <w:r w:rsidR="007A3637">
        <w:rPr>
          <w:rFonts w:ascii="Times New Roman" w:hAnsi="Times New Roman" w:cs="Times New Roman"/>
          <w:color w:val="000000"/>
          <w:lang w:val="hu-HU"/>
        </w:rPr>
        <w:t xml:space="preserve"> dimetil</w:t>
      </w:r>
      <w:r w:rsidR="00E6384B">
        <w:rPr>
          <w:rFonts w:ascii="Times New Roman" w:hAnsi="Times New Roman" w:cs="Times New Roman"/>
          <w:color w:val="000000"/>
          <w:lang w:val="hu-HU"/>
        </w:rPr>
        <w:t>-</w:t>
      </w:r>
      <w:r w:rsidR="007A3637">
        <w:rPr>
          <w:rFonts w:ascii="Times New Roman" w:hAnsi="Times New Roman" w:cs="Times New Roman"/>
          <w:color w:val="000000"/>
          <w:lang w:val="hu-HU"/>
        </w:rPr>
        <w:t>fumarát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vagy a monometil-fumarát nem halmozódik fel a dimetil-fumarát több dózisának bevétele esetén sem.</w:t>
      </w:r>
    </w:p>
    <w:p w14:paraId="5C5416C0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705657D" w14:textId="55136A24" w:rsidR="00AE072E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Linearitás</w:t>
      </w:r>
    </w:p>
    <w:p w14:paraId="784E7DB7" w14:textId="1FEAC86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vizsgált 120–360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mg-os dózistartományban egy vagy több </w:t>
      </w:r>
      <w:r w:rsidR="007A3637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esetén a dimetil-fumarát-expozíci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ó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a bevett </w:t>
      </w:r>
      <w:r w:rsidR="007A3637">
        <w:rPr>
          <w:rFonts w:ascii="Times New Roman" w:hAnsi="Times New Roman" w:cs="Times New Roman"/>
          <w:color w:val="000000"/>
          <w:lang w:val="hu-HU"/>
        </w:rPr>
        <w:t>dózissal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megközelítőleg arányosan emelkedik.</w:t>
      </w:r>
    </w:p>
    <w:p w14:paraId="254762B3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639C3C6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Farmakokinetika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különleges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betegcsoportoknál</w:t>
      </w:r>
    </w:p>
    <w:p w14:paraId="4B4388CA" w14:textId="0D175DA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varianciaanalízis (ANOVA) eredményei alapján a testtömeg az expozíció (</w:t>
      </w:r>
      <w:r w:rsidR="005E64C2" w:rsidRPr="00A2627F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és AUC) fő kovariánsa RRSM-ben szenvedő betegek esetében, de ez nem befolyásolta a klinikai vizsgálatban mért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biztonságossági és hat</w:t>
      </w:r>
      <w:r w:rsidR="007A3637">
        <w:rPr>
          <w:rFonts w:ascii="Times New Roman" w:hAnsi="Times New Roman" w:cs="Times New Roman"/>
          <w:color w:val="000000"/>
          <w:lang w:val="hu-HU"/>
        </w:rPr>
        <w:t>ásossági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eredményeket.</w:t>
      </w:r>
      <w:r w:rsidR="00AE072E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27D5EEA3" w14:textId="77777777" w:rsidR="00150D28" w:rsidRPr="00A2627F" w:rsidRDefault="00150D2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0" w:name="br20"/>
      <w:bookmarkEnd w:id="20"/>
    </w:p>
    <w:p w14:paraId="78E3880B" w14:textId="57F201B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nem és az életkor nem volt klinikailag jelentős hatással a dimetil-fumarát farmakokinetikájára. A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farmakokinetikát 65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vagy ennél idősebb betegeknél nem vizsgálták.</w:t>
      </w:r>
    </w:p>
    <w:p w14:paraId="299A0AC4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04D4E2E" w14:textId="003FC5F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Vesekárosodás</w:t>
      </w:r>
    </w:p>
    <w:p w14:paraId="60BD30F2" w14:textId="5A84E68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Mivel a vese a dimetil-fumarát eliminációjának másodlagos útvonala, és a bevitt adag kevesebb, mint 16%-ának eltávolításáért felel, a farmakokinetikát nem vizsgálták vesekárosodásban szenvedő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egyéneknél.</w:t>
      </w:r>
    </w:p>
    <w:p w14:paraId="16463F88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50BA607" w14:textId="159BD4FA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Májkárosodás</w:t>
      </w:r>
    </w:p>
    <w:p w14:paraId="3AED4CE2" w14:textId="20000D8A" w:rsidR="00CE38C4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Mivel a dimetil-fumarátot és a monometil-fumarátot észterázok metabolizálják a CYP450 rendszer részvétele nélkül, a farmakokinetikát nem vizsgálták májkárosodásban szenvedő egyéneknél.</w:t>
      </w:r>
    </w:p>
    <w:p w14:paraId="746BABFF" w14:textId="77777777" w:rsidR="007A3637" w:rsidRPr="00A2627F" w:rsidRDefault="007A3637" w:rsidP="007A3637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1B24222" w14:textId="77777777" w:rsidR="007A3637" w:rsidRPr="00A2627F" w:rsidRDefault="007A3637" w:rsidP="007A3637">
      <w:pPr>
        <w:spacing w:before="0" w:after="0" w:line="240" w:lineRule="auto"/>
        <w:jc w:val="left"/>
        <w:rPr>
          <w:rFonts w:ascii="Times New Roman" w:hAnsi="Times New Roman" w:cs="Times New Roman"/>
          <w:i/>
          <w:iCs/>
          <w:color w:val="000000"/>
          <w:lang w:val="hu-HU"/>
        </w:rPr>
      </w:pP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Gyermekek</w:t>
      </w:r>
      <w:r w:rsidRPr="00A2627F">
        <w:rPr>
          <w:rFonts w:ascii="Times New Roman" w:hAnsi="Times New Roman" w:cs="Times New Roman"/>
          <w:i/>
          <w:iCs/>
          <w:color w:val="000000"/>
          <w:spacing w:val="1"/>
          <w:lang w:val="hu-HU"/>
        </w:rPr>
        <w:t xml:space="preserve"> és</w:t>
      </w:r>
      <w:r w:rsidRPr="00A2627F">
        <w:rPr>
          <w:rFonts w:ascii="Times New Roman" w:hAnsi="Times New Roman" w:cs="Times New Roman"/>
          <w:i/>
          <w:i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i/>
          <w:iCs/>
          <w:color w:val="000000"/>
          <w:lang w:val="hu-HU"/>
        </w:rPr>
        <w:t>serdülők</w:t>
      </w:r>
    </w:p>
    <w:p w14:paraId="60948423" w14:textId="2E2842A8" w:rsidR="007A3637" w:rsidRPr="00A2627F" w:rsidRDefault="007A363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naponta kétszer alkalmazott 240 mg dimetil-fumarát farmakokinetikai profilját egy kis esetszámú, nyílt elrendezésű, nem kontrollos vizsgálatban, RRSM-ben szenvedő 13–17 éves betegek bevonásával értékelték (n = 21). A dimetil-fumarát farmakokinetikája ezeknél a serdülőkorú betegeknél összhangban volt azzal, amit korábban felnőtt betegeknél megfigyeltek (c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max</w:t>
      </w:r>
      <w:r w:rsidRPr="00A2627F">
        <w:rPr>
          <w:rFonts w:ascii="Times New Roman" w:hAnsi="Times New Roman" w:cs="Times New Roman"/>
          <w:color w:val="000000"/>
          <w:lang w:val="hu-HU"/>
        </w:rPr>
        <w:t>: 2,00 ± 1,29 mg/l; AUC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t>0</w:t>
      </w:r>
      <w:r w:rsidRPr="00A2627F">
        <w:rPr>
          <w:rFonts w:ascii="Times New Roman" w:hAnsi="Times New Roman" w:cs="Times New Roman"/>
          <w:color w:val="000000"/>
          <w:vertAlign w:val="subscript"/>
          <w:lang w:val="hu-HU"/>
        </w:rPr>
        <w:noBreakHyphen/>
        <w:t>12h</w:t>
      </w:r>
      <w:r w:rsidRPr="00A2627F">
        <w:rPr>
          <w:rFonts w:ascii="Times New Roman" w:hAnsi="Times New Roman" w:cs="Times New Roman"/>
          <w:color w:val="000000"/>
          <w:lang w:val="hu-HU"/>
        </w:rPr>
        <w:t>: 3,62 ± 1,16 mg×óra/l, ami 7,24 mg</w:t>
      </w:r>
      <w:r w:rsidR="0058413C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×</w:t>
      </w:r>
      <w:r w:rsidR="0058413C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óra/l-es napi össz AUC-nek felel meg). </w:t>
      </w:r>
    </w:p>
    <w:p w14:paraId="3D142566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CAB5AFC" w14:textId="2CCA77C5" w:rsidR="00CE38C4" w:rsidRPr="00A2627F" w:rsidRDefault="007C391E" w:rsidP="00EC63F3">
      <w:pPr>
        <w:pStyle w:val="Listaszerbekezds"/>
        <w:numPr>
          <w:ilvl w:val="1"/>
          <w:numId w:val="2"/>
        </w:numPr>
        <w:spacing w:before="0" w:after="0" w:line="240" w:lineRule="auto"/>
        <w:ind w:left="851" w:hanging="851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preklinikai biztonságossági vizsgálatok eredményei</w:t>
      </w:r>
    </w:p>
    <w:p w14:paraId="10422D9E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14CE4A12" w14:textId="41DC6E56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Az alábbi Toxikológia és Reprodukcióra kifejtett toxicitás című részekben leírt mellékhatásokat nem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figyelték meg klinikai vizsgálatokban, de észlelték állatoknál a klinikai expozíciós szinthez hasonló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szintek esetében.</w:t>
      </w:r>
    </w:p>
    <w:p w14:paraId="106BF132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6A0636C" w14:textId="77777777" w:rsidR="00AE072E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Genotoxicitás</w:t>
      </w:r>
    </w:p>
    <w:p w14:paraId="10C29A5F" w14:textId="4C104F2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A dimetil-fumarát és a monometil-fumarát negatív eredményt mutatott egy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in vitro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assay-sorozatban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(Ames, kromoszóma-rendellenességek emlősök sejtjeiben). A dimetil-fumarát negatív eredményt</w:t>
      </w:r>
      <w:r w:rsidR="002E6FF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mutatott a patkányokkal végzett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in vivo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micronucleus assay során.</w:t>
      </w:r>
    </w:p>
    <w:p w14:paraId="167C0541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4A8E224" w14:textId="10AB4B7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Karcinogenitás</w:t>
      </w:r>
    </w:p>
    <w:p w14:paraId="2695994D" w14:textId="7CFE9E1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 karcinogenitásával kapcsolatos vizsgálatokat maximum 2</w:t>
      </w:r>
      <w:r w:rsidR="00C875BF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éven keresztül folytatták egerekkel és patkányokkal. A dimetil-fumarátot szájon át adták be 25, 75, 200 és 400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6A0B0C" w:rsidRPr="00A2627F">
        <w:rPr>
          <w:rFonts w:ascii="Times New Roman" w:hAnsi="Times New Roman" w:cs="Times New Roman"/>
          <w:color w:val="000000"/>
          <w:lang w:val="hu-HU"/>
        </w:rPr>
        <w:t xml:space="preserve">dózisban </w:t>
      </w:r>
      <w:r w:rsidRPr="00A2627F">
        <w:rPr>
          <w:rFonts w:ascii="Times New Roman" w:hAnsi="Times New Roman" w:cs="Times New Roman"/>
          <w:color w:val="000000"/>
          <w:lang w:val="hu-HU"/>
        </w:rPr>
        <w:t>egereknek, és 25, 50, 100 és 150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 patkányoknak. Egereknél a renalis tubularis carcinoma gyakorisága a napi 75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mg/ttkg adag esetén megemelkedett,</w:t>
      </w:r>
      <w:r w:rsidR="00EF01D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ami a javasolt emberi dózissal egyenértékű expozíciót (AUC) jelent. Patkányoknál a renalis tubularis carcinoma és a herék Leydig-sejtes adenomájának gyakorisága a napi 100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esetén megemelkedett, ami a javasolt emberi dózisnál körülbelül 2-szer nagyobb expozíciót jelent. Nem</w:t>
      </w:r>
      <w:r w:rsidR="00EF01D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ismert, hogy ezek az eredmények milyen jelentőséggel bírnak az emberi kockázatok vonatkozásában.</w:t>
      </w:r>
    </w:p>
    <w:p w14:paraId="3C63F79E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426EDF2" w14:textId="3017132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mirigyeket nem tartalmazó gyomorterület (előgyomor) laphámsejtes papillomájának és</w:t>
      </w:r>
      <w:r w:rsidR="00EF01D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F07FD7">
        <w:rPr>
          <w:rFonts w:ascii="Times New Roman" w:hAnsi="Times New Roman" w:cs="Times New Roman"/>
          <w:color w:val="000000"/>
          <w:lang w:val="hu-HU"/>
        </w:rPr>
        <w:t>c</w:t>
      </w:r>
      <w:r w:rsidRPr="00A2627F">
        <w:rPr>
          <w:rFonts w:ascii="Times New Roman" w:hAnsi="Times New Roman" w:cs="Times New Roman"/>
          <w:color w:val="000000"/>
          <w:lang w:val="hu-HU"/>
        </w:rPr>
        <w:t>arcinomájának gyakorisága megemelkedett az egereknél a javasolt emberi dózissal egyenértékű</w:t>
      </w:r>
      <w:r w:rsidR="00EF01D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expozíció, a patkányoknál pedig a javasolt emberi dózis alatti expozíció hatására (az AUC alapján). A</w:t>
      </w:r>
      <w:r w:rsidR="00EF01DA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rágcsálók előgyomrának nincs emberi megfelelője.</w:t>
      </w:r>
    </w:p>
    <w:p w14:paraId="64B88A45" w14:textId="77777777" w:rsidR="00AE072E" w:rsidRPr="00A2627F" w:rsidRDefault="00AE072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48347FC" w14:textId="621F4575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Toxikológia</w:t>
      </w:r>
    </w:p>
    <w:p w14:paraId="6B6D7E0A" w14:textId="2C79A79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 szondával, szájon át beadott szuszpenziójával (dimetil-fumarát 0,8%-os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hidroxipropil-metil-cellulózban) végeztek toxicitási vizsgálatokat rágcsálókon, nyulakon és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majmokon. A kutyákon végzett krónikus </w:t>
      </w:r>
      <w:r w:rsidR="00EC7D41">
        <w:rPr>
          <w:rFonts w:ascii="Times New Roman" w:hAnsi="Times New Roman" w:cs="Times New Roman"/>
          <w:color w:val="000000"/>
          <w:lang w:val="hu-HU"/>
        </w:rPr>
        <w:t xml:space="preserve">toxicitási </w:t>
      </w:r>
      <w:r w:rsidRPr="00A2627F">
        <w:rPr>
          <w:rFonts w:ascii="Times New Roman" w:hAnsi="Times New Roman" w:cs="Times New Roman"/>
          <w:color w:val="000000"/>
          <w:lang w:val="hu-HU"/>
        </w:rPr>
        <w:t>vizsgálatot szájon át beadott dimetil-fumarát kapszulákkal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végezték.</w:t>
      </w:r>
    </w:p>
    <w:p w14:paraId="4C2D501F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6CF6DEC" w14:textId="0046C166" w:rsidR="00CE38C4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1" w:name="br21"/>
      <w:bookmarkEnd w:id="21"/>
      <w:r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685888" behindDoc="1" locked="0" layoutInCell="1" allowOverlap="1" wp14:anchorId="42E98087" wp14:editId="468E89B9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0" name="_x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color w:val="000000"/>
          <w:lang w:val="hu-HU"/>
        </w:rPr>
        <w:t>A dimetil-fumarát ismételt szájon át történő adása után elváltozásokat figyeltek meg a vesékben az egereknél, a patkányoknál, a kutyáknál és a majmoknál. Károsodásra utaló renalis tubularis epithelialis regenerálódást figyeltek meg az összes fajnál. Renalis tubularis hyperplasiát figyeltek meg azoknál a patkányoknál, akik egész életükben (2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éves vizsgálat) kapták a készítményt. Azoknál a kutyáknál, amelyek 11 hónapon keresztül naponta kapták szájon át a dimetil-fumarátot, a corticalis atrophiára vonatkozóan számított küszöbértéket az AUC-érték alapján javasolt dózis 3-szorosánál figyelték meg. Azoknál a majmoknál, amelyek 12 hónapon keresztül naponta kapták szájon át a dimetil-fumarátot,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egysejtes necrosist az AUC-érték alapján javasolt dózis 2-szerese mellett figyeltek meg. Interstitialis</w:t>
      </w:r>
      <w:r w:rsidR="00BA7089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lastRenderedPageBreak/>
        <w:t>fibrosist és corticalis atrophiát az AUC-érték alapján javasolt dózisnál 6-szor nagyobb adag mellett figyeltek meg. Nem ismert, hogy ezek az eredmények milyen jelentőséggel bírnak az emberekre vonatkozóan.</w:t>
      </w:r>
    </w:p>
    <w:p w14:paraId="7B853A26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EB8C448" w14:textId="4854ECCD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Patkányoknál és kutyáknál a herékben a tubuli seminiferi csírahámjának degenerálódását figyelték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meg. Ezt patkányok esetében körülbelül a javasolt dózisszinten, kutyák esetében pedig a javasolt dózis 3-szorosa (az AUC alapján) mellett figyelték meg. Nem ismert, hogy ezek az eredmények milyen jelentőséggel bírnak az emberekre vonatkozóan.</w:t>
      </w:r>
    </w:p>
    <w:p w14:paraId="56768994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14EFE49" w14:textId="03E694B4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Egerek és patkányok előgyomrában megfigyeltek laphámsejtes hyperplasiát és hyperkeratosist,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gyulladást, valamint laphámsejtes papillomát és carcinomát a 3 hónapos vagy annál hosszabb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időtartamú vizsgálatokban. Az egerek és patkányok előgyomrának nincs emberi megfelelője.</w:t>
      </w:r>
    </w:p>
    <w:p w14:paraId="48183CBB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E7E0160" w14:textId="0A3E383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 xml:space="preserve">Reprodukcióra </w:t>
      </w:r>
      <w:r w:rsidR="00EC7D41">
        <w:rPr>
          <w:rFonts w:ascii="Times New Roman" w:hAnsi="Times New Roman" w:cs="Times New Roman"/>
          <w:color w:val="000000"/>
          <w:u w:val="single"/>
          <w:lang w:val="hu-HU"/>
        </w:rPr>
        <w:t xml:space="preserve">és fejlődésre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kifejtett toxicitás</w:t>
      </w:r>
    </w:p>
    <w:p w14:paraId="630784F5" w14:textId="69401F7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dimetil-fumarát hím patkányoknak, szájon át, 75, 250, és 375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ban, a párosodás előtt és alatt adva nem volt hatással a hímek termékenységére, még a legnagyobb vizsgált dózis (az AUC alapján a javasolt dózis legalább 2-szerese) esetében sem. A dimetil-fumarát nőstény patkányoknak, szájon át, 25, 100, és 250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ban, a párosodás előtt és alatt, valamint a vemhesség 7. napjáig adva a 14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>naponkénti oestrus fázisok számának csökkenését idézte elő, és növelte a meghosszabbodott di</w:t>
      </w:r>
      <w:r w:rsidR="00EC7D41">
        <w:rPr>
          <w:rFonts w:ascii="Times New Roman" w:hAnsi="Times New Roman" w:cs="Times New Roman"/>
          <w:color w:val="000000"/>
          <w:lang w:val="hu-HU"/>
        </w:rPr>
        <w:t>o</w:t>
      </w:r>
      <w:r w:rsidRPr="00A2627F">
        <w:rPr>
          <w:rFonts w:ascii="Times New Roman" w:hAnsi="Times New Roman" w:cs="Times New Roman"/>
          <w:color w:val="000000"/>
          <w:lang w:val="hu-HU"/>
        </w:rPr>
        <w:t>estrus fázisú állatok számát a legnagyobb vizsgált dózis (az AUC alapján javasolt dózis 11-szerese) esetében. Azonban ezek a változások nem befolyásolták a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termékenységet vagy a világra hozott életképes magzatok számát.</w:t>
      </w:r>
    </w:p>
    <w:p w14:paraId="4B629445" w14:textId="05C081BF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45CC132C" w14:textId="50FC1135" w:rsidR="005F0520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Patkányoknál és nyulaknál kimutatták, hogy a dimetil-fumarát átjut a placenta membránján a magzati vérkeringésbe, és a szer magzati és anyai plazmakoncentrációjának aránya 0,48–0,64 és 0,1 volt.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 dimetil-fumarát egyik dózisánál sem figyeltek meg fejlődési rendellenességeket a patkányoknál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vagy a nyulaknál.</w:t>
      </w:r>
    </w:p>
    <w:p w14:paraId="60D532D4" w14:textId="5C052174" w:rsidR="005F0520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vemhes patkányoknak szájon át, 25, 100, és 250</w:t>
      </w:r>
      <w:r w:rsidR="005F052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ban, a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szervfejlődés időszakában adott dimetil-fumarát anyai mellékhatásokat okozott az AUC alapján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javasolt dózis 4-szeresén</w:t>
      </w:r>
      <w:r w:rsidR="00F07FD7">
        <w:rPr>
          <w:rFonts w:ascii="Times New Roman" w:hAnsi="Times New Roman" w:cs="Times New Roman"/>
          <w:color w:val="000000"/>
          <w:lang w:val="hu-HU"/>
        </w:rPr>
        <w:t>él</w:t>
      </w:r>
      <w:r w:rsidRPr="00A2627F">
        <w:rPr>
          <w:rFonts w:ascii="Times New Roman" w:hAnsi="Times New Roman" w:cs="Times New Roman"/>
          <w:color w:val="000000"/>
          <w:lang w:val="hu-HU"/>
        </w:rPr>
        <w:t>, valamint alacsony magzati súlyt és késleltetett csontosodást idézett elő (a metatarsusokban és a hátsó végtag phalanxaiban) az AUC alapján javasolt dózis 11-szeresén</w:t>
      </w:r>
      <w:r w:rsidR="00F07FD7">
        <w:rPr>
          <w:rFonts w:ascii="Times New Roman" w:hAnsi="Times New Roman" w:cs="Times New Roman"/>
          <w:color w:val="000000"/>
          <w:lang w:val="hu-HU"/>
        </w:rPr>
        <w:t>él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 alacsonyabb magzati súlyt és a késleltetett csontosodást az anyai toxicitás (csökkent testsúly és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ételfogyasztás) következményének tartották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23A0C4D9" w14:textId="4BE14292" w:rsidR="00CE38C4" w:rsidRPr="00A2627F" w:rsidRDefault="006B679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vemhes nyulaknak szájon át, 25, 75, és 150</w:t>
      </w:r>
      <w:r w:rsidR="005F0520" w:rsidRPr="00A2627F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ban, a szervfejlődés alatt adott dimetil-fumarát nem volt hatással az embrió és a magzat fejlődésére, viszont az anya testsúlyának csökkenését okozta az AUC alapján javasolt dózis 7-szeresén</w:t>
      </w:r>
      <w:r w:rsidR="00F07FD7">
        <w:rPr>
          <w:rFonts w:ascii="Times New Roman" w:hAnsi="Times New Roman" w:cs="Times New Roman"/>
          <w:color w:val="000000"/>
          <w:lang w:val="hu-HU"/>
        </w:rPr>
        <w:t>él</w:t>
      </w:r>
      <w:r w:rsidRPr="00A2627F">
        <w:rPr>
          <w:rFonts w:ascii="Times New Roman" w:hAnsi="Times New Roman" w:cs="Times New Roman"/>
          <w:color w:val="000000"/>
          <w:lang w:val="hu-HU"/>
        </w:rPr>
        <w:t>, illetve az abortálódások számának megnövekedését idézte elő az AUC alapján javasolt dózis 16-szorosán.</w:t>
      </w:r>
    </w:p>
    <w:p w14:paraId="455DF15C" w14:textId="77777777" w:rsidR="00130566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69AC6C01" w14:textId="1BC3B64E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Patkányoknak szájon át, 25, 100, és 250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mg/ttkg/nap </w:t>
      </w:r>
      <w:r w:rsidR="00EC7D41">
        <w:rPr>
          <w:rFonts w:ascii="Times New Roman" w:hAnsi="Times New Roman" w:cs="Times New Roman"/>
          <w:color w:val="000000"/>
          <w:lang w:val="hu-HU"/>
        </w:rPr>
        <w:t>dózis</w:t>
      </w:r>
      <w:r w:rsidRPr="00A2627F">
        <w:rPr>
          <w:rFonts w:ascii="Times New Roman" w:hAnsi="Times New Roman" w:cs="Times New Roman"/>
          <w:color w:val="000000"/>
          <w:lang w:val="hu-HU"/>
        </w:rPr>
        <w:t>ban, a terhesség és a szoptatás alatt adott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dimetil-fumarát csökkent testsúlyt </w:t>
      </w:r>
      <w:r w:rsidR="00F07FD7">
        <w:rPr>
          <w:rFonts w:ascii="Times New Roman" w:hAnsi="Times New Roman" w:cs="Times New Roman"/>
          <w:color w:val="000000"/>
          <w:lang w:val="hu-HU"/>
        </w:rPr>
        <w:t>okozott</w:t>
      </w:r>
      <w:r w:rsidR="00F07FD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az F1 utódokban, valamint késleltetett szexuális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érést okozott a hímnemű F1 utódokban az AUC alapján javasolt dózis 11-szerese esetén. Ez nem volt hatással az F1 utódok termékenységére. Az utódok alacsonyabb testsúlyát az anyai toxicitás következményének tartották.</w:t>
      </w:r>
    </w:p>
    <w:p w14:paraId="0B208F6F" w14:textId="77777777" w:rsidR="00130566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989918D" w14:textId="77777777" w:rsidR="00EC7D41" w:rsidRDefault="00EC7D41" w:rsidP="00EC7D41">
      <w:pPr>
        <w:pStyle w:val="Cmsor2"/>
        <w:ind w:left="0" w:firstLine="0"/>
      </w:pPr>
      <w:r>
        <w:t>Toxicitás fiatal állatoknál</w:t>
      </w:r>
      <w:r w:rsidRPr="00156BAC">
        <w:rPr>
          <w:u w:val="none"/>
        </w:rPr>
        <w:t xml:space="preserve"> </w:t>
      </w:r>
    </w:p>
    <w:p w14:paraId="48441322" w14:textId="77777777" w:rsidR="00EC7D41" w:rsidRPr="00A2627F" w:rsidRDefault="00EC7D41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5E0F2EB" w14:textId="266C7FD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Fiatal patkányokkal végzett két toxicitási vizsgálatban a születés utáni 28. naptól a 90–93. napig (ami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embereknél körülbelül 3 éves és annál idősebb kornak felel meg) naponta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per os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adagolt dimetil</w:t>
      </w:r>
      <w:r w:rsidR="0058413C">
        <w:rPr>
          <w:rFonts w:ascii="Times New Roman" w:hAnsi="Times New Roman" w:cs="Times New Roman"/>
          <w:color w:val="000000"/>
          <w:lang w:val="hu-HU"/>
        </w:rPr>
        <w:noBreakHyphen/>
      </w:r>
      <w:r w:rsidRPr="00A2627F">
        <w:rPr>
          <w:rFonts w:ascii="Times New Roman" w:hAnsi="Times New Roman" w:cs="Times New Roman"/>
          <w:color w:val="000000"/>
          <w:lang w:val="hu-HU"/>
        </w:rPr>
        <w:t>fumarát alkalmazásakor a felnőtt állatoknál megfigyelthez hasonló, a vesét és az előgyomrot érintő</w:t>
      </w:r>
      <w:bookmarkStart w:id="22" w:name="br22"/>
      <w:bookmarkEnd w:id="22"/>
      <w:r w:rsidR="00130566" w:rsidRPr="00A2627F">
        <w:rPr>
          <w:rFonts w:ascii="Times New Roman" w:hAnsi="Times New Roman" w:cs="Times New Roman"/>
          <w:noProof/>
          <w:color w:val="000000"/>
          <w:lang w:val="hu-HU" w:eastAsia="hu-HU"/>
        </w:rPr>
        <w:drawing>
          <wp:anchor distT="0" distB="0" distL="114300" distR="114300" simplePos="0" relativeHeight="251684864" behindDoc="1" locked="0" layoutInCell="1" allowOverlap="1" wp14:anchorId="12F4A478" wp14:editId="71E414B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9" name="_x0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566" w:rsidRPr="00A2627F">
        <w:rPr>
          <w:rFonts w:ascii="Times New Roman" w:hAnsi="Times New Roman" w:cs="Times New Roman"/>
          <w:color w:val="000000"/>
          <w:lang w:val="hu-HU"/>
        </w:rPr>
        <w:t xml:space="preserve"> célszervi toxicitás mutatkozott. Az első vizsgálatban a dimetil-fumarát legfeljebb 140</w:t>
      </w:r>
      <w:r w:rsidR="00F07FD7">
        <w:rPr>
          <w:rFonts w:ascii="Times New Roman" w:hAnsi="Times New Roman" w:cs="Times New Roman"/>
          <w:color w:val="000000"/>
          <w:lang w:val="hu-HU"/>
        </w:rPr>
        <w:t> 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mg/ttkg/nap maximális dózisban (gyermekek és serdülők korlátozott mennyiségű AUC-adatai alapján a javasolt</w:t>
      </w:r>
      <w:r w:rsidR="00F07FD7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humán dózis körülbelül 4,6-szerese) történő alkalmazása nem volt hatással a fejlődésre, az idegrendszeri eredetű viselkedésre vagy a hímek és nőstények termékenységére. Hasonlóképpen, a második vizsgálatban a dimetil-fumarát fiatal hím patkányoknál legfeljebb 375</w:t>
      </w:r>
      <w:r w:rsidR="0058413C">
        <w:rPr>
          <w:rFonts w:ascii="Times New Roman" w:hAnsi="Times New Roman" w:cs="Times New Roman"/>
          <w:color w:val="000000"/>
          <w:lang w:val="hu-HU"/>
        </w:rPr>
        <w:t> 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 xml:space="preserve">mg/ttkg/nap maximális dózisban (az ajánlott gyermekgyógyászati dózis mellett feltételezett AUC körülbelül 15-szöröse) történő alkalmazásakor nem figyeltek meg a hímek termékenységére és járulékos szerveire gyakorolt hatást. Ugyanakkor a combcsont és a lumbális csigolyák 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lastRenderedPageBreak/>
        <w:t>ásványianyag</w:t>
      </w:r>
      <w:r w:rsidR="0058413C">
        <w:rPr>
          <w:rFonts w:ascii="Times New Roman" w:hAnsi="Times New Roman" w:cs="Times New Roman"/>
          <w:color w:val="000000"/>
          <w:lang w:val="hu-HU"/>
        </w:rPr>
        <w:noBreakHyphen/>
      </w:r>
      <w:r w:rsidR="00130566" w:rsidRPr="00A2627F">
        <w:rPr>
          <w:rFonts w:ascii="Times New Roman" w:hAnsi="Times New Roman" w:cs="Times New Roman"/>
          <w:color w:val="000000"/>
          <w:lang w:val="hu-HU"/>
        </w:rPr>
        <w:t>tartalmának és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csontsűrűségének csökkenése nyilvánvaló volt a fiatal hím patkányoknál. Fiatal patkányoknál csont-denzitometriai eltéréseket is megfigyeltek egy másik fumársav-észter, a diroximel-fumarát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per os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alkalmazását követően, amely </w:t>
      </w:r>
      <w:r w:rsidRPr="00F321C9">
        <w:rPr>
          <w:rFonts w:ascii="Times New Roman" w:hAnsi="Times New Roman" w:cs="Times New Roman"/>
          <w:i/>
          <w:iCs/>
          <w:color w:val="000000"/>
          <w:lang w:val="hu-HU"/>
        </w:rPr>
        <w:t>in vivo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 ugyanazon aktív metabolittá, a monometil-fumaráttá alakul át. A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fiatal patkányoknál észlelt denzitometriai változások esetében a megfigyelhető mellékhatást még nem</w:t>
      </w:r>
      <w:r w:rsidR="00130566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okozó dózisszint (</w:t>
      </w:r>
      <w:r w:rsidRPr="0058413C">
        <w:rPr>
          <w:rFonts w:ascii="Times New Roman" w:hAnsi="Times New Roman" w:cs="Times New Roman"/>
          <w:i/>
          <w:color w:val="000000"/>
          <w:lang w:val="hu-HU"/>
        </w:rPr>
        <w:t>no observed adverse effect level</w:t>
      </w:r>
      <w:r w:rsidRPr="00A2627F">
        <w:rPr>
          <w:rFonts w:ascii="Times New Roman" w:hAnsi="Times New Roman" w:cs="Times New Roman"/>
          <w:color w:val="000000"/>
          <w:lang w:val="hu-HU"/>
        </w:rPr>
        <w:t>, NOAEL) körülbelül 1,5-szerese az ajánlott gyermekgyógyászati dózis feltételezett AUC-értékének. Lehetséges, hogy a csontokat érintő hatások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összefüggésben állnak az alacsonyabb testtömeggel, de egy közvetlen hatás szerepe nem zárható ki. A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csontokat érintő hatások felnőtt betegek vonatkozásában korlátozott jelentőséggel bírnak. Gyermekek</w:t>
      </w:r>
      <w:r w:rsidR="006B6797" w:rsidRPr="00A2627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és serdülők vonatkozásában az eredmények jelentősége nem ismert.</w:t>
      </w:r>
    </w:p>
    <w:p w14:paraId="10A1755E" w14:textId="1D2045D5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A23B612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1D3ED5A" w14:textId="455EFC52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GYÓGYSZERÉSZETI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JELLEMZŐK</w:t>
      </w:r>
    </w:p>
    <w:p w14:paraId="50E7A3D3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0A455038" w14:textId="630BD465" w:rsidR="00CE38C4" w:rsidRPr="00A2627F" w:rsidRDefault="00EC63F3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6.1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ab/>
      </w:r>
      <w:r w:rsidR="007C391E" w:rsidRPr="00A2627F">
        <w:rPr>
          <w:rFonts w:ascii="Times New Roman" w:hAnsi="Times New Roman" w:cs="Times New Roman"/>
          <w:b/>
          <w:bCs/>
          <w:color w:val="000000"/>
          <w:lang w:val="hu-HU"/>
        </w:rPr>
        <w:t>Segédanyagok felsorolása</w:t>
      </w:r>
    </w:p>
    <w:p w14:paraId="38843B02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20232280" w14:textId="0366AB8C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A kapszula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tartalma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(gyomornedv-ellenálló</w:t>
      </w:r>
      <w:r w:rsidRPr="00A2627F">
        <w:rPr>
          <w:rFonts w:ascii="Times New Roman" w:hAnsi="Times New Roman" w:cs="Times New Roman"/>
          <w:color w:val="000000"/>
          <w:spacing w:val="-2"/>
          <w:u w:val="single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u w:val="single"/>
          <w:lang w:val="hu-HU"/>
        </w:rPr>
        <w:t>bevonattal</w:t>
      </w:r>
      <w:r w:rsidRPr="00A5121B">
        <w:rPr>
          <w:rFonts w:ascii="Times New Roman" w:hAnsi="Times New Roman" w:cs="Times New Roman"/>
          <w:color w:val="000000"/>
          <w:spacing w:val="-1"/>
          <w:u w:val="single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u w:val="single"/>
          <w:lang w:val="hu-HU"/>
        </w:rPr>
        <w:t>ellátott</w:t>
      </w:r>
      <w:r w:rsidRPr="00A5121B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u w:val="single"/>
          <w:lang w:val="hu-HU"/>
        </w:rPr>
        <w:t>mi</w:t>
      </w:r>
      <w:r w:rsidR="0082378B" w:rsidRPr="00A5121B">
        <w:rPr>
          <w:rFonts w:ascii="Times New Roman" w:hAnsi="Times New Roman" w:cs="Times New Roman"/>
          <w:color w:val="000000"/>
          <w:u w:val="single"/>
          <w:lang w:val="hu-HU"/>
        </w:rPr>
        <w:t>ni</w:t>
      </w:r>
      <w:r w:rsidRPr="00A5121B">
        <w:rPr>
          <w:rFonts w:ascii="Times New Roman" w:hAnsi="Times New Roman" w:cs="Times New Roman"/>
          <w:color w:val="000000"/>
          <w:u w:val="single"/>
          <w:lang w:val="hu-HU"/>
        </w:rPr>
        <w:t>tabletták)</w:t>
      </w:r>
    </w:p>
    <w:p w14:paraId="50BEB0F7" w14:textId="79539B23" w:rsidR="00753458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mikrokristályos cellulóz</w:t>
      </w:r>
      <w:r w:rsidRPr="00A2627F">
        <w:rPr>
          <w:rFonts w:ascii="Times New Roman" w:hAnsi="Times New Roman" w:cs="Times New Roman"/>
          <w:color w:val="000000"/>
          <w:lang w:val="hu-HU"/>
        </w:rPr>
        <w:cr/>
      </w:r>
      <w:r w:rsidR="00B657DB" w:rsidRPr="00A2627F">
        <w:rPr>
          <w:rFonts w:ascii="Times New Roman" w:hAnsi="Times New Roman" w:cs="Times New Roman"/>
          <w:color w:val="000000"/>
          <w:lang w:val="hu-HU"/>
        </w:rPr>
        <w:t>kroszpovidon</w:t>
      </w:r>
    </w:p>
    <w:p w14:paraId="7EEF5E24" w14:textId="177373B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talkum</w:t>
      </w:r>
    </w:p>
    <w:p w14:paraId="4519218B" w14:textId="432A2F62" w:rsidR="00B657DB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povidon</w:t>
      </w:r>
    </w:p>
    <w:p w14:paraId="3FFB7C85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vízmentes</w:t>
      </w:r>
      <w:r w:rsidRPr="00A2627F">
        <w:rPr>
          <w:rFonts w:ascii="Times New Roman" w:hAnsi="Times New Roman" w:cs="Times New Roman"/>
          <w:color w:val="000000"/>
          <w:spacing w:val="-3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kolloid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szilícium-dioxid</w:t>
      </w:r>
      <w:r w:rsidRPr="00A2627F">
        <w:rPr>
          <w:rFonts w:ascii="Times New Roman" w:hAnsi="Times New Roman" w:cs="Times New Roman"/>
          <w:color w:val="000000"/>
          <w:lang w:val="hu-HU"/>
        </w:rPr>
        <w:cr/>
        <w:t>magnézium-sztearát</w:t>
      </w:r>
    </w:p>
    <w:p w14:paraId="2DE4D475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trietil-citrát</w:t>
      </w:r>
    </w:p>
    <w:p w14:paraId="395F648F" w14:textId="3386B1C0" w:rsidR="00753458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1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metakrilsav-etilakrilát-kopolimer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(1:1),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</w:p>
    <w:p w14:paraId="410C8E16" w14:textId="5A8F20DB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1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h</w:t>
      </w:r>
      <w:r w:rsidR="00FC12C5" w:rsidRPr="00A2627F">
        <w:rPr>
          <w:rFonts w:ascii="Times New Roman" w:hAnsi="Times New Roman" w:cs="Times New Roman"/>
          <w:color w:val="000000"/>
          <w:spacing w:val="1"/>
          <w:lang w:val="hu-HU"/>
        </w:rPr>
        <w:t>i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promellóz</w:t>
      </w:r>
    </w:p>
    <w:p w14:paraId="4F946A81" w14:textId="515DDCB4" w:rsidR="00FC12C5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titán</w:t>
      </w:r>
      <w:r w:rsidR="00A32E68">
        <w:rPr>
          <w:rFonts w:ascii="Times New Roman" w:hAnsi="Times New Roman" w:cs="Times New Roman"/>
          <w:color w:val="000000"/>
          <w:spacing w:val="1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dioxid</w:t>
      </w:r>
      <w:r w:rsidR="00FC12C5"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FC12C5" w:rsidRPr="00A2627F">
        <w:rPr>
          <w:rFonts w:ascii="Times New Roman" w:hAnsi="Times New Roman" w:cs="Times New Roman"/>
          <w:color w:val="000000"/>
          <w:lang w:val="hu-HU"/>
        </w:rPr>
        <w:t>(E171)</w:t>
      </w:r>
    </w:p>
    <w:p w14:paraId="1637A339" w14:textId="76199C77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triacetin</w:t>
      </w:r>
    </w:p>
    <w:p w14:paraId="3ED9943E" w14:textId="7C14867D" w:rsidR="006B6797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4B8DE131" w14:textId="772538B8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Kapszulahéj</w:t>
      </w:r>
    </w:p>
    <w:p w14:paraId="23B87A9F" w14:textId="77777777" w:rsidR="006B6797" w:rsidRPr="00A2627F" w:rsidRDefault="006B6797" w:rsidP="00EC63F3">
      <w:pPr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="SimSun" w:hAnsi="Times New Roman" w:cs="Times New Roman"/>
          <w:color w:val="000000"/>
          <w:lang w:val="hu-HU" w:eastAsia="en-GB"/>
        </w:rPr>
      </w:pPr>
      <w:r w:rsidRPr="00A2627F">
        <w:rPr>
          <w:rFonts w:ascii="Times New Roman" w:eastAsia="SimSun" w:hAnsi="Times New Roman" w:cs="Times New Roman"/>
          <w:color w:val="000000"/>
          <w:lang w:val="hu-HU" w:eastAsia="en-GB"/>
        </w:rPr>
        <w:t xml:space="preserve">zselatin </w:t>
      </w:r>
    </w:p>
    <w:p w14:paraId="7744E719" w14:textId="27F8F151" w:rsidR="006B6797" w:rsidRPr="00A2627F" w:rsidRDefault="006B6797" w:rsidP="00EC63F3">
      <w:pPr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="SimSun" w:hAnsi="Times New Roman" w:cs="Times New Roman"/>
          <w:color w:val="000000"/>
          <w:lang w:val="hu-HU" w:eastAsia="en-GB"/>
        </w:rPr>
      </w:pPr>
      <w:r w:rsidRPr="00A2627F">
        <w:rPr>
          <w:rFonts w:ascii="Times New Roman" w:eastAsia="SimSun" w:hAnsi="Times New Roman" w:cs="Times New Roman"/>
          <w:color w:val="000000"/>
          <w:lang w:val="hu-HU" w:eastAsia="en-GB"/>
        </w:rPr>
        <w:t xml:space="preserve">titán-dioxid (E171) </w:t>
      </w:r>
    </w:p>
    <w:p w14:paraId="3E13DA7E" w14:textId="18E8C9F2" w:rsidR="00753458" w:rsidRPr="00A2627F" w:rsidRDefault="00753458" w:rsidP="00EC63F3">
      <w:pPr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="SimSun" w:hAnsi="Times New Roman" w:cs="Times New Roman"/>
          <w:color w:val="000000"/>
          <w:lang w:val="hu-HU" w:eastAsia="en-GB"/>
        </w:rPr>
      </w:pPr>
      <w:r w:rsidRPr="00A2627F">
        <w:rPr>
          <w:rFonts w:ascii="Times New Roman" w:eastAsia="SimSun" w:hAnsi="Times New Roman" w:cs="Times New Roman"/>
          <w:color w:val="000000"/>
          <w:lang w:val="hu-HU" w:eastAsia="en-GB"/>
        </w:rPr>
        <w:t xml:space="preserve">brillantkék </w:t>
      </w:r>
      <w:r w:rsidR="00A32E68" w:rsidRPr="00587731">
        <w:rPr>
          <w:rFonts w:ascii="Times New Roman" w:eastAsia="SimSun" w:hAnsi="Times New Roman" w:cs="Times New Roman"/>
          <w:color w:val="000000"/>
          <w:lang w:val="hu-HU" w:eastAsia="en-GB"/>
        </w:rPr>
        <w:t xml:space="preserve">FCF-FD&amp;C Blue 1 </w:t>
      </w:r>
      <w:r w:rsidRPr="00A2627F">
        <w:rPr>
          <w:rFonts w:ascii="Times New Roman" w:eastAsia="SimSun" w:hAnsi="Times New Roman" w:cs="Times New Roman"/>
          <w:color w:val="000000"/>
          <w:lang w:val="hu-HU" w:eastAsia="en-GB"/>
        </w:rPr>
        <w:t xml:space="preserve">(E133) </w:t>
      </w:r>
    </w:p>
    <w:p w14:paraId="45AAAC9E" w14:textId="3841FC38" w:rsidR="006B6797" w:rsidRPr="00A2627F" w:rsidRDefault="006B6797" w:rsidP="00EC63F3">
      <w:pPr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="SimSun" w:hAnsi="Times New Roman" w:cs="Times New Roman"/>
          <w:color w:val="000000"/>
          <w:lang w:val="hu-HU" w:eastAsia="en-GB"/>
        </w:rPr>
      </w:pPr>
      <w:r w:rsidRPr="00A2627F">
        <w:rPr>
          <w:rFonts w:ascii="Times New Roman" w:eastAsia="SimSun" w:hAnsi="Times New Roman" w:cs="Times New Roman"/>
          <w:color w:val="000000"/>
          <w:lang w:val="hu-HU" w:eastAsia="en-GB"/>
        </w:rPr>
        <w:t xml:space="preserve">sárga vas-oxid (E172) </w:t>
      </w:r>
      <w:bookmarkStart w:id="23" w:name="_Hlk121315774"/>
    </w:p>
    <w:bookmarkEnd w:id="23"/>
    <w:p w14:paraId="69FDE6EC" w14:textId="77777777" w:rsidR="006B6797" w:rsidRPr="00A2627F" w:rsidRDefault="006B679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</w:p>
    <w:p w14:paraId="18A740C6" w14:textId="271B679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Kapszula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="00F07FD7" w:rsidRPr="00F07FD7">
        <w:rPr>
          <w:rFonts w:ascii="Times New Roman" w:hAnsi="Times New Roman" w:cs="Times New Roman"/>
          <w:color w:val="000000"/>
          <w:u w:val="single"/>
          <w:lang w:val="hu"/>
        </w:rPr>
        <w:t>jelölőfesték</w:t>
      </w:r>
      <w:r w:rsidR="00F07FD7" w:rsidRPr="002A13C1">
        <w:rPr>
          <w:rFonts w:ascii="Times New Roman" w:hAnsi="Times New Roman" w:cs="Times New Roman"/>
          <w:color w:val="000000"/>
          <w:u w:val="single"/>
          <w:lang w:val="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(fekete</w:t>
      </w:r>
      <w:r w:rsidRPr="00A2627F">
        <w:rPr>
          <w:rFonts w:ascii="Times New Roman" w:hAnsi="Times New Roman" w:cs="Times New Roman"/>
          <w:color w:val="000000"/>
          <w:spacing w:val="1"/>
          <w:u w:val="single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u w:val="single"/>
          <w:lang w:val="hu-HU"/>
        </w:rPr>
        <w:t>tinta)</w:t>
      </w:r>
    </w:p>
    <w:p w14:paraId="636CA061" w14:textId="77777777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sellak</w:t>
      </w:r>
    </w:p>
    <w:p w14:paraId="595188C5" w14:textId="5FA476D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kálium-hidroxid</w:t>
      </w:r>
    </w:p>
    <w:p w14:paraId="436F24AA" w14:textId="60580C35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propiléngl</w:t>
      </w:r>
      <w:r w:rsidR="00B657DB" w:rsidRPr="00A2627F">
        <w:rPr>
          <w:rFonts w:ascii="Times New Roman" w:hAnsi="Times New Roman" w:cs="Times New Roman"/>
          <w:color w:val="000000"/>
          <w:lang w:val="hu-HU"/>
        </w:rPr>
        <w:t>i</w:t>
      </w:r>
      <w:r w:rsidRPr="00A2627F">
        <w:rPr>
          <w:rFonts w:ascii="Times New Roman" w:hAnsi="Times New Roman" w:cs="Times New Roman"/>
          <w:color w:val="000000"/>
          <w:lang w:val="hu-HU"/>
        </w:rPr>
        <w:t>kol (E 1520)</w:t>
      </w:r>
    </w:p>
    <w:p w14:paraId="27F8DE1C" w14:textId="675348D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fekete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vas-oxid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(E172)</w:t>
      </w:r>
    </w:p>
    <w:p w14:paraId="011D82E6" w14:textId="6160DCBF" w:rsidR="00130566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tömény ammóniaoldat</w:t>
      </w:r>
    </w:p>
    <w:p w14:paraId="5435BE43" w14:textId="77777777" w:rsidR="00B657DB" w:rsidRPr="00A2627F" w:rsidRDefault="00B657DB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16DAB45" w14:textId="4A83906B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6.2</w:t>
      </w:r>
      <w:r w:rsidR="00EC63F3" w:rsidRPr="00A2627F">
        <w:rPr>
          <w:rFonts w:ascii="Times New Roman" w:hAnsi="Times New Roman" w:cs="Times New Roman"/>
          <w:b/>
          <w:bCs/>
          <w:color w:val="000000"/>
          <w:spacing w:val="235"/>
          <w:lang w:val="hu-HU"/>
        </w:rPr>
        <w:tab/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Inkompatibilitások</w:t>
      </w:r>
    </w:p>
    <w:p w14:paraId="22F132FF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7503A67" w14:textId="1A3E196F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Nem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értelmezhető.</w:t>
      </w:r>
    </w:p>
    <w:p w14:paraId="5B628506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BDD4E12" w14:textId="51F37499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6.3</w:t>
      </w:r>
      <w:r w:rsidR="00EC63F3" w:rsidRPr="00A2627F">
        <w:rPr>
          <w:rFonts w:ascii="Times New Roman" w:hAnsi="Times New Roman" w:cs="Times New Roman"/>
          <w:b/>
          <w:bCs/>
          <w:color w:val="000000"/>
          <w:spacing w:val="235"/>
          <w:lang w:val="hu-HU"/>
        </w:rPr>
        <w:tab/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Felhasználhatósági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időtartam</w:t>
      </w:r>
    </w:p>
    <w:p w14:paraId="332B8690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19C7682" w14:textId="78C2B7D1" w:rsidR="00CE38C4" w:rsidRPr="00A2627F" w:rsidRDefault="0022658D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1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3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> év</w:t>
      </w:r>
    </w:p>
    <w:p w14:paraId="31620C87" w14:textId="77777777" w:rsidR="00130566" w:rsidRPr="00DB2FEE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lang w:val="hu-HU"/>
        </w:rPr>
      </w:pPr>
    </w:p>
    <w:p w14:paraId="2EE233D6" w14:textId="14CFDC06" w:rsidR="00933233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bookmarkStart w:id="24" w:name="br23"/>
      <w:bookmarkEnd w:id="24"/>
      <w:r w:rsidRPr="00A2627F">
        <w:rPr>
          <w:rFonts w:ascii="Times New Roman" w:hAnsi="Times New Roman" w:cs="Times New Roman"/>
          <w:b/>
          <w:bCs/>
          <w:noProof/>
          <w:lang w:val="hu-HU" w:eastAsia="hu-HU"/>
        </w:rPr>
        <w:drawing>
          <wp:anchor distT="0" distB="0" distL="114300" distR="114300" simplePos="0" relativeHeight="251683840" behindDoc="1" locked="0" layoutInCell="1" allowOverlap="1" wp14:anchorId="4E5658E0" wp14:editId="399CC926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8" name="_x0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6.4</w:t>
      </w:r>
      <w:r w:rsidR="00EC63F3" w:rsidRPr="00A2627F">
        <w:rPr>
          <w:rFonts w:ascii="Times New Roman" w:hAnsi="Times New Roman" w:cs="Times New Roman"/>
          <w:b/>
          <w:bCs/>
          <w:color w:val="000000"/>
          <w:spacing w:val="235"/>
          <w:lang w:val="hu-HU"/>
        </w:rPr>
        <w:tab/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Különleges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tárolási előírások</w:t>
      </w:r>
    </w:p>
    <w:p w14:paraId="35659800" w14:textId="77777777" w:rsidR="0058413C" w:rsidRDefault="0058413C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CBA577E" w14:textId="0ACB5416" w:rsidR="00130566" w:rsidRPr="00A2627F" w:rsidRDefault="00A62872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Ez a gyógyszer </w:t>
      </w:r>
      <w:r w:rsidR="00F07FD7" w:rsidRPr="00F07FD7">
        <w:rPr>
          <w:rFonts w:ascii="Times New Roman" w:hAnsi="Times New Roman" w:cs="Times New Roman"/>
          <w:color w:val="000000"/>
          <w:lang w:val="hu"/>
        </w:rPr>
        <w:t xml:space="preserve">nem igényel </w:t>
      </w:r>
      <w:r w:rsidR="00933233" w:rsidRPr="00933233">
        <w:rPr>
          <w:rFonts w:ascii="Times New Roman" w:hAnsi="Times New Roman" w:cs="Times New Roman"/>
          <w:color w:val="000000"/>
          <w:lang w:val="hu-HU"/>
        </w:rPr>
        <w:t>különleges tárolási hőmérsékletet.</w:t>
      </w:r>
    </w:p>
    <w:p w14:paraId="1F9C803C" w14:textId="0E274A51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fénytől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való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védelem</w:t>
      </w:r>
      <w:r w:rsidRPr="00A2627F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érdekében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="00933233" w:rsidRPr="00933233">
        <w:rPr>
          <w:rFonts w:ascii="Times New Roman" w:hAnsi="Times New Roman" w:cs="Times New Roman"/>
          <w:color w:val="000000"/>
          <w:lang w:val="hu-HU"/>
        </w:rPr>
        <w:t xml:space="preserve">az eredeti </w:t>
      </w:r>
      <w:r w:rsidR="00933233">
        <w:rPr>
          <w:rFonts w:ascii="Times New Roman" w:hAnsi="Times New Roman" w:cs="Times New Roman"/>
          <w:color w:val="000000"/>
          <w:lang w:val="hu-HU"/>
        </w:rPr>
        <w:t>c</w:t>
      </w:r>
      <w:r w:rsidR="00933233" w:rsidRPr="00933233">
        <w:rPr>
          <w:rFonts w:ascii="Times New Roman" w:hAnsi="Times New Roman" w:cs="Times New Roman"/>
          <w:color w:val="000000"/>
          <w:lang w:val="hu-HU"/>
        </w:rPr>
        <w:t>somagolásban tárolandó</w:t>
      </w:r>
      <w:r w:rsidRPr="00A2627F">
        <w:rPr>
          <w:rFonts w:ascii="Times New Roman" w:hAnsi="Times New Roman" w:cs="Times New Roman"/>
          <w:color w:val="000000"/>
          <w:lang w:val="hu-HU"/>
        </w:rPr>
        <w:t>.</w:t>
      </w:r>
    </w:p>
    <w:p w14:paraId="521AEBC4" w14:textId="77777777" w:rsidR="004174BE" w:rsidRPr="00A2627F" w:rsidRDefault="004174B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1F02DD3" w14:textId="4FE337F4" w:rsidR="00CE38C4" w:rsidRPr="00A2627F" w:rsidRDefault="007C391E" w:rsidP="0058413C">
      <w:pPr>
        <w:keepNext/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lastRenderedPageBreak/>
        <w:t>6.5</w:t>
      </w:r>
      <w:r w:rsidR="00EC63F3" w:rsidRPr="00A2627F">
        <w:rPr>
          <w:rFonts w:ascii="Times New Roman" w:hAnsi="Times New Roman" w:cs="Times New Roman"/>
          <w:b/>
          <w:bCs/>
          <w:color w:val="000000"/>
          <w:spacing w:val="235"/>
          <w:lang w:val="hu-HU"/>
        </w:rPr>
        <w:tab/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Csomagolás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típusa </w:t>
      </w:r>
      <w:r w:rsidRPr="00A2627F">
        <w:rPr>
          <w:rFonts w:ascii="Times New Roman" w:hAnsi="Times New Roman" w:cs="Times New Roman"/>
          <w:b/>
          <w:bCs/>
          <w:color w:val="000000"/>
          <w:spacing w:val="-2"/>
          <w:lang w:val="hu-HU"/>
        </w:rPr>
        <w:t>és</w:t>
      </w:r>
      <w:r w:rsidRPr="00A2627F">
        <w:rPr>
          <w:rFonts w:ascii="Times New Roman" w:hAnsi="Times New Roman" w:cs="Times New Roman"/>
          <w:b/>
          <w:bCs/>
          <w:color w:val="000000"/>
          <w:spacing w:val="3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kiszerelése</w:t>
      </w:r>
    </w:p>
    <w:p w14:paraId="21C5CA65" w14:textId="77777777" w:rsidR="00753458" w:rsidRPr="00A2627F" w:rsidRDefault="00753458" w:rsidP="0058413C">
      <w:pPr>
        <w:keepNext/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</w:p>
    <w:p w14:paraId="0D294A11" w14:textId="65451120" w:rsidR="00753458" w:rsidRPr="00A2627F" w:rsidRDefault="00683682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Z</w:t>
      </w:r>
      <w:r w:rsidRPr="00683682">
        <w:rPr>
          <w:rFonts w:ascii="Times New Roman" w:hAnsi="Times New Roman" w:cs="Times New Roman"/>
          <w:color w:val="000000"/>
          <w:lang w:val="hu-HU"/>
        </w:rPr>
        <w:t>árólemezzel és PP/HDPE kupakkal lezárt, szilikagél nedvességmegkötő betétet tartalmazó HDPE tartály</w:t>
      </w:r>
      <w:r w:rsidR="002E587E">
        <w:rPr>
          <w:rFonts w:ascii="Times New Roman" w:hAnsi="Times New Roman" w:cs="Times New Roman"/>
          <w:color w:val="000000"/>
          <w:lang w:val="hu-HU"/>
        </w:rPr>
        <w:t>,</w:t>
      </w:r>
    </w:p>
    <w:p w14:paraId="69225435" w14:textId="425C27E8" w:rsidR="00683682" w:rsidRDefault="00683682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vagy O</w:t>
      </w:r>
      <w:r w:rsidR="00753458" w:rsidRPr="00A2627F">
        <w:rPr>
          <w:rFonts w:ascii="Times New Roman" w:hAnsi="Times New Roman" w:cs="Times New Roman"/>
          <w:color w:val="000000"/>
          <w:lang w:val="hu-HU"/>
        </w:rPr>
        <w:t>PA/Alu/PVC//Alu buborékcsomagolás</w:t>
      </w:r>
    </w:p>
    <w:p w14:paraId="5D8643F0" w14:textId="2246B2D3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 xml:space="preserve">vagy </w:t>
      </w:r>
      <w:r w:rsidR="00683682" w:rsidRPr="00683682">
        <w:rPr>
          <w:rFonts w:ascii="Times New Roman" w:hAnsi="Times New Roman" w:cs="Times New Roman"/>
          <w:color w:val="000000"/>
          <w:lang w:val="hu-HU"/>
        </w:rPr>
        <w:t xml:space="preserve">adagonként perforált </w:t>
      </w:r>
      <w:r w:rsidR="00683682">
        <w:rPr>
          <w:rFonts w:ascii="Times New Roman" w:hAnsi="Times New Roman" w:cs="Times New Roman"/>
          <w:color w:val="000000"/>
          <w:lang w:val="hu-HU"/>
        </w:rPr>
        <w:t>O</w:t>
      </w:r>
      <w:r w:rsidRPr="00A2627F">
        <w:rPr>
          <w:rFonts w:ascii="Times New Roman" w:hAnsi="Times New Roman" w:cs="Times New Roman"/>
          <w:color w:val="000000"/>
          <w:lang w:val="hu-HU"/>
        </w:rPr>
        <w:t>PA/Alu/PVC//Alu buborékcsomagolás.</w:t>
      </w:r>
    </w:p>
    <w:p w14:paraId="75E34D7F" w14:textId="77777777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2E94879" w14:textId="0F1F4076" w:rsidR="00753458" w:rsidRPr="00683682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>Arbicen 120 mg-os gyomor</w:t>
      </w:r>
      <w:r w:rsidR="00F92FAB" w:rsidRPr="00683682">
        <w:rPr>
          <w:rFonts w:ascii="Times New Roman" w:hAnsi="Times New Roman" w:cs="Times New Roman"/>
          <w:color w:val="000000"/>
          <w:u w:val="single"/>
          <w:lang w:val="hu-HU"/>
        </w:rPr>
        <w:t>nedv-ellenálló</w:t>
      </w: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 xml:space="preserve"> kemény kapszula</w:t>
      </w:r>
    </w:p>
    <w:p w14:paraId="70139ED9" w14:textId="77777777" w:rsidR="00683682" w:rsidRDefault="00683682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1D93A89" w14:textId="1E564EA4" w:rsidR="00753458" w:rsidRPr="00A2627F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14</w:t>
      </w:r>
      <w:r w:rsidR="00005D89" w:rsidRPr="00A2627F">
        <w:rPr>
          <w:rFonts w:ascii="Times New Roman" w:hAnsi="Times New Roman" w:cs="Times New Roman"/>
          <w:color w:val="000000"/>
          <w:lang w:val="hu-HU"/>
        </w:rPr>
        <w:t> </w:t>
      </w:r>
      <w:r w:rsidR="00B3781E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Pr="00A2627F">
        <w:rPr>
          <w:rFonts w:ascii="Times New Roman" w:hAnsi="Times New Roman" w:cs="Times New Roman"/>
          <w:color w:val="000000"/>
          <w:lang w:val="hu-HU"/>
        </w:rPr>
        <w:t>gyomornedv</w:t>
      </w:r>
      <w:r w:rsidR="00F92FAB"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>ellenálló kapszula (buborékcsomagolás)</w:t>
      </w:r>
    </w:p>
    <w:p w14:paraId="35A78C7C" w14:textId="4C55C527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14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1 </w:t>
      </w:r>
      <w:r w:rsidR="00B3781E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Pr="00A2627F">
        <w:rPr>
          <w:rFonts w:ascii="Times New Roman" w:hAnsi="Times New Roman" w:cs="Times New Roman"/>
          <w:color w:val="000000"/>
          <w:lang w:val="hu-HU"/>
        </w:rPr>
        <w:t>gyomor</w:t>
      </w:r>
      <w:r w:rsidR="00005D89" w:rsidRPr="00A2627F">
        <w:rPr>
          <w:rFonts w:ascii="Times New Roman" w:hAnsi="Times New Roman" w:cs="Times New Roman"/>
          <w:color w:val="000000"/>
          <w:lang w:val="hu-HU"/>
        </w:rPr>
        <w:t>nedv</w:t>
      </w:r>
      <w:r w:rsidR="00F92FAB" w:rsidRPr="00A2627F">
        <w:rPr>
          <w:rFonts w:ascii="Times New Roman" w:hAnsi="Times New Roman" w:cs="Times New Roman"/>
          <w:color w:val="000000"/>
          <w:lang w:val="hu-HU"/>
        </w:rPr>
        <w:t>-</w:t>
      </w:r>
      <w:r w:rsidRPr="00A2627F">
        <w:rPr>
          <w:rFonts w:ascii="Times New Roman" w:hAnsi="Times New Roman" w:cs="Times New Roman"/>
          <w:color w:val="000000"/>
          <w:lang w:val="hu-HU"/>
        </w:rPr>
        <w:t xml:space="preserve">ellenálló </w:t>
      </w:r>
      <w:r w:rsidRPr="00A5121B">
        <w:rPr>
          <w:rFonts w:ascii="Times New Roman" w:hAnsi="Times New Roman" w:cs="Times New Roman"/>
          <w:color w:val="000000"/>
          <w:lang w:val="hu-HU"/>
        </w:rPr>
        <w:t>kapszula (</w:t>
      </w:r>
      <w:r w:rsidR="00683682" w:rsidRPr="00683682">
        <w:rPr>
          <w:rFonts w:ascii="Times New Roman" w:hAnsi="Times New Roman" w:cs="Times New Roman"/>
          <w:color w:val="000000"/>
          <w:lang w:val="hu-HU"/>
        </w:rPr>
        <w:t xml:space="preserve">adagonként </w:t>
      </w:r>
      <w:r w:rsidRPr="00A5121B">
        <w:rPr>
          <w:rFonts w:ascii="Times New Roman" w:hAnsi="Times New Roman" w:cs="Times New Roman"/>
          <w:color w:val="000000"/>
          <w:lang w:val="hu-HU"/>
        </w:rPr>
        <w:t>perforált buborékcsomagolás)</w:t>
      </w:r>
    </w:p>
    <w:p w14:paraId="77C54E7B" w14:textId="409DE554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100</w:t>
      </w:r>
      <w:r w:rsidR="002E587E">
        <w:rPr>
          <w:rFonts w:ascii="Times New Roman" w:hAnsi="Times New Roman" w:cs="Times New Roman"/>
          <w:color w:val="000000"/>
          <w:lang w:val="hu-HU"/>
        </w:rPr>
        <w:t> 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="00F92FAB" w:rsidRPr="00A5121B">
        <w:rPr>
          <w:rFonts w:ascii="Times New Roman" w:hAnsi="Times New Roman" w:cs="Times New Roman"/>
          <w:color w:val="000000"/>
          <w:lang w:val="hu-HU"/>
        </w:rPr>
        <w:t>gyomornedv-ellenálló</w:t>
      </w:r>
      <w:r w:rsidRPr="00A5121B">
        <w:rPr>
          <w:rFonts w:ascii="Times New Roman" w:hAnsi="Times New Roman" w:cs="Times New Roman"/>
          <w:color w:val="000000"/>
          <w:lang w:val="hu-HU"/>
        </w:rPr>
        <w:t xml:space="preserve"> kapszula (</w:t>
      </w:r>
      <w:r w:rsidR="00DD69E9" w:rsidRPr="00A5121B">
        <w:rPr>
          <w:rFonts w:ascii="Times New Roman" w:hAnsi="Times New Roman" w:cs="Times New Roman"/>
          <w:color w:val="000000"/>
          <w:lang w:val="hu-HU"/>
        </w:rPr>
        <w:t>tartály</w:t>
      </w:r>
      <w:r w:rsidRPr="00A5121B">
        <w:rPr>
          <w:rFonts w:ascii="Times New Roman" w:hAnsi="Times New Roman" w:cs="Times New Roman"/>
          <w:color w:val="000000"/>
          <w:lang w:val="hu-HU"/>
        </w:rPr>
        <w:t>)</w:t>
      </w:r>
    </w:p>
    <w:p w14:paraId="6760B1ED" w14:textId="77777777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A415E43" w14:textId="0E01AE95" w:rsidR="00753458" w:rsidRPr="00683682" w:rsidRDefault="00005D89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>Arbicen</w:t>
      </w:r>
      <w:r w:rsidR="00753458" w:rsidRPr="00683682">
        <w:rPr>
          <w:rFonts w:ascii="Times New Roman" w:hAnsi="Times New Roman" w:cs="Times New Roman"/>
          <w:color w:val="000000"/>
          <w:u w:val="single"/>
          <w:lang w:val="hu-HU"/>
        </w:rPr>
        <w:t xml:space="preserve"> 240 mg-os gyomor</w:t>
      </w: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>nedv</w:t>
      </w:r>
      <w:r w:rsidR="000C2E96" w:rsidRPr="00683682">
        <w:rPr>
          <w:rFonts w:ascii="Times New Roman" w:hAnsi="Times New Roman" w:cs="Times New Roman"/>
          <w:color w:val="000000"/>
          <w:u w:val="single"/>
          <w:lang w:val="hu-HU"/>
        </w:rPr>
        <w:t>-</w:t>
      </w: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>ellenálló</w:t>
      </w:r>
      <w:r w:rsidR="00753458" w:rsidRPr="00683682">
        <w:rPr>
          <w:rFonts w:ascii="Times New Roman" w:hAnsi="Times New Roman" w:cs="Times New Roman"/>
          <w:color w:val="000000"/>
          <w:u w:val="single"/>
          <w:lang w:val="hu-HU"/>
        </w:rPr>
        <w:t xml:space="preserve"> k</w:t>
      </w:r>
      <w:r w:rsidR="000C2E96" w:rsidRPr="00683682">
        <w:rPr>
          <w:rFonts w:ascii="Times New Roman" w:hAnsi="Times New Roman" w:cs="Times New Roman"/>
          <w:color w:val="000000"/>
          <w:u w:val="single"/>
          <w:lang w:val="hu-HU"/>
        </w:rPr>
        <w:t>emény k</w:t>
      </w:r>
      <w:r w:rsidR="00753458" w:rsidRPr="00683682">
        <w:rPr>
          <w:rFonts w:ascii="Times New Roman" w:hAnsi="Times New Roman" w:cs="Times New Roman"/>
          <w:color w:val="000000"/>
          <w:u w:val="single"/>
          <w:lang w:val="hu-HU"/>
        </w:rPr>
        <w:t>apszul</w:t>
      </w:r>
      <w:r w:rsidRPr="00683682">
        <w:rPr>
          <w:rFonts w:ascii="Times New Roman" w:hAnsi="Times New Roman" w:cs="Times New Roman"/>
          <w:color w:val="000000"/>
          <w:u w:val="single"/>
          <w:lang w:val="hu-HU"/>
        </w:rPr>
        <w:t>a</w:t>
      </w:r>
    </w:p>
    <w:p w14:paraId="306C0653" w14:textId="77777777" w:rsidR="00683682" w:rsidRDefault="00683682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7556561A" w14:textId="45F3AE21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56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gyomornedv-ellenálló</w:t>
      </w:r>
      <w:r w:rsidRPr="00A5121B">
        <w:rPr>
          <w:rFonts w:ascii="Times New Roman" w:hAnsi="Times New Roman" w:cs="Times New Roman"/>
          <w:color w:val="000000"/>
          <w:lang w:val="hu-HU"/>
        </w:rPr>
        <w:t xml:space="preserve"> kapszula (buborékcsomagolás)</w:t>
      </w:r>
    </w:p>
    <w:p w14:paraId="0C322334" w14:textId="20CE6B93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56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5121B">
        <w:rPr>
          <w:rFonts w:ascii="Times New Roman" w:hAnsi="Times New Roman" w:cs="Times New Roman"/>
          <w:color w:val="000000"/>
          <w:lang w:val="hu-HU"/>
        </w:rPr>
        <w:t xml:space="preserve">1 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Pr="00A5121B">
        <w:rPr>
          <w:rFonts w:ascii="Times New Roman" w:hAnsi="Times New Roman" w:cs="Times New Roman"/>
          <w:color w:val="000000"/>
          <w:lang w:val="hu-HU"/>
        </w:rPr>
        <w:t>gyomo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rnedv-ellenálló kapszula</w:t>
      </w:r>
      <w:r w:rsidRPr="00A5121B">
        <w:rPr>
          <w:rFonts w:ascii="Times New Roman" w:hAnsi="Times New Roman" w:cs="Times New Roman"/>
          <w:color w:val="000000"/>
          <w:lang w:val="hu-HU"/>
        </w:rPr>
        <w:t xml:space="preserve"> (</w:t>
      </w:r>
      <w:r w:rsidR="00683682" w:rsidRPr="00683682">
        <w:rPr>
          <w:rFonts w:ascii="Times New Roman" w:hAnsi="Times New Roman" w:cs="Times New Roman"/>
          <w:color w:val="000000"/>
          <w:lang w:val="hu-HU"/>
        </w:rPr>
        <w:t xml:space="preserve">adagonként </w:t>
      </w:r>
      <w:r w:rsidRPr="00A5121B">
        <w:rPr>
          <w:rFonts w:ascii="Times New Roman" w:hAnsi="Times New Roman" w:cs="Times New Roman"/>
          <w:color w:val="000000"/>
          <w:lang w:val="hu-HU"/>
        </w:rPr>
        <w:t>perforált buborékcsomagolás)</w:t>
      </w:r>
    </w:p>
    <w:p w14:paraId="7A7D29D3" w14:textId="4DD3C4A3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168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Pr="00A5121B">
        <w:rPr>
          <w:rFonts w:ascii="Times New Roman" w:hAnsi="Times New Roman" w:cs="Times New Roman"/>
          <w:color w:val="000000"/>
          <w:lang w:val="hu-HU"/>
        </w:rPr>
        <w:t>g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yomornedv-ellenálló</w:t>
      </w:r>
      <w:r w:rsidRPr="00A5121B">
        <w:rPr>
          <w:rFonts w:ascii="Times New Roman" w:hAnsi="Times New Roman" w:cs="Times New Roman"/>
          <w:color w:val="000000"/>
          <w:lang w:val="hu-HU"/>
        </w:rPr>
        <w:t xml:space="preserve"> kapszula (buborékcsomagolás)</w:t>
      </w:r>
    </w:p>
    <w:p w14:paraId="2EBA7CBD" w14:textId="7039B102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168</w:t>
      </w:r>
      <w:r w:rsidR="00814D5F">
        <w:rPr>
          <w:rFonts w:ascii="Times New Roman" w:hAnsi="Times New Roman" w:cs="Times New Roman"/>
          <w:color w:val="000000"/>
          <w:lang w:val="hu-HU"/>
        </w:rPr>
        <w:t>×</w:t>
      </w:r>
      <w:r w:rsidRPr="00A5121B">
        <w:rPr>
          <w:rFonts w:ascii="Times New Roman" w:hAnsi="Times New Roman" w:cs="Times New Roman"/>
          <w:color w:val="000000"/>
          <w:lang w:val="hu-HU"/>
        </w:rPr>
        <w:t>1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 xml:space="preserve">gyomornedv-ellenálló </w:t>
      </w:r>
      <w:r w:rsidRPr="00A5121B">
        <w:rPr>
          <w:rFonts w:ascii="Times New Roman" w:hAnsi="Times New Roman" w:cs="Times New Roman"/>
          <w:color w:val="000000"/>
          <w:lang w:val="hu-HU"/>
        </w:rPr>
        <w:t>kapszula (</w:t>
      </w:r>
      <w:r w:rsidR="00683682" w:rsidRPr="00683682">
        <w:rPr>
          <w:rFonts w:ascii="Times New Roman" w:hAnsi="Times New Roman" w:cs="Times New Roman"/>
          <w:color w:val="000000"/>
          <w:lang w:val="hu-HU"/>
        </w:rPr>
        <w:t xml:space="preserve">adagonként </w:t>
      </w:r>
      <w:r w:rsidRPr="00A5121B">
        <w:rPr>
          <w:rFonts w:ascii="Times New Roman" w:hAnsi="Times New Roman" w:cs="Times New Roman"/>
          <w:color w:val="000000"/>
          <w:lang w:val="hu-HU"/>
        </w:rPr>
        <w:t>perforált buborékcsomagolás)</w:t>
      </w:r>
    </w:p>
    <w:p w14:paraId="43502684" w14:textId="6BA4010A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100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> </w:t>
      </w:r>
      <w:r w:rsidR="00B3781E" w:rsidRPr="00A5121B">
        <w:rPr>
          <w:rFonts w:ascii="Times New Roman" w:hAnsi="Times New Roman" w:cs="Times New Roman"/>
          <w:color w:val="000000"/>
          <w:lang w:val="hu-HU"/>
        </w:rPr>
        <w:t xml:space="preserve">darab </w:t>
      </w:r>
      <w:r w:rsidR="00005D89" w:rsidRPr="00A5121B">
        <w:rPr>
          <w:rFonts w:ascii="Times New Roman" w:hAnsi="Times New Roman" w:cs="Times New Roman"/>
          <w:color w:val="000000"/>
          <w:lang w:val="hu-HU"/>
        </w:rPr>
        <w:t xml:space="preserve">gyomornedv-ellenálló </w:t>
      </w:r>
      <w:r w:rsidRPr="00A5121B">
        <w:rPr>
          <w:rFonts w:ascii="Times New Roman" w:hAnsi="Times New Roman" w:cs="Times New Roman"/>
          <w:color w:val="000000"/>
          <w:lang w:val="hu-HU"/>
        </w:rPr>
        <w:t>kapszula (</w:t>
      </w:r>
      <w:r w:rsidR="00DD69E9" w:rsidRPr="00A5121B">
        <w:rPr>
          <w:rFonts w:ascii="Times New Roman" w:hAnsi="Times New Roman" w:cs="Times New Roman"/>
          <w:color w:val="000000"/>
          <w:lang w:val="hu-HU"/>
        </w:rPr>
        <w:t>tartály</w:t>
      </w:r>
      <w:r w:rsidRPr="00A5121B">
        <w:rPr>
          <w:rFonts w:ascii="Times New Roman" w:hAnsi="Times New Roman" w:cs="Times New Roman"/>
          <w:color w:val="000000"/>
          <w:lang w:val="hu-HU"/>
        </w:rPr>
        <w:t>)</w:t>
      </w:r>
    </w:p>
    <w:p w14:paraId="74E27735" w14:textId="77777777" w:rsidR="00753458" w:rsidRPr="00A5121B" w:rsidRDefault="0075345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05EE3DD" w14:textId="5C18D235" w:rsidR="00CE38C4" w:rsidRPr="00A5121B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5" w:name="_Hlk121316315"/>
      <w:r w:rsidRPr="00A5121B">
        <w:rPr>
          <w:rFonts w:ascii="Times New Roman" w:hAnsi="Times New Roman" w:cs="Times New Roman"/>
          <w:color w:val="000000"/>
          <w:lang w:val="hu-HU"/>
        </w:rPr>
        <w:t>Nem feltétlenül mindegyik kiszerelés kerül kereskedelmi forgalomba</w:t>
      </w:r>
      <w:bookmarkEnd w:id="25"/>
      <w:r w:rsidRPr="00A5121B">
        <w:rPr>
          <w:rFonts w:ascii="Times New Roman" w:hAnsi="Times New Roman" w:cs="Times New Roman"/>
          <w:color w:val="000000"/>
          <w:lang w:val="hu-HU"/>
        </w:rPr>
        <w:t>.</w:t>
      </w:r>
    </w:p>
    <w:p w14:paraId="5784819B" w14:textId="77777777" w:rsidR="00130566" w:rsidRPr="00A5121B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F46041F" w14:textId="77777777" w:rsidR="00130566" w:rsidRPr="00A5121B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35878A3" w14:textId="54C1667E" w:rsidR="00CE38C4" w:rsidRPr="00A5121B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5121B">
        <w:rPr>
          <w:rFonts w:ascii="Times New Roman" w:hAnsi="Times New Roman" w:cs="Times New Roman"/>
          <w:b/>
          <w:bCs/>
          <w:color w:val="000000"/>
          <w:lang w:val="hu-HU"/>
        </w:rPr>
        <w:t>6.6</w:t>
      </w:r>
      <w:r w:rsidR="00EC63F3" w:rsidRPr="00A5121B">
        <w:rPr>
          <w:rFonts w:ascii="Times New Roman" w:hAnsi="Times New Roman" w:cs="Times New Roman"/>
          <w:b/>
          <w:bCs/>
          <w:color w:val="000000"/>
          <w:spacing w:val="235"/>
          <w:lang w:val="hu-HU"/>
        </w:rPr>
        <w:tab/>
      </w:r>
      <w:r w:rsidRPr="00A5121B">
        <w:rPr>
          <w:rFonts w:ascii="Times New Roman" w:hAnsi="Times New Roman" w:cs="Times New Roman"/>
          <w:b/>
          <w:bCs/>
          <w:color w:val="000000"/>
          <w:lang w:val="hu-HU"/>
        </w:rPr>
        <w:t>A megsemmisítésre</w:t>
      </w:r>
      <w:r w:rsidRPr="00A5121B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b/>
          <w:bCs/>
          <w:color w:val="000000"/>
          <w:lang w:val="hu-HU"/>
        </w:rPr>
        <w:t>vonatkozó</w:t>
      </w:r>
      <w:r w:rsidRPr="00A5121B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b/>
          <w:bCs/>
          <w:color w:val="000000"/>
          <w:lang w:val="hu-HU"/>
        </w:rPr>
        <w:t>különleges</w:t>
      </w:r>
      <w:r w:rsidRPr="00A5121B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b/>
          <w:bCs/>
          <w:color w:val="000000"/>
          <w:lang w:val="hu-HU"/>
        </w:rPr>
        <w:t>óvintézkedések</w:t>
      </w:r>
    </w:p>
    <w:p w14:paraId="0F26C219" w14:textId="77777777" w:rsidR="00130566" w:rsidRPr="00A5121B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418FFDF" w14:textId="73111577" w:rsidR="00CE38C4" w:rsidRPr="00A5121B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5121B">
        <w:rPr>
          <w:rFonts w:ascii="Times New Roman" w:hAnsi="Times New Roman" w:cs="Times New Roman"/>
          <w:color w:val="000000"/>
          <w:lang w:val="hu-HU"/>
        </w:rPr>
        <w:t>Bármilyen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spacing w:val="1"/>
          <w:lang w:val="hu-HU"/>
        </w:rPr>
        <w:t>fe</w:t>
      </w:r>
      <w:r w:rsidRPr="00A5121B">
        <w:rPr>
          <w:rFonts w:ascii="Times New Roman" w:hAnsi="Times New Roman" w:cs="Times New Roman"/>
          <w:color w:val="000000"/>
          <w:lang w:val="hu-HU"/>
        </w:rPr>
        <w:t>l</w:t>
      </w:r>
      <w:r w:rsidRPr="00A5121B">
        <w:rPr>
          <w:rFonts w:ascii="Times New Roman" w:hAnsi="Times New Roman" w:cs="Times New Roman"/>
          <w:color w:val="000000"/>
          <w:spacing w:val="-1"/>
          <w:lang w:val="hu-HU"/>
        </w:rPr>
        <w:t xml:space="preserve"> nem</w:t>
      </w:r>
      <w:r w:rsidRPr="00A5121B">
        <w:rPr>
          <w:rFonts w:ascii="Times New Roman" w:hAnsi="Times New Roman" w:cs="Times New Roman"/>
          <w:color w:val="000000"/>
          <w:spacing w:val="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használt</w:t>
      </w:r>
      <w:r w:rsidRPr="00A5121B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gyógyszer,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illetve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hulladékanyag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megsemmisítését</w:t>
      </w:r>
      <w:r w:rsidRPr="00A5121B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a</w:t>
      </w:r>
      <w:r w:rsidRPr="00A5121B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gyógyszerekre</w:t>
      </w:r>
      <w:r w:rsidR="0022658D" w:rsidRPr="00A5121B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vonatkozó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előírások</w:t>
      </w:r>
      <w:r w:rsidRPr="00A5121B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szerint</w:t>
      </w:r>
      <w:r w:rsidRPr="00A5121B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kell</w:t>
      </w:r>
      <w:r w:rsidRPr="00A5121B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5121B">
        <w:rPr>
          <w:rFonts w:ascii="Times New Roman" w:hAnsi="Times New Roman" w:cs="Times New Roman"/>
          <w:color w:val="000000"/>
          <w:lang w:val="hu-HU"/>
        </w:rPr>
        <w:t>végrehajtani.</w:t>
      </w:r>
    </w:p>
    <w:p w14:paraId="214B6026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245A7EFA" w14:textId="77777777" w:rsidR="00F07FD7" w:rsidRPr="00BF1086" w:rsidRDefault="00F07FD7" w:rsidP="00F07FD7">
      <w:pPr>
        <w:spacing w:before="0" w:after="0" w:line="240" w:lineRule="auto"/>
        <w:rPr>
          <w:rFonts w:asciiTheme="majorBidi" w:hAnsiTheme="majorBidi" w:cstheme="majorBidi"/>
          <w:lang w:val="hu"/>
        </w:rPr>
      </w:pPr>
      <w:r w:rsidRPr="00BF1086">
        <w:rPr>
          <w:rFonts w:asciiTheme="majorBidi" w:hAnsiTheme="majorBidi" w:cstheme="majorBidi"/>
          <w:b/>
          <w:lang w:val="hu"/>
        </w:rPr>
        <w:t>Megjegyzés:</w:t>
      </w:r>
      <w:r w:rsidRPr="00BF1086">
        <w:rPr>
          <w:rFonts w:asciiTheme="majorBidi" w:hAnsiTheme="majorBidi" w:cstheme="majorBidi"/>
          <w:lang w:val="hu"/>
        </w:rPr>
        <w:t xml:space="preserve"> </w:t>
      </w:r>
      <w:r>
        <w:rPr>
          <w:rFonts w:asciiTheme="majorBidi" w:hAnsiTheme="majorBidi" w:cstheme="majorBidi"/>
        </w:rPr>
        <w:sym w:font="Wingdings" w:char="F058"/>
      </w:r>
      <w:r w:rsidRPr="00BF1086">
        <w:rPr>
          <w:rFonts w:asciiTheme="majorBidi" w:hAnsiTheme="majorBidi" w:cstheme="majorBidi"/>
          <w:lang w:val="hu"/>
        </w:rPr>
        <w:t xml:space="preserve"> (egy kereszt)</w:t>
      </w:r>
    </w:p>
    <w:p w14:paraId="3EC600C8" w14:textId="77777777" w:rsidR="00F07FD7" w:rsidRPr="00BF1086" w:rsidRDefault="00F07FD7" w:rsidP="00F07FD7">
      <w:pPr>
        <w:spacing w:before="0" w:after="0" w:line="240" w:lineRule="auto"/>
        <w:rPr>
          <w:rFonts w:asciiTheme="majorBidi" w:hAnsiTheme="majorBidi" w:cstheme="majorBidi"/>
          <w:lang w:val="hu"/>
        </w:rPr>
      </w:pPr>
      <w:r w:rsidRPr="00BF1086">
        <w:rPr>
          <w:rFonts w:asciiTheme="majorBidi" w:hAnsiTheme="majorBidi" w:cstheme="majorBidi"/>
          <w:lang w:val="hu"/>
        </w:rPr>
        <w:t xml:space="preserve">Osztályozás: </w:t>
      </w:r>
      <w:r w:rsidRPr="00BF1086">
        <w:rPr>
          <w:rFonts w:asciiTheme="majorBidi" w:hAnsiTheme="majorBidi" w:cstheme="majorBidi"/>
          <w:b/>
          <w:lang w:val="hu"/>
        </w:rPr>
        <w:t>II./2 csoport</w:t>
      </w:r>
    </w:p>
    <w:p w14:paraId="4D18C8D4" w14:textId="51ACEDCD" w:rsidR="00F07FD7" w:rsidRPr="002A13C1" w:rsidRDefault="00F07FD7" w:rsidP="002A13C1">
      <w:pPr>
        <w:spacing w:before="0" w:after="0" w:line="240" w:lineRule="auto"/>
        <w:rPr>
          <w:rFonts w:asciiTheme="majorBidi" w:hAnsiTheme="majorBidi"/>
          <w:lang w:val="hu"/>
        </w:rPr>
      </w:pPr>
      <w:r w:rsidRPr="00BF1086">
        <w:rPr>
          <w:rFonts w:asciiTheme="majorBidi" w:hAnsiTheme="majorBidi" w:cstheme="majorBidi"/>
          <w:lang w:val="hu"/>
        </w:rPr>
        <w:t>Korlátozott érvényű</w:t>
      </w:r>
      <w:r w:rsidRPr="002A13C1">
        <w:rPr>
          <w:rFonts w:asciiTheme="majorBidi" w:hAnsiTheme="majorBidi"/>
          <w:lang w:val="hu"/>
        </w:rPr>
        <w:t xml:space="preserve"> orvosi rendelvényhez kötött</w:t>
      </w:r>
      <w:r w:rsidRPr="00BF1086">
        <w:rPr>
          <w:rFonts w:asciiTheme="majorBidi" w:hAnsiTheme="majorBidi" w:cstheme="majorBidi"/>
          <w:lang w:val="hu"/>
        </w:rPr>
        <w:t>, szakorvosi/kórházi diagnózist követően folyamatos szakorvosi ellenőrzés mellett alkalmazható</w:t>
      </w:r>
      <w:r w:rsidRPr="002A13C1">
        <w:rPr>
          <w:rFonts w:asciiTheme="majorBidi" w:hAnsiTheme="majorBidi"/>
          <w:lang w:val="hu"/>
        </w:rPr>
        <w:t xml:space="preserve"> gyógyszer (</w:t>
      </w:r>
      <w:r w:rsidRPr="00BF1086">
        <w:rPr>
          <w:rFonts w:asciiTheme="majorBidi" w:hAnsiTheme="majorBidi" w:cstheme="majorBidi"/>
          <w:lang w:val="hu"/>
        </w:rPr>
        <w:t>Sz</w:t>
      </w:r>
      <w:r w:rsidRPr="002A13C1">
        <w:rPr>
          <w:rFonts w:asciiTheme="majorBidi" w:hAnsiTheme="majorBidi"/>
          <w:lang w:val="hu"/>
        </w:rPr>
        <w:t>).</w:t>
      </w:r>
    </w:p>
    <w:p w14:paraId="0856D3AB" w14:textId="77777777" w:rsidR="00130566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"/>
        </w:rPr>
      </w:pPr>
    </w:p>
    <w:p w14:paraId="17219300" w14:textId="77777777" w:rsidR="00F07FD7" w:rsidRPr="00F07FD7" w:rsidRDefault="00F07FD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"/>
        </w:rPr>
      </w:pPr>
    </w:p>
    <w:p w14:paraId="5E1CF51D" w14:textId="2AE8501D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FORGALOMBA</w:t>
      </w:r>
      <w:r w:rsidRPr="00A2627F">
        <w:rPr>
          <w:rFonts w:ascii="Times New Roman" w:hAnsi="Times New Roman" w:cs="Times New Roman"/>
          <w:b/>
          <w:bCs/>
          <w:color w:val="000000"/>
          <w:spacing w:val="-1"/>
          <w:lang w:val="hu-HU"/>
        </w:rPr>
        <w:t xml:space="preserve"> HOZATALI</w:t>
      </w:r>
      <w:r w:rsidRPr="00A2627F">
        <w:rPr>
          <w:rFonts w:ascii="Times New Roman" w:hAnsi="Times New Roman" w:cs="Times New Roman"/>
          <w:b/>
          <w:bCs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ENGEDÉLY JOGOSULTJA</w:t>
      </w:r>
    </w:p>
    <w:p w14:paraId="3E0F11D4" w14:textId="77777777" w:rsidR="00130566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-55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778C9D57" w14:textId="77777777" w:rsidR="000C2E96" w:rsidRPr="000C2E96" w:rsidRDefault="000C2E96" w:rsidP="000C2E96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6" w:name="_Hlk124437936"/>
      <w:r w:rsidRPr="000C2E96">
        <w:rPr>
          <w:rFonts w:ascii="Times New Roman" w:hAnsi="Times New Roman" w:cs="Times New Roman"/>
          <w:color w:val="000000"/>
          <w:lang w:val="hu-HU"/>
        </w:rPr>
        <w:t>Egis Gyógyszergyár Zrt.</w:t>
      </w:r>
    </w:p>
    <w:p w14:paraId="687CFDE7" w14:textId="77777777" w:rsidR="000C2E96" w:rsidRPr="000C2E96" w:rsidRDefault="000C2E96" w:rsidP="000C2E96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0C2E96">
        <w:rPr>
          <w:rFonts w:ascii="Times New Roman" w:hAnsi="Times New Roman" w:cs="Times New Roman"/>
          <w:color w:val="000000"/>
          <w:lang w:val="hu-HU"/>
        </w:rPr>
        <w:t>1106 Budapest, Keresztúri út 30-38.</w:t>
      </w:r>
    </w:p>
    <w:p w14:paraId="1E2564F5" w14:textId="5D772242" w:rsidR="000C2E96" w:rsidRDefault="000C2E96" w:rsidP="000C2E96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0C2E96">
        <w:rPr>
          <w:rFonts w:ascii="Times New Roman" w:hAnsi="Times New Roman" w:cs="Times New Roman"/>
          <w:color w:val="000000"/>
          <w:lang w:val="hu-HU"/>
        </w:rPr>
        <w:t>Magyarország</w:t>
      </w:r>
    </w:p>
    <w:p w14:paraId="3E6A1AAA" w14:textId="77777777" w:rsidR="0058413C" w:rsidRPr="000C2E96" w:rsidRDefault="0058413C" w:rsidP="000C2E96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bookmarkEnd w:id="26"/>
    <w:p w14:paraId="218EC9DD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0E07BFB0" w14:textId="6DBA168B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FORGALOMBA HOZATALI ENGEDÉLY SZÁMA(I)</w:t>
      </w:r>
    </w:p>
    <w:p w14:paraId="0435D2EB" w14:textId="77777777" w:rsidR="00130566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spacing w:val="-55"/>
          <w:lang w:val="hu-HU"/>
        </w:rPr>
      </w:pPr>
      <w:r w:rsidRPr="00A2627F">
        <w:rPr>
          <w:rFonts w:ascii="Times New Roman" w:hAnsi="Times New Roman" w:cs="Times New Roman"/>
          <w:color w:val="000000"/>
          <w:spacing w:val="-55"/>
          <w:lang w:val="hu-HU"/>
        </w:rPr>
        <w:t xml:space="preserve"> </w:t>
      </w:r>
    </w:p>
    <w:p w14:paraId="5982E59D" w14:textId="602E0E9E" w:rsidR="00017F88" w:rsidRPr="00017F88" w:rsidRDefault="00017F8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017F88">
        <w:rPr>
          <w:rFonts w:ascii="Times New Roman" w:hAnsi="Times New Roman" w:cs="Times New Roman"/>
          <w:color w:val="000000"/>
          <w:u w:val="single"/>
          <w:lang w:val="hu-HU"/>
        </w:rPr>
        <w:t>Arbicen 120 mg gyomornedv-ellenálló kemény kapszula </w:t>
      </w:r>
    </w:p>
    <w:p w14:paraId="257BB907" w14:textId="02262959" w:rsidR="00017F88" w:rsidRPr="00017F88" w:rsidRDefault="00017F8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7" w:name="x__Hlk134703268"/>
      <w:r w:rsidRPr="00017F88">
        <w:rPr>
          <w:rFonts w:ascii="Times New Roman" w:hAnsi="Times New Roman" w:cs="Times New Roman"/>
          <w:color w:val="000000"/>
          <w:lang w:val="hu-HU"/>
        </w:rPr>
        <w:t>OGYI-T-24233/01</w:t>
      </w:r>
      <w:bookmarkEnd w:id="27"/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14</w:t>
      </w:r>
      <w:r>
        <w:rPr>
          <w:rFonts w:ascii="Times New Roman" w:hAnsi="Times New Roman" w:cs="Times New Roman"/>
          <w:color w:val="000000"/>
          <w:lang w:val="hu-HU"/>
        </w:rPr>
        <w:t>×</w:t>
      </w:r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OPA/Al/PVC//Al buborékcsomagolás</w:t>
      </w:r>
    </w:p>
    <w:p w14:paraId="4B41D911" w14:textId="77777777" w:rsidR="00017F88" w:rsidRDefault="00017F8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56106BA" w14:textId="12CEF5A8" w:rsidR="00017F88" w:rsidRPr="00017F88" w:rsidRDefault="00017F8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u w:val="single"/>
          <w:lang w:val="hu-HU"/>
        </w:rPr>
      </w:pPr>
      <w:r w:rsidRPr="00017F88">
        <w:rPr>
          <w:rFonts w:ascii="Times New Roman" w:hAnsi="Times New Roman" w:cs="Times New Roman"/>
          <w:color w:val="000000"/>
          <w:u w:val="single"/>
          <w:lang w:val="hu-HU"/>
        </w:rPr>
        <w:t>Arbicen 240</w:t>
      </w:r>
      <w:r>
        <w:rPr>
          <w:rFonts w:ascii="Times New Roman" w:hAnsi="Times New Roman" w:cs="Times New Roman"/>
          <w:color w:val="000000"/>
          <w:u w:val="single"/>
          <w:lang w:val="hu-HU"/>
        </w:rPr>
        <w:t> </w:t>
      </w:r>
      <w:r w:rsidRPr="00017F88">
        <w:rPr>
          <w:rFonts w:ascii="Times New Roman" w:hAnsi="Times New Roman" w:cs="Times New Roman"/>
          <w:color w:val="000000"/>
          <w:u w:val="single"/>
          <w:lang w:val="hu-HU"/>
        </w:rPr>
        <w:t>mg gyomornedv-ellenálló kemény kapszula </w:t>
      </w:r>
    </w:p>
    <w:p w14:paraId="3CAF1C9F" w14:textId="490E42BF" w:rsidR="00017F88" w:rsidRPr="00017F88" w:rsidRDefault="00017F88" w:rsidP="00017F88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bookmarkStart w:id="28" w:name="x__Hlk134703308"/>
      <w:r w:rsidRPr="00017F88">
        <w:rPr>
          <w:rFonts w:ascii="Times New Roman" w:hAnsi="Times New Roman" w:cs="Times New Roman"/>
          <w:color w:val="000000"/>
          <w:lang w:val="hu-HU"/>
        </w:rPr>
        <w:t>OGYI-T-24233/02</w:t>
      </w:r>
      <w:bookmarkEnd w:id="28"/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56</w:t>
      </w:r>
      <w:r>
        <w:rPr>
          <w:rFonts w:ascii="Times New Roman" w:hAnsi="Times New Roman" w:cs="Times New Roman"/>
          <w:color w:val="000000"/>
          <w:lang w:val="hu-HU"/>
        </w:rPr>
        <w:t>×</w:t>
      </w:r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OPA/Al/PVC//Al buborékcsomagolás</w:t>
      </w:r>
    </w:p>
    <w:p w14:paraId="24E9D076" w14:textId="155290B7" w:rsidR="00017F88" w:rsidRPr="00017F88" w:rsidRDefault="00017F88" w:rsidP="00017F88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017F88">
        <w:rPr>
          <w:rFonts w:ascii="Times New Roman" w:hAnsi="Times New Roman" w:cs="Times New Roman"/>
          <w:color w:val="000000"/>
          <w:lang w:val="hu-HU"/>
        </w:rPr>
        <w:t>OGYI-T-24233/03</w:t>
      </w:r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168</w:t>
      </w:r>
      <w:r>
        <w:rPr>
          <w:rFonts w:ascii="Times New Roman" w:hAnsi="Times New Roman" w:cs="Times New Roman"/>
          <w:color w:val="000000"/>
          <w:lang w:val="hu-HU"/>
        </w:rPr>
        <w:t>×</w:t>
      </w:r>
      <w:r>
        <w:rPr>
          <w:rFonts w:ascii="Times New Roman" w:hAnsi="Times New Roman" w:cs="Times New Roman"/>
          <w:color w:val="000000"/>
          <w:lang w:val="hu-HU"/>
        </w:rPr>
        <w:tab/>
      </w:r>
      <w:r w:rsidRPr="00017F88">
        <w:rPr>
          <w:rFonts w:ascii="Times New Roman" w:hAnsi="Times New Roman" w:cs="Times New Roman"/>
          <w:color w:val="000000"/>
          <w:lang w:val="hu-HU"/>
        </w:rPr>
        <w:t>OPA/Al/PVC//Al buborékcsomagolás</w:t>
      </w:r>
    </w:p>
    <w:p w14:paraId="28418118" w14:textId="77777777" w:rsidR="00017F88" w:rsidRDefault="00017F88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CD74B43" w14:textId="77777777" w:rsidR="00F07FD7" w:rsidRPr="00A2627F" w:rsidRDefault="00F07FD7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742F444" w14:textId="018E6AB4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FORGALOMBA HOZATALI ENGEDÉLY ELSŐ</w:t>
      </w:r>
      <w:r w:rsidR="00EC63F3" w:rsidRPr="00A2627F">
        <w:rPr>
          <w:rFonts w:ascii="Times New Roman" w:hAnsi="Times New Roman" w:cs="Times New Roman"/>
          <w:b/>
          <w:bCs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KIADÁSÁNAK</w:t>
      </w:r>
      <w:r w:rsidR="0058413C">
        <w:rPr>
          <w:rFonts w:ascii="Times New Roman" w:hAnsi="Times New Roman" w:cs="Times New Roman"/>
          <w:b/>
          <w:bCs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/</w:t>
      </w:r>
      <w:r w:rsidR="0058413C">
        <w:rPr>
          <w:rFonts w:ascii="Times New Roman" w:hAnsi="Times New Roman" w:cs="Times New Roman"/>
          <w:b/>
          <w:bCs/>
          <w:color w:val="000000"/>
          <w:lang w:val="hu-HU"/>
        </w:rPr>
        <w:t xml:space="preserve"> </w:t>
      </w: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MEGÚJÍTÁSÁNAK DÁTUMA</w:t>
      </w:r>
    </w:p>
    <w:p w14:paraId="01EED93D" w14:textId="77777777" w:rsidR="00130566" w:rsidRPr="00A2627F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1EA1A7E0" w14:textId="1EE73022" w:rsidR="00CE38C4" w:rsidRPr="00A2627F" w:rsidRDefault="007C391E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  <w:r w:rsidRPr="00A2627F">
        <w:rPr>
          <w:rFonts w:ascii="Times New Roman" w:hAnsi="Times New Roman" w:cs="Times New Roman"/>
          <w:color w:val="000000"/>
          <w:lang w:val="hu-HU"/>
        </w:rPr>
        <w:t>A forgalomba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hozatali</w:t>
      </w:r>
      <w:r w:rsidRPr="00A2627F">
        <w:rPr>
          <w:rFonts w:ascii="Times New Roman" w:hAnsi="Times New Roman" w:cs="Times New Roman"/>
          <w:color w:val="000000"/>
          <w:spacing w:val="-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engedély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első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kiadásának</w:t>
      </w:r>
      <w:r w:rsidRPr="00A2627F">
        <w:rPr>
          <w:rFonts w:ascii="Times New Roman" w:hAnsi="Times New Roman" w:cs="Times New Roman"/>
          <w:color w:val="000000"/>
          <w:spacing w:val="-2"/>
          <w:lang w:val="hu-HU"/>
        </w:rPr>
        <w:t xml:space="preserve"> </w:t>
      </w:r>
      <w:r w:rsidRPr="00A2627F">
        <w:rPr>
          <w:rFonts w:ascii="Times New Roman" w:hAnsi="Times New Roman" w:cs="Times New Roman"/>
          <w:color w:val="000000"/>
          <w:lang w:val="hu-HU"/>
        </w:rPr>
        <w:t>dátuma:</w:t>
      </w:r>
      <w:r w:rsidRPr="00A2627F">
        <w:rPr>
          <w:rFonts w:ascii="Times New Roman" w:hAnsi="Times New Roman" w:cs="Times New Roman"/>
          <w:color w:val="000000"/>
          <w:spacing w:val="1"/>
          <w:lang w:val="hu-HU"/>
        </w:rPr>
        <w:t xml:space="preserve"> </w:t>
      </w:r>
      <w:r w:rsidR="00F07FD7">
        <w:rPr>
          <w:rFonts w:ascii="Times New Roman" w:hAnsi="Times New Roman" w:cs="Times New Roman"/>
          <w:color w:val="000000"/>
          <w:spacing w:val="1"/>
          <w:lang w:val="hu-HU"/>
        </w:rPr>
        <w:t xml:space="preserve">2023. május </w:t>
      </w:r>
      <w:r w:rsidR="00017F88">
        <w:rPr>
          <w:rFonts w:ascii="Times New Roman" w:hAnsi="Times New Roman" w:cs="Times New Roman"/>
          <w:color w:val="000000"/>
          <w:spacing w:val="1"/>
          <w:lang w:val="hu-HU"/>
        </w:rPr>
        <w:t>11</w:t>
      </w:r>
      <w:r w:rsidR="00F07FD7">
        <w:rPr>
          <w:rFonts w:ascii="Times New Roman" w:hAnsi="Times New Roman" w:cs="Times New Roman"/>
          <w:color w:val="000000"/>
          <w:spacing w:val="1"/>
          <w:lang w:val="hu-HU"/>
        </w:rPr>
        <w:t>.</w:t>
      </w:r>
    </w:p>
    <w:p w14:paraId="2C5F0593" w14:textId="45753786" w:rsidR="00130566" w:rsidRDefault="0013056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3CDFFB81" w14:textId="77777777" w:rsidR="000C2E96" w:rsidRPr="00A2627F" w:rsidRDefault="000C2E96" w:rsidP="00EC63F3">
      <w:pPr>
        <w:spacing w:before="0" w:after="0" w:line="240" w:lineRule="auto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5ADD66BD" w14:textId="6591C4A3" w:rsidR="00CE38C4" w:rsidRPr="00A2627F" w:rsidRDefault="007C391E" w:rsidP="00EC63F3">
      <w:pPr>
        <w:pStyle w:val="Listaszerbekezds"/>
        <w:numPr>
          <w:ilvl w:val="0"/>
          <w:numId w:val="1"/>
        </w:numPr>
        <w:spacing w:before="0" w:after="0" w:line="240" w:lineRule="auto"/>
        <w:ind w:left="426" w:hanging="426"/>
        <w:jc w:val="left"/>
        <w:rPr>
          <w:rFonts w:ascii="Times New Roman" w:hAnsi="Times New Roman" w:cs="Times New Roman"/>
          <w:b/>
          <w:bCs/>
          <w:color w:val="000000"/>
          <w:lang w:val="hu-HU"/>
        </w:rPr>
      </w:pPr>
      <w:r w:rsidRPr="00A2627F">
        <w:rPr>
          <w:rFonts w:ascii="Times New Roman" w:hAnsi="Times New Roman" w:cs="Times New Roman"/>
          <w:b/>
          <w:bCs/>
          <w:color w:val="000000"/>
          <w:lang w:val="hu-HU"/>
        </w:rPr>
        <w:t>A SZÖVEG ELLENŐRZÉSÉNEK DÁTUMA</w:t>
      </w:r>
    </w:p>
    <w:p w14:paraId="7ABB5A44" w14:textId="41D80954" w:rsidR="00CE38C4" w:rsidRDefault="00CE38C4" w:rsidP="00EC63F3">
      <w:pPr>
        <w:spacing w:before="0" w:after="0" w:line="240" w:lineRule="auto"/>
        <w:ind w:right="2346"/>
        <w:jc w:val="left"/>
        <w:rPr>
          <w:rFonts w:ascii="Times New Roman" w:hAnsi="Times New Roman" w:cs="Times New Roman"/>
          <w:color w:val="000000"/>
          <w:lang w:val="hu-HU"/>
        </w:rPr>
      </w:pPr>
    </w:p>
    <w:p w14:paraId="655975DB" w14:textId="1C6A4C39" w:rsidR="00F07FD7" w:rsidRPr="00C740E5" w:rsidRDefault="0058413C" w:rsidP="00EC63F3">
      <w:pPr>
        <w:spacing w:before="0" w:after="0" w:line="240" w:lineRule="auto"/>
        <w:ind w:right="2346"/>
        <w:jc w:val="left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spacing w:val="1"/>
          <w:lang w:val="hu-HU"/>
        </w:rPr>
        <w:t>2025. április 16.</w:t>
      </w:r>
    </w:p>
    <w:sectPr w:rsidR="00F07FD7" w:rsidRPr="00C740E5" w:rsidSect="00A02241">
      <w:headerReference w:type="default" r:id="rId13"/>
      <w:footerReference w:type="first" r:id="rId14"/>
      <w:pgSz w:w="11900" w:h="16820"/>
      <w:pgMar w:top="1134" w:right="1418" w:bottom="1134" w:left="1418" w:header="720" w:footer="720" w:gutter="0"/>
      <w:pgNumType w:start="1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EDEF636" w16cex:dateUtc="2025-01-31T11:30:00Z"/>
  <w16cex:commentExtensible w16cex:durableId="56EF5DD6" w16cex:dateUtc="2026-04-08T09:22:00Z"/>
  <w16cex:commentExtensible w16cex:durableId="57F0C1D9" w16cex:dateUtc="2025-01-31T11:30:00Z"/>
  <w16cex:commentExtensible w16cex:durableId="577B522F" w16cex:dateUtc="2025-01-31T11:30:00Z"/>
  <w16cex:commentExtensible w16cex:durableId="479C4CFA" w16cex:dateUtc="2025-01-31T11:30:00Z"/>
  <w16cex:commentExtensible w16cex:durableId="340378D8" w16cex:dateUtc="2025-01-31T11:30:00Z"/>
  <w16cex:commentExtensible w16cex:durableId="7E56B9DB" w16cex:dateUtc="2025-01-31T11:31:00Z"/>
  <w16cex:commentExtensible w16cex:durableId="5FE91447" w16cex:dateUtc="2026-04-08T09:42:00Z"/>
  <w16cex:commentExtensible w16cex:durableId="1087CD80" w16cex:dateUtc="2025-01-31T11:32:00Z"/>
  <w16cex:commentExtensible w16cex:durableId="7C4C9B15" w16cex:dateUtc="2025-01-31T11:32:00Z"/>
  <w16cex:commentExtensible w16cex:durableId="376D2DF2" w16cex:dateUtc="2025-01-31T11:32:00Z"/>
  <w16cex:commentExtensible w16cex:durableId="509B2E45" w16cex:dateUtc="2025-01-31T11:33:00Z"/>
  <w16cex:commentExtensible w16cex:durableId="634D567A" w16cex:dateUtc="2025-01-31T11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3988EB8" w16cid:durableId="5EDEF636"/>
  <w16cid:commentId w16cid:paraId="36664DCA" w16cid:durableId="56EF5DD6"/>
  <w16cid:commentId w16cid:paraId="2BADE02D" w16cid:durableId="57F0C1D9"/>
  <w16cid:commentId w16cid:paraId="77F37ACF" w16cid:durableId="577B522F"/>
  <w16cid:commentId w16cid:paraId="445ECB64" w16cid:durableId="479C4CFA"/>
  <w16cid:commentId w16cid:paraId="40A5EA58" w16cid:durableId="340378D8"/>
  <w16cid:commentId w16cid:paraId="6E5B9E91" w16cid:durableId="7E56B9DB"/>
  <w16cid:commentId w16cid:paraId="241B5C39" w16cid:durableId="241B5C39"/>
  <w16cid:commentId w16cid:paraId="3080F980" w16cid:durableId="5FE91447"/>
  <w16cid:commentId w16cid:paraId="41E331B5" w16cid:durableId="1087CD80"/>
  <w16cid:commentId w16cid:paraId="438A4918" w16cid:durableId="7C4C9B15"/>
  <w16cid:commentId w16cid:paraId="3554CD5A" w16cid:durableId="376D2DF2"/>
  <w16cid:commentId w16cid:paraId="50C63EBF" w16cid:durableId="509B2E45"/>
  <w16cid:commentId w16cid:paraId="7B8A0C01" w16cid:durableId="634D567A"/>
  <w16cid:commentId w16cid:paraId="0C9D75C7" w16cid:durableId="0C9D75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C9F1C" w14:textId="77777777" w:rsidR="00314E3E" w:rsidRDefault="00314E3E" w:rsidP="00C740E5">
      <w:pPr>
        <w:spacing w:before="0" w:after="0" w:line="240" w:lineRule="auto"/>
      </w:pPr>
      <w:r>
        <w:separator/>
      </w:r>
    </w:p>
  </w:endnote>
  <w:endnote w:type="continuationSeparator" w:id="0">
    <w:p w14:paraId="3E1774A9" w14:textId="77777777" w:rsidR="00314E3E" w:rsidRDefault="00314E3E" w:rsidP="00C740E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D0C4F558-834C-4857-BD08-F098DF2B46E8}"/>
    <w:embedBold r:id="rId2" w:fontKey="{A2431CE4-3026-4364-AD1F-AB12AA7BFD88}"/>
    <w:embedItalic r:id="rId3" w:fontKey="{329AF54B-0BCE-42AE-B6C6-4CEE98AE36D7}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  <w:embedRegular r:id="rId4" w:fontKey="{85BC46DE-FAA5-49F5-B181-1049BA120C0E}"/>
    <w:embedBold r:id="rId5" w:fontKey="{C3417A6A-4BCB-44C0-BA8F-D555BB6ACBB9}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  <w:embedRegular r:id="rId6" w:fontKey="{5AF22EB1-3D67-4E53-ADD4-09633D28609A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7" w:fontKey="{D402C5EE-478D-4D8D-BB3C-900D306A334A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8" w:fontKey="{034318F9-26A9-4273-9033-1C9B28C00FA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9" w:fontKey="{A6FF9F4F-DA7E-436E-A9C9-8C839D24650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477B5" w14:textId="77777777" w:rsidR="00FA06E6" w:rsidRPr="00814D5F" w:rsidRDefault="00FA06E6" w:rsidP="00814D5F">
    <w:pPr>
      <w:pStyle w:val="llb"/>
      <w:rPr>
        <w:rFonts w:ascii="Times New Roman" w:hAnsi="Times New Roman" w:cs="Times New Roman"/>
        <w:sz w:val="18"/>
        <w:szCs w:val="18"/>
      </w:rPr>
    </w:pPr>
    <w:r w:rsidRPr="00814D5F">
      <w:rPr>
        <w:rFonts w:ascii="Times New Roman" w:hAnsi="Times New Roman" w:cs="Times New Roman"/>
        <w:sz w:val="18"/>
        <w:szCs w:val="18"/>
      </w:rPr>
      <w:t>NNGYK/ETGY/18733/2025</w:t>
    </w:r>
  </w:p>
  <w:p w14:paraId="062B14E6" w14:textId="6B090849" w:rsidR="00FA06E6" w:rsidRDefault="00FA06E6">
    <w:pPr>
      <w:pStyle w:val="llb"/>
    </w:pPr>
    <w:r w:rsidRPr="00814D5F">
      <w:rPr>
        <w:rFonts w:ascii="Times New Roman" w:hAnsi="Times New Roman" w:cs="Times New Roman"/>
        <w:sz w:val="18"/>
        <w:szCs w:val="18"/>
      </w:rPr>
      <w:t>NNGYK/ETGY/18734/2025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E18B0" w14:textId="77777777" w:rsidR="00314E3E" w:rsidRDefault="00314E3E" w:rsidP="00C740E5">
      <w:pPr>
        <w:spacing w:before="0" w:after="0" w:line="240" w:lineRule="auto"/>
      </w:pPr>
      <w:r>
        <w:separator/>
      </w:r>
    </w:p>
  </w:footnote>
  <w:footnote w:type="continuationSeparator" w:id="0">
    <w:p w14:paraId="0321333F" w14:textId="77777777" w:rsidR="00314E3E" w:rsidRDefault="00314E3E" w:rsidP="00C740E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08784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383E3B8" w14:textId="4DF3C1B4" w:rsidR="00FA06E6" w:rsidRPr="00A02241" w:rsidRDefault="00FA06E6" w:rsidP="00A02241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A0224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A0224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A0224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E3621" w:rsidRPr="006E3621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23</w:t>
        </w:r>
        <w:r w:rsidRPr="00A0224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D4B8D"/>
    <w:multiLevelType w:val="multilevel"/>
    <w:tmpl w:val="4CC453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48631DF"/>
    <w:multiLevelType w:val="multilevel"/>
    <w:tmpl w:val="E44E1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005D89"/>
    <w:rsid w:val="00017F88"/>
    <w:rsid w:val="0003624D"/>
    <w:rsid w:val="00042962"/>
    <w:rsid w:val="0005178E"/>
    <w:rsid w:val="000560B8"/>
    <w:rsid w:val="00063CEB"/>
    <w:rsid w:val="00090906"/>
    <w:rsid w:val="00096442"/>
    <w:rsid w:val="000C2E96"/>
    <w:rsid w:val="000C7B0A"/>
    <w:rsid w:val="000D32C0"/>
    <w:rsid w:val="000D5ED0"/>
    <w:rsid w:val="000E0EE3"/>
    <w:rsid w:val="000E2C88"/>
    <w:rsid w:val="000F7E7B"/>
    <w:rsid w:val="00110482"/>
    <w:rsid w:val="00121CC7"/>
    <w:rsid w:val="00130566"/>
    <w:rsid w:val="001449D0"/>
    <w:rsid w:val="00147049"/>
    <w:rsid w:val="00150D28"/>
    <w:rsid w:val="00171E69"/>
    <w:rsid w:val="00183224"/>
    <w:rsid w:val="00185C29"/>
    <w:rsid w:val="001D0981"/>
    <w:rsid w:val="001E356F"/>
    <w:rsid w:val="001E515B"/>
    <w:rsid w:val="001E76E6"/>
    <w:rsid w:val="001F02AC"/>
    <w:rsid w:val="00207DEA"/>
    <w:rsid w:val="0022250A"/>
    <w:rsid w:val="0022658D"/>
    <w:rsid w:val="0023268B"/>
    <w:rsid w:val="00242622"/>
    <w:rsid w:val="00255964"/>
    <w:rsid w:val="00264189"/>
    <w:rsid w:val="00297181"/>
    <w:rsid w:val="002A13C1"/>
    <w:rsid w:val="002B3708"/>
    <w:rsid w:val="002B7E59"/>
    <w:rsid w:val="002C04C4"/>
    <w:rsid w:val="002C5205"/>
    <w:rsid w:val="002D3760"/>
    <w:rsid w:val="002E0349"/>
    <w:rsid w:val="002E587E"/>
    <w:rsid w:val="002E6FF9"/>
    <w:rsid w:val="002F340B"/>
    <w:rsid w:val="00306EED"/>
    <w:rsid w:val="00314E3E"/>
    <w:rsid w:val="00330754"/>
    <w:rsid w:val="0033462E"/>
    <w:rsid w:val="00343F75"/>
    <w:rsid w:val="0034552D"/>
    <w:rsid w:val="00352F10"/>
    <w:rsid w:val="00357BE7"/>
    <w:rsid w:val="003668BE"/>
    <w:rsid w:val="00375652"/>
    <w:rsid w:val="00377AD6"/>
    <w:rsid w:val="00380638"/>
    <w:rsid w:val="00381B00"/>
    <w:rsid w:val="00381E6D"/>
    <w:rsid w:val="00385355"/>
    <w:rsid w:val="003941C1"/>
    <w:rsid w:val="003A2EBB"/>
    <w:rsid w:val="003A665C"/>
    <w:rsid w:val="003C0104"/>
    <w:rsid w:val="003C69E3"/>
    <w:rsid w:val="003D6FE9"/>
    <w:rsid w:val="003D79B8"/>
    <w:rsid w:val="003E26C9"/>
    <w:rsid w:val="003E73D0"/>
    <w:rsid w:val="003E7ED0"/>
    <w:rsid w:val="00405861"/>
    <w:rsid w:val="004110C1"/>
    <w:rsid w:val="00414B16"/>
    <w:rsid w:val="004150C4"/>
    <w:rsid w:val="004174BE"/>
    <w:rsid w:val="00417FAD"/>
    <w:rsid w:val="00433D73"/>
    <w:rsid w:val="00444633"/>
    <w:rsid w:val="004516BA"/>
    <w:rsid w:val="0046019A"/>
    <w:rsid w:val="00460CB1"/>
    <w:rsid w:val="00465F08"/>
    <w:rsid w:val="004758CE"/>
    <w:rsid w:val="004779A5"/>
    <w:rsid w:val="0049114D"/>
    <w:rsid w:val="00497EDE"/>
    <w:rsid w:val="004B4DC2"/>
    <w:rsid w:val="004D0002"/>
    <w:rsid w:val="004D20EC"/>
    <w:rsid w:val="004D519A"/>
    <w:rsid w:val="004D79AF"/>
    <w:rsid w:val="004E723C"/>
    <w:rsid w:val="00501ABC"/>
    <w:rsid w:val="005060F2"/>
    <w:rsid w:val="00526464"/>
    <w:rsid w:val="00530751"/>
    <w:rsid w:val="00537B95"/>
    <w:rsid w:val="00545ED6"/>
    <w:rsid w:val="0056504F"/>
    <w:rsid w:val="00575DC4"/>
    <w:rsid w:val="0058173B"/>
    <w:rsid w:val="0058198A"/>
    <w:rsid w:val="00583B2C"/>
    <w:rsid w:val="0058413C"/>
    <w:rsid w:val="00587731"/>
    <w:rsid w:val="005A39F8"/>
    <w:rsid w:val="005B0A24"/>
    <w:rsid w:val="005B1D4B"/>
    <w:rsid w:val="005D4AB4"/>
    <w:rsid w:val="005D641F"/>
    <w:rsid w:val="005E64C2"/>
    <w:rsid w:val="005F0520"/>
    <w:rsid w:val="005F70FA"/>
    <w:rsid w:val="0061058D"/>
    <w:rsid w:val="00611352"/>
    <w:rsid w:val="006115E4"/>
    <w:rsid w:val="00615C3E"/>
    <w:rsid w:val="00626E63"/>
    <w:rsid w:val="006271F4"/>
    <w:rsid w:val="00654CF1"/>
    <w:rsid w:val="006557FD"/>
    <w:rsid w:val="0065661B"/>
    <w:rsid w:val="0066625D"/>
    <w:rsid w:val="00670B3B"/>
    <w:rsid w:val="00672CC6"/>
    <w:rsid w:val="00673ED4"/>
    <w:rsid w:val="00674F2B"/>
    <w:rsid w:val="00683682"/>
    <w:rsid w:val="006A0B0C"/>
    <w:rsid w:val="006A1E4A"/>
    <w:rsid w:val="006B6797"/>
    <w:rsid w:val="006B7B19"/>
    <w:rsid w:val="006E3621"/>
    <w:rsid w:val="006F0FE6"/>
    <w:rsid w:val="00707FFC"/>
    <w:rsid w:val="007227FA"/>
    <w:rsid w:val="0075202E"/>
    <w:rsid w:val="00753458"/>
    <w:rsid w:val="00755D62"/>
    <w:rsid w:val="007640CD"/>
    <w:rsid w:val="00770F51"/>
    <w:rsid w:val="0077491D"/>
    <w:rsid w:val="00783B35"/>
    <w:rsid w:val="007910D9"/>
    <w:rsid w:val="00797EB9"/>
    <w:rsid w:val="007A29F1"/>
    <w:rsid w:val="007A3637"/>
    <w:rsid w:val="007A6CF9"/>
    <w:rsid w:val="007B4A80"/>
    <w:rsid w:val="007C0E40"/>
    <w:rsid w:val="007C391E"/>
    <w:rsid w:val="007D3487"/>
    <w:rsid w:val="007D6AD8"/>
    <w:rsid w:val="00802557"/>
    <w:rsid w:val="00812D10"/>
    <w:rsid w:val="00814D5F"/>
    <w:rsid w:val="0082378B"/>
    <w:rsid w:val="00830502"/>
    <w:rsid w:val="00830598"/>
    <w:rsid w:val="00844C04"/>
    <w:rsid w:val="00847FE3"/>
    <w:rsid w:val="008526D1"/>
    <w:rsid w:val="0085758C"/>
    <w:rsid w:val="00863600"/>
    <w:rsid w:val="00871A47"/>
    <w:rsid w:val="00892E98"/>
    <w:rsid w:val="00893F09"/>
    <w:rsid w:val="00894B04"/>
    <w:rsid w:val="008A5C75"/>
    <w:rsid w:val="008C635D"/>
    <w:rsid w:val="008D0D30"/>
    <w:rsid w:val="008D379D"/>
    <w:rsid w:val="008E23D4"/>
    <w:rsid w:val="008F14C4"/>
    <w:rsid w:val="00901C2F"/>
    <w:rsid w:val="00902895"/>
    <w:rsid w:val="009041EC"/>
    <w:rsid w:val="0091180C"/>
    <w:rsid w:val="00915A3C"/>
    <w:rsid w:val="00916EB0"/>
    <w:rsid w:val="00923A9B"/>
    <w:rsid w:val="00927A94"/>
    <w:rsid w:val="00933233"/>
    <w:rsid w:val="00934626"/>
    <w:rsid w:val="009622F8"/>
    <w:rsid w:val="00974866"/>
    <w:rsid w:val="0097690B"/>
    <w:rsid w:val="00977972"/>
    <w:rsid w:val="00980038"/>
    <w:rsid w:val="009867B3"/>
    <w:rsid w:val="009953EB"/>
    <w:rsid w:val="00995532"/>
    <w:rsid w:val="009A21E6"/>
    <w:rsid w:val="009A7D09"/>
    <w:rsid w:val="009C5F9C"/>
    <w:rsid w:val="009D2472"/>
    <w:rsid w:val="009E02E5"/>
    <w:rsid w:val="009E1D40"/>
    <w:rsid w:val="00A02241"/>
    <w:rsid w:val="00A07350"/>
    <w:rsid w:val="00A1116A"/>
    <w:rsid w:val="00A14370"/>
    <w:rsid w:val="00A14A73"/>
    <w:rsid w:val="00A23523"/>
    <w:rsid w:val="00A242A5"/>
    <w:rsid w:val="00A2627F"/>
    <w:rsid w:val="00A32E68"/>
    <w:rsid w:val="00A35E2C"/>
    <w:rsid w:val="00A43B7F"/>
    <w:rsid w:val="00A44A6C"/>
    <w:rsid w:val="00A50680"/>
    <w:rsid w:val="00A5121B"/>
    <w:rsid w:val="00A557A3"/>
    <w:rsid w:val="00A62872"/>
    <w:rsid w:val="00A62967"/>
    <w:rsid w:val="00A75976"/>
    <w:rsid w:val="00A76F1C"/>
    <w:rsid w:val="00A77C02"/>
    <w:rsid w:val="00A80940"/>
    <w:rsid w:val="00A80FDA"/>
    <w:rsid w:val="00A91A18"/>
    <w:rsid w:val="00A92969"/>
    <w:rsid w:val="00AB2468"/>
    <w:rsid w:val="00AE072E"/>
    <w:rsid w:val="00AE7392"/>
    <w:rsid w:val="00AF1D22"/>
    <w:rsid w:val="00AF5374"/>
    <w:rsid w:val="00AF6184"/>
    <w:rsid w:val="00AF66DE"/>
    <w:rsid w:val="00AF6D0B"/>
    <w:rsid w:val="00B03A80"/>
    <w:rsid w:val="00B06B85"/>
    <w:rsid w:val="00B11080"/>
    <w:rsid w:val="00B12535"/>
    <w:rsid w:val="00B16463"/>
    <w:rsid w:val="00B2153C"/>
    <w:rsid w:val="00B244A8"/>
    <w:rsid w:val="00B31270"/>
    <w:rsid w:val="00B34F90"/>
    <w:rsid w:val="00B358A3"/>
    <w:rsid w:val="00B3781E"/>
    <w:rsid w:val="00B46407"/>
    <w:rsid w:val="00B523B5"/>
    <w:rsid w:val="00B5448F"/>
    <w:rsid w:val="00B657DB"/>
    <w:rsid w:val="00B80F86"/>
    <w:rsid w:val="00B812CC"/>
    <w:rsid w:val="00B930D6"/>
    <w:rsid w:val="00B93C21"/>
    <w:rsid w:val="00BA3EF1"/>
    <w:rsid w:val="00BA5B2D"/>
    <w:rsid w:val="00BA7089"/>
    <w:rsid w:val="00BC4E0B"/>
    <w:rsid w:val="00BE7F49"/>
    <w:rsid w:val="00BF027B"/>
    <w:rsid w:val="00BF0761"/>
    <w:rsid w:val="00BF49E5"/>
    <w:rsid w:val="00C135C4"/>
    <w:rsid w:val="00C167D8"/>
    <w:rsid w:val="00C241CE"/>
    <w:rsid w:val="00C367FC"/>
    <w:rsid w:val="00C560E4"/>
    <w:rsid w:val="00C5639F"/>
    <w:rsid w:val="00C5649B"/>
    <w:rsid w:val="00C65C09"/>
    <w:rsid w:val="00C740E5"/>
    <w:rsid w:val="00C800DE"/>
    <w:rsid w:val="00C875BF"/>
    <w:rsid w:val="00CA016A"/>
    <w:rsid w:val="00CB0C96"/>
    <w:rsid w:val="00CB3513"/>
    <w:rsid w:val="00CB7D2C"/>
    <w:rsid w:val="00CC3693"/>
    <w:rsid w:val="00CE38C4"/>
    <w:rsid w:val="00CE417E"/>
    <w:rsid w:val="00CE5D76"/>
    <w:rsid w:val="00CF280B"/>
    <w:rsid w:val="00CF3965"/>
    <w:rsid w:val="00D16A3A"/>
    <w:rsid w:val="00D30996"/>
    <w:rsid w:val="00D310D4"/>
    <w:rsid w:val="00D34A7D"/>
    <w:rsid w:val="00D45A56"/>
    <w:rsid w:val="00D465D5"/>
    <w:rsid w:val="00D55F5E"/>
    <w:rsid w:val="00D70931"/>
    <w:rsid w:val="00D75A40"/>
    <w:rsid w:val="00D81C3A"/>
    <w:rsid w:val="00D8634E"/>
    <w:rsid w:val="00D95FAB"/>
    <w:rsid w:val="00DB2FEE"/>
    <w:rsid w:val="00DD259F"/>
    <w:rsid w:val="00DD4011"/>
    <w:rsid w:val="00DD69E9"/>
    <w:rsid w:val="00DE2BD9"/>
    <w:rsid w:val="00DE5593"/>
    <w:rsid w:val="00E11AD4"/>
    <w:rsid w:val="00E22EC0"/>
    <w:rsid w:val="00E359C1"/>
    <w:rsid w:val="00E6384B"/>
    <w:rsid w:val="00E63A9F"/>
    <w:rsid w:val="00E95126"/>
    <w:rsid w:val="00E95FE2"/>
    <w:rsid w:val="00EA07DB"/>
    <w:rsid w:val="00EA4AA6"/>
    <w:rsid w:val="00EA5E82"/>
    <w:rsid w:val="00EB050B"/>
    <w:rsid w:val="00EB53DF"/>
    <w:rsid w:val="00EC081F"/>
    <w:rsid w:val="00EC3EE9"/>
    <w:rsid w:val="00EC63F3"/>
    <w:rsid w:val="00EC7D41"/>
    <w:rsid w:val="00ED3B8C"/>
    <w:rsid w:val="00ED7535"/>
    <w:rsid w:val="00EF01DA"/>
    <w:rsid w:val="00F00074"/>
    <w:rsid w:val="00F026CA"/>
    <w:rsid w:val="00F0455A"/>
    <w:rsid w:val="00F07FD7"/>
    <w:rsid w:val="00F12634"/>
    <w:rsid w:val="00F147EC"/>
    <w:rsid w:val="00F14FE5"/>
    <w:rsid w:val="00F16A5B"/>
    <w:rsid w:val="00F321C9"/>
    <w:rsid w:val="00F6731E"/>
    <w:rsid w:val="00F674B4"/>
    <w:rsid w:val="00F75645"/>
    <w:rsid w:val="00F845FE"/>
    <w:rsid w:val="00F92FAB"/>
    <w:rsid w:val="00F957D4"/>
    <w:rsid w:val="00FA06E6"/>
    <w:rsid w:val="00FB1F28"/>
    <w:rsid w:val="00FB2477"/>
    <w:rsid w:val="00FC12C5"/>
    <w:rsid w:val="00FC1D1E"/>
    <w:rsid w:val="00FC2897"/>
    <w:rsid w:val="00FC7F32"/>
    <w:rsid w:val="00FD4CB9"/>
    <w:rsid w:val="00FD4E9F"/>
    <w:rsid w:val="00FE232E"/>
    <w:rsid w:val="00FE3A7F"/>
    <w:rsid w:val="00FE41E0"/>
    <w:rsid w:val="00FF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BD80F"/>
  <w15:docId w15:val="{72DE5835-2F9A-4630-8387-1857F0EC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2" w:semiHidden="1" w:uiPriority="9" w:unhideWhenUsed="1" w:qFormat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pacing w:before="120" w:after="240"/>
      <w:jc w:val="both"/>
    </w:pPr>
    <w:rPr>
      <w:lang w:val="en-US" w:eastAsia="en-US"/>
    </w:rPr>
  </w:style>
  <w:style w:type="paragraph" w:styleId="Cmsor2">
    <w:name w:val="heading 2"/>
    <w:next w:val="Norml"/>
    <w:link w:val="Cmsor2Char"/>
    <w:uiPriority w:val="9"/>
    <w:unhideWhenUsed/>
    <w:qFormat/>
    <w:rsid w:val="00D34A7D"/>
    <w:pPr>
      <w:keepNext/>
      <w:keepLines/>
      <w:spacing w:after="0"/>
      <w:ind w:left="154" w:hanging="10"/>
      <w:outlineLvl w:val="1"/>
    </w:pPr>
    <w:rPr>
      <w:rFonts w:ascii="Times New Roman" w:eastAsia="Times New Roman" w:hAnsi="Times New Roman" w:cs="Times New Roman"/>
      <w:color w:val="000000"/>
      <w:kern w:val="2"/>
      <w:szCs w:val="24"/>
      <w:u w:val="single" w:color="000000"/>
      <w14:ligatures w14:val="standardContextual"/>
    </w:rPr>
  </w:style>
  <w:style w:type="paragraph" w:styleId="Cmsor3">
    <w:name w:val="heading 3"/>
    <w:basedOn w:val="Norml"/>
    <w:next w:val="Norml"/>
    <w:link w:val="Cmsor3Char"/>
    <w:unhideWhenUsed/>
    <w:rsid w:val="007A36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Nemlista1">
    <w:name w:val="Nem lista1"/>
    <w:semiHidden/>
  </w:style>
  <w:style w:type="paragraph" w:styleId="lfej">
    <w:name w:val="header"/>
    <w:basedOn w:val="Norml"/>
    <w:link w:val="lfejChar"/>
    <w:uiPriority w:val="99"/>
    <w:unhideWhenUsed/>
    <w:rsid w:val="00C740E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40E5"/>
    <w:rPr>
      <w:lang w:val="en-US" w:eastAsia="en-US"/>
    </w:rPr>
  </w:style>
  <w:style w:type="paragraph" w:styleId="llb">
    <w:name w:val="footer"/>
    <w:basedOn w:val="Norml"/>
    <w:link w:val="llbChar"/>
    <w:unhideWhenUsed/>
    <w:rsid w:val="00C740E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lbChar">
    <w:name w:val="Élőláb Char"/>
    <w:basedOn w:val="Bekezdsalapbettpusa"/>
    <w:link w:val="llb"/>
    <w:rsid w:val="00C740E5"/>
    <w:rPr>
      <w:lang w:val="en-US" w:eastAsia="en-US"/>
    </w:rPr>
  </w:style>
  <w:style w:type="paragraph" w:styleId="Listaszerbekezds">
    <w:name w:val="List Paragraph"/>
    <w:basedOn w:val="Norml"/>
    <w:rsid w:val="00264189"/>
    <w:pPr>
      <w:ind w:left="720"/>
      <w:contextualSpacing/>
    </w:pPr>
  </w:style>
  <w:style w:type="table" w:styleId="Rcsostblzat">
    <w:name w:val="Table Grid"/>
    <w:basedOn w:val="Normltblzat"/>
    <w:rsid w:val="00433D7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semiHidden/>
    <w:rsid w:val="00980038"/>
    <w:pPr>
      <w:spacing w:after="0" w:line="240" w:lineRule="auto"/>
    </w:pPr>
    <w:rPr>
      <w:lang w:val="en-US" w:eastAsia="en-US"/>
    </w:rPr>
  </w:style>
  <w:style w:type="character" w:styleId="Jegyzethivatkozs">
    <w:name w:val="annotation reference"/>
    <w:basedOn w:val="Bekezdsalapbettpusa"/>
    <w:semiHidden/>
    <w:unhideWhenUsed/>
    <w:rsid w:val="00B812C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812C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812CC"/>
    <w:rPr>
      <w:sz w:val="20"/>
      <w:szCs w:val="20"/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B812C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B812CC"/>
    <w:rPr>
      <w:b/>
      <w:bCs/>
      <w:sz w:val="20"/>
      <w:szCs w:val="20"/>
      <w:lang w:val="en-US" w:eastAsia="en-US"/>
    </w:rPr>
  </w:style>
  <w:style w:type="character" w:styleId="Hiperhivatkozs">
    <w:name w:val="Hyperlink"/>
    <w:basedOn w:val="Bekezdsalapbettpusa"/>
    <w:unhideWhenUsed/>
    <w:rsid w:val="005A39F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A39F8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Bekezdsalapbettpusa"/>
    <w:rsid w:val="00783B35"/>
  </w:style>
  <w:style w:type="character" w:styleId="Mrltotthiperhivatkozs">
    <w:name w:val="FollowedHyperlink"/>
    <w:basedOn w:val="Bekezdsalapbettpusa"/>
    <w:semiHidden/>
    <w:unhideWhenUsed/>
    <w:rsid w:val="00AB2468"/>
    <w:rPr>
      <w:color w:val="954F72" w:themeColor="followedHyperlink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D34A7D"/>
    <w:rPr>
      <w:rFonts w:ascii="Times New Roman" w:eastAsia="Times New Roman" w:hAnsi="Times New Roman" w:cs="Times New Roman"/>
      <w:color w:val="000000"/>
      <w:kern w:val="2"/>
      <w:szCs w:val="24"/>
      <w:u w:val="single" w:color="000000"/>
      <w14:ligatures w14:val="standardContextual"/>
    </w:rPr>
  </w:style>
  <w:style w:type="character" w:customStyle="1" w:styleId="Cmsor3Char">
    <w:name w:val="Címsor 3 Char"/>
    <w:basedOn w:val="Bekezdsalapbettpusa"/>
    <w:link w:val="Cmsor3"/>
    <w:rsid w:val="007A36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US"/>
    </w:rPr>
  </w:style>
  <w:style w:type="paragraph" w:styleId="Buborkszveg">
    <w:name w:val="Balloon Text"/>
    <w:basedOn w:val="Norml"/>
    <w:link w:val="BuborkszvegChar"/>
    <w:rsid w:val="00814D5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814D5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human-regulatory/marketing-authorisation/product-information/product-information-templates-huma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ma.europa.eu/docs/en_GB/document_library/Template_or_form/2013/03/WC500139752.doc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C23AF-913B-4035-9944-A651D06E1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9107</Words>
  <Characters>62841</Characters>
  <Application>Microsoft Office Word</Application>
  <DocSecurity>0</DocSecurity>
  <Lines>523</Lines>
  <Paragraphs>143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71805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50000282</dc:creator>
  <cp:lastModifiedBy>HU_OGYEI_16.1.2</cp:lastModifiedBy>
  <cp:revision>3</cp:revision>
  <dcterms:created xsi:type="dcterms:W3CDTF">2026-04-22T09:26:00Z</dcterms:created>
  <dcterms:modified xsi:type="dcterms:W3CDTF">2026-04-22T09:27:00Z</dcterms:modified>
</cp:coreProperties>
</file>