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57F243" w14:textId="77777777" w:rsidR="00812D16" w:rsidRPr="00986907" w:rsidRDefault="00812D16" w:rsidP="00CE56B0">
      <w:pPr>
        <w:keepNext/>
        <w:keepLines/>
        <w:spacing w:line="240" w:lineRule="auto"/>
        <w:ind w:left="567" w:hanging="567"/>
        <w:outlineLvl w:val="0"/>
        <w:rPr>
          <w:b/>
          <w:szCs w:val="22"/>
        </w:rPr>
      </w:pPr>
      <w:r>
        <w:rPr>
          <w:b/>
          <w:szCs w:val="22"/>
        </w:rPr>
        <w:t>1.</w:t>
      </w:r>
      <w:r>
        <w:rPr>
          <w:b/>
          <w:szCs w:val="22"/>
        </w:rPr>
        <w:tab/>
        <w:t>A GYÓGYSZER NEVE</w:t>
      </w:r>
    </w:p>
    <w:p w14:paraId="23F5A2B9" w14:textId="77777777" w:rsidR="00812D16" w:rsidRPr="00986907" w:rsidRDefault="00812D16" w:rsidP="00CE56B0">
      <w:pPr>
        <w:keepNext/>
        <w:keepLines/>
        <w:spacing w:line="240" w:lineRule="auto"/>
        <w:rPr>
          <w:iCs/>
          <w:noProof/>
          <w:szCs w:val="22"/>
        </w:rPr>
      </w:pPr>
    </w:p>
    <w:p w14:paraId="21705765" w14:textId="719B4B75" w:rsidR="00281BAD" w:rsidRPr="00986907" w:rsidRDefault="009B6B80" w:rsidP="00CE56B0">
      <w:pPr>
        <w:keepNext/>
        <w:keepLines/>
        <w:spacing w:line="240" w:lineRule="auto"/>
        <w:rPr>
          <w:iCs/>
          <w:noProof/>
          <w:szCs w:val="22"/>
        </w:rPr>
      </w:pPr>
      <w:r>
        <w:rPr>
          <w:szCs w:val="22"/>
        </w:rPr>
        <w:t>Letybo 50 egység por oldatos injekcióhoz</w:t>
      </w:r>
    </w:p>
    <w:p w14:paraId="6DD57C67" w14:textId="77777777" w:rsidR="00812D16" w:rsidRPr="00986907" w:rsidRDefault="00812D16" w:rsidP="00CE56B0">
      <w:pPr>
        <w:spacing w:line="240" w:lineRule="auto"/>
        <w:rPr>
          <w:iCs/>
          <w:noProof/>
          <w:szCs w:val="22"/>
        </w:rPr>
      </w:pPr>
    </w:p>
    <w:p w14:paraId="32127CE5" w14:textId="77777777" w:rsidR="00AC0D2B" w:rsidRPr="00986907" w:rsidRDefault="00AC0D2B" w:rsidP="00CE56B0">
      <w:pPr>
        <w:spacing w:line="240" w:lineRule="auto"/>
        <w:rPr>
          <w:iCs/>
          <w:noProof/>
          <w:szCs w:val="22"/>
        </w:rPr>
      </w:pPr>
    </w:p>
    <w:p w14:paraId="0A4E323D" w14:textId="77777777" w:rsidR="00812D16" w:rsidRPr="00986907" w:rsidRDefault="00812D16" w:rsidP="00CE56B0">
      <w:pPr>
        <w:keepNext/>
        <w:keepLines/>
        <w:spacing w:line="240" w:lineRule="auto"/>
        <w:ind w:left="567" w:hanging="567"/>
        <w:outlineLvl w:val="0"/>
        <w:rPr>
          <w:b/>
          <w:szCs w:val="22"/>
        </w:rPr>
      </w:pPr>
      <w:r>
        <w:rPr>
          <w:b/>
          <w:szCs w:val="22"/>
        </w:rPr>
        <w:t>2.</w:t>
      </w:r>
      <w:r>
        <w:rPr>
          <w:b/>
          <w:szCs w:val="22"/>
        </w:rPr>
        <w:tab/>
        <w:t>MINŐSÉGI ÉS MENNYISÉGI ÖSSZETÉTEL</w:t>
      </w:r>
    </w:p>
    <w:p w14:paraId="74EA07DA" w14:textId="77777777" w:rsidR="00812D16" w:rsidRPr="00986907" w:rsidRDefault="00812D16" w:rsidP="00CE56B0">
      <w:pPr>
        <w:keepNext/>
        <w:keepLines/>
        <w:spacing w:line="240" w:lineRule="auto"/>
        <w:rPr>
          <w:szCs w:val="22"/>
        </w:rPr>
      </w:pPr>
    </w:p>
    <w:p w14:paraId="1C54774B" w14:textId="40BF3C26" w:rsidR="00281BAD" w:rsidRPr="00986907" w:rsidRDefault="002F6E16" w:rsidP="00CE56B0">
      <w:pPr>
        <w:spacing w:line="240" w:lineRule="auto"/>
        <w:rPr>
          <w:szCs w:val="22"/>
        </w:rPr>
      </w:pPr>
      <w:r>
        <w:rPr>
          <w:szCs w:val="22"/>
        </w:rPr>
        <w:t xml:space="preserve">50 egység </w:t>
      </w:r>
      <w:r>
        <w:rPr>
          <w:i/>
          <w:szCs w:val="22"/>
        </w:rPr>
        <w:t>Clostridium botulinum</w:t>
      </w:r>
      <w:r>
        <w:rPr>
          <w:szCs w:val="22"/>
        </w:rPr>
        <w:t xml:space="preserve"> által termelt A típusú botulinum toxint tartalmaz</w:t>
      </w:r>
      <w:r w:rsidR="00221659">
        <w:rPr>
          <w:szCs w:val="22"/>
        </w:rPr>
        <w:t xml:space="preserve"> injekciós üvegenként</w:t>
      </w:r>
      <w:r>
        <w:rPr>
          <w:szCs w:val="22"/>
        </w:rPr>
        <w:t>.</w:t>
      </w:r>
    </w:p>
    <w:p w14:paraId="06E839C1" w14:textId="39B92A8B" w:rsidR="00A76281" w:rsidRPr="00986907" w:rsidRDefault="00A76281" w:rsidP="00CE56B0">
      <w:pPr>
        <w:spacing w:line="240" w:lineRule="auto"/>
        <w:rPr>
          <w:szCs w:val="22"/>
        </w:rPr>
      </w:pPr>
      <w:r>
        <w:rPr>
          <w:szCs w:val="22"/>
        </w:rPr>
        <w:t>Feloldás után 0,1 ml oldat 4 egységet tartalmaz.</w:t>
      </w:r>
    </w:p>
    <w:p w14:paraId="00B0519D" w14:textId="77777777" w:rsidR="00D2471A" w:rsidRPr="00986907" w:rsidRDefault="00D2471A" w:rsidP="00CE56B0">
      <w:pPr>
        <w:spacing w:line="240" w:lineRule="auto"/>
        <w:rPr>
          <w:szCs w:val="22"/>
        </w:rPr>
      </w:pPr>
    </w:p>
    <w:p w14:paraId="0737B1A1" w14:textId="32638F31" w:rsidR="00812D16" w:rsidRPr="00986907" w:rsidRDefault="00812D16" w:rsidP="00CE56B0">
      <w:pPr>
        <w:spacing w:line="240" w:lineRule="auto"/>
        <w:rPr>
          <w:bCs/>
          <w:noProof/>
          <w:szCs w:val="22"/>
        </w:rPr>
      </w:pPr>
      <w:r>
        <w:rPr>
          <w:bCs/>
          <w:szCs w:val="22"/>
        </w:rPr>
        <w:t xml:space="preserve">A segédanyagok teljes listáját lásd a </w:t>
      </w:r>
      <w:r>
        <w:rPr>
          <w:szCs w:val="22"/>
        </w:rPr>
        <w:t>6.1</w:t>
      </w:r>
      <w:r>
        <w:rPr>
          <w:rStyle w:val="Hiperhivatkozs"/>
          <w:color w:val="auto"/>
          <w:szCs w:val="22"/>
          <w:u w:val="none"/>
        </w:rPr>
        <w:t> pontban.</w:t>
      </w:r>
    </w:p>
    <w:p w14:paraId="7EA62CCD" w14:textId="77777777" w:rsidR="00812D16" w:rsidRPr="00986907" w:rsidRDefault="00812D16" w:rsidP="00CE56B0">
      <w:pPr>
        <w:spacing w:line="240" w:lineRule="auto"/>
        <w:rPr>
          <w:noProof/>
          <w:szCs w:val="22"/>
        </w:rPr>
      </w:pPr>
    </w:p>
    <w:p w14:paraId="4811AC78" w14:textId="77777777" w:rsidR="00AC0D2B" w:rsidRPr="00986907" w:rsidRDefault="00AC0D2B" w:rsidP="00CE56B0">
      <w:pPr>
        <w:spacing w:line="240" w:lineRule="auto"/>
        <w:rPr>
          <w:noProof/>
          <w:szCs w:val="22"/>
        </w:rPr>
      </w:pPr>
    </w:p>
    <w:p w14:paraId="691260B7" w14:textId="77777777" w:rsidR="00812D16" w:rsidRPr="00986907" w:rsidRDefault="00812D16" w:rsidP="00CE56B0">
      <w:pPr>
        <w:keepNext/>
        <w:keepLines/>
        <w:spacing w:line="240" w:lineRule="auto"/>
        <w:ind w:left="567" w:hanging="567"/>
        <w:outlineLvl w:val="0"/>
        <w:rPr>
          <w:b/>
          <w:szCs w:val="22"/>
        </w:rPr>
      </w:pPr>
      <w:r>
        <w:rPr>
          <w:b/>
          <w:szCs w:val="22"/>
        </w:rPr>
        <w:t>3.</w:t>
      </w:r>
      <w:r>
        <w:rPr>
          <w:b/>
          <w:szCs w:val="22"/>
        </w:rPr>
        <w:tab/>
        <w:t>GYÓGYSZERFORMA</w:t>
      </w:r>
    </w:p>
    <w:p w14:paraId="0115469E" w14:textId="77777777" w:rsidR="00812D16" w:rsidRPr="00986907" w:rsidRDefault="00812D16" w:rsidP="00CE56B0">
      <w:pPr>
        <w:keepNext/>
        <w:keepLines/>
        <w:spacing w:line="240" w:lineRule="auto"/>
        <w:rPr>
          <w:noProof/>
          <w:szCs w:val="22"/>
        </w:rPr>
      </w:pPr>
    </w:p>
    <w:p w14:paraId="2842D1B9" w14:textId="77777777" w:rsidR="00127A94" w:rsidRPr="00986907" w:rsidRDefault="00127A94" w:rsidP="00CE56B0">
      <w:pPr>
        <w:keepNext/>
        <w:keepLines/>
        <w:spacing w:line="240" w:lineRule="auto"/>
        <w:rPr>
          <w:b/>
          <w:bCs/>
          <w:noProof/>
          <w:szCs w:val="22"/>
        </w:rPr>
      </w:pPr>
      <w:r>
        <w:rPr>
          <w:szCs w:val="22"/>
        </w:rPr>
        <w:t>Por oldatos injekcióhoz.</w:t>
      </w:r>
      <w:bookmarkStart w:id="0" w:name="_GoBack"/>
      <w:bookmarkEnd w:id="0"/>
    </w:p>
    <w:p w14:paraId="26747423" w14:textId="77777777" w:rsidR="00127A94" w:rsidRPr="00986907" w:rsidRDefault="00127A94" w:rsidP="00CE56B0">
      <w:pPr>
        <w:keepNext/>
        <w:keepLines/>
        <w:spacing w:line="240" w:lineRule="auto"/>
        <w:rPr>
          <w:noProof/>
          <w:szCs w:val="22"/>
        </w:rPr>
      </w:pPr>
      <w:r>
        <w:rPr>
          <w:szCs w:val="22"/>
        </w:rPr>
        <w:t>Fehér por.</w:t>
      </w:r>
    </w:p>
    <w:p w14:paraId="5C981E18" w14:textId="77777777" w:rsidR="00812D16" w:rsidRPr="00986907" w:rsidRDefault="00812D16" w:rsidP="00CE56B0">
      <w:pPr>
        <w:spacing w:line="240" w:lineRule="auto"/>
        <w:rPr>
          <w:noProof/>
          <w:szCs w:val="22"/>
        </w:rPr>
      </w:pPr>
    </w:p>
    <w:p w14:paraId="52C769D4" w14:textId="77777777" w:rsidR="00AC0D2B" w:rsidRPr="00986907" w:rsidRDefault="00AC0D2B" w:rsidP="00CE56B0">
      <w:pPr>
        <w:spacing w:line="240" w:lineRule="auto"/>
        <w:rPr>
          <w:noProof/>
          <w:szCs w:val="22"/>
        </w:rPr>
      </w:pPr>
    </w:p>
    <w:p w14:paraId="4733C9C6" w14:textId="77777777" w:rsidR="00812D16" w:rsidRPr="00986907" w:rsidRDefault="00812D16" w:rsidP="00CE56B0">
      <w:pPr>
        <w:keepNext/>
        <w:keepLines/>
        <w:spacing w:line="240" w:lineRule="auto"/>
        <w:ind w:left="567" w:hanging="567"/>
        <w:outlineLvl w:val="0"/>
        <w:rPr>
          <w:b/>
          <w:szCs w:val="22"/>
        </w:rPr>
      </w:pPr>
      <w:r>
        <w:rPr>
          <w:b/>
          <w:szCs w:val="22"/>
        </w:rPr>
        <w:t>4.</w:t>
      </w:r>
      <w:r>
        <w:rPr>
          <w:b/>
          <w:szCs w:val="22"/>
        </w:rPr>
        <w:tab/>
        <w:t>KLINIKAI JELLEMZŐK</w:t>
      </w:r>
    </w:p>
    <w:p w14:paraId="28D09004" w14:textId="77777777" w:rsidR="00812D16" w:rsidRPr="00986907" w:rsidRDefault="00812D16" w:rsidP="00CE56B0">
      <w:pPr>
        <w:keepNext/>
        <w:keepLines/>
        <w:spacing w:line="240" w:lineRule="auto"/>
        <w:rPr>
          <w:noProof/>
          <w:szCs w:val="22"/>
        </w:rPr>
      </w:pPr>
    </w:p>
    <w:p w14:paraId="6431B02F" w14:textId="77777777" w:rsidR="00812D16" w:rsidRPr="00986907" w:rsidRDefault="00812D16" w:rsidP="00CE56B0">
      <w:pPr>
        <w:keepNext/>
        <w:keepLines/>
        <w:spacing w:line="240" w:lineRule="auto"/>
        <w:ind w:left="567" w:hanging="567"/>
        <w:outlineLvl w:val="0"/>
        <w:rPr>
          <w:noProof/>
          <w:szCs w:val="22"/>
        </w:rPr>
      </w:pPr>
      <w:r>
        <w:rPr>
          <w:b/>
          <w:szCs w:val="22"/>
        </w:rPr>
        <w:t>4.1</w:t>
      </w:r>
      <w:r>
        <w:rPr>
          <w:b/>
          <w:szCs w:val="22"/>
        </w:rPr>
        <w:tab/>
        <w:t>Terápiás javallatok</w:t>
      </w:r>
    </w:p>
    <w:p w14:paraId="6140E6E5" w14:textId="77777777" w:rsidR="00812D16" w:rsidRPr="00986907" w:rsidRDefault="00812D16" w:rsidP="00CE56B0">
      <w:pPr>
        <w:keepNext/>
        <w:keepLines/>
        <w:spacing w:line="240" w:lineRule="auto"/>
        <w:rPr>
          <w:noProof/>
          <w:szCs w:val="22"/>
        </w:rPr>
      </w:pPr>
    </w:p>
    <w:p w14:paraId="11E6C7A5" w14:textId="40C3C7F1" w:rsidR="00127A94" w:rsidRPr="00986907" w:rsidRDefault="009B6B80" w:rsidP="00CE56B0">
      <w:pPr>
        <w:keepNext/>
        <w:keepLines/>
        <w:spacing w:line="240" w:lineRule="auto"/>
        <w:rPr>
          <w:noProof/>
          <w:szCs w:val="22"/>
        </w:rPr>
      </w:pPr>
      <w:r>
        <w:rPr>
          <w:szCs w:val="22"/>
        </w:rPr>
        <w:t xml:space="preserve">A Letybo a szemöldökök közötti, teljesen összeráncolt homlok esetén látható, közepes vagy súlyos mértékű függőleges ráncok (glabella ráncok) megjelenésének átmeneti javítására javallott </w:t>
      </w:r>
      <w:r>
        <w:rPr>
          <w:iCs/>
          <w:szCs w:val="22"/>
        </w:rPr>
        <w:t>a 75 évesnél fiatalabb felnőttek esetében</w:t>
      </w:r>
      <w:r>
        <w:rPr>
          <w:szCs w:val="22"/>
        </w:rPr>
        <w:t>, amennyiben a ráncok</w:t>
      </w:r>
      <w:r w:rsidR="00221659">
        <w:rPr>
          <w:szCs w:val="22"/>
        </w:rPr>
        <w:t xml:space="preserve"> olyan</w:t>
      </w:r>
      <w:r>
        <w:rPr>
          <w:szCs w:val="22"/>
        </w:rPr>
        <w:t xml:space="preserve"> súlyos</w:t>
      </w:r>
      <w:r w:rsidR="00221659">
        <w:rPr>
          <w:szCs w:val="22"/>
        </w:rPr>
        <w:t>ak, hogy</w:t>
      </w:r>
      <w:r>
        <w:rPr>
          <w:szCs w:val="22"/>
        </w:rPr>
        <w:t xml:space="preserve"> pszich</w:t>
      </w:r>
      <w:r w:rsidR="00221659">
        <w:rPr>
          <w:szCs w:val="22"/>
        </w:rPr>
        <w:t>ésen</w:t>
      </w:r>
      <w:r>
        <w:rPr>
          <w:szCs w:val="22"/>
        </w:rPr>
        <w:t xml:space="preserve"> </w:t>
      </w:r>
      <w:r w:rsidR="00221659">
        <w:rPr>
          <w:szCs w:val="22"/>
        </w:rPr>
        <w:t xml:space="preserve">nagyon zavarják </w:t>
      </w:r>
      <w:r>
        <w:rPr>
          <w:szCs w:val="22"/>
        </w:rPr>
        <w:t>a páciens</w:t>
      </w:r>
      <w:r w:rsidR="00221659">
        <w:rPr>
          <w:szCs w:val="22"/>
        </w:rPr>
        <w:t>t</w:t>
      </w:r>
      <w:r>
        <w:rPr>
          <w:szCs w:val="22"/>
        </w:rPr>
        <w:t>.</w:t>
      </w:r>
    </w:p>
    <w:p w14:paraId="71E7A09E" w14:textId="77777777" w:rsidR="00F95DC5" w:rsidRPr="00986907" w:rsidRDefault="00F95DC5" w:rsidP="00CE56B0">
      <w:pPr>
        <w:keepNext/>
        <w:keepLines/>
        <w:spacing w:line="240" w:lineRule="auto"/>
        <w:rPr>
          <w:noProof/>
          <w:szCs w:val="22"/>
        </w:rPr>
      </w:pPr>
    </w:p>
    <w:p w14:paraId="6F3164D5" w14:textId="77777777" w:rsidR="00812D16" w:rsidRPr="00986907" w:rsidRDefault="00855481" w:rsidP="00CE56B0">
      <w:pPr>
        <w:keepNext/>
        <w:keepLines/>
        <w:spacing w:line="240" w:lineRule="auto"/>
        <w:ind w:left="567" w:hanging="567"/>
        <w:outlineLvl w:val="0"/>
        <w:rPr>
          <w:b/>
          <w:noProof/>
          <w:szCs w:val="22"/>
        </w:rPr>
      </w:pPr>
      <w:r>
        <w:rPr>
          <w:b/>
          <w:szCs w:val="22"/>
        </w:rPr>
        <w:t>4.2</w:t>
      </w:r>
      <w:r>
        <w:rPr>
          <w:b/>
          <w:szCs w:val="22"/>
        </w:rPr>
        <w:tab/>
        <w:t>Adagolás és alkalmazás</w:t>
      </w:r>
    </w:p>
    <w:p w14:paraId="4A0B727D" w14:textId="77777777" w:rsidR="00B413B9" w:rsidRPr="00986907" w:rsidRDefault="00B413B9" w:rsidP="00CE56B0">
      <w:pPr>
        <w:keepNext/>
        <w:keepLines/>
        <w:spacing w:line="240" w:lineRule="auto"/>
        <w:rPr>
          <w:rFonts w:eastAsia="SimSun"/>
          <w:szCs w:val="22"/>
          <w:lang w:eastAsia="de-AT"/>
        </w:rPr>
      </w:pPr>
    </w:p>
    <w:p w14:paraId="6EBB08F1" w14:textId="1CD5CC24" w:rsidR="00B413B9" w:rsidRPr="00986907" w:rsidRDefault="009B6B80" w:rsidP="00CE56B0">
      <w:pPr>
        <w:keepNext/>
        <w:keepLines/>
        <w:spacing w:line="240" w:lineRule="auto"/>
        <w:rPr>
          <w:rFonts w:eastAsia="SimSun"/>
          <w:szCs w:val="22"/>
          <w:lang w:eastAsia="de-AT"/>
        </w:rPr>
      </w:pPr>
      <w:r>
        <w:t xml:space="preserve">A </w:t>
      </w:r>
      <w:r>
        <w:rPr>
          <w:szCs w:val="22"/>
        </w:rPr>
        <w:t xml:space="preserve">Letybo </w:t>
      </w:r>
      <w:r>
        <w:rPr>
          <w:rFonts w:eastAsia="SimSun"/>
          <w:szCs w:val="22"/>
        </w:rPr>
        <w:t xml:space="preserve">készítményt kizárólag az ebben a kezelésben megfelelően képzett orvos adhatja be, </w:t>
      </w:r>
      <w:r w:rsidR="00BA0850">
        <w:rPr>
          <w:rFonts w:eastAsia="SimSun"/>
          <w:szCs w:val="22"/>
        </w:rPr>
        <w:t>a megfelelő eszközök</w:t>
      </w:r>
      <w:r>
        <w:rPr>
          <w:rFonts w:eastAsia="SimSun"/>
          <w:szCs w:val="22"/>
        </w:rPr>
        <w:t xml:space="preserve"> </w:t>
      </w:r>
      <w:r w:rsidR="00BA0850">
        <w:rPr>
          <w:rFonts w:eastAsia="SimSun"/>
          <w:szCs w:val="22"/>
        </w:rPr>
        <w:t>alkalmazásával</w:t>
      </w:r>
      <w:r>
        <w:rPr>
          <w:rFonts w:eastAsia="SimSun"/>
          <w:szCs w:val="22"/>
        </w:rPr>
        <w:t>.</w:t>
      </w:r>
    </w:p>
    <w:p w14:paraId="512EF809" w14:textId="77777777" w:rsidR="00A23DCE" w:rsidRPr="00986907" w:rsidRDefault="00A23DCE" w:rsidP="00CE56B0">
      <w:pPr>
        <w:spacing w:line="240" w:lineRule="auto"/>
        <w:rPr>
          <w:szCs w:val="22"/>
          <w:u w:val="single"/>
        </w:rPr>
      </w:pPr>
    </w:p>
    <w:p w14:paraId="2D788B2D" w14:textId="77777777" w:rsidR="00D7218E" w:rsidRPr="00986907" w:rsidRDefault="005A7923" w:rsidP="00CE56B0">
      <w:pPr>
        <w:keepNext/>
        <w:keepLines/>
        <w:spacing w:line="240" w:lineRule="auto"/>
        <w:rPr>
          <w:szCs w:val="22"/>
        </w:rPr>
      </w:pPr>
      <w:r>
        <w:rPr>
          <w:szCs w:val="22"/>
          <w:u w:val="single"/>
        </w:rPr>
        <w:t>Adagolás</w:t>
      </w:r>
    </w:p>
    <w:p w14:paraId="0133DB46" w14:textId="63E9C528" w:rsidR="00212DA6" w:rsidRPr="00986907" w:rsidRDefault="005A7923" w:rsidP="00CE56B0">
      <w:pPr>
        <w:keepNext/>
        <w:keepLines/>
        <w:spacing w:line="240" w:lineRule="auto"/>
        <w:rPr>
          <w:szCs w:val="22"/>
        </w:rPr>
      </w:pPr>
      <w:r>
        <w:rPr>
          <w:szCs w:val="22"/>
        </w:rPr>
        <w:t xml:space="preserve">Az ajánlott adag összesen 20 egység, amelyet 5, egyenként 4 egységet (0,1 ml) tartalmazó injekció formájában kell beadni: 2–2 injekciót a </w:t>
      </w:r>
      <w:r>
        <w:rPr>
          <w:i/>
          <w:szCs w:val="22"/>
        </w:rPr>
        <w:t>corrugator supercilii</w:t>
      </w:r>
      <w:r>
        <w:rPr>
          <w:szCs w:val="22"/>
        </w:rPr>
        <w:t xml:space="preserve"> izmokba és 1 injekciót a </w:t>
      </w:r>
      <w:r>
        <w:rPr>
          <w:i/>
          <w:szCs w:val="22"/>
        </w:rPr>
        <w:t>procerus</w:t>
      </w:r>
      <w:r>
        <w:rPr>
          <w:szCs w:val="22"/>
        </w:rPr>
        <w:t xml:space="preserve"> izomba.</w:t>
      </w:r>
    </w:p>
    <w:p w14:paraId="6156B3A0" w14:textId="77777777" w:rsidR="00327728" w:rsidRPr="00986907" w:rsidRDefault="00327728" w:rsidP="00CE56B0">
      <w:pPr>
        <w:spacing w:line="240" w:lineRule="auto"/>
        <w:rPr>
          <w:szCs w:val="22"/>
        </w:rPr>
      </w:pPr>
    </w:p>
    <w:p w14:paraId="55190075" w14:textId="77777777" w:rsidR="00D7218E" w:rsidRPr="00986907" w:rsidRDefault="00B413B9" w:rsidP="00CE56B0">
      <w:pPr>
        <w:keepNext/>
        <w:keepLines/>
        <w:spacing w:line="240" w:lineRule="auto"/>
        <w:rPr>
          <w:szCs w:val="22"/>
        </w:rPr>
      </w:pPr>
      <w:r>
        <w:rPr>
          <w:szCs w:val="22"/>
        </w:rPr>
        <w:t>A botulinum toxin egységek nem helyettesíthetők más készítmények botulinum toxin egységeivel.</w:t>
      </w:r>
    </w:p>
    <w:p w14:paraId="7330D3DC" w14:textId="3B3372FA" w:rsidR="00485350" w:rsidRPr="00986907" w:rsidRDefault="00B413B9" w:rsidP="00CE56B0">
      <w:pPr>
        <w:keepNext/>
        <w:keepLines/>
        <w:spacing w:line="240" w:lineRule="auto"/>
        <w:rPr>
          <w:rFonts w:eastAsia="SimSun"/>
          <w:szCs w:val="22"/>
          <w:lang w:eastAsia="de-AT"/>
        </w:rPr>
      </w:pPr>
      <w:r>
        <w:rPr>
          <w:szCs w:val="22"/>
        </w:rPr>
        <w:t>Az ajánlott adagok eltérnek a más botulinum toxin készítmények esetében alkalmazott adagoktól.</w:t>
      </w:r>
    </w:p>
    <w:p w14:paraId="42260EA4" w14:textId="77777777" w:rsidR="00485350" w:rsidRPr="00986907" w:rsidRDefault="00485350" w:rsidP="00CE56B0">
      <w:pPr>
        <w:spacing w:line="240" w:lineRule="auto"/>
        <w:rPr>
          <w:rFonts w:eastAsia="SimSun"/>
          <w:szCs w:val="22"/>
          <w:lang w:eastAsia="de-AT"/>
        </w:rPr>
      </w:pPr>
    </w:p>
    <w:p w14:paraId="2DB87456" w14:textId="77777777" w:rsidR="00D7218E" w:rsidRPr="00986907" w:rsidRDefault="00AC6263" w:rsidP="00CE56B0">
      <w:pPr>
        <w:spacing w:line="240" w:lineRule="auto"/>
        <w:rPr>
          <w:szCs w:val="22"/>
        </w:rPr>
      </w:pPr>
      <w:r>
        <w:rPr>
          <w:szCs w:val="22"/>
        </w:rPr>
        <w:t>Az egyes kezelések között legalább három hónapnak el kell telnie.</w:t>
      </w:r>
    </w:p>
    <w:p w14:paraId="72B0FBF5" w14:textId="510544E3" w:rsidR="00D7218E" w:rsidRPr="00986907" w:rsidDel="00485350" w:rsidRDefault="00BB5255" w:rsidP="00CE56B0">
      <w:pPr>
        <w:spacing w:line="240" w:lineRule="auto"/>
        <w:rPr>
          <w:rFonts w:eastAsia="SimSun"/>
          <w:szCs w:val="22"/>
          <w:lang w:eastAsia="de-AT"/>
        </w:rPr>
      </w:pPr>
      <w:r>
        <w:rPr>
          <w:rFonts w:eastAsia="SimSun"/>
          <w:szCs w:val="22"/>
        </w:rPr>
        <w:t xml:space="preserve">Amennyiben a korábbi kezelést követően nem jelentkeznek nemkívánatos hatások, lehetőség van újabb kezelésre, </w:t>
      </w:r>
      <w:r w:rsidR="008A5254">
        <w:rPr>
          <w:rFonts w:eastAsia="SimSun"/>
          <w:szCs w:val="22"/>
        </w:rPr>
        <w:t xml:space="preserve">de </w:t>
      </w:r>
      <w:r>
        <w:rPr>
          <w:rFonts w:eastAsia="SimSun"/>
          <w:szCs w:val="22"/>
        </w:rPr>
        <w:t>a kezelések között legalább három hónapnak el kell telnie.</w:t>
      </w:r>
    </w:p>
    <w:p w14:paraId="45CA124C" w14:textId="0ABED3A1" w:rsidR="00BB5255" w:rsidRPr="00986907" w:rsidRDefault="00BB5255" w:rsidP="00CE56B0">
      <w:pPr>
        <w:spacing w:line="240" w:lineRule="auto"/>
        <w:rPr>
          <w:szCs w:val="22"/>
        </w:rPr>
      </w:pPr>
    </w:p>
    <w:p w14:paraId="5527148B" w14:textId="5E520856" w:rsidR="00EF6BB0" w:rsidRPr="00986907" w:rsidRDefault="00EF6BB0" w:rsidP="00CE56B0">
      <w:pPr>
        <w:spacing w:line="240" w:lineRule="auto"/>
        <w:rPr>
          <w:rFonts w:eastAsia="SimSun"/>
          <w:szCs w:val="22"/>
          <w:lang w:eastAsia="de-AT"/>
        </w:rPr>
      </w:pPr>
      <w:r>
        <w:rPr>
          <w:rFonts w:eastAsia="SimSun"/>
          <w:szCs w:val="22"/>
        </w:rPr>
        <w:t>Amennyiben az előző kezelést követően egy hónappal a kezelés sikertelennek bizonyul, vagyis a kiindulási állapothoz képest nincs jelentős mértékű javulás, az alábbiakat lehet fontolóra venni:</w:t>
      </w:r>
    </w:p>
    <w:p w14:paraId="574BED8A" w14:textId="0569EC2F" w:rsidR="00EF6BB0" w:rsidRPr="00DB333D" w:rsidRDefault="00EF6BB0" w:rsidP="006838E1">
      <w:pPr>
        <w:pStyle w:val="Listaszerbekezds"/>
        <w:numPr>
          <w:ilvl w:val="0"/>
          <w:numId w:val="39"/>
        </w:numPr>
        <w:tabs>
          <w:tab w:val="clear" w:pos="720"/>
          <w:tab w:val="left" w:pos="567"/>
        </w:tabs>
        <w:spacing w:after="0" w:line="240" w:lineRule="auto"/>
        <w:ind w:left="567" w:hanging="567"/>
        <w:rPr>
          <w:rFonts w:eastAsia="SimSun"/>
          <w:sz w:val="22"/>
          <w:szCs w:val="22"/>
          <w:lang w:eastAsia="de-AT"/>
        </w:rPr>
      </w:pPr>
      <w:r w:rsidRPr="00DB333D">
        <w:rPr>
          <w:rFonts w:eastAsia="SimSun"/>
          <w:sz w:val="22"/>
          <w:szCs w:val="22"/>
        </w:rPr>
        <w:t>A sikertelenség okainak feltárása, például nem megfelelő izmokba történő injekciózás, nem megfelelő injekciózási technika, toxinneutralizáló antitestek megjelenése</w:t>
      </w:r>
      <w:r w:rsidRPr="00DB333D">
        <w:rPr>
          <w:rFonts w:eastAsia="SimSun"/>
          <w:bCs/>
          <w:iCs/>
          <w:sz w:val="22"/>
          <w:szCs w:val="22"/>
        </w:rPr>
        <w:t xml:space="preserve">, </w:t>
      </w:r>
      <w:r w:rsidRPr="00DB333D">
        <w:rPr>
          <w:rFonts w:eastAsia="SimSun"/>
          <w:sz w:val="22"/>
          <w:szCs w:val="22"/>
        </w:rPr>
        <w:t>elégtelen mennyiségű adag.</w:t>
      </w:r>
    </w:p>
    <w:p w14:paraId="16E4A732" w14:textId="66138E76" w:rsidR="00EF6BB0" w:rsidRPr="00DB333D" w:rsidRDefault="00EF6BB0" w:rsidP="006838E1">
      <w:pPr>
        <w:pStyle w:val="Listaszerbekezds"/>
        <w:numPr>
          <w:ilvl w:val="0"/>
          <w:numId w:val="39"/>
        </w:numPr>
        <w:tabs>
          <w:tab w:val="clear" w:pos="720"/>
          <w:tab w:val="left" w:pos="567"/>
        </w:tabs>
        <w:spacing w:after="0" w:line="240" w:lineRule="auto"/>
        <w:ind w:left="567" w:hanging="567"/>
        <w:rPr>
          <w:rFonts w:eastAsia="SimSun"/>
          <w:sz w:val="22"/>
          <w:szCs w:val="22"/>
          <w:lang w:eastAsia="de-AT"/>
        </w:rPr>
      </w:pPr>
      <w:r w:rsidRPr="00DB333D">
        <w:rPr>
          <w:rFonts w:eastAsia="SimSun"/>
          <w:sz w:val="22"/>
          <w:szCs w:val="22"/>
        </w:rPr>
        <w:t>Az A típusú botulinum toxinnal történő kezelés fontosságának újraértékelése.</w:t>
      </w:r>
    </w:p>
    <w:p w14:paraId="6083625B" w14:textId="07C45867" w:rsidR="00EF6BB0" w:rsidRPr="00986907" w:rsidRDefault="00EF6BB0" w:rsidP="00CE56B0">
      <w:pPr>
        <w:spacing w:line="240" w:lineRule="auto"/>
        <w:rPr>
          <w:bCs/>
          <w:i/>
          <w:iCs/>
          <w:szCs w:val="22"/>
        </w:rPr>
      </w:pPr>
    </w:p>
    <w:p w14:paraId="090CAB49" w14:textId="0B3F4916" w:rsidR="005F5467" w:rsidRPr="00986907" w:rsidRDefault="005F5467" w:rsidP="00CE56B0">
      <w:pPr>
        <w:tabs>
          <w:tab w:val="clear" w:pos="567"/>
          <w:tab w:val="left" w:pos="0"/>
        </w:tabs>
        <w:spacing w:line="240" w:lineRule="auto"/>
        <w:rPr>
          <w:szCs w:val="22"/>
        </w:rPr>
      </w:pPr>
      <w:r>
        <w:rPr>
          <w:szCs w:val="22"/>
        </w:rPr>
        <w:t>A Letybo 12 hónapnál hosszabb ideig tartó ismételt injekciózásának hatásosságát és biztonságosságát nem értékelték.</w:t>
      </w:r>
    </w:p>
    <w:p w14:paraId="1280243A" w14:textId="0687ABD9" w:rsidR="005F5467" w:rsidRPr="00986907" w:rsidRDefault="005F5467" w:rsidP="00CE56B0">
      <w:pPr>
        <w:spacing w:line="240" w:lineRule="auto"/>
        <w:rPr>
          <w:bCs/>
          <w:i/>
          <w:iCs/>
          <w:szCs w:val="22"/>
        </w:rPr>
      </w:pPr>
    </w:p>
    <w:p w14:paraId="1DD85104" w14:textId="33C7D6F2" w:rsidR="007B0A7B" w:rsidRPr="00986907" w:rsidRDefault="007B0A7B" w:rsidP="00CE56B0">
      <w:pPr>
        <w:keepNext/>
        <w:spacing w:line="240" w:lineRule="auto"/>
        <w:rPr>
          <w:bCs/>
          <w:i/>
          <w:iCs/>
          <w:szCs w:val="22"/>
          <w:u w:val="single"/>
        </w:rPr>
      </w:pPr>
      <w:r>
        <w:rPr>
          <w:bCs/>
          <w:i/>
          <w:iCs/>
          <w:szCs w:val="22"/>
          <w:u w:val="single"/>
        </w:rPr>
        <w:lastRenderedPageBreak/>
        <w:t>Különleges betegcsoportok</w:t>
      </w:r>
    </w:p>
    <w:p w14:paraId="2B1BD383" w14:textId="77777777" w:rsidR="003F0748" w:rsidRPr="00986907" w:rsidRDefault="003F0748" w:rsidP="00CE56B0">
      <w:pPr>
        <w:keepNext/>
        <w:keepLines/>
        <w:spacing w:line="240" w:lineRule="auto"/>
        <w:rPr>
          <w:bCs/>
          <w:i/>
          <w:iCs/>
          <w:szCs w:val="22"/>
        </w:rPr>
      </w:pPr>
      <w:r>
        <w:rPr>
          <w:bCs/>
          <w:i/>
          <w:iCs/>
          <w:szCs w:val="22"/>
        </w:rPr>
        <w:t>Idősek</w:t>
      </w:r>
    </w:p>
    <w:p w14:paraId="25C8DA3E" w14:textId="2B70BF12" w:rsidR="00D7218E" w:rsidRPr="00986907" w:rsidRDefault="002667F0" w:rsidP="00CE56B0">
      <w:pPr>
        <w:keepNext/>
        <w:keepLines/>
        <w:spacing w:line="240" w:lineRule="auto"/>
        <w:rPr>
          <w:szCs w:val="22"/>
        </w:rPr>
      </w:pPr>
      <w:r>
        <w:rPr>
          <w:szCs w:val="22"/>
        </w:rPr>
        <w:t xml:space="preserve">A 75 évesnél idősebb páciensek esetében nem állnak rendelkezésre klinikai adatok a Letybo készítményről. A 65 évesnél idősebbek esetében nincs szükség </w:t>
      </w:r>
      <w:r w:rsidR="00004132">
        <w:rPr>
          <w:szCs w:val="22"/>
        </w:rPr>
        <w:t xml:space="preserve">külön </w:t>
      </w:r>
      <w:r>
        <w:rPr>
          <w:szCs w:val="22"/>
        </w:rPr>
        <w:t xml:space="preserve"> adagmódosításra (lásd 5.1 pont).</w:t>
      </w:r>
    </w:p>
    <w:p w14:paraId="7C5CAE17" w14:textId="25693FA9" w:rsidR="009366DB" w:rsidRPr="00986907" w:rsidRDefault="009366DB" w:rsidP="00CE56B0">
      <w:pPr>
        <w:spacing w:line="240" w:lineRule="auto"/>
        <w:rPr>
          <w:bCs/>
          <w:i/>
          <w:iCs/>
          <w:szCs w:val="22"/>
        </w:rPr>
      </w:pPr>
    </w:p>
    <w:p w14:paraId="5A2F06A0" w14:textId="77777777" w:rsidR="0024631C" w:rsidRPr="00986907" w:rsidRDefault="0024631C" w:rsidP="00CE56B0">
      <w:pPr>
        <w:keepNext/>
        <w:keepLines/>
        <w:spacing w:line="240" w:lineRule="auto"/>
        <w:rPr>
          <w:bCs/>
          <w:i/>
          <w:iCs/>
          <w:szCs w:val="22"/>
        </w:rPr>
      </w:pPr>
      <w:r>
        <w:rPr>
          <w:bCs/>
          <w:i/>
          <w:iCs/>
          <w:szCs w:val="22"/>
        </w:rPr>
        <w:t>Gyermekek és serdülők</w:t>
      </w:r>
    </w:p>
    <w:p w14:paraId="591E0782" w14:textId="5B494AA5" w:rsidR="0024631C" w:rsidRPr="00986907" w:rsidRDefault="00AB24A3" w:rsidP="00CE56B0">
      <w:pPr>
        <w:keepNext/>
        <w:keepLines/>
        <w:spacing w:line="240" w:lineRule="auto"/>
        <w:rPr>
          <w:szCs w:val="22"/>
        </w:rPr>
      </w:pPr>
      <w:r>
        <w:rPr>
          <w:szCs w:val="22"/>
        </w:rPr>
        <w:t>A Letybo készítménynek gyermekeknél nincs releváns alkalmazása. (lásd 5.1 pont).</w:t>
      </w:r>
    </w:p>
    <w:p w14:paraId="7012E8D4" w14:textId="77777777" w:rsidR="0024631C" w:rsidRPr="00986907" w:rsidRDefault="0024631C" w:rsidP="00CE56B0">
      <w:pPr>
        <w:spacing w:line="240" w:lineRule="auto"/>
        <w:rPr>
          <w:szCs w:val="22"/>
          <w:u w:val="single"/>
        </w:rPr>
      </w:pPr>
    </w:p>
    <w:p w14:paraId="207B0EB8" w14:textId="77777777" w:rsidR="0024631C" w:rsidRPr="00986907" w:rsidRDefault="0024631C" w:rsidP="00CE56B0">
      <w:pPr>
        <w:keepNext/>
        <w:keepLines/>
        <w:spacing w:line="240" w:lineRule="auto"/>
        <w:rPr>
          <w:szCs w:val="22"/>
          <w:u w:val="single"/>
        </w:rPr>
      </w:pPr>
      <w:r>
        <w:rPr>
          <w:szCs w:val="22"/>
          <w:u w:val="single"/>
        </w:rPr>
        <w:t>Az alkalmazás módja</w:t>
      </w:r>
    </w:p>
    <w:p w14:paraId="417F6B87" w14:textId="2C784EE6" w:rsidR="0084707B" w:rsidRPr="00986907" w:rsidRDefault="0084707B" w:rsidP="00CE56B0">
      <w:pPr>
        <w:spacing w:line="240" w:lineRule="auto"/>
        <w:rPr>
          <w:rFonts w:eastAsia="SimSun"/>
          <w:szCs w:val="22"/>
          <w:lang w:eastAsia="de-AT"/>
        </w:rPr>
      </w:pPr>
    </w:p>
    <w:p w14:paraId="16739653" w14:textId="728AB71D" w:rsidR="00EF6BB0" w:rsidRPr="00986907" w:rsidRDefault="00EF6BB0" w:rsidP="00CE56B0">
      <w:pPr>
        <w:spacing w:line="240" w:lineRule="auto"/>
        <w:rPr>
          <w:rFonts w:eastAsia="SimSun"/>
          <w:szCs w:val="22"/>
          <w:lang w:eastAsia="de-AT"/>
        </w:rPr>
      </w:pPr>
      <w:r>
        <w:rPr>
          <w:rFonts w:eastAsia="SimSun"/>
          <w:szCs w:val="22"/>
        </w:rPr>
        <w:t>Intramuscularis alkalmazás.</w:t>
      </w:r>
    </w:p>
    <w:p w14:paraId="1E77890D" w14:textId="77777777" w:rsidR="00EF6BB0" w:rsidRPr="00986907" w:rsidRDefault="00EF6BB0" w:rsidP="00CE56B0">
      <w:pPr>
        <w:spacing w:line="240" w:lineRule="auto"/>
        <w:rPr>
          <w:rFonts w:eastAsia="SimSun"/>
          <w:szCs w:val="22"/>
          <w:lang w:eastAsia="de-AT"/>
        </w:rPr>
      </w:pPr>
    </w:p>
    <w:p w14:paraId="0008A5FC" w14:textId="09744F78" w:rsidR="00D7218E" w:rsidRPr="00986907" w:rsidRDefault="009B6B80" w:rsidP="00CE56B0">
      <w:pPr>
        <w:spacing w:line="240" w:lineRule="auto"/>
        <w:rPr>
          <w:rFonts w:eastAsia="SimSun"/>
          <w:szCs w:val="22"/>
          <w:lang w:eastAsia="de-AT"/>
        </w:rPr>
      </w:pPr>
      <w:r>
        <w:t xml:space="preserve">Feloldás után a </w:t>
      </w:r>
      <w:r>
        <w:rPr>
          <w:szCs w:val="22"/>
        </w:rPr>
        <w:t>Letybo</w:t>
      </w:r>
      <w:r>
        <w:rPr>
          <w:rFonts w:eastAsia="SimSun"/>
          <w:szCs w:val="22"/>
        </w:rPr>
        <w:t xml:space="preserve"> készítményt kizárólag egy injekciós kezelésre szabad felhasználni páciensenként.</w:t>
      </w:r>
    </w:p>
    <w:p w14:paraId="36B218B6" w14:textId="66D452D1" w:rsidR="0084707B" w:rsidRPr="00986907" w:rsidRDefault="0084707B" w:rsidP="00CE56B0">
      <w:pPr>
        <w:spacing w:line="240" w:lineRule="auto"/>
        <w:rPr>
          <w:rFonts w:eastAsia="SimSun"/>
          <w:szCs w:val="22"/>
          <w:lang w:eastAsia="de-AT"/>
        </w:rPr>
      </w:pPr>
    </w:p>
    <w:p w14:paraId="696ACD9D" w14:textId="28A36DA7" w:rsidR="0084707B" w:rsidRPr="00986907" w:rsidRDefault="00A83902" w:rsidP="00CE56B0">
      <w:pPr>
        <w:spacing w:line="240" w:lineRule="auto"/>
        <w:rPr>
          <w:rFonts w:eastAsia="SimSun"/>
          <w:szCs w:val="22"/>
          <w:lang w:eastAsia="de-AT"/>
        </w:rPr>
      </w:pPr>
      <w:r>
        <w:rPr>
          <w:rFonts w:eastAsia="SimSun"/>
          <w:szCs w:val="22"/>
        </w:rPr>
        <w:t xml:space="preserve">A hígításra, felhasználásra, kezelésre és </w:t>
      </w:r>
      <w:r w:rsidR="00E0649A">
        <w:rPr>
          <w:rFonts w:eastAsia="SimSun"/>
          <w:szCs w:val="22"/>
        </w:rPr>
        <w:t xml:space="preserve">az injekciós üvegek </w:t>
      </w:r>
      <w:r>
        <w:rPr>
          <w:rFonts w:eastAsia="SimSun"/>
          <w:szCs w:val="22"/>
        </w:rPr>
        <w:t>ártalmatlanítására vonatkozó utasításokat lásd a 6.6 pontban.</w:t>
      </w:r>
    </w:p>
    <w:p w14:paraId="415EF586" w14:textId="77777777" w:rsidR="0024631C" w:rsidRPr="00986907" w:rsidRDefault="0024631C" w:rsidP="00CE56B0">
      <w:pPr>
        <w:spacing w:line="240" w:lineRule="auto"/>
        <w:rPr>
          <w:szCs w:val="22"/>
        </w:rPr>
      </w:pPr>
    </w:p>
    <w:p w14:paraId="72FDE853" w14:textId="1E17D8CF" w:rsidR="0024631C" w:rsidRPr="00986907" w:rsidRDefault="0024631C" w:rsidP="00CE56B0">
      <w:pPr>
        <w:spacing w:line="240" w:lineRule="auto"/>
        <w:rPr>
          <w:szCs w:val="22"/>
        </w:rPr>
      </w:pPr>
      <w:r>
        <w:rPr>
          <w:szCs w:val="22"/>
        </w:rPr>
        <w:t>Az intramuscularis injekciót 1 ml-es, 0,01 ml-es beosztású, steril inzulin vagy tuberculin típusú fecskendővel és 30–31 G méretű tűvel kell beadni.</w:t>
      </w:r>
    </w:p>
    <w:p w14:paraId="11C69F68" w14:textId="77777777" w:rsidR="00A23DCE" w:rsidRPr="00986907" w:rsidRDefault="00A23DCE" w:rsidP="00CE56B0">
      <w:pPr>
        <w:spacing w:line="240" w:lineRule="auto"/>
        <w:rPr>
          <w:szCs w:val="22"/>
          <w:u w:val="single"/>
        </w:rPr>
      </w:pPr>
    </w:p>
    <w:p w14:paraId="2B3872CC" w14:textId="53B4070C" w:rsidR="00D7218E" w:rsidRPr="00986907" w:rsidRDefault="00B75441" w:rsidP="00CE56B0">
      <w:pPr>
        <w:spacing w:line="240" w:lineRule="auto"/>
        <w:rPr>
          <w:szCs w:val="22"/>
        </w:rPr>
      </w:pPr>
      <w:r>
        <w:rPr>
          <w:szCs w:val="22"/>
        </w:rPr>
        <w:t>0,5 ml, megfelelően feloldott oldatot kell felszívni a steril fecskendőbe, amelyet megfelelően buborékmentesíteni kell. Az injekció beadása előtt a készítmény hígításához használt tűt ki kell cserélni.</w:t>
      </w:r>
    </w:p>
    <w:p w14:paraId="2B5FB6A7" w14:textId="2F98D846" w:rsidR="000C4368" w:rsidRPr="00986907" w:rsidRDefault="000C4368" w:rsidP="00CE56B0">
      <w:pPr>
        <w:spacing w:line="240" w:lineRule="auto"/>
        <w:rPr>
          <w:szCs w:val="22"/>
        </w:rPr>
      </w:pPr>
    </w:p>
    <w:p w14:paraId="6624D025" w14:textId="4146C205" w:rsidR="000C4368" w:rsidRPr="00986907" w:rsidRDefault="000C4368" w:rsidP="00CE56B0">
      <w:pPr>
        <w:spacing w:line="240" w:lineRule="auto"/>
        <w:rPr>
          <w:szCs w:val="22"/>
        </w:rPr>
      </w:pPr>
      <w:r>
        <w:rPr>
          <w:szCs w:val="22"/>
        </w:rPr>
        <w:t>Ügyelni kell rá, hogy a Letybo készítményt ne érbe adják be.</w:t>
      </w:r>
    </w:p>
    <w:p w14:paraId="3111D0ED" w14:textId="6E0B44D5" w:rsidR="000C4368" w:rsidRPr="00986907" w:rsidRDefault="000C4368" w:rsidP="00CE56B0">
      <w:pPr>
        <w:spacing w:line="240" w:lineRule="auto"/>
        <w:rPr>
          <w:szCs w:val="22"/>
        </w:rPr>
      </w:pPr>
    </w:p>
    <w:p w14:paraId="385F6DA3" w14:textId="7842D509" w:rsidR="00B75441" w:rsidRPr="00986907" w:rsidRDefault="00EA6F1C" w:rsidP="00CE56B0">
      <w:pPr>
        <w:spacing w:line="240" w:lineRule="auto"/>
        <w:rPr>
          <w:szCs w:val="22"/>
        </w:rPr>
      </w:pPr>
      <w:r>
        <w:rPr>
          <w:szCs w:val="22"/>
        </w:rPr>
        <w:t xml:space="preserve">A blepharoptosis szövődmény csökkentése érdekében kerülni kell az injekció beadását a </w:t>
      </w:r>
      <w:r>
        <w:rPr>
          <w:i/>
          <w:szCs w:val="22"/>
        </w:rPr>
        <w:t xml:space="preserve">levator palpebrae superioris </w:t>
      </w:r>
      <w:r>
        <w:rPr>
          <w:szCs w:val="22"/>
        </w:rPr>
        <w:t xml:space="preserve">közelében, különösen azon páciensek esetében, akik nagy szemöldök-összehúzó izmokkal rendelkeznek. A </w:t>
      </w:r>
      <w:r>
        <w:rPr>
          <w:i/>
          <w:szCs w:val="22"/>
        </w:rPr>
        <w:t>corrugator supercilii</w:t>
      </w:r>
      <w:r>
        <w:rPr>
          <w:szCs w:val="22"/>
        </w:rPr>
        <w:t xml:space="preserve"> izmokba való beadáskor az első injekciót közvetlenül a szemöldökök medialis széle fölé kell beadni. A második injekciót kb. 1 cm-re a supraorbitalis </w:t>
      </w:r>
      <w:r w:rsidR="00655DBF">
        <w:rPr>
          <w:szCs w:val="22"/>
        </w:rPr>
        <w:t xml:space="preserve">ív </w:t>
      </w:r>
      <w:r>
        <w:rPr>
          <w:szCs w:val="22"/>
        </w:rPr>
        <w:t xml:space="preserve">(kemény, csontos, jól kitapintható határ a szemhéj fölött) fölött kell beadni, ott, ahol a szemöldökök középvonalai találkoznak egymással. A procerus izom beadási helye közvetlenül az orrhíd középvonala fölött található, ott, ahol a vízszintes ráncok keletkeznek a szemöldökök medialis végei között. A </w:t>
      </w:r>
      <w:r>
        <w:rPr>
          <w:i/>
          <w:szCs w:val="22"/>
        </w:rPr>
        <w:t>corrugator supercilii</w:t>
      </w:r>
      <w:r>
        <w:rPr>
          <w:szCs w:val="22"/>
        </w:rPr>
        <w:t xml:space="preserve"> izmok medialis végeibe és a szemöldökök középvonalaiba történő injekciózáskor ügyelni kell rá, hogy az injekció beadási helye legalább 1 cm-re legyen a supraorbitalis </w:t>
      </w:r>
      <w:r w:rsidR="00655DBF">
        <w:rPr>
          <w:szCs w:val="22"/>
        </w:rPr>
        <w:t xml:space="preserve">ívtől </w:t>
      </w:r>
      <w:r>
        <w:rPr>
          <w:szCs w:val="22"/>
        </w:rPr>
        <w:t>(kemény, csontos, jól kitapintható határ a szemhéj fölött).</w:t>
      </w:r>
    </w:p>
    <w:p w14:paraId="3FFDE885" w14:textId="0C45B485" w:rsidR="00B75441" w:rsidRPr="00986907" w:rsidRDefault="00B75441" w:rsidP="00CE56B0">
      <w:pPr>
        <w:spacing w:line="240" w:lineRule="auto"/>
        <w:rPr>
          <w:szCs w:val="22"/>
        </w:rPr>
      </w:pPr>
    </w:p>
    <w:p w14:paraId="0ACE1C26" w14:textId="37BD5CDE" w:rsidR="00C32F02" w:rsidRPr="00986907" w:rsidRDefault="00CC2776" w:rsidP="00CE56B0">
      <w:pPr>
        <w:spacing w:line="240" w:lineRule="auto"/>
        <w:rPr>
          <w:szCs w:val="22"/>
        </w:rPr>
      </w:pPr>
      <w:r>
        <w:rPr>
          <w:noProof/>
          <w:szCs w:val="22"/>
          <w:lang w:bidi="ar-SA"/>
        </w:rPr>
        <w:lastRenderedPageBreak/>
        <mc:AlternateContent>
          <mc:Choice Requires="wps">
            <w:drawing>
              <wp:anchor distT="0" distB="0" distL="114300" distR="114300" simplePos="0" relativeHeight="251661312" behindDoc="0" locked="0" layoutInCell="1" allowOverlap="1" wp14:anchorId="119E749B" wp14:editId="6B42021E">
                <wp:simplePos x="0" y="0"/>
                <wp:positionH relativeFrom="column">
                  <wp:posOffset>3243918</wp:posOffset>
                </wp:positionH>
                <wp:positionV relativeFrom="paragraph">
                  <wp:posOffset>704660</wp:posOffset>
                </wp:positionV>
                <wp:extent cx="1573481" cy="195943"/>
                <wp:effectExtent l="0" t="0" r="8255" b="0"/>
                <wp:wrapNone/>
                <wp:docPr id="5" name="Text Box 5"/>
                <wp:cNvGraphicFramePr/>
                <a:graphic xmlns:a="http://schemas.openxmlformats.org/drawingml/2006/main">
                  <a:graphicData uri="http://schemas.microsoft.com/office/word/2010/wordprocessingShape">
                    <wps:wsp>
                      <wps:cNvSpPr txBox="1"/>
                      <wps:spPr>
                        <a:xfrm>
                          <a:off x="0" y="0"/>
                          <a:ext cx="1573481" cy="195943"/>
                        </a:xfrm>
                        <a:prstGeom prst="rect">
                          <a:avLst/>
                        </a:prstGeom>
                        <a:solidFill>
                          <a:schemeClr val="lt1"/>
                        </a:solidFill>
                        <a:ln w="6350">
                          <a:noFill/>
                        </a:ln>
                      </wps:spPr>
                      <wps:txbx>
                        <w:txbxContent>
                          <w:p w14:paraId="5EA0C647" w14:textId="1DD770D8" w:rsidR="00CC2776" w:rsidRPr="00CC2776" w:rsidRDefault="00CC2776" w:rsidP="00CC2776">
                            <w:pPr>
                              <w:rPr>
                                <w:sz w:val="18"/>
                                <w:szCs w:val="18"/>
                              </w:rPr>
                            </w:pPr>
                            <w:r>
                              <w:rPr>
                                <w:i/>
                                <w:iCs/>
                                <w:sz w:val="18"/>
                                <w:szCs w:val="18"/>
                              </w:rPr>
                              <w:t xml:space="preserve"> corrugator supercilii </w:t>
                            </w:r>
                            <w:r>
                              <w:rPr>
                                <w:sz w:val="18"/>
                                <w:szCs w:val="18"/>
                              </w:rPr>
                              <w:t>izom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19E749B" id="_x0000_t202" coordsize="21600,21600" o:spt="202" path="m,l,21600r21600,l21600,xe">
                <v:stroke joinstyle="miter"/>
                <v:path gradientshapeok="t" o:connecttype="rect"/>
              </v:shapetype>
              <v:shape id="Text Box 5" o:spid="_x0000_s1026" type="#_x0000_t202" style="position:absolute;margin-left:255.45pt;margin-top:55.5pt;width:123.9pt;height:15.4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" fillcolor="white [3201]" stroked="f" strokeweight=".5pt">
                <v:textbox inset="0,0,0,0">
                  <w:txbxContent>
                    <w:p w14:paraId="5EA0C647" w14:textId="1DD770D8" w:rsidR="00CC2776" w:rsidRPr="00CC2776" w:rsidRDefault="00CC2776" w:rsidP="00CC2776">
                      <w:pPr>
                        <w:rPr>
                          <w:sz w:val="18"/>
                          <w:szCs w:val="18"/>
                        </w:rPr>
                      </w:pPr>
                      <w:r>
                        <w:rPr>
                          <w:i/>
                          <w:iCs/>
                          <w:sz w:val="18"/>
                          <w:szCs w:val="18"/>
                        </w:rPr>
                        <w:t xml:space="preserve"> corrugator supercilii </w:t>
                      </w:r>
                      <w:r>
                        <w:rPr>
                          <w:sz w:val="18"/>
                          <w:szCs w:val="18"/>
                        </w:rPr>
                        <w:t>izom</w:t>
                      </w:r>
                    </w:p>
                  </w:txbxContent>
                </v:textbox>
              </v:shape>
            </w:pict>
          </mc:Fallback>
        </mc:AlternateContent>
      </w:r>
      <w:r>
        <w:rPr>
          <w:noProof/>
          <w:szCs w:val="22"/>
          <w:lang w:bidi="ar-SA"/>
        </w:rPr>
        <mc:AlternateContent>
          <mc:Choice Requires="wps">
            <w:drawing>
              <wp:anchor distT="0" distB="0" distL="114300" distR="114300" simplePos="0" relativeHeight="251659264" behindDoc="0" locked="0" layoutInCell="1" allowOverlap="1" wp14:anchorId="41F36093" wp14:editId="67C7DDAE">
                <wp:simplePos x="0" y="0"/>
                <wp:positionH relativeFrom="column">
                  <wp:posOffset>2795270</wp:posOffset>
                </wp:positionH>
                <wp:positionV relativeFrom="paragraph">
                  <wp:posOffset>80868</wp:posOffset>
                </wp:positionV>
                <wp:extent cx="884711" cy="195943"/>
                <wp:effectExtent l="0" t="0" r="0" b="0"/>
                <wp:wrapNone/>
                <wp:docPr id="4" name="Text Box 4"/>
                <wp:cNvGraphicFramePr/>
                <a:graphic xmlns:a="http://schemas.openxmlformats.org/drawingml/2006/main">
                  <a:graphicData uri="http://schemas.microsoft.com/office/word/2010/wordprocessingShape">
                    <wps:wsp>
                      <wps:cNvSpPr txBox="1"/>
                      <wps:spPr>
                        <a:xfrm>
                          <a:off x="0" y="0"/>
                          <a:ext cx="884711" cy="195943"/>
                        </a:xfrm>
                        <a:prstGeom prst="rect">
                          <a:avLst/>
                        </a:prstGeom>
                        <a:solidFill>
                          <a:schemeClr val="lt1"/>
                        </a:solidFill>
                        <a:ln w="6350">
                          <a:noFill/>
                        </a:ln>
                      </wps:spPr>
                      <wps:txbx>
                        <w:txbxContent>
                          <w:p w14:paraId="6B27B109" w14:textId="439E3440" w:rsidR="00817A28" w:rsidRPr="00CC2776" w:rsidRDefault="00CC2776">
                            <w:pPr>
                              <w:rPr>
                                <w:sz w:val="18"/>
                                <w:szCs w:val="18"/>
                              </w:rPr>
                            </w:pPr>
                            <w:r>
                              <w:rPr>
                                <w:i/>
                                <w:iCs/>
                                <w:sz w:val="18"/>
                                <w:szCs w:val="18"/>
                              </w:rPr>
                              <w:t xml:space="preserve"> procerus</w:t>
                            </w:r>
                            <w:r>
                              <w:rPr>
                                <w:sz w:val="18"/>
                                <w:szCs w:val="18"/>
                              </w:rPr>
                              <w:t xml:space="preserve"> izom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F36093" id="Text Box 4" o:spid="_x0000_s1027" type="#_x0000_t202" style="position:absolute;margin-left:220.1pt;margin-top:6.35pt;width:69.65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" fillcolor="white [3201]" stroked="f" strokeweight=".5pt">
                <v:textbox inset="0,0,0,0">
                  <w:txbxContent>
                    <w:p w14:paraId="6B27B109" w14:textId="439E3440" w:rsidR="00817A28" w:rsidRPr="00CC2776" w:rsidRDefault="00CC2776">
                      <w:pPr>
                        <w:rPr>
                          <w:sz w:val="18"/>
                          <w:szCs w:val="18"/>
                        </w:rPr>
                      </w:pPr>
                      <w:r>
                        <w:rPr>
                          <w:i/>
                          <w:iCs/>
                          <w:sz w:val="18"/>
                          <w:szCs w:val="18"/>
                        </w:rPr>
                        <w:t xml:space="preserve"> </w:t>
                      </w:r>
                      <w:r>
                        <w:rPr>
                          <w:i/>
                          <w:iCs/>
                          <w:sz w:val="18"/>
                          <w:szCs w:val="18"/>
                        </w:rPr>
                        <w:t>procerus</w:t>
                      </w:r>
                      <w:r>
                        <w:rPr>
                          <w:sz w:val="18"/>
                          <w:szCs w:val="18"/>
                        </w:rPr>
                        <w:t xml:space="preserve"> izom</w:t>
                      </w:r>
                    </w:p>
                  </w:txbxContent>
                </v:textbox>
              </v:shape>
            </w:pict>
          </mc:Fallback>
        </mc:AlternateContent>
      </w:r>
      <w:r>
        <w:rPr>
          <w:noProof/>
          <w:szCs w:val="22"/>
          <w:lang w:bidi="ar-SA"/>
        </w:rPr>
        <w:drawing>
          <wp:inline distT="0" distB="0" distL="0" distR="0" wp14:anchorId="3D09194A" wp14:editId="211C0713">
            <wp:extent cx="5274945" cy="3413760"/>
            <wp:effectExtent l="0" t="0" r="190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5274945" cy="3413760"/>
                    </a:xfrm>
                    <a:prstGeom prst="rect">
                      <a:avLst/>
                    </a:prstGeom>
                  </pic:spPr>
                </pic:pic>
              </a:graphicData>
            </a:graphic>
          </wp:inline>
        </w:drawing>
      </w:r>
    </w:p>
    <w:p w14:paraId="201A8B83" w14:textId="77777777" w:rsidR="00B75441" w:rsidRPr="00986907" w:rsidRDefault="00B75441" w:rsidP="00CE56B0">
      <w:pPr>
        <w:spacing w:line="240" w:lineRule="auto"/>
        <w:rPr>
          <w:szCs w:val="22"/>
        </w:rPr>
      </w:pPr>
    </w:p>
    <w:p w14:paraId="6F6BC445" w14:textId="2A80DB30" w:rsidR="005F491D" w:rsidRPr="00986907" w:rsidRDefault="00B75441" w:rsidP="00CE56B0">
      <w:pPr>
        <w:spacing w:line="240" w:lineRule="auto"/>
        <w:rPr>
          <w:szCs w:val="22"/>
        </w:rPr>
      </w:pPr>
      <w:r>
        <w:rPr>
          <w:szCs w:val="22"/>
        </w:rPr>
        <w:t>Az injekciók beadásakor ügyelni kell rá, hogy a beadás ne az erekbe történjen. Injekciózás előtt mutató- vagy hüvelykujját nyomja rá erősen az orbitalis perem alatti részre, hogy megakadályozza a készítmény átszivárgását erre a részre. A tűt superior és medialis irányban kell tartani.</w:t>
      </w:r>
    </w:p>
    <w:p w14:paraId="2FBE73F9" w14:textId="77777777" w:rsidR="005F491D" w:rsidRPr="00986907" w:rsidRDefault="005F491D" w:rsidP="00CE56B0">
      <w:pPr>
        <w:tabs>
          <w:tab w:val="clear" w:pos="567"/>
          <w:tab w:val="left" w:pos="0"/>
        </w:tabs>
        <w:spacing w:line="240" w:lineRule="auto"/>
        <w:rPr>
          <w:szCs w:val="22"/>
        </w:rPr>
      </w:pPr>
    </w:p>
    <w:p w14:paraId="3873D533" w14:textId="77777777" w:rsidR="003B17E9" w:rsidRPr="00986907" w:rsidRDefault="003B17E9" w:rsidP="00CE56B0">
      <w:pPr>
        <w:keepNext/>
        <w:keepLines/>
        <w:spacing w:line="240" w:lineRule="auto"/>
        <w:ind w:left="567" w:hanging="567"/>
        <w:outlineLvl w:val="0"/>
        <w:rPr>
          <w:b/>
          <w:szCs w:val="22"/>
        </w:rPr>
      </w:pPr>
      <w:r>
        <w:rPr>
          <w:b/>
          <w:szCs w:val="22"/>
        </w:rPr>
        <w:t>4.3</w:t>
      </w:r>
      <w:r>
        <w:rPr>
          <w:b/>
          <w:szCs w:val="22"/>
        </w:rPr>
        <w:tab/>
        <w:t>Ellenjavallatok</w:t>
      </w:r>
    </w:p>
    <w:p w14:paraId="4EC6D2C7" w14:textId="77777777" w:rsidR="003B17E9" w:rsidRPr="00986907" w:rsidRDefault="003B17E9" w:rsidP="00CE56B0">
      <w:pPr>
        <w:keepNext/>
        <w:keepLines/>
        <w:spacing w:line="240" w:lineRule="auto"/>
        <w:rPr>
          <w:b/>
          <w:szCs w:val="22"/>
        </w:rPr>
      </w:pPr>
    </w:p>
    <w:p w14:paraId="3C91008C" w14:textId="18A97602" w:rsidR="003B17E9" w:rsidRPr="00986907" w:rsidRDefault="003B17E9" w:rsidP="00CE56B0">
      <w:pPr>
        <w:keepNext/>
        <w:keepLines/>
        <w:spacing w:line="240" w:lineRule="auto"/>
        <w:rPr>
          <w:szCs w:val="22"/>
        </w:rPr>
      </w:pPr>
      <w:r>
        <w:rPr>
          <w:szCs w:val="22"/>
        </w:rPr>
        <w:t xml:space="preserve">A készítmény hatóanyagával vagy a </w:t>
      </w:r>
      <w:hyperlink w:anchor="_Hlk453664336" w:history="1" w:docLocation="1,12695,12698,0,,6.1">
        <w:r>
          <w:rPr>
            <w:szCs w:val="22"/>
          </w:rPr>
          <w:t>6.1</w:t>
        </w:r>
      </w:hyperlink>
      <w:r>
        <w:rPr>
          <w:szCs w:val="22"/>
        </w:rPr>
        <w:t> pontban felsorolt bármely segédanyagával szembeni túlérzékenység.</w:t>
      </w:r>
    </w:p>
    <w:p w14:paraId="21CED60D" w14:textId="3E9ECD35" w:rsidR="003B17E9" w:rsidRPr="00986907" w:rsidRDefault="003B17E9" w:rsidP="00CE56B0">
      <w:pPr>
        <w:keepNext/>
        <w:keepLines/>
        <w:spacing w:line="240" w:lineRule="auto"/>
        <w:rPr>
          <w:szCs w:val="22"/>
        </w:rPr>
      </w:pPr>
      <w:r>
        <w:rPr>
          <w:szCs w:val="22"/>
        </w:rPr>
        <w:t>Általános izom</w:t>
      </w:r>
      <w:r w:rsidR="006D6C09">
        <w:rPr>
          <w:szCs w:val="22"/>
        </w:rPr>
        <w:t xml:space="preserve">aktivitási </w:t>
      </w:r>
      <w:r>
        <w:rPr>
          <w:szCs w:val="22"/>
        </w:rPr>
        <w:t>rendellenességek (pl. myasthenia gravis, Lambert–Eaton-szindróma, amyotrophiás lateral sclerosis).</w:t>
      </w:r>
    </w:p>
    <w:p w14:paraId="16F66660" w14:textId="77777777" w:rsidR="003B17E9" w:rsidRPr="00986907" w:rsidRDefault="003B17E9" w:rsidP="00CE56B0">
      <w:pPr>
        <w:keepNext/>
        <w:keepLines/>
        <w:spacing w:line="240" w:lineRule="auto"/>
        <w:rPr>
          <w:szCs w:val="22"/>
        </w:rPr>
      </w:pPr>
      <w:r>
        <w:rPr>
          <w:szCs w:val="22"/>
        </w:rPr>
        <w:t>Akut fertőzés vagy gyulladás az injekció beadásának tervezett helyén.</w:t>
      </w:r>
    </w:p>
    <w:p w14:paraId="05C22674" w14:textId="77777777" w:rsidR="003B17E9" w:rsidRPr="00986907" w:rsidRDefault="003B17E9" w:rsidP="00CE56B0">
      <w:pPr>
        <w:tabs>
          <w:tab w:val="clear" w:pos="567"/>
          <w:tab w:val="left" w:pos="0"/>
        </w:tabs>
        <w:spacing w:line="240" w:lineRule="auto"/>
        <w:rPr>
          <w:noProof/>
          <w:szCs w:val="22"/>
        </w:rPr>
      </w:pPr>
    </w:p>
    <w:p w14:paraId="0449DEC0" w14:textId="77777777" w:rsidR="003B17E9" w:rsidRPr="00986907" w:rsidRDefault="003B17E9" w:rsidP="00CE56B0">
      <w:pPr>
        <w:keepNext/>
        <w:keepLines/>
        <w:spacing w:line="240" w:lineRule="auto"/>
        <w:ind w:left="567" w:hanging="567"/>
        <w:outlineLvl w:val="0"/>
        <w:rPr>
          <w:b/>
          <w:bCs/>
          <w:szCs w:val="22"/>
        </w:rPr>
      </w:pPr>
      <w:r>
        <w:rPr>
          <w:b/>
          <w:bCs/>
          <w:szCs w:val="22"/>
        </w:rPr>
        <w:t>4.4</w:t>
      </w:r>
      <w:r>
        <w:rPr>
          <w:b/>
          <w:bCs/>
          <w:szCs w:val="22"/>
        </w:rPr>
        <w:tab/>
        <w:t>Különleges figyelmeztetések és az alkalmazással kapcsolatos óvintézkedések</w:t>
      </w:r>
    </w:p>
    <w:p w14:paraId="30F5C551" w14:textId="77777777" w:rsidR="00222D33" w:rsidRPr="00986907" w:rsidRDefault="00222D33" w:rsidP="00CE56B0">
      <w:pPr>
        <w:keepNext/>
        <w:keepLines/>
        <w:spacing w:line="240" w:lineRule="auto"/>
        <w:rPr>
          <w:szCs w:val="22"/>
          <w:u w:val="single"/>
        </w:rPr>
      </w:pPr>
    </w:p>
    <w:p w14:paraId="20F31E7B" w14:textId="0B2BF8D5" w:rsidR="003B17E9" w:rsidRPr="00986907" w:rsidRDefault="00C546E7" w:rsidP="00CE56B0">
      <w:pPr>
        <w:keepNext/>
        <w:keepLines/>
        <w:spacing w:line="240" w:lineRule="auto"/>
        <w:rPr>
          <w:szCs w:val="22"/>
          <w:u w:val="single"/>
        </w:rPr>
      </w:pPr>
      <w:r>
        <w:rPr>
          <w:szCs w:val="22"/>
          <w:u w:val="single"/>
        </w:rPr>
        <w:t>Általános tudnivalók</w:t>
      </w:r>
    </w:p>
    <w:p w14:paraId="524BC081" w14:textId="39BA03D6" w:rsidR="00130074" w:rsidRPr="00986907" w:rsidRDefault="00130074" w:rsidP="00CE56B0">
      <w:pPr>
        <w:spacing w:line="240" w:lineRule="auto"/>
        <w:rPr>
          <w:szCs w:val="22"/>
        </w:rPr>
      </w:pPr>
      <w:r>
        <w:rPr>
          <w:szCs w:val="22"/>
        </w:rPr>
        <w:t>A Letybo alkalmazása előtt tisztában kell lenni a glabellaris régióban található izmok anatómiájával, a környező ér- és idegstruktúrákkal, valamint a korábbi műtéti beavatkozások által okozott anatómiai elváltozásokkal. Kerülni kell a sérülékeny anatómiai képletekbe történő injekciózást.</w:t>
      </w:r>
    </w:p>
    <w:p w14:paraId="167A7F6D" w14:textId="77777777" w:rsidR="00222D33" w:rsidRPr="00986907" w:rsidRDefault="00222D33" w:rsidP="00CE56B0">
      <w:pPr>
        <w:spacing w:line="240" w:lineRule="auto"/>
        <w:rPr>
          <w:szCs w:val="22"/>
        </w:rPr>
      </w:pPr>
    </w:p>
    <w:p w14:paraId="44E4DA81" w14:textId="5F55A618" w:rsidR="00F64079" w:rsidRPr="00986907" w:rsidRDefault="00F64079" w:rsidP="00CE56B0">
      <w:pPr>
        <w:spacing w:line="240" w:lineRule="auto"/>
        <w:rPr>
          <w:szCs w:val="22"/>
        </w:rPr>
      </w:pPr>
      <w:bookmarkStart w:id="1" w:name="_Hlk10551641"/>
      <w:r>
        <w:rPr>
          <w:szCs w:val="22"/>
        </w:rPr>
        <w:t xml:space="preserve">Körültekintően és megfelelő óvatossággal kell eljárni a Letybo alkalmazásával, amennyiben a megcélzott izom túlzott </w:t>
      </w:r>
      <w:r w:rsidR="00C41B62">
        <w:rPr>
          <w:szCs w:val="22"/>
        </w:rPr>
        <w:t xml:space="preserve">gyengeséget </w:t>
      </w:r>
      <w:r>
        <w:rPr>
          <w:szCs w:val="22"/>
        </w:rPr>
        <w:t>vagy atrophi</w:t>
      </w:r>
      <w:r w:rsidR="00C41B62">
        <w:rPr>
          <w:szCs w:val="22"/>
        </w:rPr>
        <w:t>át mutat</w:t>
      </w:r>
      <w:r>
        <w:rPr>
          <w:szCs w:val="22"/>
        </w:rPr>
        <w:t>.</w:t>
      </w:r>
    </w:p>
    <w:bookmarkEnd w:id="1"/>
    <w:p w14:paraId="1A9F55D7" w14:textId="77777777" w:rsidR="00F64079" w:rsidRPr="00986907" w:rsidRDefault="00F64079" w:rsidP="00CE56B0">
      <w:pPr>
        <w:spacing w:line="240" w:lineRule="auto"/>
        <w:rPr>
          <w:szCs w:val="22"/>
        </w:rPr>
      </w:pPr>
    </w:p>
    <w:p w14:paraId="6DACDDD0" w14:textId="55A60F4A" w:rsidR="00F64079" w:rsidRPr="00986907" w:rsidRDefault="00F64079" w:rsidP="00CE56B0">
      <w:pPr>
        <w:spacing w:line="240" w:lineRule="auto"/>
        <w:rPr>
          <w:szCs w:val="22"/>
        </w:rPr>
      </w:pPr>
      <w:r>
        <w:rPr>
          <w:szCs w:val="22"/>
        </w:rPr>
        <w:t>A kezelést követően fennáll a szemhéj ptosis kockázata. A kockázat minimalizálásával kapcsolatban lásd az alkalmazásra vonatkozó utasításokat a 4.2 pontban.</w:t>
      </w:r>
    </w:p>
    <w:p w14:paraId="5A6FC67A" w14:textId="77777777" w:rsidR="00222D33" w:rsidRPr="00986907" w:rsidRDefault="00222D33" w:rsidP="00CE56B0">
      <w:pPr>
        <w:spacing w:line="240" w:lineRule="auto"/>
        <w:rPr>
          <w:szCs w:val="22"/>
        </w:rPr>
      </w:pPr>
    </w:p>
    <w:p w14:paraId="3A0D9F66" w14:textId="174FA804" w:rsidR="00511793" w:rsidRPr="00986907" w:rsidRDefault="00511793" w:rsidP="00CE56B0">
      <w:pPr>
        <w:spacing w:line="240" w:lineRule="auto"/>
        <w:rPr>
          <w:noProof/>
          <w:szCs w:val="22"/>
          <w:u w:val="single"/>
        </w:rPr>
      </w:pPr>
      <w:r>
        <w:rPr>
          <w:szCs w:val="22"/>
          <w:u w:val="single"/>
        </w:rPr>
        <w:t>Az eljárással kapcsolatos események</w:t>
      </w:r>
    </w:p>
    <w:p w14:paraId="3D9EBEFB" w14:textId="482C9463" w:rsidR="005C7AB0" w:rsidRPr="00986907" w:rsidRDefault="005C7AB0" w:rsidP="00CE56B0">
      <w:pPr>
        <w:spacing w:line="240" w:lineRule="auto"/>
        <w:rPr>
          <w:noProof/>
          <w:szCs w:val="22"/>
        </w:rPr>
      </w:pPr>
      <w:r>
        <w:rPr>
          <w:szCs w:val="22"/>
        </w:rPr>
        <w:t>Más botulinum toxinokkal való kezelést követően a tűvel összefüggő fájdalom, illetve szorongás vasovagalis reakciókat eredményezett, ideértve az átmeneti, panaszt okozó hypotensiót és a syncop</w:t>
      </w:r>
      <w:r w:rsidR="00E731EB">
        <w:rPr>
          <w:szCs w:val="22"/>
        </w:rPr>
        <w:t>ét</w:t>
      </w:r>
      <w:r>
        <w:rPr>
          <w:szCs w:val="22"/>
        </w:rPr>
        <w:t>.</w:t>
      </w:r>
    </w:p>
    <w:p w14:paraId="109F0F32" w14:textId="77777777" w:rsidR="005C7AB0" w:rsidRPr="00986907" w:rsidRDefault="005C7AB0" w:rsidP="00CE56B0">
      <w:pPr>
        <w:spacing w:line="240" w:lineRule="auto"/>
        <w:rPr>
          <w:szCs w:val="22"/>
        </w:rPr>
      </w:pPr>
    </w:p>
    <w:p w14:paraId="19433DD9" w14:textId="62674C23" w:rsidR="00F64079" w:rsidRPr="00986907" w:rsidRDefault="00F64079" w:rsidP="00CE56B0">
      <w:pPr>
        <w:spacing w:line="240" w:lineRule="auto"/>
        <w:rPr>
          <w:noProof/>
          <w:szCs w:val="22"/>
          <w:u w:val="single"/>
        </w:rPr>
      </w:pPr>
      <w:r>
        <w:rPr>
          <w:szCs w:val="22"/>
          <w:u w:val="single"/>
        </w:rPr>
        <w:t>Meglévő neuromuscularis betegségek</w:t>
      </w:r>
    </w:p>
    <w:p w14:paraId="4CD5F7A2" w14:textId="0E445A5D" w:rsidR="00D7218E" w:rsidRPr="00986907" w:rsidRDefault="00130074" w:rsidP="00CE56B0">
      <w:pPr>
        <w:spacing w:line="240" w:lineRule="auto"/>
        <w:rPr>
          <w:szCs w:val="22"/>
        </w:rPr>
      </w:pPr>
      <w:r>
        <w:rPr>
          <w:szCs w:val="22"/>
        </w:rPr>
        <w:t>A fel nem ismert neuromuscularis betegségben szenvedő páciensek fokozottan lehetnek kitéve az A típusú botulinum toxin tipikus adagja által kiváltott klinikailag szignifikáns szisztémás hatások kockázatának, ideértve a súlyos dysphagiát és légzőszervi károsodást.</w:t>
      </w:r>
    </w:p>
    <w:p w14:paraId="27AAC798" w14:textId="4789D386" w:rsidR="00F64079" w:rsidRPr="00986907" w:rsidRDefault="00F64079" w:rsidP="00CE56B0">
      <w:pPr>
        <w:spacing w:line="240" w:lineRule="auto"/>
        <w:rPr>
          <w:szCs w:val="22"/>
        </w:rPr>
      </w:pPr>
    </w:p>
    <w:p w14:paraId="66E5A7F4" w14:textId="46EB6A52" w:rsidR="00D7218E" w:rsidRPr="00986907" w:rsidRDefault="00F328FD" w:rsidP="00A3770C">
      <w:pPr>
        <w:keepNext/>
        <w:keepLines/>
        <w:spacing w:line="240" w:lineRule="auto"/>
        <w:rPr>
          <w:szCs w:val="22"/>
          <w:u w:val="single"/>
        </w:rPr>
      </w:pPr>
      <w:r>
        <w:rPr>
          <w:szCs w:val="22"/>
          <w:u w:val="single"/>
        </w:rPr>
        <w:lastRenderedPageBreak/>
        <w:t xml:space="preserve">Túlérzékenységi </w:t>
      </w:r>
      <w:r w:rsidR="00F64079">
        <w:rPr>
          <w:szCs w:val="22"/>
          <w:u w:val="single"/>
        </w:rPr>
        <w:t>reakciók</w:t>
      </w:r>
    </w:p>
    <w:p w14:paraId="7EDE314E" w14:textId="505AAF4B" w:rsidR="00D7218E" w:rsidRPr="00986907" w:rsidRDefault="00F64079" w:rsidP="00CE56B0">
      <w:pPr>
        <w:spacing w:line="240" w:lineRule="auto"/>
        <w:rPr>
          <w:szCs w:val="22"/>
        </w:rPr>
      </w:pPr>
      <w:r>
        <w:rPr>
          <w:szCs w:val="22"/>
        </w:rPr>
        <w:t>A botulinum toxin beadását követően nagyon ritka esetekben anaphylaxiás reakció fordulhat elő. Ezért adrenalinnak vagy más, anaphylaxia elleni készítménynek rendelkezésre</w:t>
      </w:r>
      <w:r w:rsidR="00F328FD" w:rsidRPr="00F328FD">
        <w:rPr>
          <w:szCs w:val="22"/>
        </w:rPr>
        <w:t xml:space="preserve"> </w:t>
      </w:r>
      <w:r w:rsidR="00F328FD">
        <w:rPr>
          <w:szCs w:val="22"/>
        </w:rPr>
        <w:t>kell</w:t>
      </w:r>
      <w:r>
        <w:rPr>
          <w:szCs w:val="22"/>
        </w:rPr>
        <w:t xml:space="preserve"> állnia.</w:t>
      </w:r>
    </w:p>
    <w:p w14:paraId="53D5475B" w14:textId="2D166EDB" w:rsidR="00F64079" w:rsidRPr="00986907" w:rsidRDefault="00F64079" w:rsidP="00CE56B0">
      <w:pPr>
        <w:spacing w:line="240" w:lineRule="auto"/>
        <w:rPr>
          <w:szCs w:val="22"/>
        </w:rPr>
      </w:pPr>
    </w:p>
    <w:p w14:paraId="22488172" w14:textId="77777777" w:rsidR="00D7218E" w:rsidRPr="00986907" w:rsidRDefault="00F64079" w:rsidP="00CE56B0">
      <w:pPr>
        <w:spacing w:line="240" w:lineRule="auto"/>
        <w:rPr>
          <w:szCs w:val="22"/>
          <w:u w:val="single"/>
        </w:rPr>
      </w:pPr>
      <w:r>
        <w:rPr>
          <w:szCs w:val="22"/>
          <w:u w:val="single"/>
        </w:rPr>
        <w:t>A toxin hatásának átterjedése közeli vagy távoli helyekre</w:t>
      </w:r>
    </w:p>
    <w:p w14:paraId="5F9A6AF3" w14:textId="5A8C27A2" w:rsidR="00D7218E" w:rsidRPr="00986907" w:rsidRDefault="00130074" w:rsidP="00CE56B0">
      <w:pPr>
        <w:spacing w:line="240" w:lineRule="auto"/>
        <w:rPr>
          <w:szCs w:val="22"/>
        </w:rPr>
      </w:pPr>
      <w:r>
        <w:rPr>
          <w:szCs w:val="22"/>
        </w:rPr>
        <w:t>A botulinum toxin esetében a beadás helyétől távol, a toxin továbbterjedésével potenciálisan összefüggő mellékhatásokat is jelentettek nagyon ritka esetekben (lásd 4.8 pont). A terápiás adagokkal kezelt páciensek túlzott mértékű izomgyengeséget tapasztalhatnak.</w:t>
      </w:r>
    </w:p>
    <w:p w14:paraId="66D5A3D0" w14:textId="4205E4C3" w:rsidR="00F64079" w:rsidRPr="00986907" w:rsidRDefault="00F64079" w:rsidP="00CE56B0">
      <w:pPr>
        <w:spacing w:line="240" w:lineRule="auto"/>
        <w:rPr>
          <w:szCs w:val="22"/>
        </w:rPr>
      </w:pPr>
    </w:p>
    <w:p w14:paraId="1AB7AD45" w14:textId="22E2D12E" w:rsidR="00D7218E" w:rsidRPr="00986907" w:rsidRDefault="00130074" w:rsidP="00CE56B0">
      <w:pPr>
        <w:spacing w:line="240" w:lineRule="auto"/>
        <w:rPr>
          <w:szCs w:val="22"/>
        </w:rPr>
      </w:pPr>
      <w:r>
        <w:rPr>
          <w:szCs w:val="22"/>
        </w:rPr>
        <w:t>A nyelési és légzési nehézségek súlyosak, és akár halálhoz is vezethetnek. A Letybo beadása nem java</w:t>
      </w:r>
      <w:r w:rsidR="00BF6447">
        <w:rPr>
          <w:szCs w:val="22"/>
        </w:rPr>
        <w:t>so</w:t>
      </w:r>
      <w:r>
        <w:rPr>
          <w:szCs w:val="22"/>
        </w:rPr>
        <w:t xml:space="preserve">lt azon páciensek esetében, akiknek </w:t>
      </w:r>
      <w:r w:rsidR="00BF6447">
        <w:rPr>
          <w:szCs w:val="22"/>
        </w:rPr>
        <w:t xml:space="preserve">anamnézisében </w:t>
      </w:r>
      <w:r>
        <w:rPr>
          <w:szCs w:val="22"/>
        </w:rPr>
        <w:t>dysphagia és aspiratio szerepel.</w:t>
      </w:r>
    </w:p>
    <w:p w14:paraId="02352F66" w14:textId="137EF4DB" w:rsidR="00F64079" w:rsidRPr="00986907" w:rsidRDefault="00F64079" w:rsidP="00CE56B0">
      <w:pPr>
        <w:spacing w:line="240" w:lineRule="auto"/>
        <w:rPr>
          <w:szCs w:val="22"/>
        </w:rPr>
      </w:pPr>
    </w:p>
    <w:p w14:paraId="1F6DAD91" w14:textId="1055F910" w:rsidR="00130074" w:rsidRPr="00986907" w:rsidRDefault="00F80F31" w:rsidP="00F80F31">
      <w:pPr>
        <w:spacing w:line="240" w:lineRule="auto"/>
        <w:rPr>
          <w:szCs w:val="22"/>
        </w:rPr>
      </w:pPr>
      <w:r w:rsidRPr="00F80F31">
        <w:rPr>
          <w:szCs w:val="22"/>
        </w:rPr>
        <w:t>Botulinum toxint tartalmazó injekciós készítmények beadását követően iatrogén botulizmusról</w:t>
      </w:r>
      <w:r w:rsidR="0011104B">
        <w:rPr>
          <w:szCs w:val="22"/>
        </w:rPr>
        <w:t xml:space="preserve"> </w:t>
      </w:r>
      <w:r w:rsidRPr="00F80F31">
        <w:rPr>
          <w:szCs w:val="22"/>
        </w:rPr>
        <w:t>számoltak be.</w:t>
      </w:r>
      <w:r>
        <w:rPr>
          <w:szCs w:val="22"/>
        </w:rPr>
        <w:t xml:space="preserve"> </w:t>
      </w:r>
      <w:r w:rsidRPr="00F80F31">
        <w:rPr>
          <w:szCs w:val="22"/>
        </w:rPr>
        <w:t>A pácienseknek azt kell tanácsolni, hogy azonnal forduljanak orvoshoz, ha a</w:t>
      </w:r>
      <w:r>
        <w:rPr>
          <w:szCs w:val="22"/>
        </w:rPr>
        <w:t xml:space="preserve"> </w:t>
      </w:r>
      <w:r w:rsidRPr="00F80F31">
        <w:rPr>
          <w:szCs w:val="22"/>
        </w:rPr>
        <w:t>botulinum toxin hatásának terjedésére utaló jeleket vagy tüneteket tapasztalnak, vagy ha</w:t>
      </w:r>
      <w:r>
        <w:rPr>
          <w:szCs w:val="22"/>
        </w:rPr>
        <w:t xml:space="preserve"> </w:t>
      </w:r>
      <w:r w:rsidRPr="00F80F31">
        <w:rPr>
          <w:szCs w:val="22"/>
        </w:rPr>
        <w:t>nyelési, beszéd- vagy légzési zavar jelentkezik náluk (lásd 4.9 pont).</w:t>
      </w:r>
    </w:p>
    <w:p w14:paraId="2C98C10A" w14:textId="77777777" w:rsidR="00F64079" w:rsidRPr="00986907" w:rsidRDefault="00F64079" w:rsidP="00CE56B0">
      <w:pPr>
        <w:spacing w:line="240" w:lineRule="auto"/>
        <w:rPr>
          <w:szCs w:val="22"/>
        </w:rPr>
      </w:pPr>
    </w:p>
    <w:p w14:paraId="00BED5D0" w14:textId="714C425B" w:rsidR="00F64079" w:rsidRPr="00986907" w:rsidRDefault="00F64079" w:rsidP="00CE56B0">
      <w:pPr>
        <w:spacing w:line="240" w:lineRule="auto"/>
        <w:rPr>
          <w:szCs w:val="22"/>
          <w:u w:val="single"/>
        </w:rPr>
      </w:pPr>
      <w:r>
        <w:rPr>
          <w:szCs w:val="22"/>
          <w:u w:val="single"/>
        </w:rPr>
        <w:t>Antitestképződés</w:t>
      </w:r>
    </w:p>
    <w:p w14:paraId="4DA8578F" w14:textId="48DB6C9D" w:rsidR="00130074" w:rsidRPr="00986907" w:rsidRDefault="00130074" w:rsidP="00CE56B0">
      <w:pPr>
        <w:spacing w:line="240" w:lineRule="auto"/>
        <w:rPr>
          <w:szCs w:val="22"/>
        </w:rPr>
      </w:pPr>
      <w:r>
        <w:rPr>
          <w:szCs w:val="22"/>
        </w:rPr>
        <w:t>A túl gyakori vagy túl nagy adagok fokozhatják az antitestképződés kockázatát. Az antitestképződés akár más javallatok esetében is az A típusú botulinum toxinnal való kezelés sikertelenségéhez vezethet.</w:t>
      </w:r>
    </w:p>
    <w:p w14:paraId="24E2A03F" w14:textId="77777777" w:rsidR="00F64079" w:rsidRPr="00986907" w:rsidRDefault="00F64079" w:rsidP="00CE56B0">
      <w:pPr>
        <w:spacing w:line="240" w:lineRule="auto"/>
        <w:rPr>
          <w:szCs w:val="22"/>
        </w:rPr>
      </w:pPr>
    </w:p>
    <w:p w14:paraId="62D9A427" w14:textId="77777777" w:rsidR="00D7218E" w:rsidRPr="00986907" w:rsidRDefault="00F64079" w:rsidP="00CE56B0">
      <w:pPr>
        <w:keepNext/>
        <w:spacing w:line="240" w:lineRule="auto"/>
        <w:rPr>
          <w:rFonts w:eastAsia="SimSun"/>
          <w:color w:val="000000"/>
          <w:szCs w:val="22"/>
          <w:u w:val="single"/>
          <w:lang w:eastAsia="de-AT"/>
        </w:rPr>
      </w:pPr>
      <w:r>
        <w:rPr>
          <w:rFonts w:eastAsia="SimSun"/>
          <w:color w:val="000000"/>
          <w:szCs w:val="22"/>
          <w:u w:val="single"/>
        </w:rPr>
        <w:t xml:space="preserve">Vérzéses </w:t>
      </w:r>
      <w:r>
        <w:rPr>
          <w:szCs w:val="22"/>
          <w:u w:val="single"/>
        </w:rPr>
        <w:t>betegségek</w:t>
      </w:r>
    </w:p>
    <w:p w14:paraId="0791F34B" w14:textId="6E92E87A" w:rsidR="00F64079" w:rsidRPr="00986907" w:rsidRDefault="00F64079" w:rsidP="00CE56B0">
      <w:pPr>
        <w:spacing w:line="240" w:lineRule="auto"/>
        <w:rPr>
          <w:szCs w:val="22"/>
        </w:rPr>
      </w:pPr>
      <w:r>
        <w:rPr>
          <w:rFonts w:eastAsia="SimSun"/>
          <w:color w:val="000000"/>
          <w:szCs w:val="22"/>
        </w:rPr>
        <w:t xml:space="preserve">Körültekintően kell eljárni, ha a </w:t>
      </w:r>
      <w:r>
        <w:rPr>
          <w:szCs w:val="22"/>
        </w:rPr>
        <w:t>Letybo</w:t>
      </w:r>
      <w:r>
        <w:rPr>
          <w:rFonts w:eastAsia="SimSun"/>
          <w:color w:val="000000"/>
          <w:szCs w:val="22"/>
        </w:rPr>
        <w:t xml:space="preserve"> készítményt vérzéses betegségekben szenvedő páciensek esetében kívánja alkalmazni, mivel az injekció véraláfutást okozhat.</w:t>
      </w:r>
    </w:p>
    <w:p w14:paraId="56625F23" w14:textId="13247D13" w:rsidR="00F64079" w:rsidRPr="00986907" w:rsidRDefault="00F64079" w:rsidP="00CE56B0">
      <w:pPr>
        <w:spacing w:line="240" w:lineRule="auto"/>
        <w:rPr>
          <w:szCs w:val="22"/>
        </w:rPr>
      </w:pPr>
    </w:p>
    <w:p w14:paraId="79DF0675" w14:textId="727FA9E6" w:rsidR="00AC519B" w:rsidRPr="00986907" w:rsidRDefault="00AC519B" w:rsidP="00CE56B0">
      <w:pPr>
        <w:spacing w:line="240" w:lineRule="auto"/>
        <w:rPr>
          <w:szCs w:val="22"/>
        </w:rPr>
      </w:pPr>
      <w:r>
        <w:rPr>
          <w:szCs w:val="22"/>
        </w:rPr>
        <w:t>A készítmény kevesebb mint 1 mmol (23 mg) nátriumot tartalmaz adagonként, azaz gyakorlatilag „nátriummentes”.</w:t>
      </w:r>
    </w:p>
    <w:p w14:paraId="50212241" w14:textId="77777777" w:rsidR="00AC519B" w:rsidRPr="00986907" w:rsidRDefault="00AC519B" w:rsidP="00CE56B0">
      <w:pPr>
        <w:spacing w:line="240" w:lineRule="auto"/>
        <w:rPr>
          <w:szCs w:val="22"/>
        </w:rPr>
      </w:pPr>
    </w:p>
    <w:p w14:paraId="3784EA95" w14:textId="16E89869" w:rsidR="00F64079" w:rsidRPr="00986907" w:rsidRDefault="00F64079" w:rsidP="00CE56B0">
      <w:pPr>
        <w:spacing w:line="240" w:lineRule="auto"/>
        <w:rPr>
          <w:szCs w:val="22"/>
          <w:u w:val="single"/>
        </w:rPr>
      </w:pPr>
      <w:r>
        <w:rPr>
          <w:szCs w:val="22"/>
          <w:u w:val="single"/>
        </w:rPr>
        <w:t>Nyomonkövethetőség</w:t>
      </w:r>
    </w:p>
    <w:p w14:paraId="012832AB" w14:textId="77777777" w:rsidR="00F64079" w:rsidRPr="00986907" w:rsidRDefault="00F64079" w:rsidP="00CE56B0">
      <w:pPr>
        <w:spacing w:line="240" w:lineRule="auto"/>
        <w:rPr>
          <w:szCs w:val="22"/>
        </w:rPr>
      </w:pPr>
      <w:r>
        <w:rPr>
          <w:szCs w:val="22"/>
        </w:rPr>
        <w:t>A biológiai készítmények nyomonkövethetőségének javítása érdekében, az alkalmazott készítmény nevét és gyártási tételszámát egyértelműen kell feltüntetni.</w:t>
      </w:r>
    </w:p>
    <w:p w14:paraId="0DF001AE" w14:textId="77777777" w:rsidR="00D24154" w:rsidRPr="00986907" w:rsidRDefault="00D24154" w:rsidP="00CE56B0">
      <w:pPr>
        <w:spacing w:line="240" w:lineRule="auto"/>
        <w:rPr>
          <w:szCs w:val="22"/>
        </w:rPr>
      </w:pPr>
    </w:p>
    <w:p w14:paraId="4B7D26D5" w14:textId="77777777" w:rsidR="00812D16" w:rsidRPr="00986907" w:rsidRDefault="00812D16" w:rsidP="006838E1">
      <w:pPr>
        <w:keepNext/>
        <w:keepLines/>
        <w:spacing w:line="240" w:lineRule="auto"/>
        <w:ind w:left="567" w:hanging="567"/>
        <w:outlineLvl w:val="0"/>
        <w:rPr>
          <w:noProof/>
          <w:szCs w:val="22"/>
        </w:rPr>
      </w:pPr>
      <w:r>
        <w:rPr>
          <w:b/>
          <w:szCs w:val="22"/>
        </w:rPr>
        <w:t>4.5</w:t>
      </w:r>
      <w:r>
        <w:rPr>
          <w:b/>
          <w:szCs w:val="22"/>
        </w:rPr>
        <w:tab/>
        <w:t>Gyógyszerkölcsönhatások és egyéb interakciók</w:t>
      </w:r>
    </w:p>
    <w:p w14:paraId="1B47A32E" w14:textId="77777777" w:rsidR="00812D16" w:rsidRPr="00986907" w:rsidRDefault="00812D16" w:rsidP="00CE56B0">
      <w:pPr>
        <w:keepNext/>
        <w:keepLines/>
        <w:spacing w:line="240" w:lineRule="auto"/>
        <w:rPr>
          <w:noProof/>
          <w:szCs w:val="22"/>
        </w:rPr>
      </w:pPr>
    </w:p>
    <w:p w14:paraId="264BE179" w14:textId="77777777" w:rsidR="00812D16" w:rsidRPr="00986907" w:rsidRDefault="00812D16" w:rsidP="00CE56B0">
      <w:pPr>
        <w:keepNext/>
        <w:keepLines/>
        <w:spacing w:line="240" w:lineRule="auto"/>
        <w:rPr>
          <w:szCs w:val="22"/>
          <w:lang w:eastAsia="de-DE"/>
        </w:rPr>
      </w:pPr>
      <w:r>
        <w:rPr>
          <w:szCs w:val="22"/>
        </w:rPr>
        <w:t>Interakciós vizsgálatokat nem végeztek. Egyéb, klinikai jelentőségű kölcsönhatásról nem számoltak be e javallattal összefüggésben.</w:t>
      </w:r>
    </w:p>
    <w:p w14:paraId="4815968E" w14:textId="77777777" w:rsidR="0099022C" w:rsidRPr="00986907" w:rsidRDefault="0099022C" w:rsidP="00CE56B0">
      <w:pPr>
        <w:spacing w:line="240" w:lineRule="auto"/>
        <w:rPr>
          <w:noProof/>
          <w:szCs w:val="22"/>
        </w:rPr>
      </w:pPr>
    </w:p>
    <w:p w14:paraId="7F3D96E1" w14:textId="26A5D4BE" w:rsidR="00BE6745" w:rsidRPr="00986907" w:rsidRDefault="00C74E86" w:rsidP="00CE56B0">
      <w:pPr>
        <w:spacing w:line="240" w:lineRule="auto"/>
        <w:rPr>
          <w:szCs w:val="22"/>
          <w:lang w:eastAsia="de-DE"/>
        </w:rPr>
      </w:pPr>
      <w:r>
        <w:rPr>
          <w:szCs w:val="22"/>
        </w:rPr>
        <w:t>Elméletben a botulinum toxin hatását felerősíthetik az aminoglikozid antibiotikumok,</w:t>
      </w:r>
      <w:r>
        <w:rPr>
          <w:b/>
          <w:bCs/>
          <w:szCs w:val="22"/>
        </w:rPr>
        <w:t xml:space="preserve"> </w:t>
      </w:r>
      <w:r>
        <w:rPr>
          <w:szCs w:val="22"/>
        </w:rPr>
        <w:t>a spektinomicin vagy más olyan készítmények, amelyek hatással vannak a neuromuscularis jelátvitelre (pl. neuromuscularis jelátvitelt blokkoló készítmények).</w:t>
      </w:r>
    </w:p>
    <w:p w14:paraId="78D23902" w14:textId="77777777" w:rsidR="0099022C" w:rsidRPr="00986907" w:rsidRDefault="0099022C" w:rsidP="00CE56B0">
      <w:pPr>
        <w:spacing w:line="240" w:lineRule="auto"/>
        <w:rPr>
          <w:szCs w:val="22"/>
          <w:lang w:eastAsia="de-DE"/>
        </w:rPr>
      </w:pPr>
    </w:p>
    <w:p w14:paraId="33E20AEC" w14:textId="77777777" w:rsidR="00BE6745" w:rsidRPr="00986907" w:rsidRDefault="00BE6745" w:rsidP="00CE56B0">
      <w:pPr>
        <w:spacing w:line="240" w:lineRule="auto"/>
        <w:rPr>
          <w:szCs w:val="22"/>
          <w:lang w:eastAsia="de-DE"/>
        </w:rPr>
      </w:pPr>
      <w:bookmarkStart w:id="2" w:name="_Hlk10545274"/>
      <w:r>
        <w:rPr>
          <w:szCs w:val="22"/>
        </w:rPr>
        <w:t>A különböző szerotípusú botulinum neurotoxinok egyszerre történő vagy néhány hónapon belüli alkalmazásának a hatása nem ismert. A túlzott mértékű neuromuscularis gyengeséget súlyosbíthatja, ha egy korábban beadott botulinum toxin hatásának elmúlása előtt alkalmaznak egy másik botulinum toxint.</w:t>
      </w:r>
    </w:p>
    <w:bookmarkEnd w:id="2"/>
    <w:p w14:paraId="01C9C9B1" w14:textId="77777777" w:rsidR="00BE6745" w:rsidRPr="00986907" w:rsidRDefault="00BE6745" w:rsidP="00CE56B0">
      <w:pPr>
        <w:spacing w:line="240" w:lineRule="auto"/>
        <w:rPr>
          <w:szCs w:val="22"/>
        </w:rPr>
      </w:pPr>
    </w:p>
    <w:p w14:paraId="354B497E" w14:textId="77777777" w:rsidR="00812D16" w:rsidRPr="00986907" w:rsidRDefault="00812D16" w:rsidP="006838E1">
      <w:pPr>
        <w:keepNext/>
        <w:keepLines/>
        <w:spacing w:line="240" w:lineRule="auto"/>
        <w:ind w:left="567" w:hanging="567"/>
        <w:outlineLvl w:val="0"/>
        <w:rPr>
          <w:noProof/>
          <w:szCs w:val="22"/>
        </w:rPr>
      </w:pPr>
      <w:r>
        <w:rPr>
          <w:b/>
          <w:szCs w:val="22"/>
        </w:rPr>
        <w:t>4.6</w:t>
      </w:r>
      <w:r>
        <w:rPr>
          <w:b/>
          <w:szCs w:val="22"/>
        </w:rPr>
        <w:tab/>
      </w:r>
      <w:r>
        <w:rPr>
          <w:b/>
          <w:bCs/>
          <w:szCs w:val="22"/>
        </w:rPr>
        <w:t>Termékenység, t</w:t>
      </w:r>
      <w:r>
        <w:rPr>
          <w:b/>
          <w:szCs w:val="22"/>
        </w:rPr>
        <w:t>erhesség és szoptatás</w:t>
      </w:r>
    </w:p>
    <w:p w14:paraId="244F377A" w14:textId="77777777" w:rsidR="00812D16" w:rsidRPr="00986907" w:rsidRDefault="00812D16" w:rsidP="00CE56B0">
      <w:pPr>
        <w:keepNext/>
        <w:keepLines/>
        <w:spacing w:line="240" w:lineRule="auto"/>
        <w:rPr>
          <w:noProof/>
          <w:szCs w:val="22"/>
        </w:rPr>
      </w:pPr>
    </w:p>
    <w:p w14:paraId="0E0FFF7E" w14:textId="77777777" w:rsidR="00812D16" w:rsidRPr="00986907" w:rsidRDefault="00812D16" w:rsidP="00CE56B0">
      <w:pPr>
        <w:keepNext/>
        <w:keepLines/>
        <w:spacing w:line="240" w:lineRule="auto"/>
        <w:rPr>
          <w:noProof/>
          <w:szCs w:val="22"/>
        </w:rPr>
      </w:pPr>
      <w:r>
        <w:rPr>
          <w:szCs w:val="22"/>
          <w:u w:val="single"/>
        </w:rPr>
        <w:t>Terhesség</w:t>
      </w:r>
    </w:p>
    <w:p w14:paraId="16C932C8" w14:textId="0959D8E6" w:rsidR="00C74E86" w:rsidRPr="00986907" w:rsidRDefault="00C74E86" w:rsidP="00CE56B0">
      <w:pPr>
        <w:keepNext/>
        <w:keepLines/>
        <w:spacing w:line="240" w:lineRule="auto"/>
        <w:rPr>
          <w:szCs w:val="22"/>
          <w:lang w:eastAsia="de-DE"/>
        </w:rPr>
      </w:pPr>
      <w:r>
        <w:rPr>
          <w:szCs w:val="22"/>
        </w:rPr>
        <w:t>Az A típusú botulinum toxin terhes nőknél történő alkalmazása tekintetében nem áll rendelkezésre elegendő információ. Állatkísérletek során nagy adagok mellett reprodukciós toxicitást igazoltak (lásd 5.3 pont). Az emberekre gyakorolt potenciális kockázat nem ismert. A Letybo alkalmazása nem java</w:t>
      </w:r>
      <w:r w:rsidR="005A3232">
        <w:rPr>
          <w:szCs w:val="22"/>
        </w:rPr>
        <w:t>so</w:t>
      </w:r>
      <w:r>
        <w:rPr>
          <w:szCs w:val="22"/>
        </w:rPr>
        <w:t>lt terhesség alatt és olyan fogamzóképes nők esetében, akik nem alkalmaznak fogamzásgátlást.</w:t>
      </w:r>
    </w:p>
    <w:p w14:paraId="3FADEA5D" w14:textId="77777777" w:rsidR="005A4135" w:rsidRPr="00986907" w:rsidRDefault="005A4135" w:rsidP="00CE56B0">
      <w:pPr>
        <w:spacing w:line="240" w:lineRule="auto"/>
        <w:rPr>
          <w:noProof/>
          <w:szCs w:val="22"/>
        </w:rPr>
      </w:pPr>
    </w:p>
    <w:p w14:paraId="0E04C51C" w14:textId="19D03556" w:rsidR="00812D16" w:rsidRPr="00986907" w:rsidRDefault="00812D16" w:rsidP="00CE56B0">
      <w:pPr>
        <w:keepNext/>
        <w:keepLines/>
        <w:spacing w:line="240" w:lineRule="auto"/>
        <w:rPr>
          <w:noProof/>
          <w:szCs w:val="22"/>
        </w:rPr>
      </w:pPr>
      <w:r>
        <w:rPr>
          <w:szCs w:val="22"/>
          <w:u w:val="single"/>
        </w:rPr>
        <w:lastRenderedPageBreak/>
        <w:t>Szoptatás</w:t>
      </w:r>
    </w:p>
    <w:p w14:paraId="680A760C" w14:textId="56E295B1" w:rsidR="005A4135" w:rsidRPr="00986907" w:rsidRDefault="005A4135" w:rsidP="00CE56B0">
      <w:pPr>
        <w:keepNext/>
        <w:keepLines/>
        <w:spacing w:line="240" w:lineRule="auto"/>
        <w:rPr>
          <w:noProof/>
          <w:szCs w:val="22"/>
        </w:rPr>
      </w:pPr>
      <w:r>
        <w:rPr>
          <w:szCs w:val="22"/>
        </w:rPr>
        <w:t>Nem ismert, hogy a Letybo kiválasztódik-e a humán anyatejbe. A Letybo alkalmazása szoptatás alatt nem java</w:t>
      </w:r>
      <w:r w:rsidR="005A3232">
        <w:rPr>
          <w:szCs w:val="22"/>
        </w:rPr>
        <w:t>so</w:t>
      </w:r>
      <w:r>
        <w:rPr>
          <w:szCs w:val="22"/>
        </w:rPr>
        <w:t>lt.</w:t>
      </w:r>
    </w:p>
    <w:p w14:paraId="745F9102" w14:textId="77777777" w:rsidR="005A4135" w:rsidRPr="00986907" w:rsidRDefault="005A4135" w:rsidP="00CE56B0">
      <w:pPr>
        <w:spacing w:line="240" w:lineRule="auto"/>
        <w:rPr>
          <w:noProof/>
          <w:szCs w:val="22"/>
        </w:rPr>
      </w:pPr>
    </w:p>
    <w:p w14:paraId="114AF416" w14:textId="77777777" w:rsidR="00812D16" w:rsidRPr="00986907" w:rsidRDefault="00812D16" w:rsidP="00CE56B0">
      <w:pPr>
        <w:keepNext/>
        <w:keepLines/>
        <w:spacing w:line="240" w:lineRule="auto"/>
        <w:rPr>
          <w:noProof/>
          <w:szCs w:val="22"/>
          <w:u w:val="single"/>
        </w:rPr>
      </w:pPr>
      <w:r>
        <w:rPr>
          <w:szCs w:val="22"/>
          <w:u w:val="single"/>
        </w:rPr>
        <w:t>Termékenység</w:t>
      </w:r>
    </w:p>
    <w:p w14:paraId="0382BB4D" w14:textId="0C80E6AB" w:rsidR="00C74E86" w:rsidRPr="00986907" w:rsidRDefault="00C74E86" w:rsidP="00CE56B0">
      <w:pPr>
        <w:keepNext/>
        <w:keepLines/>
        <w:spacing w:line="240" w:lineRule="auto"/>
        <w:rPr>
          <w:noProof/>
          <w:szCs w:val="22"/>
        </w:rPr>
      </w:pPr>
      <w:r>
        <w:rPr>
          <w:szCs w:val="22"/>
        </w:rPr>
        <w:t>Az A típusú botulinum toxin fogamzóképes nőknél történő alkalmazása tekintetében nem áll rendelkezésre elegendő információ a termékenységre gyakorolt hatásokról. Hím és nőstény patkányok</w:t>
      </w:r>
      <w:r w:rsidR="005A3232">
        <w:rPr>
          <w:szCs w:val="22"/>
        </w:rPr>
        <w:t>kal</w:t>
      </w:r>
      <w:r>
        <w:rPr>
          <w:szCs w:val="22"/>
        </w:rPr>
        <w:t xml:space="preserve"> végzett kísérletek során a termékenység csökkenését </w:t>
      </w:r>
      <w:r w:rsidR="005A3232">
        <w:rPr>
          <w:szCs w:val="22"/>
        </w:rPr>
        <w:t xml:space="preserve">mutatták ki </w:t>
      </w:r>
      <w:r>
        <w:rPr>
          <w:szCs w:val="22"/>
        </w:rPr>
        <w:t>(lásd 5.3 pont).</w:t>
      </w:r>
    </w:p>
    <w:p w14:paraId="49581B24" w14:textId="77777777" w:rsidR="005A4135" w:rsidRPr="00986907" w:rsidRDefault="005A4135" w:rsidP="00CE56B0">
      <w:pPr>
        <w:spacing w:line="240" w:lineRule="auto"/>
        <w:rPr>
          <w:i/>
          <w:noProof/>
          <w:szCs w:val="22"/>
        </w:rPr>
      </w:pPr>
    </w:p>
    <w:p w14:paraId="54160753" w14:textId="77777777" w:rsidR="00812D16" w:rsidRPr="00986907" w:rsidRDefault="00812D16" w:rsidP="006838E1">
      <w:pPr>
        <w:keepNext/>
        <w:keepLines/>
        <w:spacing w:line="240" w:lineRule="auto"/>
        <w:ind w:left="567" w:hanging="567"/>
        <w:outlineLvl w:val="0"/>
        <w:rPr>
          <w:noProof/>
          <w:szCs w:val="22"/>
        </w:rPr>
      </w:pPr>
      <w:r>
        <w:rPr>
          <w:b/>
          <w:szCs w:val="22"/>
        </w:rPr>
        <w:t>4.7</w:t>
      </w:r>
      <w:r>
        <w:rPr>
          <w:b/>
          <w:szCs w:val="22"/>
        </w:rPr>
        <w:tab/>
        <w:t>A készítmény hatásai a gépjárművezetéshez és a gépek kezeléséhez szükséges képességekre</w:t>
      </w:r>
    </w:p>
    <w:p w14:paraId="6C23CD6C" w14:textId="77777777" w:rsidR="00812D16" w:rsidRPr="00986907" w:rsidRDefault="00812D16" w:rsidP="00CE56B0">
      <w:pPr>
        <w:keepNext/>
        <w:keepLines/>
        <w:spacing w:line="240" w:lineRule="auto"/>
        <w:rPr>
          <w:noProof/>
          <w:szCs w:val="22"/>
        </w:rPr>
      </w:pPr>
    </w:p>
    <w:p w14:paraId="348C9302" w14:textId="481DE0B3" w:rsidR="0089753F" w:rsidRPr="00986907" w:rsidRDefault="0089753F" w:rsidP="00CE56B0">
      <w:pPr>
        <w:keepNext/>
        <w:keepLines/>
        <w:spacing w:line="240" w:lineRule="auto"/>
        <w:rPr>
          <w:noProof/>
          <w:szCs w:val="22"/>
        </w:rPr>
      </w:pPr>
      <w:r>
        <w:rPr>
          <w:szCs w:val="22"/>
        </w:rPr>
        <w:t xml:space="preserve">Nem </w:t>
      </w:r>
      <w:r w:rsidR="00CB01B9">
        <w:rPr>
          <w:szCs w:val="22"/>
        </w:rPr>
        <w:t>végeztek vizsgálatokat</w:t>
      </w:r>
      <w:r>
        <w:rPr>
          <w:szCs w:val="22"/>
        </w:rPr>
        <w:t xml:space="preserve"> a gépjárművezetéshez és a gépek kezeléséhez szükséges képességeket befolyásoló hatásokról. Az A típusú botulinum toxin alkalmazása azonban astheniával, izomgyengeséggel, szédüléssel és látászavarral járhat, amelyek hatással lehetnek a gépek kezelésére.</w:t>
      </w:r>
    </w:p>
    <w:p w14:paraId="0FF0876D" w14:textId="77777777" w:rsidR="00812D16" w:rsidRPr="00986907" w:rsidRDefault="00812D16" w:rsidP="00CE56B0">
      <w:pPr>
        <w:spacing w:line="240" w:lineRule="auto"/>
        <w:rPr>
          <w:noProof/>
          <w:szCs w:val="22"/>
        </w:rPr>
      </w:pPr>
    </w:p>
    <w:p w14:paraId="19880FF4" w14:textId="77777777" w:rsidR="00812D16" w:rsidRPr="00986907" w:rsidRDefault="00855481" w:rsidP="006838E1">
      <w:pPr>
        <w:keepNext/>
        <w:keepLines/>
        <w:spacing w:line="240" w:lineRule="auto"/>
        <w:ind w:left="567" w:hanging="567"/>
        <w:outlineLvl w:val="0"/>
        <w:rPr>
          <w:b/>
          <w:noProof/>
          <w:szCs w:val="22"/>
        </w:rPr>
      </w:pPr>
      <w:bookmarkStart w:id="3" w:name="_Hlk453664497"/>
      <w:r>
        <w:rPr>
          <w:b/>
          <w:szCs w:val="22"/>
        </w:rPr>
        <w:t>4.8</w:t>
      </w:r>
      <w:bookmarkEnd w:id="3"/>
      <w:r>
        <w:rPr>
          <w:b/>
          <w:szCs w:val="22"/>
        </w:rPr>
        <w:tab/>
        <w:t>Nemkívánatos hatások, mellékhatások</w:t>
      </w:r>
    </w:p>
    <w:p w14:paraId="13D8D5B1" w14:textId="77777777" w:rsidR="00812D16" w:rsidRPr="00986907" w:rsidRDefault="00812D16" w:rsidP="00461A42">
      <w:pPr>
        <w:keepNext/>
        <w:keepLines/>
        <w:autoSpaceDE w:val="0"/>
        <w:autoSpaceDN w:val="0"/>
        <w:adjustRightInd w:val="0"/>
        <w:spacing w:line="240" w:lineRule="auto"/>
        <w:rPr>
          <w:noProof/>
          <w:szCs w:val="22"/>
        </w:rPr>
      </w:pPr>
    </w:p>
    <w:p w14:paraId="008A96CF" w14:textId="77777777" w:rsidR="005B388E" w:rsidRPr="00986907" w:rsidRDefault="00A65D20" w:rsidP="00461A42">
      <w:pPr>
        <w:keepNext/>
        <w:keepLines/>
        <w:autoSpaceDE w:val="0"/>
        <w:autoSpaceDN w:val="0"/>
        <w:adjustRightInd w:val="0"/>
        <w:spacing w:line="240" w:lineRule="auto"/>
        <w:rPr>
          <w:noProof/>
          <w:szCs w:val="22"/>
          <w:u w:val="single"/>
        </w:rPr>
      </w:pPr>
      <w:r>
        <w:rPr>
          <w:i/>
          <w:iCs/>
          <w:szCs w:val="22"/>
          <w:u w:val="single"/>
        </w:rPr>
        <w:t>A biztonságossági profil összefoglalása</w:t>
      </w:r>
    </w:p>
    <w:p w14:paraId="5F35C60B" w14:textId="27A12E42" w:rsidR="00D7218E" w:rsidRPr="00E34025" w:rsidRDefault="00333FA2" w:rsidP="00461A42">
      <w:pPr>
        <w:pStyle w:val="NormlWeb"/>
        <w:keepNext/>
        <w:keepLines/>
        <w:spacing w:before="0" w:beforeAutospacing="0" w:after="0" w:afterAutospacing="0"/>
        <w:rPr>
          <w:noProof/>
          <w:sz w:val="22"/>
          <w:szCs w:val="22"/>
        </w:rPr>
      </w:pPr>
      <w:r>
        <w:rPr>
          <w:sz w:val="22"/>
          <w:szCs w:val="22"/>
        </w:rPr>
        <w:t>A Letybo biztonságosságát három pivotális, III. fázisú klinikai vizsgálatban vizsgálták, amelyek mindegyike tartalmazott egy placebokontrollos részt (1. ciklus) és egy hosszú távú részt (2–4. ciklus), amely legfeljebb egy évet ölelt fel. A vizsgálatok során 1162 páciens kapott Letybo készítményt. Emellett kiegészítő adatok is rendelkezésre állnak egy Koreában lefolytatott, a glabella ráncokkal összefüggő III. fázisú vizsgálatból, valamint a forgalomba hozatal utáni adatok is rendelkezésre állnak.</w:t>
      </w:r>
    </w:p>
    <w:p w14:paraId="1FD211EB" w14:textId="2CFB8224" w:rsidR="00333FA2" w:rsidRPr="00E34025" w:rsidRDefault="00333FA2" w:rsidP="00CE56B0">
      <w:pPr>
        <w:pStyle w:val="NormlWeb"/>
        <w:spacing w:before="0" w:beforeAutospacing="0" w:after="0" w:afterAutospacing="0"/>
        <w:rPr>
          <w:noProof/>
          <w:sz w:val="22"/>
          <w:szCs w:val="22"/>
        </w:rPr>
      </w:pPr>
    </w:p>
    <w:p w14:paraId="321077BB" w14:textId="5004F813" w:rsidR="00D7218E" w:rsidRPr="00E34025" w:rsidRDefault="00333FA2" w:rsidP="00CE56B0">
      <w:pPr>
        <w:pStyle w:val="NormlWeb"/>
        <w:spacing w:before="0" w:beforeAutospacing="0" w:after="0" w:afterAutospacing="0"/>
        <w:rPr>
          <w:sz w:val="22"/>
          <w:szCs w:val="22"/>
        </w:rPr>
      </w:pPr>
      <w:r>
        <w:rPr>
          <w:sz w:val="22"/>
          <w:szCs w:val="22"/>
        </w:rPr>
        <w:t>A mellékhatások a vizsgálati készítménnyel (Letybo), az injekciózási eljárással vagy mindkettővel összefüggésben</w:t>
      </w:r>
      <w:r w:rsidR="00CB01B9" w:rsidRPr="00CB01B9">
        <w:rPr>
          <w:sz w:val="22"/>
          <w:szCs w:val="22"/>
        </w:rPr>
        <w:t xml:space="preserve"> </w:t>
      </w:r>
      <w:r w:rsidR="00CB01B9">
        <w:rPr>
          <w:sz w:val="22"/>
          <w:szCs w:val="22"/>
        </w:rPr>
        <w:t>állhatnak</w:t>
      </w:r>
      <w:r>
        <w:rPr>
          <w:sz w:val="22"/>
          <w:szCs w:val="22"/>
        </w:rPr>
        <w:t>. Általánosságban elmondható, hogy a mellékhatások az injekciózást követő első néhány napon belül jelentkeznek, és átmenetiek. A jelentett nemkívánatos események többsége enyhe vagy közepes</w:t>
      </w:r>
      <w:r w:rsidR="00E935E4">
        <w:rPr>
          <w:sz w:val="22"/>
          <w:szCs w:val="22"/>
        </w:rPr>
        <w:t>en</w:t>
      </w:r>
      <w:r>
        <w:rPr>
          <w:sz w:val="22"/>
          <w:szCs w:val="22"/>
        </w:rPr>
        <w:t xml:space="preserve"> súlyos volt. A glabella ráncok kezelését célzó, Letybo készítménnyel végzett három pivotális vizsgálatban leggyakrabban előforduló gyógyszermellékhatás (a Letybo készítménnyel kezelt páciensek közül legalább ketten jelentették az 1. ciklusban) a fejfájás (a páciensek 1,7%-ánál), az injekció </w:t>
      </w:r>
      <w:r w:rsidR="00E935E4">
        <w:rPr>
          <w:sz w:val="22"/>
          <w:szCs w:val="22"/>
        </w:rPr>
        <w:t xml:space="preserve">beadási </w:t>
      </w:r>
      <w:r>
        <w:rPr>
          <w:sz w:val="22"/>
          <w:szCs w:val="22"/>
        </w:rPr>
        <w:t>hely</w:t>
      </w:r>
      <w:r w:rsidR="00E935E4">
        <w:rPr>
          <w:sz w:val="22"/>
          <w:szCs w:val="22"/>
        </w:rPr>
        <w:t>é</w:t>
      </w:r>
      <w:r>
        <w:rPr>
          <w:sz w:val="22"/>
          <w:szCs w:val="22"/>
        </w:rPr>
        <w:t xml:space="preserve">n jelentkező fájdalom (a páciensek 0,3%-ánál), valamint a </w:t>
      </w:r>
      <w:r w:rsidR="00E935E4">
        <w:rPr>
          <w:sz w:val="22"/>
          <w:szCs w:val="22"/>
        </w:rPr>
        <w:t xml:space="preserve">szemhéj </w:t>
      </w:r>
      <w:r>
        <w:rPr>
          <w:sz w:val="22"/>
          <w:szCs w:val="22"/>
        </w:rPr>
        <w:t>ptosis, a blepharospasmus, a fej</w:t>
      </w:r>
      <w:r w:rsidR="00E935E4">
        <w:rPr>
          <w:sz w:val="22"/>
          <w:szCs w:val="22"/>
        </w:rPr>
        <w:t>i</w:t>
      </w:r>
      <w:r>
        <w:rPr>
          <w:sz w:val="22"/>
          <w:szCs w:val="22"/>
        </w:rPr>
        <w:t xml:space="preserve"> dis</w:t>
      </w:r>
      <w:r w:rsidR="00E935E4">
        <w:rPr>
          <w:sz w:val="22"/>
          <w:szCs w:val="22"/>
        </w:rPr>
        <w:t>zk</w:t>
      </w:r>
      <w:r>
        <w:rPr>
          <w:sz w:val="22"/>
          <w:szCs w:val="22"/>
        </w:rPr>
        <w:t>omfortérzés és a contusio (mindegyik a páciensek 0,2%-ánál) volt.</w:t>
      </w:r>
    </w:p>
    <w:p w14:paraId="51D0FC84" w14:textId="3CCE1168" w:rsidR="00CB34CB" w:rsidRPr="00E34025" w:rsidRDefault="00CB34CB" w:rsidP="00CE56B0">
      <w:pPr>
        <w:pStyle w:val="NormlWeb"/>
        <w:spacing w:before="0" w:beforeAutospacing="0" w:after="0" w:afterAutospacing="0"/>
        <w:rPr>
          <w:sz w:val="22"/>
          <w:szCs w:val="22"/>
        </w:rPr>
      </w:pPr>
    </w:p>
    <w:p w14:paraId="480D481F" w14:textId="69ADBEAD" w:rsidR="00D7218E" w:rsidRPr="00E34025" w:rsidRDefault="006A6874" w:rsidP="00CE56B0">
      <w:pPr>
        <w:pStyle w:val="NormlWeb"/>
        <w:spacing w:before="0" w:beforeAutospacing="0" w:after="0" w:afterAutospacing="0"/>
        <w:rPr>
          <w:sz w:val="22"/>
          <w:szCs w:val="22"/>
        </w:rPr>
      </w:pPr>
      <w:r>
        <w:rPr>
          <w:sz w:val="22"/>
          <w:szCs w:val="22"/>
        </w:rPr>
        <w:t xml:space="preserve">Az injekciózással összefüggésben lokalizált fájdalmat, gyulladást, paraesthesiát, hypaesthesiát, érzékenységet, duzzanatot/oedemát, bőrpírt, lokalizált fertőzést, vérzést, illetve véraláfutást jelentettek. A botulinum toxin beadását követően lázat és influenza </w:t>
      </w:r>
      <w:r w:rsidR="00824E73">
        <w:rPr>
          <w:sz w:val="22"/>
          <w:szCs w:val="22"/>
        </w:rPr>
        <w:t xml:space="preserve">szindrómát </w:t>
      </w:r>
      <w:r>
        <w:rPr>
          <w:sz w:val="22"/>
          <w:szCs w:val="22"/>
        </w:rPr>
        <w:t>szintén jelentettek (lásd 4.4 pont).</w:t>
      </w:r>
    </w:p>
    <w:p w14:paraId="59DF6CFA" w14:textId="4094AB39" w:rsidR="00CB34CB" w:rsidRPr="00E34025" w:rsidRDefault="00CB34CB" w:rsidP="00CE56B0">
      <w:pPr>
        <w:pStyle w:val="NormlWeb"/>
        <w:spacing w:before="0" w:beforeAutospacing="0" w:after="0" w:afterAutospacing="0"/>
        <w:rPr>
          <w:sz w:val="22"/>
          <w:szCs w:val="22"/>
        </w:rPr>
      </w:pPr>
    </w:p>
    <w:p w14:paraId="6B649247" w14:textId="77777777" w:rsidR="00A65D20" w:rsidRPr="00E34025" w:rsidRDefault="00A65D20" w:rsidP="00CE56B0">
      <w:pPr>
        <w:pStyle w:val="NormlWeb"/>
        <w:keepNext/>
        <w:keepLines/>
        <w:spacing w:before="0" w:beforeAutospacing="0" w:after="0" w:afterAutospacing="0"/>
        <w:rPr>
          <w:sz w:val="22"/>
          <w:szCs w:val="22"/>
          <w:u w:val="single"/>
        </w:rPr>
      </w:pPr>
      <w:r>
        <w:rPr>
          <w:sz w:val="22"/>
          <w:szCs w:val="22"/>
          <w:u w:val="single"/>
        </w:rPr>
        <w:t>A mellékhatások táblázatos összefoglalása</w:t>
      </w:r>
    </w:p>
    <w:p w14:paraId="63740A42" w14:textId="77777777" w:rsidR="00D7218E" w:rsidRPr="00E34025" w:rsidRDefault="00B02761" w:rsidP="00CE56B0">
      <w:pPr>
        <w:pStyle w:val="NormlWeb"/>
        <w:keepNext/>
        <w:keepLines/>
        <w:spacing w:before="0" w:beforeAutospacing="0" w:after="0" w:afterAutospacing="0"/>
        <w:rPr>
          <w:sz w:val="22"/>
          <w:szCs w:val="22"/>
        </w:rPr>
      </w:pPr>
      <w:r>
        <w:rPr>
          <w:sz w:val="22"/>
          <w:szCs w:val="22"/>
        </w:rPr>
        <w:t>A klinikai tapasztalatok alapján a mellékhatások előfordulási gyakoriságával kapcsolatos információk az alábbiak. Az előfordulási gyakoriság egyes kategóriáinak a meghatározása az alábbi: nagyon gyakori (≥ 1/10); gyakori (≥ 1/100, &lt; 1/10); nem gyakori (≥ 1/1000, &lt; 1/100); ritka (≥ 1/10 000, &lt; 1/1000); nagyon ritka (&lt; 1/10 000).</w:t>
      </w:r>
    </w:p>
    <w:p w14:paraId="5DDE33A5" w14:textId="75BA7637" w:rsidR="00CB34CB" w:rsidRPr="00E34025" w:rsidRDefault="00CB34CB" w:rsidP="00CE56B0">
      <w:pPr>
        <w:pStyle w:val="NormlWeb"/>
        <w:spacing w:before="0" w:beforeAutospacing="0" w:after="0" w:afterAutospacing="0"/>
        <w:rPr>
          <w:sz w:val="22"/>
          <w:szCs w:val="22"/>
        </w:rPr>
      </w:pPr>
    </w:p>
    <w:p w14:paraId="307037B4" w14:textId="4D409914" w:rsidR="00812D16" w:rsidRPr="00986907" w:rsidRDefault="0099022C" w:rsidP="006838E1">
      <w:pPr>
        <w:keepNext/>
        <w:keepLines/>
        <w:tabs>
          <w:tab w:val="clear" w:pos="567"/>
          <w:tab w:val="left" w:pos="1134"/>
        </w:tabs>
        <w:autoSpaceDE w:val="0"/>
        <w:autoSpaceDN w:val="0"/>
        <w:adjustRightInd w:val="0"/>
        <w:spacing w:line="240" w:lineRule="auto"/>
        <w:ind w:left="1134" w:hanging="1134"/>
        <w:rPr>
          <w:noProof/>
          <w:szCs w:val="22"/>
        </w:rPr>
      </w:pPr>
      <w:r>
        <w:rPr>
          <w:rFonts w:eastAsia="SimSun"/>
          <w:b/>
          <w:szCs w:val="22"/>
        </w:rPr>
        <w:t>1. táblázat</w:t>
      </w:r>
      <w:r>
        <w:rPr>
          <w:rFonts w:eastAsia="SimSun"/>
          <w:b/>
          <w:szCs w:val="22"/>
        </w:rPr>
        <w:tab/>
        <w:t xml:space="preserve">A Letybo alkalmazását követően a klinikai és forgalomba hozatal utáni vizsgálatokban jelentett mellékhatások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9"/>
        <w:gridCol w:w="1307"/>
        <w:gridCol w:w="5027"/>
      </w:tblGrid>
      <w:tr w:rsidR="00037336" w:rsidRPr="00986907" w14:paraId="42256069" w14:textId="77777777" w:rsidTr="006838E1">
        <w:trPr>
          <w:tblHeader/>
        </w:trPr>
        <w:tc>
          <w:tcPr>
            <w:tcW w:w="0" w:type="auto"/>
            <w:tcBorders>
              <w:bottom w:val="single" w:sz="4" w:space="0" w:color="auto"/>
            </w:tcBorders>
          </w:tcPr>
          <w:p w14:paraId="5C15CA68" w14:textId="77777777" w:rsidR="00037336" w:rsidRPr="00986907" w:rsidRDefault="00037336" w:rsidP="00CE56B0">
            <w:pPr>
              <w:keepNext/>
              <w:keepLines/>
              <w:autoSpaceDE w:val="0"/>
              <w:autoSpaceDN w:val="0"/>
              <w:adjustRightInd w:val="0"/>
              <w:spacing w:line="240" w:lineRule="auto"/>
              <w:rPr>
                <w:b/>
                <w:noProof/>
                <w:szCs w:val="22"/>
              </w:rPr>
            </w:pPr>
            <w:bookmarkStart w:id="4" w:name="_Hlk10039810"/>
            <w:r>
              <w:rPr>
                <w:b/>
                <w:szCs w:val="22"/>
              </w:rPr>
              <w:t>Szervrendszer</w:t>
            </w:r>
          </w:p>
        </w:tc>
        <w:tc>
          <w:tcPr>
            <w:tcW w:w="0" w:type="auto"/>
          </w:tcPr>
          <w:p w14:paraId="4B02E5B3" w14:textId="77777777" w:rsidR="00037336" w:rsidRPr="00986907" w:rsidDel="00945DAD" w:rsidRDefault="00037336" w:rsidP="00CE56B0">
            <w:pPr>
              <w:keepNext/>
              <w:keepLines/>
              <w:autoSpaceDE w:val="0"/>
              <w:autoSpaceDN w:val="0"/>
              <w:adjustRightInd w:val="0"/>
              <w:spacing w:line="240" w:lineRule="auto"/>
              <w:rPr>
                <w:b/>
                <w:noProof/>
                <w:szCs w:val="22"/>
              </w:rPr>
            </w:pPr>
            <w:r>
              <w:rPr>
                <w:b/>
                <w:szCs w:val="22"/>
              </w:rPr>
              <w:t>Gyakoriság</w:t>
            </w:r>
          </w:p>
        </w:tc>
        <w:tc>
          <w:tcPr>
            <w:tcW w:w="0" w:type="auto"/>
          </w:tcPr>
          <w:p w14:paraId="4932EFC6" w14:textId="77777777" w:rsidR="00037336" w:rsidRPr="00986907" w:rsidRDefault="00037336" w:rsidP="00CE56B0">
            <w:pPr>
              <w:keepNext/>
              <w:keepLines/>
              <w:autoSpaceDE w:val="0"/>
              <w:autoSpaceDN w:val="0"/>
              <w:adjustRightInd w:val="0"/>
              <w:spacing w:line="240" w:lineRule="auto"/>
              <w:rPr>
                <w:b/>
                <w:noProof/>
                <w:szCs w:val="22"/>
              </w:rPr>
            </w:pPr>
            <w:r>
              <w:rPr>
                <w:b/>
                <w:szCs w:val="22"/>
              </w:rPr>
              <w:t>Mellékhatás</w:t>
            </w:r>
          </w:p>
        </w:tc>
      </w:tr>
      <w:tr w:rsidR="00037336" w:rsidRPr="00986907" w14:paraId="3EBEDA2B" w14:textId="77777777" w:rsidTr="00737A1D">
        <w:trPr>
          <w:trHeight w:val="252"/>
        </w:trPr>
        <w:tc>
          <w:tcPr>
            <w:tcW w:w="0" w:type="auto"/>
            <w:tcBorders>
              <w:bottom w:val="nil"/>
            </w:tcBorders>
          </w:tcPr>
          <w:p w14:paraId="2EF0820C" w14:textId="77777777" w:rsidR="00037336" w:rsidRPr="00986907" w:rsidRDefault="00037336" w:rsidP="00CE56B0">
            <w:pPr>
              <w:keepNext/>
              <w:keepLines/>
              <w:autoSpaceDE w:val="0"/>
              <w:autoSpaceDN w:val="0"/>
              <w:adjustRightInd w:val="0"/>
              <w:spacing w:line="240" w:lineRule="auto"/>
              <w:rPr>
                <w:noProof/>
                <w:szCs w:val="22"/>
              </w:rPr>
            </w:pPr>
            <w:r>
              <w:rPr>
                <w:szCs w:val="22"/>
              </w:rPr>
              <w:t>Fertőző betegségek és parazitafertőzések</w:t>
            </w:r>
          </w:p>
        </w:tc>
        <w:tc>
          <w:tcPr>
            <w:tcW w:w="0" w:type="auto"/>
          </w:tcPr>
          <w:p w14:paraId="5BB9E165" w14:textId="77777777" w:rsidR="00037336" w:rsidRPr="00986907" w:rsidRDefault="00B643F0" w:rsidP="00CE56B0">
            <w:pPr>
              <w:keepNext/>
              <w:keepLines/>
              <w:autoSpaceDE w:val="0"/>
              <w:autoSpaceDN w:val="0"/>
              <w:adjustRightInd w:val="0"/>
              <w:spacing w:line="240" w:lineRule="auto"/>
              <w:rPr>
                <w:noProof/>
                <w:szCs w:val="22"/>
              </w:rPr>
            </w:pPr>
            <w:r>
              <w:rPr>
                <w:szCs w:val="22"/>
              </w:rPr>
              <w:t>nem gyakori</w:t>
            </w:r>
          </w:p>
        </w:tc>
        <w:tc>
          <w:tcPr>
            <w:tcW w:w="0" w:type="auto"/>
          </w:tcPr>
          <w:p w14:paraId="0508D422" w14:textId="7D53F1A3" w:rsidR="00037336" w:rsidRPr="00986907" w:rsidRDefault="008D0FE7" w:rsidP="00CE56B0">
            <w:pPr>
              <w:pStyle w:val="Jegyzetszveg"/>
              <w:keepNext/>
              <w:keepLines/>
              <w:spacing w:line="240" w:lineRule="auto"/>
              <w:rPr>
                <w:noProof/>
                <w:sz w:val="22"/>
                <w:szCs w:val="22"/>
              </w:rPr>
            </w:pPr>
            <w:r>
              <w:rPr>
                <w:sz w:val="22"/>
                <w:szCs w:val="22"/>
              </w:rPr>
              <w:t>nasopharyngitis</w:t>
            </w:r>
          </w:p>
        </w:tc>
      </w:tr>
      <w:tr w:rsidR="005D6CB7" w:rsidRPr="00986907" w14:paraId="2047408C" w14:textId="77777777" w:rsidTr="00A84A84">
        <w:trPr>
          <w:trHeight w:val="392"/>
        </w:trPr>
        <w:tc>
          <w:tcPr>
            <w:tcW w:w="0" w:type="auto"/>
            <w:tcBorders>
              <w:top w:val="nil"/>
            </w:tcBorders>
          </w:tcPr>
          <w:p w14:paraId="06A4FA6F" w14:textId="77777777" w:rsidR="005D6CB7" w:rsidRPr="00986907" w:rsidRDefault="005D6CB7" w:rsidP="00CE56B0">
            <w:pPr>
              <w:keepNext/>
              <w:keepLines/>
              <w:autoSpaceDE w:val="0"/>
              <w:autoSpaceDN w:val="0"/>
              <w:adjustRightInd w:val="0"/>
              <w:spacing w:line="240" w:lineRule="auto"/>
              <w:rPr>
                <w:noProof/>
                <w:szCs w:val="22"/>
              </w:rPr>
            </w:pPr>
          </w:p>
        </w:tc>
        <w:tc>
          <w:tcPr>
            <w:tcW w:w="0" w:type="auto"/>
          </w:tcPr>
          <w:p w14:paraId="022837C4" w14:textId="685E8A69" w:rsidR="005D6CB7" w:rsidRPr="00986907" w:rsidRDefault="005D6CB7" w:rsidP="00CE56B0">
            <w:pPr>
              <w:keepNext/>
              <w:keepLines/>
              <w:autoSpaceDE w:val="0"/>
              <w:autoSpaceDN w:val="0"/>
              <w:adjustRightInd w:val="0"/>
              <w:spacing w:line="240" w:lineRule="auto"/>
              <w:rPr>
                <w:noProof/>
                <w:szCs w:val="22"/>
              </w:rPr>
            </w:pPr>
            <w:r>
              <w:rPr>
                <w:szCs w:val="22"/>
              </w:rPr>
              <w:t>ritka</w:t>
            </w:r>
          </w:p>
        </w:tc>
        <w:tc>
          <w:tcPr>
            <w:tcW w:w="0" w:type="auto"/>
          </w:tcPr>
          <w:p w14:paraId="5BEFF999" w14:textId="60CFFE33" w:rsidR="005D6CB7" w:rsidRPr="00986907" w:rsidRDefault="008D0FE7" w:rsidP="00CE56B0">
            <w:pPr>
              <w:pStyle w:val="Jegyzetszveg"/>
              <w:keepNext/>
              <w:keepLines/>
              <w:spacing w:line="240" w:lineRule="auto"/>
              <w:rPr>
                <w:noProof/>
                <w:sz w:val="22"/>
                <w:szCs w:val="22"/>
              </w:rPr>
            </w:pPr>
            <w:r>
              <w:rPr>
                <w:sz w:val="22"/>
                <w:szCs w:val="22"/>
              </w:rPr>
              <w:t>oralis herpes, folliculitis*</w:t>
            </w:r>
          </w:p>
        </w:tc>
      </w:tr>
      <w:tr w:rsidR="00DD3E0C" w:rsidRPr="00986907" w14:paraId="722E38DA" w14:textId="77777777" w:rsidTr="00737A1D">
        <w:trPr>
          <w:trHeight w:val="146"/>
        </w:trPr>
        <w:tc>
          <w:tcPr>
            <w:tcW w:w="0" w:type="auto"/>
            <w:vMerge w:val="restart"/>
          </w:tcPr>
          <w:p w14:paraId="31DA1D5C" w14:textId="77777777" w:rsidR="00DD3E0C" w:rsidRPr="00986907" w:rsidRDefault="00DD3E0C" w:rsidP="00CE56B0">
            <w:pPr>
              <w:autoSpaceDE w:val="0"/>
              <w:autoSpaceDN w:val="0"/>
              <w:adjustRightInd w:val="0"/>
              <w:spacing w:line="240" w:lineRule="auto"/>
              <w:rPr>
                <w:noProof/>
                <w:szCs w:val="22"/>
              </w:rPr>
            </w:pPr>
            <w:r>
              <w:rPr>
                <w:szCs w:val="22"/>
              </w:rPr>
              <w:t>Idegrendszeri betegségek és tünetek</w:t>
            </w:r>
          </w:p>
        </w:tc>
        <w:tc>
          <w:tcPr>
            <w:tcW w:w="0" w:type="auto"/>
          </w:tcPr>
          <w:p w14:paraId="17A52944" w14:textId="0DD7F873" w:rsidR="00DD3E0C" w:rsidRPr="00986907" w:rsidRDefault="00DD3E0C" w:rsidP="00CE56B0">
            <w:pPr>
              <w:autoSpaceDE w:val="0"/>
              <w:autoSpaceDN w:val="0"/>
              <w:adjustRightInd w:val="0"/>
              <w:spacing w:line="240" w:lineRule="auto"/>
              <w:rPr>
                <w:noProof/>
                <w:szCs w:val="22"/>
              </w:rPr>
            </w:pPr>
            <w:r>
              <w:rPr>
                <w:szCs w:val="22"/>
              </w:rPr>
              <w:t>gyakori</w:t>
            </w:r>
          </w:p>
        </w:tc>
        <w:tc>
          <w:tcPr>
            <w:tcW w:w="0" w:type="auto"/>
          </w:tcPr>
          <w:p w14:paraId="362CDD30" w14:textId="66804134" w:rsidR="00DD3E0C" w:rsidRPr="00986907" w:rsidRDefault="008D0FE7" w:rsidP="00CE56B0">
            <w:pPr>
              <w:autoSpaceDE w:val="0"/>
              <w:autoSpaceDN w:val="0"/>
              <w:adjustRightInd w:val="0"/>
              <w:spacing w:line="240" w:lineRule="auto"/>
              <w:rPr>
                <w:noProof/>
                <w:szCs w:val="22"/>
              </w:rPr>
            </w:pPr>
            <w:r>
              <w:rPr>
                <w:szCs w:val="22"/>
              </w:rPr>
              <w:t>fejfájás</w:t>
            </w:r>
          </w:p>
        </w:tc>
      </w:tr>
      <w:tr w:rsidR="00B02079" w:rsidRPr="00986907" w14:paraId="0F6D4192" w14:textId="77777777" w:rsidTr="00737A1D">
        <w:trPr>
          <w:trHeight w:val="70"/>
        </w:trPr>
        <w:tc>
          <w:tcPr>
            <w:tcW w:w="0" w:type="auto"/>
            <w:vMerge/>
          </w:tcPr>
          <w:p w14:paraId="744FA4D3" w14:textId="77777777" w:rsidR="00B02079" w:rsidRPr="00986907" w:rsidRDefault="00B02079" w:rsidP="00CE56B0">
            <w:pPr>
              <w:autoSpaceDE w:val="0"/>
              <w:autoSpaceDN w:val="0"/>
              <w:adjustRightInd w:val="0"/>
              <w:spacing w:line="240" w:lineRule="auto"/>
              <w:rPr>
                <w:noProof/>
                <w:szCs w:val="22"/>
              </w:rPr>
            </w:pPr>
          </w:p>
        </w:tc>
        <w:tc>
          <w:tcPr>
            <w:tcW w:w="0" w:type="auto"/>
          </w:tcPr>
          <w:p w14:paraId="2E732D76" w14:textId="1F9BCBC5" w:rsidR="00B02079" w:rsidRPr="00986907" w:rsidRDefault="00B02079" w:rsidP="00CE56B0">
            <w:pPr>
              <w:autoSpaceDE w:val="0"/>
              <w:autoSpaceDN w:val="0"/>
              <w:adjustRightInd w:val="0"/>
              <w:spacing w:line="240" w:lineRule="auto"/>
              <w:rPr>
                <w:noProof/>
                <w:szCs w:val="22"/>
              </w:rPr>
            </w:pPr>
            <w:r>
              <w:rPr>
                <w:szCs w:val="22"/>
              </w:rPr>
              <w:t>nem gyakori</w:t>
            </w:r>
          </w:p>
        </w:tc>
        <w:tc>
          <w:tcPr>
            <w:tcW w:w="0" w:type="auto"/>
          </w:tcPr>
          <w:p w14:paraId="13A3D69F" w14:textId="3D7069A8" w:rsidR="00B02079" w:rsidRPr="00986907" w:rsidRDefault="008D0FE7" w:rsidP="00CE56B0">
            <w:pPr>
              <w:autoSpaceDE w:val="0"/>
              <w:autoSpaceDN w:val="0"/>
              <w:adjustRightInd w:val="0"/>
              <w:spacing w:line="240" w:lineRule="auto"/>
              <w:rPr>
                <w:noProof/>
                <w:szCs w:val="22"/>
              </w:rPr>
            </w:pPr>
            <w:r>
              <w:rPr>
                <w:szCs w:val="22"/>
              </w:rPr>
              <w:t>fej</w:t>
            </w:r>
            <w:r w:rsidR="00E935E4">
              <w:rPr>
                <w:szCs w:val="22"/>
              </w:rPr>
              <w:t>i</w:t>
            </w:r>
            <w:r>
              <w:rPr>
                <w:szCs w:val="22"/>
              </w:rPr>
              <w:t xml:space="preserve"> dis</w:t>
            </w:r>
            <w:r w:rsidR="00E935E4">
              <w:rPr>
                <w:szCs w:val="22"/>
              </w:rPr>
              <w:t>zk</w:t>
            </w:r>
            <w:r>
              <w:rPr>
                <w:szCs w:val="22"/>
              </w:rPr>
              <w:t>omfortérzés*</w:t>
            </w:r>
          </w:p>
        </w:tc>
      </w:tr>
      <w:tr w:rsidR="00DD3E0C" w:rsidRPr="00986907" w14:paraId="567EA47B" w14:textId="77777777" w:rsidTr="00737A1D">
        <w:tc>
          <w:tcPr>
            <w:tcW w:w="0" w:type="auto"/>
            <w:vMerge/>
          </w:tcPr>
          <w:p w14:paraId="7247E8CC" w14:textId="77777777" w:rsidR="00DD3E0C" w:rsidRPr="00986907" w:rsidRDefault="00DD3E0C" w:rsidP="00CE56B0">
            <w:pPr>
              <w:autoSpaceDE w:val="0"/>
              <w:autoSpaceDN w:val="0"/>
              <w:adjustRightInd w:val="0"/>
              <w:spacing w:line="240" w:lineRule="auto"/>
              <w:rPr>
                <w:noProof/>
                <w:szCs w:val="22"/>
              </w:rPr>
            </w:pPr>
          </w:p>
        </w:tc>
        <w:tc>
          <w:tcPr>
            <w:tcW w:w="0" w:type="auto"/>
          </w:tcPr>
          <w:p w14:paraId="4BBABFA3" w14:textId="71498996" w:rsidR="00DD3E0C" w:rsidRPr="00986907" w:rsidRDefault="00B02079" w:rsidP="00CE56B0">
            <w:pPr>
              <w:autoSpaceDE w:val="0"/>
              <w:autoSpaceDN w:val="0"/>
              <w:adjustRightInd w:val="0"/>
              <w:spacing w:line="240" w:lineRule="auto"/>
              <w:rPr>
                <w:noProof/>
                <w:szCs w:val="22"/>
              </w:rPr>
            </w:pPr>
            <w:r>
              <w:rPr>
                <w:szCs w:val="22"/>
              </w:rPr>
              <w:t>ritka</w:t>
            </w:r>
          </w:p>
        </w:tc>
        <w:tc>
          <w:tcPr>
            <w:tcW w:w="0" w:type="auto"/>
          </w:tcPr>
          <w:p w14:paraId="5656AED9" w14:textId="2F61D368" w:rsidR="00DD3E0C" w:rsidRPr="00986907" w:rsidRDefault="008D0FE7" w:rsidP="00CE56B0">
            <w:pPr>
              <w:pStyle w:val="Jegyzetszveg"/>
              <w:spacing w:line="240" w:lineRule="auto"/>
              <w:rPr>
                <w:noProof/>
                <w:sz w:val="22"/>
                <w:szCs w:val="22"/>
              </w:rPr>
            </w:pPr>
            <w:r>
              <w:rPr>
                <w:sz w:val="22"/>
                <w:szCs w:val="22"/>
              </w:rPr>
              <w:t>migr</w:t>
            </w:r>
            <w:r w:rsidR="00E935E4">
              <w:rPr>
                <w:sz w:val="22"/>
                <w:szCs w:val="22"/>
              </w:rPr>
              <w:t>é</w:t>
            </w:r>
            <w:r>
              <w:rPr>
                <w:sz w:val="22"/>
                <w:szCs w:val="22"/>
              </w:rPr>
              <w:t xml:space="preserve">n, szédülés, paraesthesia, látótér defectus, dysarthria </w:t>
            </w:r>
          </w:p>
        </w:tc>
      </w:tr>
      <w:tr w:rsidR="00B5351D" w:rsidRPr="00986907" w14:paraId="2D8E65FB" w14:textId="77777777" w:rsidTr="00737A1D">
        <w:trPr>
          <w:trHeight w:val="168"/>
        </w:trPr>
        <w:tc>
          <w:tcPr>
            <w:tcW w:w="0" w:type="auto"/>
            <w:vMerge w:val="restart"/>
          </w:tcPr>
          <w:p w14:paraId="5378E0DE" w14:textId="77777777" w:rsidR="00B5351D" w:rsidRPr="00986907" w:rsidRDefault="00B5351D" w:rsidP="00CE56B0">
            <w:pPr>
              <w:autoSpaceDE w:val="0"/>
              <w:autoSpaceDN w:val="0"/>
              <w:adjustRightInd w:val="0"/>
              <w:spacing w:line="240" w:lineRule="auto"/>
              <w:rPr>
                <w:noProof/>
                <w:szCs w:val="22"/>
              </w:rPr>
            </w:pPr>
            <w:r>
              <w:rPr>
                <w:szCs w:val="22"/>
              </w:rPr>
              <w:lastRenderedPageBreak/>
              <w:t>Szembetegségek és szemészeti tünetek</w:t>
            </w:r>
          </w:p>
        </w:tc>
        <w:tc>
          <w:tcPr>
            <w:tcW w:w="0" w:type="auto"/>
          </w:tcPr>
          <w:p w14:paraId="5F578AD9" w14:textId="374DAEE4" w:rsidR="00B5351D" w:rsidRPr="00986907" w:rsidRDefault="00B02079" w:rsidP="00CE56B0">
            <w:pPr>
              <w:autoSpaceDE w:val="0"/>
              <w:autoSpaceDN w:val="0"/>
              <w:adjustRightInd w:val="0"/>
              <w:spacing w:line="240" w:lineRule="auto"/>
              <w:rPr>
                <w:noProof/>
                <w:szCs w:val="22"/>
              </w:rPr>
            </w:pPr>
            <w:r>
              <w:rPr>
                <w:szCs w:val="22"/>
              </w:rPr>
              <w:t>nem gyakori</w:t>
            </w:r>
          </w:p>
        </w:tc>
        <w:tc>
          <w:tcPr>
            <w:tcW w:w="0" w:type="auto"/>
          </w:tcPr>
          <w:p w14:paraId="3C769DBE" w14:textId="1BECB6B5" w:rsidR="00B5351D" w:rsidRPr="00986907" w:rsidRDefault="00E935E4" w:rsidP="00CE56B0">
            <w:pPr>
              <w:pStyle w:val="Jegyzetszveg"/>
              <w:spacing w:line="240" w:lineRule="auto"/>
              <w:rPr>
                <w:noProof/>
                <w:sz w:val="22"/>
                <w:szCs w:val="22"/>
              </w:rPr>
            </w:pPr>
            <w:r>
              <w:rPr>
                <w:sz w:val="22"/>
                <w:szCs w:val="22"/>
              </w:rPr>
              <w:t xml:space="preserve">szemhéj </w:t>
            </w:r>
            <w:r w:rsidR="008D0FE7">
              <w:rPr>
                <w:sz w:val="22"/>
                <w:szCs w:val="22"/>
              </w:rPr>
              <w:t>ptosis, blepharospasmus, periorbitalis oedema</w:t>
            </w:r>
          </w:p>
        </w:tc>
      </w:tr>
      <w:tr w:rsidR="00B5351D" w:rsidRPr="00986907" w14:paraId="3974CBF0" w14:textId="77777777" w:rsidTr="00737A1D">
        <w:trPr>
          <w:trHeight w:val="627"/>
        </w:trPr>
        <w:tc>
          <w:tcPr>
            <w:tcW w:w="0" w:type="auto"/>
            <w:vMerge/>
          </w:tcPr>
          <w:p w14:paraId="4AEB0D7F" w14:textId="77777777" w:rsidR="00B5351D" w:rsidRPr="00986907" w:rsidRDefault="00B5351D" w:rsidP="00CE56B0">
            <w:pPr>
              <w:autoSpaceDE w:val="0"/>
              <w:autoSpaceDN w:val="0"/>
              <w:adjustRightInd w:val="0"/>
              <w:spacing w:line="240" w:lineRule="auto"/>
              <w:rPr>
                <w:noProof/>
                <w:szCs w:val="22"/>
              </w:rPr>
            </w:pPr>
          </w:p>
        </w:tc>
        <w:tc>
          <w:tcPr>
            <w:tcW w:w="0" w:type="auto"/>
          </w:tcPr>
          <w:p w14:paraId="3671ADA2" w14:textId="34F7A714" w:rsidR="00B5351D" w:rsidRPr="00986907" w:rsidRDefault="00B02079" w:rsidP="00CE56B0">
            <w:pPr>
              <w:autoSpaceDE w:val="0"/>
              <w:autoSpaceDN w:val="0"/>
              <w:adjustRightInd w:val="0"/>
              <w:spacing w:line="240" w:lineRule="auto"/>
              <w:rPr>
                <w:noProof/>
                <w:szCs w:val="22"/>
              </w:rPr>
            </w:pPr>
            <w:r>
              <w:rPr>
                <w:szCs w:val="22"/>
              </w:rPr>
              <w:t>ritka</w:t>
            </w:r>
          </w:p>
        </w:tc>
        <w:tc>
          <w:tcPr>
            <w:tcW w:w="0" w:type="auto"/>
          </w:tcPr>
          <w:p w14:paraId="421EFA4A" w14:textId="23F33FE0" w:rsidR="00B5351D" w:rsidRPr="00986907" w:rsidRDefault="008D0FE7" w:rsidP="00CE56B0">
            <w:pPr>
              <w:pStyle w:val="Jegyzetszveg"/>
              <w:spacing w:line="240" w:lineRule="auto"/>
              <w:rPr>
                <w:noProof/>
                <w:sz w:val="22"/>
                <w:szCs w:val="22"/>
              </w:rPr>
            </w:pPr>
            <w:r>
              <w:rPr>
                <w:sz w:val="22"/>
                <w:szCs w:val="22"/>
              </w:rPr>
              <w:t xml:space="preserve">conjunctivalis vérzés*, száraz szem, homályos látás, szemfájdalom*, </w:t>
            </w:r>
            <w:bookmarkStart w:id="5" w:name="_Hlk65073296"/>
            <w:r>
              <w:rPr>
                <w:sz w:val="22"/>
                <w:szCs w:val="22"/>
              </w:rPr>
              <w:t>szemhéjak érzészavara**</w:t>
            </w:r>
            <w:bookmarkEnd w:id="5"/>
          </w:p>
        </w:tc>
      </w:tr>
      <w:tr w:rsidR="00037336" w:rsidRPr="00986907" w14:paraId="3DE7311F" w14:textId="77777777" w:rsidTr="00737A1D">
        <w:trPr>
          <w:trHeight w:val="453"/>
        </w:trPr>
        <w:tc>
          <w:tcPr>
            <w:tcW w:w="0" w:type="auto"/>
          </w:tcPr>
          <w:p w14:paraId="50C094F9" w14:textId="77777777" w:rsidR="00037336" w:rsidRPr="00986907" w:rsidRDefault="00037336" w:rsidP="00CE56B0">
            <w:pPr>
              <w:autoSpaceDE w:val="0"/>
              <w:autoSpaceDN w:val="0"/>
              <w:adjustRightInd w:val="0"/>
              <w:spacing w:line="240" w:lineRule="auto"/>
              <w:rPr>
                <w:noProof/>
                <w:szCs w:val="22"/>
              </w:rPr>
            </w:pPr>
            <w:r>
              <w:rPr>
                <w:szCs w:val="22"/>
              </w:rPr>
              <w:t>Légzőrendszeri, mellkasi és mediastinalis betegségek és tünetek</w:t>
            </w:r>
          </w:p>
        </w:tc>
        <w:tc>
          <w:tcPr>
            <w:tcW w:w="0" w:type="auto"/>
          </w:tcPr>
          <w:p w14:paraId="071FE5AF" w14:textId="67273CB4" w:rsidR="00037336" w:rsidRPr="00986907" w:rsidRDefault="00E25A09" w:rsidP="00CE56B0">
            <w:pPr>
              <w:autoSpaceDE w:val="0"/>
              <w:autoSpaceDN w:val="0"/>
              <w:adjustRightInd w:val="0"/>
              <w:spacing w:line="240" w:lineRule="auto"/>
              <w:rPr>
                <w:noProof/>
                <w:szCs w:val="22"/>
              </w:rPr>
            </w:pPr>
            <w:r>
              <w:rPr>
                <w:szCs w:val="22"/>
              </w:rPr>
              <w:t>ritka</w:t>
            </w:r>
          </w:p>
        </w:tc>
        <w:tc>
          <w:tcPr>
            <w:tcW w:w="0" w:type="auto"/>
          </w:tcPr>
          <w:p w14:paraId="6DBB1A27" w14:textId="6E5FA5C5" w:rsidR="00037336" w:rsidRPr="00986907" w:rsidRDefault="00B643F0" w:rsidP="00CE56B0">
            <w:pPr>
              <w:autoSpaceDE w:val="0"/>
              <w:autoSpaceDN w:val="0"/>
              <w:adjustRightInd w:val="0"/>
              <w:spacing w:line="240" w:lineRule="auto"/>
              <w:rPr>
                <w:noProof/>
                <w:szCs w:val="22"/>
              </w:rPr>
            </w:pPr>
            <w:r>
              <w:rPr>
                <w:szCs w:val="22"/>
              </w:rPr>
              <w:t>pharyngealis hypaesthesia</w:t>
            </w:r>
          </w:p>
        </w:tc>
      </w:tr>
      <w:tr w:rsidR="00037336" w:rsidRPr="00986907" w14:paraId="69515C4F" w14:textId="77777777" w:rsidTr="00737A1D">
        <w:tc>
          <w:tcPr>
            <w:tcW w:w="0" w:type="auto"/>
          </w:tcPr>
          <w:p w14:paraId="69543BEA" w14:textId="77777777" w:rsidR="00037336" w:rsidRPr="00986907" w:rsidRDefault="00037336" w:rsidP="00CE56B0">
            <w:pPr>
              <w:autoSpaceDE w:val="0"/>
              <w:autoSpaceDN w:val="0"/>
              <w:adjustRightInd w:val="0"/>
              <w:spacing w:line="240" w:lineRule="auto"/>
              <w:rPr>
                <w:noProof/>
                <w:szCs w:val="22"/>
              </w:rPr>
            </w:pPr>
            <w:r>
              <w:rPr>
                <w:szCs w:val="22"/>
              </w:rPr>
              <w:t>Emésztőrendszeri betegségek és tünetek</w:t>
            </w:r>
          </w:p>
        </w:tc>
        <w:tc>
          <w:tcPr>
            <w:tcW w:w="0" w:type="auto"/>
          </w:tcPr>
          <w:p w14:paraId="5F8B6F0D" w14:textId="1FF5F76F" w:rsidR="00037336" w:rsidRPr="00986907" w:rsidRDefault="00E25A09" w:rsidP="00CE56B0">
            <w:pPr>
              <w:autoSpaceDE w:val="0"/>
              <w:autoSpaceDN w:val="0"/>
              <w:adjustRightInd w:val="0"/>
              <w:spacing w:line="240" w:lineRule="auto"/>
              <w:rPr>
                <w:noProof/>
                <w:szCs w:val="22"/>
              </w:rPr>
            </w:pPr>
            <w:r>
              <w:rPr>
                <w:szCs w:val="22"/>
              </w:rPr>
              <w:t>ritka</w:t>
            </w:r>
          </w:p>
        </w:tc>
        <w:tc>
          <w:tcPr>
            <w:tcW w:w="0" w:type="auto"/>
          </w:tcPr>
          <w:p w14:paraId="033026E9" w14:textId="06AFB68A" w:rsidR="00037336" w:rsidRPr="00986907" w:rsidRDefault="00B643F0" w:rsidP="00CE56B0">
            <w:pPr>
              <w:autoSpaceDE w:val="0"/>
              <w:autoSpaceDN w:val="0"/>
              <w:adjustRightInd w:val="0"/>
              <w:spacing w:line="240" w:lineRule="auto"/>
              <w:rPr>
                <w:noProof/>
                <w:szCs w:val="22"/>
              </w:rPr>
            </w:pPr>
            <w:r>
              <w:rPr>
                <w:szCs w:val="22"/>
              </w:rPr>
              <w:t>obstipatio, nausea</w:t>
            </w:r>
          </w:p>
        </w:tc>
      </w:tr>
      <w:tr w:rsidR="00DC78DF" w:rsidRPr="00986907" w14:paraId="21906674" w14:textId="77777777" w:rsidTr="00737A1D">
        <w:trPr>
          <w:trHeight w:val="189"/>
        </w:trPr>
        <w:tc>
          <w:tcPr>
            <w:tcW w:w="0" w:type="auto"/>
            <w:tcBorders>
              <w:bottom w:val="single" w:sz="4" w:space="0" w:color="auto"/>
            </w:tcBorders>
          </w:tcPr>
          <w:p w14:paraId="714F2E39" w14:textId="23DBD7D9" w:rsidR="00DC78DF" w:rsidRPr="00986907" w:rsidRDefault="00DC78DF" w:rsidP="00CE56B0">
            <w:pPr>
              <w:autoSpaceDE w:val="0"/>
              <w:autoSpaceDN w:val="0"/>
              <w:adjustRightInd w:val="0"/>
              <w:spacing w:line="240" w:lineRule="auto"/>
              <w:rPr>
                <w:noProof/>
                <w:szCs w:val="22"/>
              </w:rPr>
            </w:pPr>
            <w:r>
              <w:rPr>
                <w:szCs w:val="22"/>
              </w:rPr>
              <w:t>A bőr és a bőr alatti szövet betegségei és tünetei</w:t>
            </w:r>
          </w:p>
        </w:tc>
        <w:tc>
          <w:tcPr>
            <w:tcW w:w="0" w:type="auto"/>
          </w:tcPr>
          <w:p w14:paraId="05AD244A" w14:textId="21AB3D2B" w:rsidR="00DC78DF" w:rsidRPr="00986907" w:rsidRDefault="00DC78DF" w:rsidP="00CE56B0">
            <w:pPr>
              <w:autoSpaceDE w:val="0"/>
              <w:autoSpaceDN w:val="0"/>
              <w:adjustRightInd w:val="0"/>
              <w:spacing w:line="240" w:lineRule="auto"/>
              <w:rPr>
                <w:noProof/>
                <w:szCs w:val="22"/>
              </w:rPr>
            </w:pPr>
            <w:r>
              <w:rPr>
                <w:szCs w:val="22"/>
              </w:rPr>
              <w:t>ritka</w:t>
            </w:r>
          </w:p>
        </w:tc>
        <w:tc>
          <w:tcPr>
            <w:tcW w:w="0" w:type="auto"/>
          </w:tcPr>
          <w:p w14:paraId="5E55EDCB" w14:textId="41566759" w:rsidR="00DC78DF" w:rsidRPr="00986907" w:rsidRDefault="00DC78DF" w:rsidP="00CE56B0">
            <w:pPr>
              <w:autoSpaceDE w:val="0"/>
              <w:autoSpaceDN w:val="0"/>
              <w:adjustRightInd w:val="0"/>
              <w:spacing w:line="240" w:lineRule="auto"/>
              <w:rPr>
                <w:noProof/>
                <w:szCs w:val="22"/>
              </w:rPr>
            </w:pPr>
            <w:r>
              <w:rPr>
                <w:szCs w:val="22"/>
              </w:rPr>
              <w:t xml:space="preserve">szemöldök ptosis, száraz bőr, urticaria, </w:t>
            </w:r>
          </w:p>
        </w:tc>
      </w:tr>
      <w:tr w:rsidR="00D90BC9" w:rsidRPr="00986907" w14:paraId="7B97A9AC" w14:textId="77777777" w:rsidTr="00737A1D">
        <w:trPr>
          <w:trHeight w:val="189"/>
        </w:trPr>
        <w:tc>
          <w:tcPr>
            <w:tcW w:w="0" w:type="auto"/>
            <w:tcBorders>
              <w:bottom w:val="single" w:sz="4" w:space="0" w:color="auto"/>
            </w:tcBorders>
          </w:tcPr>
          <w:p w14:paraId="7FD2DB47" w14:textId="4C1C4CE7" w:rsidR="00D90BC9" w:rsidRDefault="00D90BC9" w:rsidP="00CE56B0">
            <w:pPr>
              <w:autoSpaceDE w:val="0"/>
              <w:autoSpaceDN w:val="0"/>
              <w:adjustRightInd w:val="0"/>
              <w:spacing w:line="240" w:lineRule="auto"/>
              <w:rPr>
                <w:szCs w:val="22"/>
              </w:rPr>
            </w:pPr>
            <w:r w:rsidRPr="00D90BC9">
              <w:rPr>
                <w:szCs w:val="22"/>
              </w:rPr>
              <w:t>A csont- és izomrendszer, valamint a kötőszövet betegségei és tünetei</w:t>
            </w:r>
          </w:p>
        </w:tc>
        <w:tc>
          <w:tcPr>
            <w:tcW w:w="0" w:type="auto"/>
          </w:tcPr>
          <w:p w14:paraId="57333072" w14:textId="0B2AA675" w:rsidR="00D90BC9" w:rsidRDefault="00D90BC9" w:rsidP="00CE56B0">
            <w:pPr>
              <w:autoSpaceDE w:val="0"/>
              <w:autoSpaceDN w:val="0"/>
              <w:adjustRightInd w:val="0"/>
              <w:spacing w:line="240" w:lineRule="auto"/>
              <w:rPr>
                <w:szCs w:val="22"/>
              </w:rPr>
            </w:pPr>
            <w:r>
              <w:rPr>
                <w:szCs w:val="22"/>
              </w:rPr>
              <w:t>nem gyakori</w:t>
            </w:r>
          </w:p>
        </w:tc>
        <w:tc>
          <w:tcPr>
            <w:tcW w:w="0" w:type="auto"/>
          </w:tcPr>
          <w:p w14:paraId="61D676C7" w14:textId="6B3FBF8A" w:rsidR="00D90BC9" w:rsidRDefault="00D90BC9" w:rsidP="00CE56B0">
            <w:pPr>
              <w:autoSpaceDE w:val="0"/>
              <w:autoSpaceDN w:val="0"/>
              <w:adjustRightInd w:val="0"/>
              <w:spacing w:line="240" w:lineRule="auto"/>
              <w:rPr>
                <w:szCs w:val="22"/>
              </w:rPr>
            </w:pPr>
            <w:r w:rsidRPr="00D90BC9">
              <w:rPr>
                <w:szCs w:val="22"/>
              </w:rPr>
              <w:t>Mephisto-jel (a szemöldök külső szélének megemelkedése)</w:t>
            </w:r>
          </w:p>
        </w:tc>
      </w:tr>
      <w:tr w:rsidR="00DD3E0C" w:rsidRPr="00986907" w14:paraId="33B19D0D" w14:textId="77777777" w:rsidTr="00737A1D">
        <w:tc>
          <w:tcPr>
            <w:tcW w:w="0" w:type="auto"/>
            <w:vMerge w:val="restart"/>
            <w:tcBorders>
              <w:bottom w:val="nil"/>
            </w:tcBorders>
          </w:tcPr>
          <w:p w14:paraId="35E4DC18" w14:textId="77777777" w:rsidR="00DD3E0C" w:rsidRPr="00986907" w:rsidRDefault="00DD3E0C" w:rsidP="00CE56B0">
            <w:pPr>
              <w:autoSpaceDE w:val="0"/>
              <w:autoSpaceDN w:val="0"/>
              <w:adjustRightInd w:val="0"/>
              <w:spacing w:line="240" w:lineRule="auto"/>
              <w:rPr>
                <w:noProof/>
                <w:szCs w:val="22"/>
              </w:rPr>
            </w:pPr>
            <w:r>
              <w:rPr>
                <w:szCs w:val="22"/>
              </w:rPr>
              <w:t>Általános tünetek, az alkalmazás helyén fellépő reakciók</w:t>
            </w:r>
          </w:p>
        </w:tc>
        <w:tc>
          <w:tcPr>
            <w:tcW w:w="0" w:type="auto"/>
          </w:tcPr>
          <w:p w14:paraId="27DC4C21" w14:textId="77777777" w:rsidR="00DD3E0C" w:rsidRPr="00986907" w:rsidRDefault="00DD3E0C" w:rsidP="00CE56B0">
            <w:pPr>
              <w:autoSpaceDE w:val="0"/>
              <w:autoSpaceDN w:val="0"/>
              <w:adjustRightInd w:val="0"/>
              <w:spacing w:line="240" w:lineRule="auto"/>
              <w:rPr>
                <w:noProof/>
                <w:szCs w:val="22"/>
              </w:rPr>
            </w:pPr>
            <w:r>
              <w:rPr>
                <w:szCs w:val="22"/>
              </w:rPr>
              <w:t>gyakori</w:t>
            </w:r>
          </w:p>
        </w:tc>
        <w:tc>
          <w:tcPr>
            <w:tcW w:w="0" w:type="auto"/>
          </w:tcPr>
          <w:p w14:paraId="4961456F" w14:textId="35CE8AC4" w:rsidR="00DD3E0C" w:rsidRPr="00986907" w:rsidRDefault="00DD3E0C" w:rsidP="00CE56B0">
            <w:pPr>
              <w:autoSpaceDE w:val="0"/>
              <w:autoSpaceDN w:val="0"/>
              <w:adjustRightInd w:val="0"/>
              <w:spacing w:line="240" w:lineRule="auto"/>
              <w:rPr>
                <w:noProof/>
                <w:szCs w:val="22"/>
              </w:rPr>
            </w:pPr>
            <w:r>
              <w:rPr>
                <w:szCs w:val="22"/>
              </w:rPr>
              <w:t>injekció beadásának helyén fellépő reakció</w:t>
            </w:r>
          </w:p>
        </w:tc>
      </w:tr>
      <w:tr w:rsidR="00DD3E0C" w:rsidRPr="00986907" w14:paraId="6B86CE36" w14:textId="77777777" w:rsidTr="00737A1D">
        <w:tc>
          <w:tcPr>
            <w:tcW w:w="0" w:type="auto"/>
            <w:vMerge/>
            <w:tcBorders>
              <w:top w:val="nil"/>
              <w:bottom w:val="nil"/>
            </w:tcBorders>
          </w:tcPr>
          <w:p w14:paraId="3FE2BA83" w14:textId="77777777" w:rsidR="00DD3E0C" w:rsidRPr="00986907" w:rsidRDefault="00DD3E0C" w:rsidP="00CE56B0">
            <w:pPr>
              <w:autoSpaceDE w:val="0"/>
              <w:autoSpaceDN w:val="0"/>
              <w:adjustRightInd w:val="0"/>
              <w:spacing w:line="240" w:lineRule="auto"/>
              <w:rPr>
                <w:noProof/>
                <w:szCs w:val="22"/>
              </w:rPr>
            </w:pPr>
          </w:p>
        </w:tc>
        <w:tc>
          <w:tcPr>
            <w:tcW w:w="0" w:type="auto"/>
          </w:tcPr>
          <w:p w14:paraId="781A15AB" w14:textId="77777777" w:rsidR="00DD3E0C" w:rsidRPr="00986907" w:rsidRDefault="00ED3A8F" w:rsidP="00CE56B0">
            <w:pPr>
              <w:autoSpaceDE w:val="0"/>
              <w:autoSpaceDN w:val="0"/>
              <w:adjustRightInd w:val="0"/>
              <w:spacing w:line="240" w:lineRule="auto"/>
              <w:rPr>
                <w:noProof/>
                <w:szCs w:val="22"/>
              </w:rPr>
            </w:pPr>
            <w:r>
              <w:rPr>
                <w:szCs w:val="22"/>
              </w:rPr>
              <w:t>nem gyakori</w:t>
            </w:r>
          </w:p>
        </w:tc>
        <w:tc>
          <w:tcPr>
            <w:tcW w:w="0" w:type="auto"/>
          </w:tcPr>
          <w:p w14:paraId="1BBE3869" w14:textId="3EE6B05F" w:rsidR="00DD3E0C" w:rsidRPr="00986907" w:rsidRDefault="00DD3E0C" w:rsidP="00CE56B0">
            <w:pPr>
              <w:pStyle w:val="Jegyzetszveg"/>
              <w:spacing w:line="240" w:lineRule="auto"/>
              <w:rPr>
                <w:noProof/>
                <w:sz w:val="22"/>
                <w:szCs w:val="22"/>
              </w:rPr>
            </w:pPr>
            <w:r>
              <w:rPr>
                <w:sz w:val="22"/>
                <w:szCs w:val="22"/>
              </w:rPr>
              <w:t>fájdalom az injekció</w:t>
            </w:r>
            <w:r w:rsidR="00E935E4">
              <w:rPr>
                <w:sz w:val="22"/>
                <w:szCs w:val="22"/>
              </w:rPr>
              <w:t xml:space="preserve"> beadási</w:t>
            </w:r>
            <w:r>
              <w:rPr>
                <w:sz w:val="22"/>
                <w:szCs w:val="22"/>
              </w:rPr>
              <w:t xml:space="preserve"> hely</w:t>
            </w:r>
            <w:r w:rsidR="00E935E4">
              <w:rPr>
                <w:sz w:val="22"/>
                <w:szCs w:val="22"/>
              </w:rPr>
              <w:t>é</w:t>
            </w:r>
            <w:r>
              <w:rPr>
                <w:sz w:val="22"/>
                <w:szCs w:val="22"/>
              </w:rPr>
              <w:t xml:space="preserve">n, </w:t>
            </w:r>
            <w:r w:rsidR="00E935E4">
              <w:rPr>
                <w:sz w:val="22"/>
                <w:szCs w:val="22"/>
              </w:rPr>
              <w:t xml:space="preserve">véraláfutás </w:t>
            </w:r>
            <w:r>
              <w:rPr>
                <w:sz w:val="22"/>
                <w:szCs w:val="22"/>
              </w:rPr>
              <w:t xml:space="preserve">az injekció </w:t>
            </w:r>
            <w:r w:rsidR="00E935E4">
              <w:rPr>
                <w:sz w:val="22"/>
                <w:szCs w:val="22"/>
              </w:rPr>
              <w:t xml:space="preserve">beadási </w:t>
            </w:r>
            <w:r>
              <w:rPr>
                <w:sz w:val="22"/>
                <w:szCs w:val="22"/>
              </w:rPr>
              <w:t xml:space="preserve">helyén, duzzanat az alkalmazás helyén*, viszketés az injekció </w:t>
            </w:r>
            <w:r w:rsidR="00AC16E6">
              <w:rPr>
                <w:sz w:val="22"/>
                <w:szCs w:val="22"/>
              </w:rPr>
              <w:t xml:space="preserve">beadási </w:t>
            </w:r>
            <w:r>
              <w:rPr>
                <w:sz w:val="22"/>
                <w:szCs w:val="22"/>
              </w:rPr>
              <w:t>helyén, terime az injekció</w:t>
            </w:r>
            <w:r w:rsidR="00AC16E6">
              <w:rPr>
                <w:sz w:val="22"/>
                <w:szCs w:val="22"/>
              </w:rPr>
              <w:t xml:space="preserve"> beadási</w:t>
            </w:r>
            <w:r>
              <w:rPr>
                <w:sz w:val="22"/>
                <w:szCs w:val="22"/>
              </w:rPr>
              <w:t xml:space="preserve"> helyén, nyomásérzet az injekció </w:t>
            </w:r>
            <w:r w:rsidR="00AC16E6">
              <w:rPr>
                <w:sz w:val="22"/>
                <w:szCs w:val="22"/>
              </w:rPr>
              <w:t xml:space="preserve">beadási </w:t>
            </w:r>
            <w:r>
              <w:rPr>
                <w:sz w:val="22"/>
                <w:szCs w:val="22"/>
              </w:rPr>
              <w:t>helyén**</w:t>
            </w:r>
          </w:p>
        </w:tc>
      </w:tr>
      <w:tr w:rsidR="00DC78DF" w:rsidRPr="00986907" w14:paraId="48A8008F" w14:textId="77777777" w:rsidTr="00737A1D">
        <w:trPr>
          <w:trHeight w:val="423"/>
        </w:trPr>
        <w:tc>
          <w:tcPr>
            <w:tcW w:w="0" w:type="auto"/>
            <w:tcBorders>
              <w:top w:val="nil"/>
            </w:tcBorders>
          </w:tcPr>
          <w:p w14:paraId="168E2C80" w14:textId="77777777" w:rsidR="00DC78DF" w:rsidRPr="00986907" w:rsidRDefault="00DC78DF" w:rsidP="00CE56B0">
            <w:pPr>
              <w:autoSpaceDE w:val="0"/>
              <w:autoSpaceDN w:val="0"/>
              <w:adjustRightInd w:val="0"/>
              <w:spacing w:line="240" w:lineRule="auto"/>
              <w:rPr>
                <w:noProof/>
                <w:szCs w:val="22"/>
                <w:highlight w:val="yellow"/>
              </w:rPr>
            </w:pPr>
          </w:p>
        </w:tc>
        <w:tc>
          <w:tcPr>
            <w:tcW w:w="0" w:type="auto"/>
          </w:tcPr>
          <w:p w14:paraId="674DEA0A" w14:textId="3D490841" w:rsidR="00DC78DF" w:rsidRPr="00986907" w:rsidRDefault="00DC78DF" w:rsidP="00CE56B0">
            <w:pPr>
              <w:autoSpaceDE w:val="0"/>
              <w:autoSpaceDN w:val="0"/>
              <w:adjustRightInd w:val="0"/>
              <w:spacing w:line="240" w:lineRule="auto"/>
              <w:rPr>
                <w:noProof/>
                <w:szCs w:val="22"/>
              </w:rPr>
            </w:pPr>
            <w:r>
              <w:rPr>
                <w:szCs w:val="22"/>
              </w:rPr>
              <w:t>ritka</w:t>
            </w:r>
          </w:p>
        </w:tc>
        <w:tc>
          <w:tcPr>
            <w:tcW w:w="0" w:type="auto"/>
          </w:tcPr>
          <w:p w14:paraId="33185CAC" w14:textId="38D98760" w:rsidR="00DC78DF" w:rsidRPr="00986907" w:rsidRDefault="00DC78DF" w:rsidP="00CE56B0">
            <w:pPr>
              <w:pStyle w:val="Jegyzetszveg"/>
              <w:spacing w:line="240" w:lineRule="auto"/>
              <w:rPr>
                <w:noProof/>
                <w:sz w:val="22"/>
                <w:szCs w:val="22"/>
              </w:rPr>
            </w:pPr>
            <w:r>
              <w:rPr>
                <w:sz w:val="22"/>
                <w:szCs w:val="22"/>
              </w:rPr>
              <w:t>arcfájdalom*, influenza-szerű betegség, pyrexia</w:t>
            </w:r>
          </w:p>
        </w:tc>
      </w:tr>
      <w:tr w:rsidR="00037336" w:rsidRPr="00986907" w14:paraId="72E51CC2" w14:textId="77777777" w:rsidTr="00737A1D">
        <w:tc>
          <w:tcPr>
            <w:tcW w:w="0" w:type="auto"/>
            <w:tcBorders>
              <w:bottom w:val="single" w:sz="4" w:space="0" w:color="auto"/>
            </w:tcBorders>
          </w:tcPr>
          <w:p w14:paraId="2DA1E50E" w14:textId="77777777" w:rsidR="00037336" w:rsidRPr="00986907" w:rsidRDefault="00037336" w:rsidP="00CE56B0">
            <w:pPr>
              <w:autoSpaceDE w:val="0"/>
              <w:autoSpaceDN w:val="0"/>
              <w:adjustRightInd w:val="0"/>
              <w:spacing w:line="240" w:lineRule="auto"/>
              <w:rPr>
                <w:noProof/>
                <w:szCs w:val="22"/>
              </w:rPr>
            </w:pPr>
            <w:r>
              <w:rPr>
                <w:szCs w:val="22"/>
              </w:rPr>
              <w:t>Laboratóriumi és egyéb vizsgálatok eredményei</w:t>
            </w:r>
          </w:p>
        </w:tc>
        <w:tc>
          <w:tcPr>
            <w:tcW w:w="0" w:type="auto"/>
            <w:tcBorders>
              <w:bottom w:val="single" w:sz="4" w:space="0" w:color="auto"/>
            </w:tcBorders>
          </w:tcPr>
          <w:p w14:paraId="36DD123E" w14:textId="4B72134F" w:rsidR="00037336" w:rsidRPr="00986907" w:rsidRDefault="00DF08F7" w:rsidP="00CE56B0">
            <w:pPr>
              <w:autoSpaceDE w:val="0"/>
              <w:autoSpaceDN w:val="0"/>
              <w:adjustRightInd w:val="0"/>
              <w:spacing w:line="240" w:lineRule="auto"/>
              <w:rPr>
                <w:noProof/>
                <w:szCs w:val="22"/>
              </w:rPr>
            </w:pPr>
            <w:r>
              <w:rPr>
                <w:szCs w:val="22"/>
              </w:rPr>
              <w:t>ritka</w:t>
            </w:r>
          </w:p>
        </w:tc>
        <w:tc>
          <w:tcPr>
            <w:tcW w:w="0" w:type="auto"/>
            <w:tcBorders>
              <w:bottom w:val="single" w:sz="4" w:space="0" w:color="auto"/>
            </w:tcBorders>
          </w:tcPr>
          <w:p w14:paraId="5A11AB4A" w14:textId="33091078" w:rsidR="00037336" w:rsidRPr="00986907" w:rsidRDefault="00AC16E6" w:rsidP="00CE56B0">
            <w:pPr>
              <w:autoSpaceDE w:val="0"/>
              <w:autoSpaceDN w:val="0"/>
              <w:adjustRightInd w:val="0"/>
              <w:spacing w:line="240" w:lineRule="auto"/>
              <w:rPr>
                <w:noProof/>
                <w:szCs w:val="22"/>
              </w:rPr>
            </w:pPr>
            <w:r>
              <w:rPr>
                <w:szCs w:val="22"/>
              </w:rPr>
              <w:t xml:space="preserve">emelkedett </w:t>
            </w:r>
            <w:r w:rsidR="00B643F0">
              <w:rPr>
                <w:szCs w:val="22"/>
              </w:rPr>
              <w:t xml:space="preserve">kálium vérszint </w:t>
            </w:r>
          </w:p>
        </w:tc>
      </w:tr>
      <w:tr w:rsidR="00037336" w:rsidRPr="00986907" w14:paraId="439BF617" w14:textId="77777777" w:rsidTr="00737A1D">
        <w:trPr>
          <w:trHeight w:val="251"/>
        </w:trPr>
        <w:tc>
          <w:tcPr>
            <w:tcW w:w="0" w:type="auto"/>
            <w:tcBorders>
              <w:bottom w:val="single" w:sz="4" w:space="0" w:color="auto"/>
            </w:tcBorders>
          </w:tcPr>
          <w:p w14:paraId="5A8D2760" w14:textId="77777777" w:rsidR="00037336" w:rsidRPr="00986907" w:rsidRDefault="00037336" w:rsidP="00CE56B0">
            <w:pPr>
              <w:autoSpaceDE w:val="0"/>
              <w:autoSpaceDN w:val="0"/>
              <w:adjustRightInd w:val="0"/>
              <w:spacing w:line="240" w:lineRule="auto"/>
              <w:rPr>
                <w:noProof/>
                <w:szCs w:val="22"/>
              </w:rPr>
            </w:pPr>
            <w:r>
              <w:rPr>
                <w:szCs w:val="22"/>
              </w:rPr>
              <w:t>Sérülés, mérgezés és a beavatkozással kapcsolatos szövődmények</w:t>
            </w:r>
          </w:p>
        </w:tc>
        <w:tc>
          <w:tcPr>
            <w:tcW w:w="0" w:type="auto"/>
            <w:tcBorders>
              <w:bottom w:val="single" w:sz="4" w:space="0" w:color="auto"/>
            </w:tcBorders>
          </w:tcPr>
          <w:p w14:paraId="742C731A" w14:textId="77777777" w:rsidR="00037336" w:rsidRPr="00986907" w:rsidRDefault="00B643F0" w:rsidP="00CE56B0">
            <w:pPr>
              <w:autoSpaceDE w:val="0"/>
              <w:autoSpaceDN w:val="0"/>
              <w:adjustRightInd w:val="0"/>
              <w:spacing w:line="240" w:lineRule="auto"/>
              <w:rPr>
                <w:noProof/>
                <w:szCs w:val="22"/>
              </w:rPr>
            </w:pPr>
            <w:r>
              <w:rPr>
                <w:szCs w:val="22"/>
              </w:rPr>
              <w:t>nem gyakori</w:t>
            </w:r>
          </w:p>
        </w:tc>
        <w:tc>
          <w:tcPr>
            <w:tcW w:w="0" w:type="auto"/>
            <w:tcBorders>
              <w:bottom w:val="single" w:sz="4" w:space="0" w:color="auto"/>
            </w:tcBorders>
          </w:tcPr>
          <w:p w14:paraId="6848957E" w14:textId="64867D4B" w:rsidR="00037336" w:rsidRPr="00986907" w:rsidRDefault="00B643F0" w:rsidP="00CE56B0">
            <w:pPr>
              <w:autoSpaceDE w:val="0"/>
              <w:autoSpaceDN w:val="0"/>
              <w:adjustRightInd w:val="0"/>
              <w:spacing w:line="240" w:lineRule="auto"/>
              <w:rPr>
                <w:noProof/>
                <w:szCs w:val="22"/>
              </w:rPr>
            </w:pPr>
            <w:r>
              <w:rPr>
                <w:szCs w:val="22"/>
              </w:rPr>
              <w:t xml:space="preserve">contusio, </w:t>
            </w:r>
            <w:bookmarkStart w:id="6" w:name="_Hlk66184949"/>
            <w:r>
              <w:rPr>
                <w:szCs w:val="22"/>
              </w:rPr>
              <w:t>periorbitalis haematoma</w:t>
            </w:r>
            <w:bookmarkEnd w:id="6"/>
            <w:r>
              <w:rPr>
                <w:szCs w:val="22"/>
              </w:rPr>
              <w:t>*</w:t>
            </w:r>
          </w:p>
        </w:tc>
      </w:tr>
    </w:tbl>
    <w:bookmarkEnd w:id="4"/>
    <w:p w14:paraId="5D13EF2E" w14:textId="7EAF34F5" w:rsidR="00D7218E" w:rsidRPr="00986907" w:rsidRDefault="00641B50" w:rsidP="00461A42">
      <w:pPr>
        <w:autoSpaceDE w:val="0"/>
        <w:autoSpaceDN w:val="0"/>
        <w:adjustRightInd w:val="0"/>
        <w:spacing w:line="240" w:lineRule="auto"/>
        <w:rPr>
          <w:noProof/>
          <w:szCs w:val="22"/>
        </w:rPr>
      </w:pPr>
      <w:r>
        <w:rPr>
          <w:szCs w:val="22"/>
        </w:rPr>
        <w:t>Megjegyzés: A Letybo készítménnyel kezelt 1162 páciens közül csak 1-nél jelentkeztek ritka események.</w:t>
      </w:r>
    </w:p>
    <w:p w14:paraId="5B00C38A" w14:textId="74065CF5" w:rsidR="00D7218E" w:rsidRPr="00986907" w:rsidRDefault="009A2D1C" w:rsidP="00461A42">
      <w:pPr>
        <w:autoSpaceDE w:val="0"/>
        <w:autoSpaceDN w:val="0"/>
        <w:adjustRightInd w:val="0"/>
        <w:spacing w:line="240" w:lineRule="auto"/>
        <w:rPr>
          <w:noProof/>
          <w:szCs w:val="22"/>
        </w:rPr>
      </w:pPr>
      <w:r>
        <w:rPr>
          <w:szCs w:val="22"/>
        </w:rPr>
        <w:t>A klinikai és forgalomba hozatal utáni vizsgálatoknál előforduló események gyakoriságának meghatározásánál a „legrosszabb eset” megközelítést alkalmazták.</w:t>
      </w:r>
    </w:p>
    <w:p w14:paraId="1CBC4FF9" w14:textId="4892441B" w:rsidR="009B2C96" w:rsidRPr="00986907" w:rsidRDefault="0099022C" w:rsidP="00461A42">
      <w:pPr>
        <w:autoSpaceDE w:val="0"/>
        <w:autoSpaceDN w:val="0"/>
        <w:adjustRightInd w:val="0"/>
        <w:spacing w:line="240" w:lineRule="auto"/>
        <w:rPr>
          <w:noProof/>
          <w:szCs w:val="22"/>
        </w:rPr>
      </w:pPr>
      <w:r>
        <w:rPr>
          <w:szCs w:val="22"/>
        </w:rPr>
        <w:t>* az injekciózási eljárás nemkívánatos gyógyszermellékhatása. Megjegyzés: erről az információról nem gyűjtöttek adatokat a koreai forgalomba hozatal utáni vizsgálatban.</w:t>
      </w:r>
    </w:p>
    <w:p w14:paraId="70149F54" w14:textId="26D65585" w:rsidR="003F4AF8" w:rsidRPr="00986907" w:rsidRDefault="0099022C" w:rsidP="00461A42">
      <w:pPr>
        <w:autoSpaceDE w:val="0"/>
        <w:autoSpaceDN w:val="0"/>
        <w:adjustRightInd w:val="0"/>
        <w:spacing w:line="240" w:lineRule="auto"/>
        <w:rPr>
          <w:noProof/>
          <w:szCs w:val="22"/>
        </w:rPr>
      </w:pPr>
      <w:r>
        <w:rPr>
          <w:szCs w:val="22"/>
        </w:rPr>
        <w:t>** csak forgalomba hozatal utáni vizsgálatban</w:t>
      </w:r>
    </w:p>
    <w:p w14:paraId="5AA4EABD" w14:textId="77777777" w:rsidR="00B02079" w:rsidRPr="00986907" w:rsidRDefault="00B02079" w:rsidP="006838E1">
      <w:pPr>
        <w:autoSpaceDE w:val="0"/>
        <w:autoSpaceDN w:val="0"/>
        <w:adjustRightInd w:val="0"/>
        <w:spacing w:line="240" w:lineRule="auto"/>
        <w:rPr>
          <w:noProof/>
          <w:szCs w:val="22"/>
        </w:rPr>
      </w:pPr>
    </w:p>
    <w:p w14:paraId="1A6E380B" w14:textId="535246FD" w:rsidR="00193C25" w:rsidRPr="00986907" w:rsidRDefault="0099022C" w:rsidP="006838E1">
      <w:pPr>
        <w:autoSpaceDE w:val="0"/>
        <w:autoSpaceDN w:val="0"/>
        <w:adjustRightInd w:val="0"/>
        <w:spacing w:line="240" w:lineRule="auto"/>
        <w:rPr>
          <w:noProof/>
          <w:szCs w:val="22"/>
          <w:u w:val="single"/>
        </w:rPr>
      </w:pPr>
      <w:r>
        <w:rPr>
          <w:szCs w:val="22"/>
          <w:u w:val="single"/>
        </w:rPr>
        <w:t xml:space="preserve">Néhány </w:t>
      </w:r>
      <w:r w:rsidR="00AC16E6">
        <w:rPr>
          <w:szCs w:val="22"/>
          <w:u w:val="single"/>
        </w:rPr>
        <w:t xml:space="preserve">kiválasztott </w:t>
      </w:r>
      <w:r>
        <w:rPr>
          <w:szCs w:val="22"/>
          <w:u w:val="single"/>
        </w:rPr>
        <w:t>mellékhatás leírása</w:t>
      </w:r>
    </w:p>
    <w:p w14:paraId="39217D6A" w14:textId="77777777" w:rsidR="00D7218E" w:rsidRPr="00986907" w:rsidRDefault="00A859A4" w:rsidP="006838E1">
      <w:pPr>
        <w:autoSpaceDE w:val="0"/>
        <w:autoSpaceDN w:val="0"/>
        <w:adjustRightInd w:val="0"/>
        <w:spacing w:line="240" w:lineRule="auto"/>
        <w:rPr>
          <w:i/>
          <w:noProof/>
          <w:szCs w:val="22"/>
        </w:rPr>
      </w:pPr>
      <w:r>
        <w:rPr>
          <w:i/>
          <w:szCs w:val="22"/>
        </w:rPr>
        <w:t>Az alkalmazással összefüggő mellékhatások</w:t>
      </w:r>
    </w:p>
    <w:p w14:paraId="4970AED6" w14:textId="7B13E87B" w:rsidR="00A859A4" w:rsidRPr="00986907" w:rsidRDefault="00A859A4" w:rsidP="006838E1">
      <w:pPr>
        <w:autoSpaceDE w:val="0"/>
        <w:autoSpaceDN w:val="0"/>
        <w:adjustRightInd w:val="0"/>
        <w:spacing w:line="240" w:lineRule="auto"/>
        <w:rPr>
          <w:iCs/>
          <w:noProof/>
          <w:szCs w:val="22"/>
        </w:rPr>
      </w:pPr>
      <w:r>
        <w:rPr>
          <w:iCs/>
          <w:szCs w:val="22"/>
        </w:rPr>
        <w:t>A Letybo alkalmazását követően jelentett, az alkalmazással összefüggő nemkívánatos hatások egyénenként nem gyakori, összességében gyakori események. Az injekciózás helyén kialakuló nem gyakori reakciók között szerepel a fájdalom, a véraláfutás, a duzzanat, a pruritus, a terime és a nyomásérzet. Ritka esetekben az injekciózás helyén kialakulhat fájdalom és diszkomfort.</w:t>
      </w:r>
    </w:p>
    <w:p w14:paraId="6B54A5D0" w14:textId="77777777" w:rsidR="00A859A4" w:rsidRPr="00986907" w:rsidRDefault="00A859A4" w:rsidP="006838E1">
      <w:pPr>
        <w:autoSpaceDE w:val="0"/>
        <w:autoSpaceDN w:val="0"/>
        <w:adjustRightInd w:val="0"/>
        <w:spacing w:line="240" w:lineRule="auto"/>
        <w:rPr>
          <w:i/>
          <w:noProof/>
          <w:szCs w:val="22"/>
        </w:rPr>
      </w:pPr>
    </w:p>
    <w:p w14:paraId="1168ACE8" w14:textId="167A36B3" w:rsidR="00193C25" w:rsidRPr="00986907" w:rsidRDefault="0099022C" w:rsidP="0002556D">
      <w:pPr>
        <w:keepNext/>
        <w:keepLines/>
        <w:widowControl w:val="0"/>
        <w:autoSpaceDE w:val="0"/>
        <w:autoSpaceDN w:val="0"/>
        <w:adjustRightInd w:val="0"/>
        <w:spacing w:line="240" w:lineRule="auto"/>
        <w:rPr>
          <w:i/>
          <w:noProof/>
          <w:szCs w:val="22"/>
        </w:rPr>
      </w:pPr>
      <w:r>
        <w:rPr>
          <w:i/>
          <w:szCs w:val="22"/>
        </w:rPr>
        <w:t>A toxin beadási helytől távol</w:t>
      </w:r>
      <w:r w:rsidR="00AC16E6">
        <w:rPr>
          <w:i/>
          <w:szCs w:val="22"/>
        </w:rPr>
        <w:t>ra történő</w:t>
      </w:r>
      <w:r>
        <w:rPr>
          <w:i/>
          <w:szCs w:val="22"/>
        </w:rPr>
        <w:t xml:space="preserve"> továbbterjedésének kockázata</w:t>
      </w:r>
    </w:p>
    <w:p w14:paraId="77BDE884" w14:textId="6DC9E432" w:rsidR="00193C25" w:rsidRPr="00986907" w:rsidRDefault="00333FA2" w:rsidP="0002556D">
      <w:pPr>
        <w:autoSpaceDE w:val="0"/>
        <w:autoSpaceDN w:val="0"/>
        <w:adjustRightInd w:val="0"/>
        <w:spacing w:line="240" w:lineRule="auto"/>
        <w:rPr>
          <w:noProof/>
          <w:szCs w:val="22"/>
        </w:rPr>
      </w:pPr>
      <w:r>
        <w:rPr>
          <w:szCs w:val="22"/>
        </w:rPr>
        <w:t>A botulinum toxin esetében nagyon ritkán jelentettek a beadás helyétől továbbterjedő toxinnal potenciálisan összefüggő mellékhatásokat (pl. izomgyengeség, dysphagia, obstipatio vagy aspiratiót követő pneumonia, amely halálos kimenetelű is lehet) (lásd 4.4 pont).</w:t>
      </w:r>
    </w:p>
    <w:p w14:paraId="4B8DFE8C" w14:textId="77777777" w:rsidR="00033D26" w:rsidRPr="00986907" w:rsidRDefault="00033D26" w:rsidP="0002556D">
      <w:pPr>
        <w:autoSpaceDE w:val="0"/>
        <w:autoSpaceDN w:val="0"/>
        <w:adjustRightInd w:val="0"/>
        <w:spacing w:line="240" w:lineRule="auto"/>
        <w:rPr>
          <w:noProof/>
          <w:szCs w:val="22"/>
        </w:rPr>
      </w:pPr>
    </w:p>
    <w:p w14:paraId="216B1E99" w14:textId="77777777" w:rsidR="00033D26" w:rsidRPr="00986907" w:rsidRDefault="00033D26" w:rsidP="0002556D">
      <w:pPr>
        <w:autoSpaceDE w:val="0"/>
        <w:autoSpaceDN w:val="0"/>
        <w:adjustRightInd w:val="0"/>
        <w:spacing w:line="240" w:lineRule="auto"/>
        <w:rPr>
          <w:szCs w:val="22"/>
          <w:u w:val="single"/>
        </w:rPr>
      </w:pPr>
      <w:r>
        <w:rPr>
          <w:szCs w:val="22"/>
          <w:u w:val="single"/>
        </w:rPr>
        <w:t>Feltételezett mellékhatások bejelentése</w:t>
      </w:r>
    </w:p>
    <w:p w14:paraId="0AF7333A" w14:textId="012BE3F6" w:rsidR="000A1704" w:rsidRPr="0078298F" w:rsidRDefault="00033D26" w:rsidP="000A1704">
      <w:r>
        <w:rPr>
          <w:szCs w:val="22"/>
        </w:rPr>
        <w:t xml:space="preserve">A gyógyszer engedélyezését követően lényeges a feltételezett mellékhatások bejelentése, mert ez fontos eszköze annak, hogy a gyógyszer előny/kockázat profilját folyamatosan figyelemmel lehessen kísérni. </w:t>
      </w:r>
      <w:r w:rsidRPr="000A1704">
        <w:rPr>
          <w:szCs w:val="22"/>
        </w:rPr>
        <w:t xml:space="preserve">Az egészségügyi szakembereket kérjük, hogy jelentsék be a feltételezett mellékhatásokat a hatóság részére </w:t>
      </w:r>
      <w:r w:rsidR="000A1704" w:rsidRPr="0078298F">
        <w:t xml:space="preserve">az </w:t>
      </w:r>
      <w:hyperlink r:id="rId12">
        <w:r w:rsidR="000A1704" w:rsidRPr="00523FB8">
          <w:rPr>
            <w:color w:val="0000FF"/>
            <w:u w:val="single" w:color="0000FD"/>
          </w:rPr>
          <w:t>V. függelékbe</w:t>
        </w:r>
      </w:hyperlink>
      <w:r w:rsidR="000A1704" w:rsidRPr="00523FB8">
        <w:rPr>
          <w:color w:val="0000FF"/>
          <w:u w:val="single" w:color="0000FD"/>
        </w:rPr>
        <w:t xml:space="preserve">n </w:t>
      </w:r>
      <w:r w:rsidR="000A1704" w:rsidRPr="00523FB8">
        <w:t>található elérhetőségek valamelyikén keresztül</w:t>
      </w:r>
      <w:r w:rsidR="000A1704" w:rsidRPr="0078298F">
        <w:t>.</w:t>
      </w:r>
    </w:p>
    <w:p w14:paraId="767D2CBA" w14:textId="77777777" w:rsidR="008D35AD" w:rsidRPr="00986907" w:rsidRDefault="008D35AD" w:rsidP="00CE56B0">
      <w:pPr>
        <w:autoSpaceDE w:val="0"/>
        <w:autoSpaceDN w:val="0"/>
        <w:adjustRightInd w:val="0"/>
        <w:spacing w:line="240" w:lineRule="auto"/>
        <w:rPr>
          <w:szCs w:val="22"/>
        </w:rPr>
      </w:pPr>
    </w:p>
    <w:p w14:paraId="3B29E3A4" w14:textId="77777777" w:rsidR="00812D16" w:rsidRPr="00986907" w:rsidRDefault="00812D16" w:rsidP="000A1704">
      <w:pPr>
        <w:keepNext/>
        <w:keepLines/>
        <w:spacing w:line="240" w:lineRule="auto"/>
        <w:ind w:left="567" w:hanging="567"/>
        <w:outlineLvl w:val="0"/>
        <w:rPr>
          <w:noProof/>
          <w:szCs w:val="22"/>
        </w:rPr>
      </w:pPr>
      <w:r>
        <w:rPr>
          <w:b/>
          <w:szCs w:val="22"/>
        </w:rPr>
        <w:lastRenderedPageBreak/>
        <w:t>4.9</w:t>
      </w:r>
      <w:r>
        <w:rPr>
          <w:b/>
          <w:szCs w:val="22"/>
        </w:rPr>
        <w:tab/>
        <w:t>Túladagolás</w:t>
      </w:r>
    </w:p>
    <w:p w14:paraId="1A0A8AF2" w14:textId="77777777" w:rsidR="001D4E50" w:rsidRPr="00986907" w:rsidRDefault="001D4E50" w:rsidP="00523FB8">
      <w:pPr>
        <w:keepNext/>
        <w:spacing w:line="240" w:lineRule="auto"/>
        <w:rPr>
          <w:noProof/>
          <w:szCs w:val="22"/>
          <w:u w:val="single"/>
        </w:rPr>
      </w:pPr>
    </w:p>
    <w:p w14:paraId="3378057F" w14:textId="7A61EE94" w:rsidR="009B1603" w:rsidRPr="00986907" w:rsidRDefault="009B1603" w:rsidP="00523FB8">
      <w:pPr>
        <w:keepNext/>
        <w:spacing w:line="240" w:lineRule="auto"/>
        <w:rPr>
          <w:noProof/>
          <w:szCs w:val="22"/>
          <w:u w:val="single"/>
        </w:rPr>
      </w:pPr>
      <w:r>
        <w:rPr>
          <w:szCs w:val="22"/>
          <w:u w:val="single"/>
        </w:rPr>
        <w:t>A túladagolás tünetei</w:t>
      </w:r>
    </w:p>
    <w:p w14:paraId="510EDF06" w14:textId="0DAE8A97" w:rsidR="00C74E86" w:rsidRPr="00986907" w:rsidRDefault="009B1603" w:rsidP="00CE56B0">
      <w:pPr>
        <w:keepNext/>
        <w:keepLines/>
        <w:spacing w:line="240" w:lineRule="auto"/>
        <w:rPr>
          <w:szCs w:val="22"/>
        </w:rPr>
      </w:pPr>
      <w:r>
        <w:rPr>
          <w:szCs w:val="22"/>
        </w:rPr>
        <w:t>A Letybo túladagolása az adag nagyságától, a beadás helyétől és a beadás helye szerinti szövetek tulajdonságaitól függ.</w:t>
      </w:r>
    </w:p>
    <w:p w14:paraId="428EB7DB" w14:textId="7192B2F3" w:rsidR="00C74E86" w:rsidRPr="00986907" w:rsidRDefault="00C74E86" w:rsidP="00CE56B0">
      <w:pPr>
        <w:keepNext/>
        <w:keepLines/>
        <w:spacing w:line="240" w:lineRule="auto"/>
        <w:rPr>
          <w:szCs w:val="22"/>
        </w:rPr>
      </w:pPr>
      <w:r>
        <w:rPr>
          <w:szCs w:val="22"/>
        </w:rPr>
        <w:t xml:space="preserve">Az A típusú botulinum toxin véletlen injekciója következtében jelentkező </w:t>
      </w:r>
      <w:r w:rsidR="00824E73">
        <w:rPr>
          <w:szCs w:val="22"/>
        </w:rPr>
        <w:t xml:space="preserve">szisztémás </w:t>
      </w:r>
      <w:r>
        <w:rPr>
          <w:szCs w:val="22"/>
        </w:rPr>
        <w:t xml:space="preserve">toxicitást egyetlen esetben sem figyeltek meg. A túlzott mértékű adagok </w:t>
      </w:r>
      <w:r w:rsidR="003446F6">
        <w:rPr>
          <w:szCs w:val="22"/>
        </w:rPr>
        <w:t xml:space="preserve">lokális </w:t>
      </w:r>
      <w:r>
        <w:rPr>
          <w:szCs w:val="22"/>
        </w:rPr>
        <w:t xml:space="preserve">vagy </w:t>
      </w:r>
      <w:r w:rsidR="003446F6">
        <w:rPr>
          <w:szCs w:val="22"/>
        </w:rPr>
        <w:t>disztális</w:t>
      </w:r>
      <w:r>
        <w:rPr>
          <w:szCs w:val="22"/>
        </w:rPr>
        <w:t xml:space="preserve">, </w:t>
      </w:r>
      <w:r w:rsidR="003446F6">
        <w:rPr>
          <w:szCs w:val="22"/>
        </w:rPr>
        <w:t xml:space="preserve">generalizált </w:t>
      </w:r>
      <w:r>
        <w:rPr>
          <w:szCs w:val="22"/>
        </w:rPr>
        <w:t>és mély neuromuscularis paralysist okozhatnak. Nem jelentettek olyan eseteket, amikor az A típusú botulinum toxint lenyelték volna.</w:t>
      </w:r>
    </w:p>
    <w:p w14:paraId="78301BC1" w14:textId="77777777" w:rsidR="0099022C" w:rsidRPr="00986907" w:rsidRDefault="0099022C" w:rsidP="00CE56B0">
      <w:pPr>
        <w:spacing w:line="240" w:lineRule="auto"/>
        <w:rPr>
          <w:szCs w:val="22"/>
        </w:rPr>
      </w:pPr>
    </w:p>
    <w:p w14:paraId="69E2CCF4" w14:textId="76C13736" w:rsidR="00D7218E" w:rsidRPr="00986907" w:rsidRDefault="00C74E86" w:rsidP="00CE56B0">
      <w:pPr>
        <w:spacing w:line="240" w:lineRule="auto"/>
        <w:rPr>
          <w:szCs w:val="22"/>
        </w:rPr>
      </w:pPr>
      <w:r>
        <w:rPr>
          <w:szCs w:val="22"/>
        </w:rPr>
        <w:t>A túladagolásnak közvetlenül az injekció beadását követően nem feltétlenül vannak látható jelei.</w:t>
      </w:r>
    </w:p>
    <w:p w14:paraId="1ABAAD1F" w14:textId="3CDDA427" w:rsidR="005D71F7" w:rsidRPr="00986907" w:rsidRDefault="005D71F7" w:rsidP="00CE56B0">
      <w:pPr>
        <w:spacing w:line="240" w:lineRule="auto"/>
        <w:rPr>
          <w:szCs w:val="22"/>
        </w:rPr>
      </w:pPr>
    </w:p>
    <w:p w14:paraId="5AE0D6A2" w14:textId="77777777" w:rsidR="005D71F7" w:rsidRPr="00986907" w:rsidRDefault="005D71F7" w:rsidP="00CE56B0">
      <w:pPr>
        <w:spacing w:line="240" w:lineRule="auto"/>
        <w:rPr>
          <w:noProof/>
          <w:szCs w:val="22"/>
          <w:u w:val="single"/>
        </w:rPr>
      </w:pPr>
      <w:r>
        <w:rPr>
          <w:szCs w:val="22"/>
          <w:u w:val="single"/>
        </w:rPr>
        <w:t>A túladagolás kezelése</w:t>
      </w:r>
    </w:p>
    <w:p w14:paraId="4CFE044C" w14:textId="7E2AECEB" w:rsidR="00D7218E" w:rsidRPr="00986907" w:rsidRDefault="00E9112F" w:rsidP="00523FB8">
      <w:pPr>
        <w:tabs>
          <w:tab w:val="clear" w:pos="567"/>
        </w:tabs>
        <w:autoSpaceDE w:val="0"/>
        <w:autoSpaceDN w:val="0"/>
        <w:adjustRightInd w:val="0"/>
        <w:spacing w:line="240" w:lineRule="auto"/>
        <w:rPr>
          <w:szCs w:val="22"/>
        </w:rPr>
      </w:pPr>
      <w:r w:rsidRPr="00523FB8">
        <w:rPr>
          <w:rFonts w:eastAsia="SimSun"/>
          <w:szCs w:val="22"/>
          <w:lang w:bidi="ar-SA"/>
        </w:rPr>
        <w:t>Véletlen injekció vagy lenyelés esetén, illetve ha túladagolás vagy a toxin terjedésének gyanúja</w:t>
      </w:r>
      <w:r w:rsidR="0011104B">
        <w:rPr>
          <w:rFonts w:eastAsia="SimSun"/>
          <w:szCs w:val="22"/>
          <w:lang w:bidi="ar-SA"/>
        </w:rPr>
        <w:t xml:space="preserve"> </w:t>
      </w:r>
      <w:r w:rsidRPr="00523FB8">
        <w:rPr>
          <w:rFonts w:eastAsia="SimSun"/>
          <w:szCs w:val="22"/>
          <w:lang w:bidi="ar-SA"/>
        </w:rPr>
        <w:t>merül fel, a pácienst orvosi megfigyelés alatt kell tartani az általános gyengeség vagy izombénulás</w:t>
      </w:r>
      <w:r w:rsidR="0011104B">
        <w:rPr>
          <w:rFonts w:eastAsia="SimSun"/>
          <w:szCs w:val="22"/>
          <w:lang w:bidi="ar-SA"/>
        </w:rPr>
        <w:t xml:space="preserve"> </w:t>
      </w:r>
      <w:r w:rsidRPr="00523FB8">
        <w:rPr>
          <w:rFonts w:eastAsia="SimSun"/>
          <w:szCs w:val="22"/>
          <w:lang w:bidi="ar-SA"/>
        </w:rPr>
        <w:t>jeleit és tüneteit figyelve.</w:t>
      </w:r>
      <w:r w:rsidR="00C74E86">
        <w:rPr>
          <w:szCs w:val="22"/>
        </w:rPr>
        <w:t xml:space="preserve"> Amennyiben a páciensnél A típusú botulinum toxin okozta mérgezés tünetei jelentkeznek (általános gyengeség, ptosis, diplopia, nyelési zavar és beszédzavar, vagy a légzőizmok paresise), fontolóra kell venni a páciens kórházi felvételét.</w:t>
      </w:r>
    </w:p>
    <w:p w14:paraId="01A74F87" w14:textId="47F7BC3D" w:rsidR="00CE6944" w:rsidRPr="00986907" w:rsidRDefault="00CE6944" w:rsidP="00CE56B0">
      <w:pPr>
        <w:spacing w:line="240" w:lineRule="auto"/>
        <w:rPr>
          <w:szCs w:val="22"/>
        </w:rPr>
      </w:pPr>
    </w:p>
    <w:p w14:paraId="1A778FE0" w14:textId="77777777" w:rsidR="00CE6944" w:rsidRPr="00986907" w:rsidRDefault="00CE6944" w:rsidP="00CE56B0">
      <w:pPr>
        <w:spacing w:line="240" w:lineRule="auto"/>
        <w:rPr>
          <w:szCs w:val="22"/>
        </w:rPr>
      </w:pPr>
    </w:p>
    <w:p w14:paraId="66DB2ECC" w14:textId="77777777" w:rsidR="00812D16" w:rsidRPr="00986907" w:rsidRDefault="00812D16" w:rsidP="00DB3F99">
      <w:pPr>
        <w:keepNext/>
        <w:keepLines/>
        <w:spacing w:line="240" w:lineRule="auto"/>
        <w:ind w:left="567" w:hanging="567"/>
        <w:outlineLvl w:val="0"/>
        <w:rPr>
          <w:b/>
          <w:szCs w:val="22"/>
        </w:rPr>
      </w:pPr>
      <w:r>
        <w:rPr>
          <w:b/>
          <w:szCs w:val="22"/>
        </w:rPr>
        <w:t>5.</w:t>
      </w:r>
      <w:r>
        <w:rPr>
          <w:b/>
          <w:szCs w:val="22"/>
        </w:rPr>
        <w:tab/>
        <w:t>FARMAKOLÓGIAI TULAJDONSÁGOK</w:t>
      </w:r>
    </w:p>
    <w:p w14:paraId="019F3B94" w14:textId="77777777" w:rsidR="00812D16" w:rsidRPr="00986907" w:rsidRDefault="00812D16" w:rsidP="00CE56B0">
      <w:pPr>
        <w:keepNext/>
        <w:keepLines/>
        <w:spacing w:line="240" w:lineRule="auto"/>
        <w:rPr>
          <w:szCs w:val="22"/>
        </w:rPr>
      </w:pPr>
    </w:p>
    <w:p w14:paraId="54BD4CB8" w14:textId="77777777" w:rsidR="00812D16" w:rsidRPr="00986907" w:rsidRDefault="00812D16" w:rsidP="00DB3F99">
      <w:pPr>
        <w:keepNext/>
        <w:keepLines/>
        <w:spacing w:line="240" w:lineRule="auto"/>
        <w:ind w:left="567" w:hanging="567"/>
        <w:outlineLvl w:val="0"/>
        <w:rPr>
          <w:szCs w:val="22"/>
        </w:rPr>
      </w:pPr>
      <w:r>
        <w:rPr>
          <w:b/>
          <w:szCs w:val="22"/>
        </w:rPr>
        <w:t>5.1</w:t>
      </w:r>
      <w:r>
        <w:rPr>
          <w:b/>
          <w:szCs w:val="22"/>
        </w:rPr>
        <w:tab/>
        <w:t>Farmakodinámiás tulajdonságok</w:t>
      </w:r>
    </w:p>
    <w:p w14:paraId="7D351245" w14:textId="77777777" w:rsidR="00812D16" w:rsidRPr="00986907" w:rsidRDefault="00812D16" w:rsidP="00CE56B0">
      <w:pPr>
        <w:keepNext/>
        <w:keepLines/>
        <w:spacing w:line="240" w:lineRule="auto"/>
        <w:rPr>
          <w:szCs w:val="22"/>
        </w:rPr>
      </w:pPr>
    </w:p>
    <w:p w14:paraId="780AEE27" w14:textId="6182D21D" w:rsidR="00250E12" w:rsidRPr="00986907" w:rsidRDefault="00250E12" w:rsidP="00CE56B0">
      <w:pPr>
        <w:keepNext/>
        <w:keepLines/>
        <w:spacing w:line="240" w:lineRule="auto"/>
        <w:rPr>
          <w:szCs w:val="22"/>
        </w:rPr>
      </w:pPr>
      <w:r>
        <w:rPr>
          <w:szCs w:val="22"/>
        </w:rPr>
        <w:t>Farmakoterápiás csoport: Izomrelaxánsok, egyéb perifériás támadáspontú izomrelaxánsok.</w:t>
      </w:r>
    </w:p>
    <w:p w14:paraId="565F4F91" w14:textId="77777777" w:rsidR="00812D16" w:rsidRPr="00986907" w:rsidRDefault="00812D16" w:rsidP="00CE56B0">
      <w:pPr>
        <w:keepNext/>
        <w:keepLines/>
        <w:spacing w:line="240" w:lineRule="auto"/>
        <w:rPr>
          <w:szCs w:val="22"/>
        </w:rPr>
      </w:pPr>
      <w:r>
        <w:rPr>
          <w:szCs w:val="22"/>
        </w:rPr>
        <w:t>ATC-kód: M03AX01</w:t>
      </w:r>
    </w:p>
    <w:p w14:paraId="217C6231" w14:textId="77777777" w:rsidR="00812D16" w:rsidRPr="00986907" w:rsidRDefault="00812D16" w:rsidP="00CE56B0">
      <w:pPr>
        <w:autoSpaceDE w:val="0"/>
        <w:autoSpaceDN w:val="0"/>
        <w:adjustRightInd w:val="0"/>
        <w:spacing w:line="240" w:lineRule="auto"/>
        <w:rPr>
          <w:b/>
          <w:szCs w:val="22"/>
        </w:rPr>
      </w:pPr>
    </w:p>
    <w:p w14:paraId="3BCFB696" w14:textId="77777777" w:rsidR="00812D16" w:rsidRPr="00986907" w:rsidRDefault="00812D16" w:rsidP="00CE56B0">
      <w:pPr>
        <w:keepNext/>
        <w:keepLines/>
        <w:autoSpaceDE w:val="0"/>
        <w:autoSpaceDN w:val="0"/>
        <w:adjustRightInd w:val="0"/>
        <w:spacing w:line="240" w:lineRule="auto"/>
        <w:rPr>
          <w:szCs w:val="22"/>
        </w:rPr>
      </w:pPr>
      <w:r>
        <w:rPr>
          <w:szCs w:val="22"/>
          <w:u w:val="single"/>
        </w:rPr>
        <w:t>Hatásmechanizmus</w:t>
      </w:r>
    </w:p>
    <w:p w14:paraId="2A9C6898" w14:textId="00F06435" w:rsidR="003D7CB9" w:rsidRPr="00986907" w:rsidRDefault="00010231" w:rsidP="00CE56B0">
      <w:pPr>
        <w:keepNext/>
        <w:keepLines/>
        <w:autoSpaceDE w:val="0"/>
        <w:autoSpaceDN w:val="0"/>
        <w:adjustRightInd w:val="0"/>
        <w:spacing w:line="240" w:lineRule="auto"/>
        <w:rPr>
          <w:szCs w:val="22"/>
        </w:rPr>
      </w:pPr>
      <w:r>
        <w:t xml:space="preserve">A </w:t>
      </w:r>
      <w:r>
        <w:rPr>
          <w:i/>
          <w:szCs w:val="22"/>
        </w:rPr>
        <w:t>Clostridium botulinum</w:t>
      </w:r>
      <w:r>
        <w:rPr>
          <w:szCs w:val="22"/>
        </w:rPr>
        <w:t xml:space="preserve"> A típusú neurotoxinja blokkolja az acetilkolin neurotranszmitter perifériás felszabadulását a neuromuscularis junctio presyinapticus, kolinerg idegvégződéseiből azáltal, hogy széthasítja a SNAP-25-ös fehérjét, amely elengedhetetlen a sikeres kötődéshez és az acetilkolin felszabadulásához az idegvégződésekben található vesiculákból, ami az izom denervatiójához és petyhüdt bénuláshoz vezet.</w:t>
      </w:r>
    </w:p>
    <w:p w14:paraId="4D65495D" w14:textId="77777777" w:rsidR="0099022C" w:rsidRPr="00986907" w:rsidRDefault="0099022C" w:rsidP="00CE56B0">
      <w:pPr>
        <w:autoSpaceDE w:val="0"/>
        <w:autoSpaceDN w:val="0"/>
        <w:adjustRightInd w:val="0"/>
        <w:spacing w:line="240" w:lineRule="auto"/>
        <w:rPr>
          <w:szCs w:val="22"/>
        </w:rPr>
      </w:pPr>
    </w:p>
    <w:p w14:paraId="41BC4CD3" w14:textId="68D6DFEC" w:rsidR="003D7CB9" w:rsidRPr="00986907" w:rsidRDefault="000C3D99" w:rsidP="00CE56B0">
      <w:pPr>
        <w:autoSpaceDE w:val="0"/>
        <w:autoSpaceDN w:val="0"/>
        <w:adjustRightInd w:val="0"/>
        <w:spacing w:line="240" w:lineRule="auto"/>
        <w:rPr>
          <w:szCs w:val="22"/>
        </w:rPr>
      </w:pPr>
      <w:r>
        <w:rPr>
          <w:szCs w:val="22"/>
        </w:rPr>
        <w:t>Az injekciót követően a toxin kezdetben gyorsan és nagy affinitással kötődik bizonyos sejtfelszíni receptorokhoz. Ezt követően a toxin receptormediált endocitózis révén átjut a plazmamembránon. Végül a toxin bekerül a cytosolba, és progresszívan gátolja az acetilkolin felszabadulását. A klinikai jelek 2-3 napon belül jelentkeznek. A hatás az injekciót követő 4 héten belül éri el a csúcsát. A helyreállás jellemzően az injekciót követő 3-4 hónapon belül jelentkezik, amikor az idegvégződések ismét kisarjadnak, és újra kapcsolódnak a véglemezhez.</w:t>
      </w:r>
    </w:p>
    <w:p w14:paraId="6FDC24E6" w14:textId="77777777" w:rsidR="00263CCA" w:rsidRPr="00986907" w:rsidRDefault="00263CCA" w:rsidP="00CE56B0">
      <w:pPr>
        <w:autoSpaceDE w:val="0"/>
        <w:autoSpaceDN w:val="0"/>
        <w:adjustRightInd w:val="0"/>
        <w:spacing w:line="240" w:lineRule="auto"/>
        <w:rPr>
          <w:szCs w:val="22"/>
        </w:rPr>
      </w:pPr>
    </w:p>
    <w:p w14:paraId="6B807B1F" w14:textId="77777777" w:rsidR="00263CCA" w:rsidRPr="00986907" w:rsidRDefault="00812D16" w:rsidP="00CE56B0">
      <w:pPr>
        <w:keepNext/>
        <w:keepLines/>
        <w:autoSpaceDE w:val="0"/>
        <w:autoSpaceDN w:val="0"/>
        <w:adjustRightInd w:val="0"/>
        <w:spacing w:line="240" w:lineRule="auto"/>
        <w:rPr>
          <w:szCs w:val="22"/>
          <w:u w:val="single"/>
        </w:rPr>
      </w:pPr>
      <w:r>
        <w:rPr>
          <w:szCs w:val="22"/>
          <w:u w:val="single"/>
        </w:rPr>
        <w:t>Klinikai adatok</w:t>
      </w:r>
    </w:p>
    <w:p w14:paraId="415BA80B" w14:textId="658EB4C5" w:rsidR="00D7218E" w:rsidRPr="00986907" w:rsidRDefault="002106E2" w:rsidP="00CE56B0">
      <w:pPr>
        <w:keepNext/>
        <w:keepLines/>
        <w:autoSpaceDE w:val="0"/>
        <w:autoSpaceDN w:val="0"/>
        <w:adjustRightInd w:val="0"/>
        <w:spacing w:line="240" w:lineRule="auto"/>
        <w:rPr>
          <w:szCs w:val="22"/>
        </w:rPr>
      </w:pPr>
      <w:r>
        <w:rPr>
          <w:szCs w:val="22"/>
        </w:rPr>
        <w:t>A Letybo biztonságosságát és hatásosságát 3 pivotális, kettős vak, III. fázisú vizsgálatban (BLESS I, BLESS II és BLESS III) vizsgálták, amelyekben összesen 955 pácienst kezeltek Letybo készítménnyel és 317 pácienst kezeltek placebóval, egyetlen kezelés erejéig. Emellett 854 olyan páciensről is rendelkezésre állnak adatok, akiket Letybo készítménnyel kezeltek a BLESS I és II vizsgálat nyílt elrendezésű, kiterjesztett részében, további 1-3 kezelés erejéig. Kiegészítő adatok állnak rendelkezésre egy Koreában lefolytatott, a glabella ráncokkal összefüggő klinikai fejlesztési programból, amely egy III. fázisú, 137 páciens részvételével zajlott vizsgálatból (HG-11-01) és egy 815 páciens részvételével zajlott forgalomba hozatal utáni vizsgálatból (HG-13-02) áll.</w:t>
      </w:r>
    </w:p>
    <w:p w14:paraId="13A18E6A" w14:textId="744A97B8" w:rsidR="002106E2" w:rsidRPr="00986907" w:rsidRDefault="002106E2" w:rsidP="00CE56B0">
      <w:pPr>
        <w:autoSpaceDE w:val="0"/>
        <w:autoSpaceDN w:val="0"/>
        <w:adjustRightInd w:val="0"/>
        <w:spacing w:line="240" w:lineRule="auto"/>
        <w:rPr>
          <w:b/>
          <w:szCs w:val="22"/>
        </w:rPr>
      </w:pPr>
    </w:p>
    <w:p w14:paraId="37E14323" w14:textId="77777777" w:rsidR="00A54866" w:rsidRPr="00986907" w:rsidRDefault="00A54866" w:rsidP="00CE56B0">
      <w:pPr>
        <w:pStyle w:val="Szvegtrzs"/>
        <w:keepNext/>
        <w:keepLines/>
        <w:rPr>
          <w:color w:val="auto"/>
          <w:szCs w:val="22"/>
        </w:rPr>
      </w:pPr>
      <w:bookmarkStart w:id="7" w:name="_Hlk9270972"/>
      <w:r>
        <w:rPr>
          <w:color w:val="auto"/>
          <w:szCs w:val="22"/>
        </w:rPr>
        <w:t>Hatásosság</w:t>
      </w:r>
    </w:p>
    <w:p w14:paraId="4B1AF1F3" w14:textId="23E80353" w:rsidR="00D662FA" w:rsidRPr="00986907" w:rsidRDefault="00A21045" w:rsidP="00CE56B0">
      <w:pPr>
        <w:pStyle w:val="Szvegtrzs"/>
        <w:rPr>
          <w:i w:val="0"/>
          <w:color w:val="auto"/>
          <w:szCs w:val="22"/>
        </w:rPr>
      </w:pPr>
      <w:r>
        <w:rPr>
          <w:i w:val="0"/>
          <w:color w:val="auto"/>
          <w:szCs w:val="22"/>
        </w:rPr>
        <w:t xml:space="preserve">A BLESS I, BLESS II és BLESS III vizsgálatban a kiinduláskor valamennyi páciensnél </w:t>
      </w:r>
      <w:r w:rsidR="002A4DAC">
        <w:rPr>
          <w:i w:val="0"/>
          <w:color w:val="auto"/>
          <w:szCs w:val="22"/>
        </w:rPr>
        <w:t xml:space="preserve">közepesen súlyos </w:t>
      </w:r>
      <w:r>
        <w:rPr>
          <w:i w:val="0"/>
          <w:color w:val="auto"/>
          <w:szCs w:val="22"/>
        </w:rPr>
        <w:t xml:space="preserve">(a páciensek 27%-ánál) vagy súlyos (a páciensek 73%-ánál) glabella ráncok voltak láthatók a homlok maximális összeráncolásakor. A vizsgálók és a páciensek négypontos ráncskálán (FWS) történő értékelései alapján 20 egység Letybo jelentősen csökkentette a homlok maximális összeráncolásakor látható glabella ráncok súlyosságát. Az FWS kétpontos javulását igénylő végpont </w:t>
      </w:r>
      <w:r>
        <w:rPr>
          <w:i w:val="0"/>
          <w:color w:val="auto"/>
          <w:szCs w:val="22"/>
        </w:rPr>
        <w:lastRenderedPageBreak/>
        <w:t>alkalmazása esetén statisztikailag szignifikáns mértékű különbséget figyeltek meg a válaszarányban a Letybo javára. A vizsgálók 4. heti értékelése alapján a Letybo szintén magas, kedvező válaszarányt eredményezett, amikor a 0 vagy 1 pontos (nincs ránc vagy enyhe ráncok) FWS-pontszám elérését definiálták klinikailag jelentős válaszként (lásd 2. táblázat).</w:t>
      </w:r>
    </w:p>
    <w:p w14:paraId="74B792AE" w14:textId="77777777" w:rsidR="00DA4358" w:rsidRPr="00986907" w:rsidRDefault="00DA4358" w:rsidP="00CE56B0">
      <w:pPr>
        <w:pStyle w:val="Szvegtrzs"/>
        <w:rPr>
          <w:i w:val="0"/>
          <w:color w:val="auto"/>
          <w:szCs w:val="22"/>
        </w:rPr>
      </w:pPr>
    </w:p>
    <w:p w14:paraId="65FD9C9C" w14:textId="4440C325" w:rsidR="00BE18CC" w:rsidRPr="00E34025" w:rsidRDefault="006F29C8" w:rsidP="0002556D">
      <w:pPr>
        <w:pStyle w:val="Kpalrs"/>
        <w:spacing w:before="0" w:after="0"/>
        <w:rPr>
          <w:sz w:val="22"/>
          <w:szCs w:val="22"/>
          <w:lang w:eastAsia="ja-JP"/>
        </w:rPr>
      </w:pPr>
      <w:bookmarkStart w:id="8" w:name="_Ref535314386"/>
      <w:bookmarkStart w:id="9" w:name="_Toc536636184"/>
      <w:bookmarkStart w:id="10" w:name="_Toc2943642"/>
      <w:bookmarkStart w:id="11" w:name="_Toc5555949"/>
      <w:r>
        <w:rPr>
          <w:sz w:val="22"/>
          <w:szCs w:val="22"/>
        </w:rPr>
        <w:t>2.</w:t>
      </w:r>
      <w:bookmarkEnd w:id="8"/>
      <w:r>
        <w:rPr>
          <w:sz w:val="22"/>
          <w:szCs w:val="22"/>
        </w:rPr>
        <w:t> táblázat</w:t>
      </w:r>
      <w:r>
        <w:rPr>
          <w:sz w:val="22"/>
          <w:szCs w:val="22"/>
        </w:rPr>
        <w:tab/>
        <w:t>Válaszarány a kiindulástól a 4. hétig maximálisan összeráncolt homlok esetén a ráncskála (FWS) alapján a BLESS I, BLESS II és BLESS III vizsgálatban</w:t>
      </w:r>
      <w:bookmarkEnd w:id="9"/>
      <w:bookmarkEnd w:id="10"/>
      <w:bookmarkEnd w:id="11"/>
      <w:r>
        <w:rPr>
          <w:sz w:val="22"/>
          <w:szCs w:val="22"/>
        </w:rPr>
        <w:t xml:space="preserve"> – Teljes elemzési populáció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8"/>
        <w:gridCol w:w="1501"/>
        <w:gridCol w:w="1051"/>
        <w:gridCol w:w="1514"/>
        <w:gridCol w:w="1048"/>
        <w:gridCol w:w="1501"/>
        <w:gridCol w:w="1048"/>
      </w:tblGrid>
      <w:tr w:rsidR="00DA4358" w:rsidRPr="00986907" w14:paraId="1897B8DC" w14:textId="77777777" w:rsidTr="0002556D">
        <w:trPr>
          <w:trHeight w:val="309"/>
          <w:tblHeader/>
        </w:trPr>
        <w:tc>
          <w:tcPr>
            <w:tcW w:w="0" w:type="auto"/>
            <w:tcBorders>
              <w:top w:val="single" w:sz="4" w:space="0" w:color="000000"/>
              <w:left w:val="single" w:sz="4" w:space="0" w:color="000000"/>
              <w:bottom w:val="single" w:sz="4" w:space="0" w:color="000000"/>
              <w:right w:val="single" w:sz="4" w:space="0" w:color="000000"/>
            </w:tcBorders>
          </w:tcPr>
          <w:p w14:paraId="4AFE3E63" w14:textId="77777777" w:rsidR="00DA4358" w:rsidRPr="00986907" w:rsidRDefault="00DA4358" w:rsidP="00CE56B0">
            <w:pPr>
              <w:keepNext/>
              <w:tabs>
                <w:tab w:val="left" w:pos="7655"/>
              </w:tabs>
              <w:spacing w:beforeLines="20" w:before="48" w:afterLines="20" w:after="48" w:line="240" w:lineRule="auto"/>
              <w:rPr>
                <w:b/>
                <w:szCs w:val="22"/>
                <w:lang w:eastAsia="zh-CN"/>
              </w:rPr>
            </w:pPr>
          </w:p>
        </w:tc>
        <w:tc>
          <w:tcPr>
            <w:tcW w:w="0" w:type="auto"/>
            <w:gridSpan w:val="2"/>
            <w:tcBorders>
              <w:top w:val="single" w:sz="4" w:space="0" w:color="000000"/>
              <w:left w:val="single" w:sz="4" w:space="0" w:color="000000"/>
              <w:bottom w:val="single" w:sz="4" w:space="0" w:color="000000"/>
              <w:right w:val="single" w:sz="4" w:space="0" w:color="000000"/>
            </w:tcBorders>
            <w:hideMark/>
          </w:tcPr>
          <w:p w14:paraId="16AC3FEC" w14:textId="77777777" w:rsidR="00DA4358" w:rsidRPr="00986907" w:rsidRDefault="00DA4358" w:rsidP="00CE56B0">
            <w:pPr>
              <w:keepNext/>
              <w:tabs>
                <w:tab w:val="left" w:pos="7655"/>
              </w:tabs>
              <w:spacing w:beforeLines="20" w:before="48" w:afterLines="20" w:after="48" w:line="240" w:lineRule="auto"/>
              <w:ind w:left="-57" w:right="-57"/>
              <w:jc w:val="center"/>
              <w:rPr>
                <w:b/>
                <w:szCs w:val="22"/>
                <w:lang w:eastAsia="zh-CN"/>
              </w:rPr>
            </w:pPr>
            <w:r>
              <w:rPr>
                <w:b/>
                <w:szCs w:val="22"/>
              </w:rPr>
              <w:t>BLESS I</w:t>
            </w:r>
          </w:p>
        </w:tc>
        <w:tc>
          <w:tcPr>
            <w:tcW w:w="0" w:type="auto"/>
            <w:gridSpan w:val="2"/>
            <w:tcBorders>
              <w:top w:val="single" w:sz="4" w:space="0" w:color="000000"/>
              <w:left w:val="single" w:sz="4" w:space="0" w:color="000000"/>
              <w:bottom w:val="single" w:sz="4" w:space="0" w:color="000000"/>
              <w:right w:val="single" w:sz="4" w:space="0" w:color="000000"/>
            </w:tcBorders>
            <w:hideMark/>
          </w:tcPr>
          <w:p w14:paraId="0A80C3EE" w14:textId="77777777" w:rsidR="00DA4358" w:rsidRPr="00986907" w:rsidRDefault="00DA4358" w:rsidP="00CE56B0">
            <w:pPr>
              <w:keepNext/>
              <w:tabs>
                <w:tab w:val="left" w:pos="7655"/>
              </w:tabs>
              <w:spacing w:beforeLines="20" w:before="48" w:afterLines="20" w:after="48" w:line="240" w:lineRule="auto"/>
              <w:ind w:left="-57" w:right="-57"/>
              <w:jc w:val="center"/>
              <w:rPr>
                <w:b/>
                <w:szCs w:val="22"/>
                <w:lang w:eastAsia="zh-CN"/>
              </w:rPr>
            </w:pPr>
            <w:r>
              <w:rPr>
                <w:b/>
                <w:szCs w:val="22"/>
              </w:rPr>
              <w:t>BLESS II</w:t>
            </w:r>
          </w:p>
        </w:tc>
        <w:tc>
          <w:tcPr>
            <w:tcW w:w="0" w:type="auto"/>
            <w:gridSpan w:val="2"/>
            <w:tcBorders>
              <w:top w:val="single" w:sz="4" w:space="0" w:color="000000"/>
              <w:left w:val="single" w:sz="4" w:space="0" w:color="000000"/>
              <w:bottom w:val="single" w:sz="4" w:space="0" w:color="000000"/>
              <w:right w:val="single" w:sz="4" w:space="0" w:color="000000"/>
            </w:tcBorders>
          </w:tcPr>
          <w:p w14:paraId="691D000C" w14:textId="67A98DE2" w:rsidR="00DA4358" w:rsidRPr="00986907" w:rsidRDefault="00DA4358" w:rsidP="00CE56B0">
            <w:pPr>
              <w:keepNext/>
              <w:tabs>
                <w:tab w:val="left" w:pos="7655"/>
              </w:tabs>
              <w:spacing w:beforeLines="20" w:before="48" w:afterLines="20" w:after="48" w:line="240" w:lineRule="auto"/>
              <w:ind w:left="-57" w:right="-57"/>
              <w:jc w:val="center"/>
              <w:rPr>
                <w:b/>
                <w:szCs w:val="22"/>
                <w:lang w:eastAsia="zh-CN"/>
              </w:rPr>
            </w:pPr>
            <w:r>
              <w:rPr>
                <w:b/>
                <w:szCs w:val="22"/>
              </w:rPr>
              <w:t>BLESS III</w:t>
            </w:r>
          </w:p>
        </w:tc>
      </w:tr>
      <w:tr w:rsidR="00361B17" w:rsidRPr="00986907" w14:paraId="00BBD63D" w14:textId="77777777" w:rsidTr="0002556D">
        <w:trPr>
          <w:trHeight w:val="514"/>
          <w:tblHeader/>
        </w:trPr>
        <w:tc>
          <w:tcPr>
            <w:tcW w:w="0" w:type="auto"/>
            <w:tcBorders>
              <w:top w:val="single" w:sz="4" w:space="0" w:color="000000"/>
              <w:left w:val="single" w:sz="4" w:space="0" w:color="000000"/>
              <w:bottom w:val="single" w:sz="4" w:space="0" w:color="000000"/>
              <w:right w:val="single" w:sz="4" w:space="0" w:color="000000"/>
            </w:tcBorders>
            <w:vAlign w:val="bottom"/>
          </w:tcPr>
          <w:p w14:paraId="0F9B8400" w14:textId="77777777" w:rsidR="00DA4358" w:rsidRPr="00986907" w:rsidRDefault="00DA4358" w:rsidP="00CE56B0">
            <w:pPr>
              <w:keepNext/>
              <w:tabs>
                <w:tab w:val="left" w:pos="7655"/>
              </w:tabs>
              <w:spacing w:beforeLines="20" w:before="48" w:afterLines="20" w:after="48" w:line="240" w:lineRule="auto"/>
              <w:rPr>
                <w:b/>
                <w:szCs w:val="22"/>
                <w:lang w:eastAsia="zh-CN"/>
              </w:rPr>
            </w:pPr>
            <w:r>
              <w:rPr>
                <w:b/>
                <w:szCs w:val="22"/>
              </w:rPr>
              <w:t>Értékelő:</w:t>
            </w:r>
          </w:p>
        </w:tc>
        <w:tc>
          <w:tcPr>
            <w:tcW w:w="0" w:type="auto"/>
            <w:tcBorders>
              <w:top w:val="single" w:sz="4" w:space="0" w:color="000000"/>
              <w:left w:val="single" w:sz="4" w:space="0" w:color="000000"/>
              <w:bottom w:val="single" w:sz="4" w:space="0" w:color="000000"/>
              <w:right w:val="single" w:sz="4" w:space="0" w:color="000000"/>
            </w:tcBorders>
            <w:hideMark/>
          </w:tcPr>
          <w:p w14:paraId="5C23B0B1" w14:textId="657E0D11" w:rsidR="00DA4358" w:rsidRPr="00986907" w:rsidRDefault="009B6B80" w:rsidP="00CE56B0">
            <w:pPr>
              <w:keepNext/>
              <w:tabs>
                <w:tab w:val="left" w:pos="7655"/>
              </w:tabs>
              <w:spacing w:beforeLines="20" w:before="48" w:afterLines="20" w:after="48" w:line="240" w:lineRule="auto"/>
              <w:ind w:left="-57" w:right="-57"/>
              <w:jc w:val="center"/>
              <w:rPr>
                <w:b/>
                <w:szCs w:val="22"/>
                <w:lang w:eastAsia="zh-CN"/>
              </w:rPr>
            </w:pPr>
            <w:r>
              <w:rPr>
                <w:b/>
                <w:szCs w:val="22"/>
              </w:rPr>
              <w:t xml:space="preserve">Letybo </w:t>
            </w:r>
            <w:r>
              <w:br/>
            </w:r>
            <w:r>
              <w:rPr>
                <w:b/>
                <w:szCs w:val="22"/>
              </w:rPr>
              <w:t>(N = 529)</w:t>
            </w:r>
          </w:p>
        </w:tc>
        <w:tc>
          <w:tcPr>
            <w:tcW w:w="0" w:type="auto"/>
            <w:tcBorders>
              <w:top w:val="single" w:sz="4" w:space="0" w:color="000000"/>
              <w:left w:val="single" w:sz="4" w:space="0" w:color="000000"/>
              <w:bottom w:val="single" w:sz="4" w:space="0" w:color="000000"/>
              <w:right w:val="single" w:sz="4" w:space="0" w:color="000000"/>
            </w:tcBorders>
            <w:hideMark/>
          </w:tcPr>
          <w:p w14:paraId="603E5515" w14:textId="3E89356D" w:rsidR="00DA4358" w:rsidRPr="00986907" w:rsidRDefault="00DA4358" w:rsidP="00CE56B0">
            <w:pPr>
              <w:keepNext/>
              <w:tabs>
                <w:tab w:val="left" w:pos="7655"/>
              </w:tabs>
              <w:spacing w:beforeLines="20" w:before="48" w:afterLines="20" w:after="48" w:line="240" w:lineRule="auto"/>
              <w:ind w:left="-57" w:right="-57"/>
              <w:jc w:val="center"/>
              <w:rPr>
                <w:b/>
                <w:szCs w:val="22"/>
                <w:lang w:eastAsia="zh-CN"/>
              </w:rPr>
            </w:pPr>
            <w:r>
              <w:rPr>
                <w:b/>
                <w:szCs w:val="22"/>
              </w:rPr>
              <w:t xml:space="preserve">Placebo </w:t>
            </w:r>
            <w:r>
              <w:br/>
            </w:r>
            <w:r>
              <w:rPr>
                <w:b/>
                <w:szCs w:val="22"/>
              </w:rPr>
              <w:t>(N = 175)</w:t>
            </w:r>
          </w:p>
        </w:tc>
        <w:tc>
          <w:tcPr>
            <w:tcW w:w="0" w:type="auto"/>
            <w:tcBorders>
              <w:top w:val="single" w:sz="4" w:space="0" w:color="000000"/>
              <w:left w:val="single" w:sz="4" w:space="0" w:color="000000"/>
              <w:bottom w:val="single" w:sz="4" w:space="0" w:color="000000"/>
              <w:right w:val="single" w:sz="4" w:space="0" w:color="000000"/>
            </w:tcBorders>
            <w:hideMark/>
          </w:tcPr>
          <w:p w14:paraId="5252FE37" w14:textId="2F8AE95A" w:rsidR="00DA4358" w:rsidRPr="00986907" w:rsidRDefault="009B6B80" w:rsidP="00CE56B0">
            <w:pPr>
              <w:keepNext/>
              <w:tabs>
                <w:tab w:val="left" w:pos="7655"/>
              </w:tabs>
              <w:spacing w:beforeLines="20" w:before="48" w:afterLines="20" w:after="48" w:line="240" w:lineRule="auto"/>
              <w:ind w:left="-57" w:right="-57"/>
              <w:jc w:val="center"/>
              <w:rPr>
                <w:b/>
                <w:szCs w:val="22"/>
                <w:vertAlign w:val="superscript"/>
                <w:lang w:eastAsia="zh-CN"/>
              </w:rPr>
            </w:pPr>
            <w:r>
              <w:rPr>
                <w:b/>
                <w:szCs w:val="22"/>
              </w:rPr>
              <w:t>Letybo</w:t>
            </w:r>
            <w:r>
              <w:br/>
            </w:r>
            <w:r>
              <w:rPr>
                <w:b/>
                <w:szCs w:val="22"/>
              </w:rPr>
              <w:t>(N = 160)</w:t>
            </w:r>
          </w:p>
        </w:tc>
        <w:tc>
          <w:tcPr>
            <w:tcW w:w="0" w:type="auto"/>
            <w:tcBorders>
              <w:top w:val="single" w:sz="4" w:space="0" w:color="000000"/>
              <w:left w:val="single" w:sz="4" w:space="0" w:color="000000"/>
              <w:bottom w:val="single" w:sz="4" w:space="0" w:color="000000"/>
              <w:right w:val="single" w:sz="4" w:space="0" w:color="000000"/>
            </w:tcBorders>
            <w:hideMark/>
          </w:tcPr>
          <w:p w14:paraId="54EF59EC" w14:textId="531079F9" w:rsidR="00DA4358" w:rsidRPr="00986907" w:rsidRDefault="00DA4358" w:rsidP="00CE56B0">
            <w:pPr>
              <w:keepNext/>
              <w:tabs>
                <w:tab w:val="left" w:pos="7655"/>
              </w:tabs>
              <w:spacing w:beforeLines="20" w:before="48" w:afterLines="20" w:after="48" w:line="240" w:lineRule="auto"/>
              <w:ind w:left="-57" w:right="-57"/>
              <w:jc w:val="center"/>
              <w:rPr>
                <w:b/>
                <w:szCs w:val="22"/>
                <w:lang w:eastAsia="zh-CN"/>
              </w:rPr>
            </w:pPr>
            <w:r>
              <w:rPr>
                <w:b/>
                <w:szCs w:val="22"/>
              </w:rPr>
              <w:t xml:space="preserve">Placebo </w:t>
            </w:r>
            <w:r>
              <w:br/>
            </w:r>
            <w:r>
              <w:rPr>
                <w:b/>
                <w:szCs w:val="22"/>
              </w:rPr>
              <w:t>(N = 53)</w:t>
            </w:r>
          </w:p>
        </w:tc>
        <w:tc>
          <w:tcPr>
            <w:tcW w:w="0" w:type="auto"/>
            <w:tcBorders>
              <w:top w:val="single" w:sz="4" w:space="0" w:color="000000"/>
              <w:left w:val="single" w:sz="4" w:space="0" w:color="000000"/>
              <w:bottom w:val="single" w:sz="4" w:space="0" w:color="000000"/>
              <w:right w:val="single" w:sz="4" w:space="0" w:color="000000"/>
            </w:tcBorders>
            <w:hideMark/>
          </w:tcPr>
          <w:p w14:paraId="7D5999AF" w14:textId="13E31B96" w:rsidR="00DA4358" w:rsidRPr="00986907" w:rsidRDefault="009B6B80" w:rsidP="00CE56B0">
            <w:pPr>
              <w:keepNext/>
              <w:tabs>
                <w:tab w:val="left" w:pos="7655"/>
              </w:tabs>
              <w:spacing w:beforeLines="20" w:before="48" w:afterLines="20" w:after="48" w:line="240" w:lineRule="auto"/>
              <w:ind w:left="-57" w:right="-57"/>
              <w:jc w:val="center"/>
              <w:rPr>
                <w:b/>
                <w:szCs w:val="22"/>
                <w:lang w:eastAsia="zh-CN"/>
              </w:rPr>
            </w:pPr>
            <w:r>
              <w:rPr>
                <w:b/>
                <w:szCs w:val="22"/>
              </w:rPr>
              <w:t>Letybo</w:t>
            </w:r>
            <w:r>
              <w:br/>
            </w:r>
            <w:r>
              <w:rPr>
                <w:b/>
                <w:szCs w:val="22"/>
              </w:rPr>
              <w:t>(N = 266)</w:t>
            </w:r>
          </w:p>
        </w:tc>
        <w:tc>
          <w:tcPr>
            <w:tcW w:w="0" w:type="auto"/>
            <w:tcBorders>
              <w:top w:val="single" w:sz="4" w:space="0" w:color="000000"/>
              <w:left w:val="single" w:sz="4" w:space="0" w:color="000000"/>
              <w:bottom w:val="single" w:sz="4" w:space="0" w:color="000000"/>
              <w:right w:val="single" w:sz="4" w:space="0" w:color="000000"/>
            </w:tcBorders>
            <w:hideMark/>
          </w:tcPr>
          <w:p w14:paraId="7169BE71" w14:textId="15F7B854" w:rsidR="00DA4358" w:rsidRPr="00986907" w:rsidRDefault="00DA4358" w:rsidP="00CE56B0">
            <w:pPr>
              <w:keepNext/>
              <w:tabs>
                <w:tab w:val="left" w:pos="7655"/>
              </w:tabs>
              <w:spacing w:beforeLines="20" w:before="48" w:afterLines="20" w:after="48" w:line="240" w:lineRule="auto"/>
              <w:ind w:left="-57" w:right="-57"/>
              <w:jc w:val="center"/>
              <w:rPr>
                <w:b/>
                <w:szCs w:val="22"/>
                <w:vertAlign w:val="superscript"/>
                <w:lang w:eastAsia="zh-CN"/>
              </w:rPr>
            </w:pPr>
            <w:r>
              <w:rPr>
                <w:b/>
                <w:szCs w:val="22"/>
              </w:rPr>
              <w:t xml:space="preserve">Placebo </w:t>
            </w:r>
            <w:r>
              <w:br/>
            </w:r>
            <w:r>
              <w:rPr>
                <w:b/>
                <w:szCs w:val="22"/>
              </w:rPr>
              <w:t>(N = 89)</w:t>
            </w:r>
          </w:p>
        </w:tc>
      </w:tr>
      <w:tr w:rsidR="00DA4358" w:rsidRPr="00986907" w14:paraId="181BBB0D" w14:textId="77777777" w:rsidTr="0002556D">
        <w:trPr>
          <w:trHeight w:val="309"/>
        </w:trPr>
        <w:tc>
          <w:tcPr>
            <w:tcW w:w="0" w:type="auto"/>
            <w:gridSpan w:val="7"/>
            <w:tcBorders>
              <w:top w:val="single" w:sz="4" w:space="0" w:color="000000"/>
              <w:left w:val="single" w:sz="4" w:space="0" w:color="000000"/>
              <w:bottom w:val="single" w:sz="4" w:space="0" w:color="000000"/>
              <w:right w:val="single" w:sz="4" w:space="0" w:color="000000"/>
            </w:tcBorders>
            <w:hideMark/>
          </w:tcPr>
          <w:p w14:paraId="411685E7" w14:textId="540CC455" w:rsidR="00DA4358" w:rsidRPr="00986907" w:rsidRDefault="00DA4358" w:rsidP="0002556D">
            <w:pPr>
              <w:keepNext/>
              <w:tabs>
                <w:tab w:val="left" w:pos="7655"/>
              </w:tabs>
              <w:spacing w:line="240" w:lineRule="auto"/>
              <w:jc w:val="center"/>
              <w:rPr>
                <w:b/>
                <w:i/>
                <w:szCs w:val="22"/>
                <w:vertAlign w:val="superscript"/>
                <w:lang w:eastAsia="zh-CN"/>
              </w:rPr>
            </w:pPr>
            <w:r>
              <w:rPr>
                <w:b/>
                <w:i/>
                <w:szCs w:val="22"/>
              </w:rPr>
              <w:t>Válaszarány (n [%]): Az FWS-pontszám csökkenése közepesről vagy súlyosról nullára vagy enyhére (≥ 2 pontos javulás szükséges)</w:t>
            </w:r>
            <w:r>
              <w:rPr>
                <w:b/>
                <w:i/>
                <w:szCs w:val="22"/>
                <w:vertAlign w:val="superscript"/>
              </w:rPr>
              <w:t>a</w:t>
            </w:r>
          </w:p>
        </w:tc>
      </w:tr>
      <w:tr w:rsidR="00DA4358" w:rsidRPr="00986907" w14:paraId="0CB60D93" w14:textId="77777777" w:rsidTr="0002556D">
        <w:trPr>
          <w:trHeight w:val="309"/>
        </w:trPr>
        <w:tc>
          <w:tcPr>
            <w:tcW w:w="0" w:type="auto"/>
            <w:tcBorders>
              <w:top w:val="single" w:sz="4" w:space="0" w:color="000000"/>
              <w:left w:val="single" w:sz="4" w:space="0" w:color="000000"/>
              <w:bottom w:val="single" w:sz="4" w:space="0" w:color="000000"/>
              <w:right w:val="single" w:sz="4" w:space="0" w:color="000000"/>
            </w:tcBorders>
            <w:hideMark/>
          </w:tcPr>
          <w:p w14:paraId="7AE38F47" w14:textId="77777777" w:rsidR="00DA4358" w:rsidRPr="00986907" w:rsidRDefault="00DA4358" w:rsidP="00CE56B0">
            <w:pPr>
              <w:keepNext/>
              <w:tabs>
                <w:tab w:val="left" w:pos="7655"/>
              </w:tabs>
              <w:spacing w:beforeLines="20" w:before="48" w:afterLines="20" w:after="48" w:line="240" w:lineRule="auto"/>
              <w:rPr>
                <w:szCs w:val="22"/>
              </w:rPr>
            </w:pPr>
            <w:r>
              <w:rPr>
                <w:szCs w:val="22"/>
              </w:rPr>
              <w:t>Vizsgáló ÉS páciens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6FC816B" w14:textId="3CC85858" w:rsidR="00DA4358" w:rsidRPr="00986907" w:rsidRDefault="00DA4358" w:rsidP="00CE56B0">
            <w:pPr>
              <w:keepNext/>
              <w:tabs>
                <w:tab w:val="left" w:pos="7655"/>
              </w:tabs>
              <w:spacing w:beforeLines="20" w:before="48" w:afterLines="20" w:after="48" w:line="240" w:lineRule="auto"/>
              <w:ind w:left="-57" w:right="-57"/>
              <w:jc w:val="center"/>
              <w:rPr>
                <w:szCs w:val="22"/>
                <w:lang w:eastAsia="zh-CN"/>
              </w:rPr>
            </w:pPr>
            <w:r>
              <w:rPr>
                <w:szCs w:val="22"/>
              </w:rPr>
              <w:t>246 (46,5%)*</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FFDABA2" w14:textId="2CA0E944" w:rsidR="00DA4358" w:rsidRPr="00986907" w:rsidRDefault="00D7218E" w:rsidP="00CE56B0">
            <w:pPr>
              <w:keepNext/>
              <w:tabs>
                <w:tab w:val="left" w:pos="7655"/>
              </w:tabs>
              <w:spacing w:beforeLines="20" w:before="48" w:afterLines="20" w:after="48" w:line="240" w:lineRule="auto"/>
              <w:ind w:left="-57" w:right="-57"/>
              <w:jc w:val="center"/>
              <w:rPr>
                <w:szCs w:val="22"/>
                <w:lang w:eastAsia="zh-CN"/>
              </w:rPr>
            </w:pPr>
            <w:r>
              <w:rPr>
                <w:szCs w:val="22"/>
              </w:rPr>
              <w:t>0 (0%)</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1AE1D72" w14:textId="1FD69B66" w:rsidR="00DA4358" w:rsidRPr="00986907" w:rsidRDefault="00DA4358" w:rsidP="00CE56B0">
            <w:pPr>
              <w:keepNext/>
              <w:tabs>
                <w:tab w:val="left" w:pos="7655"/>
              </w:tabs>
              <w:spacing w:beforeLines="20" w:before="48" w:afterLines="20" w:after="48" w:line="240" w:lineRule="auto"/>
              <w:ind w:left="-57" w:right="-57"/>
              <w:jc w:val="center"/>
              <w:rPr>
                <w:szCs w:val="22"/>
                <w:lang w:eastAsia="zh-CN"/>
              </w:rPr>
            </w:pPr>
            <w:r>
              <w:rPr>
                <w:szCs w:val="22"/>
              </w:rPr>
              <w:t>78 (48,8%)*</w:t>
            </w:r>
          </w:p>
        </w:tc>
        <w:tc>
          <w:tcPr>
            <w:tcW w:w="0" w:type="auto"/>
            <w:tcBorders>
              <w:top w:val="single" w:sz="4" w:space="0" w:color="000000"/>
              <w:left w:val="single" w:sz="4" w:space="0" w:color="000000"/>
              <w:bottom w:val="single" w:sz="4" w:space="0" w:color="000000"/>
              <w:right w:val="single" w:sz="4" w:space="0" w:color="000000"/>
            </w:tcBorders>
            <w:vAlign w:val="center"/>
          </w:tcPr>
          <w:p w14:paraId="6FAC9612" w14:textId="37BF984D" w:rsidR="00DA4358" w:rsidRPr="00986907" w:rsidRDefault="00D7218E" w:rsidP="00CE56B0">
            <w:pPr>
              <w:keepNext/>
              <w:tabs>
                <w:tab w:val="left" w:pos="7655"/>
              </w:tabs>
              <w:spacing w:beforeLines="20" w:before="48" w:afterLines="20" w:after="48" w:line="240" w:lineRule="auto"/>
              <w:ind w:left="-57" w:right="-57"/>
              <w:jc w:val="center"/>
              <w:rPr>
                <w:szCs w:val="22"/>
                <w:lang w:eastAsia="zh-CN"/>
              </w:rPr>
            </w:pPr>
            <w:r>
              <w:rPr>
                <w:szCs w:val="22"/>
              </w:rPr>
              <w:t>1 (1,9%)</w:t>
            </w:r>
          </w:p>
        </w:tc>
        <w:tc>
          <w:tcPr>
            <w:tcW w:w="0" w:type="auto"/>
            <w:tcBorders>
              <w:top w:val="single" w:sz="4" w:space="0" w:color="000000"/>
              <w:left w:val="single" w:sz="4" w:space="0" w:color="000000"/>
              <w:bottom w:val="single" w:sz="4" w:space="0" w:color="000000"/>
              <w:right w:val="single" w:sz="4" w:space="0" w:color="000000"/>
            </w:tcBorders>
            <w:vAlign w:val="center"/>
          </w:tcPr>
          <w:p w14:paraId="4B0633D0" w14:textId="5ECD1584" w:rsidR="00DA4358" w:rsidRPr="00986907" w:rsidRDefault="00DA4358" w:rsidP="00CE56B0">
            <w:pPr>
              <w:keepNext/>
              <w:tabs>
                <w:tab w:val="left" w:pos="7655"/>
              </w:tabs>
              <w:spacing w:beforeLines="20" w:before="48" w:afterLines="20" w:after="48" w:line="240" w:lineRule="auto"/>
              <w:ind w:left="-57" w:right="-57"/>
              <w:jc w:val="center"/>
              <w:rPr>
                <w:szCs w:val="22"/>
                <w:lang w:eastAsia="zh-CN"/>
              </w:rPr>
            </w:pPr>
            <w:r>
              <w:rPr>
                <w:szCs w:val="22"/>
              </w:rPr>
              <w:t>172 (64,7%)*</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7FE9565" w14:textId="2E6A6061" w:rsidR="00DA4358" w:rsidRPr="00986907" w:rsidRDefault="00D7218E" w:rsidP="00CE56B0">
            <w:pPr>
              <w:keepNext/>
              <w:tabs>
                <w:tab w:val="left" w:pos="7655"/>
              </w:tabs>
              <w:spacing w:beforeLines="20" w:before="48" w:afterLines="20" w:after="48" w:line="240" w:lineRule="auto"/>
              <w:ind w:left="-57" w:right="-57"/>
              <w:jc w:val="center"/>
              <w:rPr>
                <w:szCs w:val="22"/>
                <w:lang w:eastAsia="zh-CN"/>
              </w:rPr>
            </w:pPr>
            <w:r>
              <w:rPr>
                <w:szCs w:val="22"/>
              </w:rPr>
              <w:t>0 (0,0%)</w:t>
            </w:r>
          </w:p>
        </w:tc>
      </w:tr>
      <w:tr w:rsidR="00361B17" w:rsidRPr="00986907" w14:paraId="7AC14DE8" w14:textId="77777777" w:rsidTr="0002556D">
        <w:trPr>
          <w:trHeight w:val="309"/>
        </w:trPr>
        <w:tc>
          <w:tcPr>
            <w:tcW w:w="0" w:type="auto"/>
            <w:tcBorders>
              <w:top w:val="single" w:sz="4" w:space="0" w:color="000000"/>
              <w:left w:val="single" w:sz="4" w:space="0" w:color="000000"/>
              <w:bottom w:val="single" w:sz="4" w:space="0" w:color="000000"/>
              <w:right w:val="single" w:sz="4" w:space="0" w:color="000000"/>
            </w:tcBorders>
            <w:hideMark/>
          </w:tcPr>
          <w:p w14:paraId="3F3377A0" w14:textId="77777777" w:rsidR="00DA4358" w:rsidRPr="00986907" w:rsidRDefault="00DA4358" w:rsidP="00CE56B0">
            <w:pPr>
              <w:keepNext/>
              <w:tabs>
                <w:tab w:val="left" w:pos="7655"/>
              </w:tabs>
              <w:spacing w:beforeLines="20" w:before="48" w:afterLines="20" w:after="48" w:line="240" w:lineRule="auto"/>
              <w:rPr>
                <w:szCs w:val="22"/>
              </w:rPr>
            </w:pPr>
            <w:r>
              <w:rPr>
                <w:szCs w:val="22"/>
              </w:rPr>
              <w:t>Vizsgáló</w:t>
            </w:r>
          </w:p>
        </w:tc>
        <w:tc>
          <w:tcPr>
            <w:tcW w:w="0" w:type="auto"/>
            <w:tcBorders>
              <w:top w:val="single" w:sz="4" w:space="0" w:color="000000"/>
              <w:left w:val="single" w:sz="4" w:space="0" w:color="000000"/>
              <w:bottom w:val="single" w:sz="4" w:space="0" w:color="000000"/>
              <w:right w:val="single" w:sz="4" w:space="0" w:color="000000"/>
            </w:tcBorders>
          </w:tcPr>
          <w:p w14:paraId="348109F2" w14:textId="5B0341D4" w:rsidR="00DA4358" w:rsidRPr="00986907" w:rsidRDefault="00DA4358" w:rsidP="00CE56B0">
            <w:pPr>
              <w:keepNext/>
              <w:tabs>
                <w:tab w:val="left" w:pos="7655"/>
              </w:tabs>
              <w:spacing w:beforeLines="20" w:before="48" w:afterLines="20" w:after="48" w:line="240" w:lineRule="auto"/>
              <w:ind w:left="-57" w:right="-57"/>
              <w:jc w:val="center"/>
              <w:rPr>
                <w:szCs w:val="22"/>
                <w:lang w:eastAsia="zh-CN"/>
              </w:rPr>
            </w:pPr>
            <w:r>
              <w:rPr>
                <w:szCs w:val="22"/>
              </w:rPr>
              <w:t>348 (65,8%)*</w:t>
            </w:r>
          </w:p>
        </w:tc>
        <w:tc>
          <w:tcPr>
            <w:tcW w:w="0" w:type="auto"/>
            <w:tcBorders>
              <w:top w:val="single" w:sz="4" w:space="0" w:color="000000"/>
              <w:left w:val="single" w:sz="4" w:space="0" w:color="000000"/>
              <w:bottom w:val="single" w:sz="4" w:space="0" w:color="000000"/>
              <w:right w:val="single" w:sz="4" w:space="0" w:color="000000"/>
            </w:tcBorders>
          </w:tcPr>
          <w:p w14:paraId="55675411" w14:textId="7ED29402" w:rsidR="00DA4358" w:rsidRPr="00986907" w:rsidRDefault="00D7218E" w:rsidP="00CE56B0">
            <w:pPr>
              <w:keepNext/>
              <w:tabs>
                <w:tab w:val="left" w:pos="7655"/>
              </w:tabs>
              <w:spacing w:beforeLines="20" w:before="48" w:afterLines="20" w:after="48" w:line="240" w:lineRule="auto"/>
              <w:ind w:left="-57" w:right="-57"/>
              <w:jc w:val="center"/>
              <w:rPr>
                <w:szCs w:val="22"/>
                <w:lang w:eastAsia="zh-CN"/>
              </w:rPr>
            </w:pPr>
            <w:r>
              <w:rPr>
                <w:szCs w:val="22"/>
              </w:rPr>
              <w:t>1 (0,6%)</w:t>
            </w:r>
          </w:p>
        </w:tc>
        <w:tc>
          <w:tcPr>
            <w:tcW w:w="0" w:type="auto"/>
            <w:tcBorders>
              <w:top w:val="single" w:sz="4" w:space="0" w:color="000000"/>
              <w:left w:val="single" w:sz="4" w:space="0" w:color="000000"/>
              <w:bottom w:val="single" w:sz="4" w:space="0" w:color="000000"/>
              <w:right w:val="single" w:sz="4" w:space="0" w:color="000000"/>
            </w:tcBorders>
          </w:tcPr>
          <w:p w14:paraId="7810F121" w14:textId="05F2F6D1" w:rsidR="00DA4358" w:rsidRPr="00986907" w:rsidRDefault="00DA4358" w:rsidP="00CE56B0">
            <w:pPr>
              <w:keepNext/>
              <w:tabs>
                <w:tab w:val="left" w:pos="7655"/>
              </w:tabs>
              <w:spacing w:beforeLines="20" w:before="48" w:afterLines="20" w:after="48" w:line="240" w:lineRule="auto"/>
              <w:ind w:left="-57" w:right="-57"/>
              <w:jc w:val="center"/>
              <w:rPr>
                <w:szCs w:val="22"/>
                <w:lang w:eastAsia="zh-CN"/>
              </w:rPr>
            </w:pPr>
            <w:r>
              <w:rPr>
                <w:szCs w:val="22"/>
              </w:rPr>
              <w:t>120 (75,0%)*</w:t>
            </w:r>
          </w:p>
        </w:tc>
        <w:tc>
          <w:tcPr>
            <w:tcW w:w="0" w:type="auto"/>
            <w:tcBorders>
              <w:top w:val="single" w:sz="4" w:space="0" w:color="000000"/>
              <w:left w:val="single" w:sz="4" w:space="0" w:color="000000"/>
              <w:bottom w:val="single" w:sz="4" w:space="0" w:color="000000"/>
              <w:right w:val="single" w:sz="4" w:space="0" w:color="000000"/>
            </w:tcBorders>
          </w:tcPr>
          <w:p w14:paraId="3CFF80D7" w14:textId="26F869A6" w:rsidR="00DA4358" w:rsidRPr="00986907" w:rsidRDefault="00D7218E" w:rsidP="00CE56B0">
            <w:pPr>
              <w:keepNext/>
              <w:tabs>
                <w:tab w:val="left" w:pos="7655"/>
              </w:tabs>
              <w:spacing w:beforeLines="20" w:before="48" w:afterLines="20" w:after="48" w:line="240" w:lineRule="auto"/>
              <w:ind w:left="-57" w:right="-57"/>
              <w:jc w:val="center"/>
              <w:rPr>
                <w:szCs w:val="22"/>
                <w:lang w:eastAsia="zh-CN"/>
              </w:rPr>
            </w:pPr>
            <w:r>
              <w:rPr>
                <w:szCs w:val="22"/>
              </w:rPr>
              <w:t>1 (1,9%)</w:t>
            </w:r>
          </w:p>
        </w:tc>
        <w:tc>
          <w:tcPr>
            <w:tcW w:w="0" w:type="auto"/>
            <w:tcBorders>
              <w:top w:val="single" w:sz="4" w:space="0" w:color="000000"/>
              <w:left w:val="single" w:sz="4" w:space="0" w:color="000000"/>
              <w:bottom w:val="single" w:sz="4" w:space="0" w:color="000000"/>
              <w:right w:val="single" w:sz="4" w:space="0" w:color="000000"/>
            </w:tcBorders>
            <w:vAlign w:val="center"/>
          </w:tcPr>
          <w:p w14:paraId="30FE89B4" w14:textId="7CBF5DFD" w:rsidR="00DA4358" w:rsidRPr="00986907" w:rsidRDefault="00DA4358" w:rsidP="00CE56B0">
            <w:pPr>
              <w:keepNext/>
              <w:tabs>
                <w:tab w:val="left" w:pos="7655"/>
              </w:tabs>
              <w:spacing w:beforeLines="20" w:before="48" w:afterLines="20" w:after="48" w:line="240" w:lineRule="auto"/>
              <w:ind w:left="-57" w:right="-57"/>
              <w:jc w:val="center"/>
              <w:rPr>
                <w:szCs w:val="22"/>
                <w:lang w:eastAsia="zh-CN"/>
              </w:rPr>
            </w:pPr>
            <w:r>
              <w:rPr>
                <w:szCs w:val="22"/>
              </w:rPr>
              <w:t>209 (78,6%)*</w:t>
            </w:r>
          </w:p>
        </w:tc>
        <w:tc>
          <w:tcPr>
            <w:tcW w:w="0" w:type="auto"/>
            <w:tcBorders>
              <w:top w:val="single" w:sz="4" w:space="0" w:color="000000"/>
              <w:left w:val="single" w:sz="4" w:space="0" w:color="000000"/>
              <w:bottom w:val="single" w:sz="4" w:space="0" w:color="000000"/>
              <w:right w:val="single" w:sz="4" w:space="0" w:color="000000"/>
            </w:tcBorders>
            <w:vAlign w:val="center"/>
          </w:tcPr>
          <w:p w14:paraId="2FF590D0" w14:textId="7BD18E6D" w:rsidR="00DA4358" w:rsidRPr="00986907" w:rsidRDefault="00D7218E" w:rsidP="00CE56B0">
            <w:pPr>
              <w:keepNext/>
              <w:tabs>
                <w:tab w:val="left" w:pos="7655"/>
              </w:tabs>
              <w:spacing w:beforeLines="20" w:before="48" w:afterLines="20" w:after="48" w:line="240" w:lineRule="auto"/>
              <w:ind w:left="-57" w:right="-57"/>
              <w:jc w:val="center"/>
              <w:rPr>
                <w:szCs w:val="22"/>
                <w:lang w:eastAsia="zh-CN"/>
              </w:rPr>
            </w:pPr>
            <w:r>
              <w:rPr>
                <w:szCs w:val="22"/>
              </w:rPr>
              <w:t>1 (1,1%)</w:t>
            </w:r>
          </w:p>
        </w:tc>
      </w:tr>
      <w:tr w:rsidR="00361B17" w:rsidRPr="00986907" w14:paraId="5D61FE99" w14:textId="77777777" w:rsidTr="0002556D">
        <w:trPr>
          <w:trHeight w:val="295"/>
        </w:trPr>
        <w:tc>
          <w:tcPr>
            <w:tcW w:w="0" w:type="auto"/>
            <w:tcBorders>
              <w:top w:val="single" w:sz="4" w:space="0" w:color="000000"/>
              <w:left w:val="single" w:sz="4" w:space="0" w:color="000000"/>
              <w:bottom w:val="single" w:sz="4" w:space="0" w:color="000000"/>
              <w:right w:val="single" w:sz="4" w:space="0" w:color="000000"/>
            </w:tcBorders>
            <w:hideMark/>
          </w:tcPr>
          <w:p w14:paraId="64D6AF05" w14:textId="77777777" w:rsidR="00DA4358" w:rsidRPr="00986907" w:rsidRDefault="00DA4358" w:rsidP="00CE56B0">
            <w:pPr>
              <w:tabs>
                <w:tab w:val="left" w:pos="7655"/>
              </w:tabs>
              <w:spacing w:beforeLines="20" w:before="48" w:afterLines="20" w:after="48" w:line="240" w:lineRule="auto"/>
              <w:rPr>
                <w:szCs w:val="22"/>
              </w:rPr>
            </w:pPr>
            <w:r>
              <w:rPr>
                <w:szCs w:val="22"/>
              </w:rPr>
              <w:t>Páciens</w:t>
            </w:r>
          </w:p>
        </w:tc>
        <w:tc>
          <w:tcPr>
            <w:tcW w:w="0" w:type="auto"/>
            <w:tcBorders>
              <w:top w:val="single" w:sz="4" w:space="0" w:color="000000"/>
              <w:left w:val="single" w:sz="4" w:space="0" w:color="000000"/>
              <w:bottom w:val="single" w:sz="4" w:space="0" w:color="000000"/>
              <w:right w:val="single" w:sz="4" w:space="0" w:color="000000"/>
            </w:tcBorders>
          </w:tcPr>
          <w:p w14:paraId="1B0548D5" w14:textId="4F69A7AA" w:rsidR="00DA4358" w:rsidRPr="00986907" w:rsidRDefault="00DA4358" w:rsidP="00CE56B0">
            <w:pPr>
              <w:tabs>
                <w:tab w:val="left" w:pos="7655"/>
              </w:tabs>
              <w:spacing w:beforeLines="20" w:before="48" w:afterLines="20" w:after="48" w:line="240" w:lineRule="auto"/>
              <w:ind w:left="-57" w:right="-57"/>
              <w:jc w:val="center"/>
              <w:rPr>
                <w:szCs w:val="22"/>
                <w:lang w:eastAsia="zh-CN"/>
              </w:rPr>
            </w:pPr>
            <w:r>
              <w:rPr>
                <w:szCs w:val="22"/>
              </w:rPr>
              <w:t>290 (54,8%)*</w:t>
            </w:r>
          </w:p>
        </w:tc>
        <w:tc>
          <w:tcPr>
            <w:tcW w:w="0" w:type="auto"/>
            <w:tcBorders>
              <w:top w:val="single" w:sz="4" w:space="0" w:color="000000"/>
              <w:left w:val="single" w:sz="4" w:space="0" w:color="000000"/>
              <w:bottom w:val="single" w:sz="4" w:space="0" w:color="000000"/>
              <w:right w:val="single" w:sz="4" w:space="0" w:color="000000"/>
            </w:tcBorders>
          </w:tcPr>
          <w:p w14:paraId="34C7CA14" w14:textId="2A5EB120" w:rsidR="00DA4358" w:rsidRPr="00986907" w:rsidRDefault="00D7218E" w:rsidP="00CE56B0">
            <w:pPr>
              <w:tabs>
                <w:tab w:val="left" w:pos="7655"/>
              </w:tabs>
              <w:spacing w:beforeLines="20" w:before="48" w:afterLines="20" w:after="48" w:line="240" w:lineRule="auto"/>
              <w:ind w:left="-57" w:right="-57"/>
              <w:jc w:val="center"/>
              <w:rPr>
                <w:szCs w:val="22"/>
                <w:lang w:eastAsia="zh-CN"/>
              </w:rPr>
            </w:pPr>
            <w:r>
              <w:rPr>
                <w:szCs w:val="22"/>
              </w:rPr>
              <w:t>0 (0%)</w:t>
            </w:r>
          </w:p>
        </w:tc>
        <w:tc>
          <w:tcPr>
            <w:tcW w:w="0" w:type="auto"/>
            <w:tcBorders>
              <w:top w:val="single" w:sz="4" w:space="0" w:color="000000"/>
              <w:left w:val="single" w:sz="4" w:space="0" w:color="000000"/>
              <w:bottom w:val="single" w:sz="4" w:space="0" w:color="000000"/>
              <w:right w:val="single" w:sz="4" w:space="0" w:color="000000"/>
            </w:tcBorders>
          </w:tcPr>
          <w:p w14:paraId="6FA02BAB" w14:textId="09747B6E" w:rsidR="00DA4358" w:rsidRPr="00986907" w:rsidRDefault="00DA4358" w:rsidP="00CE56B0">
            <w:pPr>
              <w:tabs>
                <w:tab w:val="left" w:pos="7655"/>
              </w:tabs>
              <w:spacing w:beforeLines="20" w:before="48" w:afterLines="20" w:after="48" w:line="240" w:lineRule="auto"/>
              <w:ind w:left="-57" w:right="-57"/>
              <w:jc w:val="center"/>
              <w:rPr>
                <w:szCs w:val="22"/>
                <w:lang w:eastAsia="zh-CN"/>
              </w:rPr>
            </w:pPr>
            <w:r>
              <w:rPr>
                <w:szCs w:val="22"/>
              </w:rPr>
              <w:t>83 (51,9%)*</w:t>
            </w:r>
          </w:p>
        </w:tc>
        <w:tc>
          <w:tcPr>
            <w:tcW w:w="0" w:type="auto"/>
            <w:tcBorders>
              <w:top w:val="single" w:sz="4" w:space="0" w:color="000000"/>
              <w:left w:val="single" w:sz="4" w:space="0" w:color="000000"/>
              <w:bottom w:val="single" w:sz="4" w:space="0" w:color="000000"/>
              <w:right w:val="single" w:sz="4" w:space="0" w:color="000000"/>
            </w:tcBorders>
          </w:tcPr>
          <w:p w14:paraId="6EB8271E" w14:textId="2A9D720F" w:rsidR="00DA4358" w:rsidRPr="00986907" w:rsidRDefault="00D7218E" w:rsidP="00CE56B0">
            <w:pPr>
              <w:tabs>
                <w:tab w:val="left" w:pos="7655"/>
              </w:tabs>
              <w:spacing w:beforeLines="20" w:before="48" w:afterLines="20" w:after="48" w:line="240" w:lineRule="auto"/>
              <w:ind w:left="-57" w:right="-57"/>
              <w:jc w:val="center"/>
              <w:rPr>
                <w:szCs w:val="22"/>
                <w:lang w:eastAsia="zh-CN"/>
              </w:rPr>
            </w:pPr>
            <w:r>
              <w:rPr>
                <w:szCs w:val="22"/>
              </w:rPr>
              <w:t>1 (1,9%)</w:t>
            </w:r>
          </w:p>
        </w:tc>
        <w:tc>
          <w:tcPr>
            <w:tcW w:w="0" w:type="auto"/>
            <w:tcBorders>
              <w:top w:val="single" w:sz="4" w:space="0" w:color="000000"/>
              <w:left w:val="single" w:sz="4" w:space="0" w:color="000000"/>
              <w:bottom w:val="single" w:sz="4" w:space="0" w:color="000000"/>
              <w:right w:val="single" w:sz="4" w:space="0" w:color="000000"/>
            </w:tcBorders>
            <w:vAlign w:val="center"/>
          </w:tcPr>
          <w:p w14:paraId="29C1AE99" w14:textId="5485A879" w:rsidR="00DA4358" w:rsidRPr="00986907" w:rsidRDefault="00DA4358" w:rsidP="00CE56B0">
            <w:pPr>
              <w:keepNext/>
              <w:tabs>
                <w:tab w:val="left" w:pos="7655"/>
              </w:tabs>
              <w:spacing w:beforeLines="20" w:before="48" w:afterLines="20" w:after="48" w:line="240" w:lineRule="auto"/>
              <w:ind w:left="-57" w:right="-57"/>
              <w:jc w:val="center"/>
              <w:rPr>
                <w:szCs w:val="22"/>
                <w:lang w:eastAsia="zh-CN"/>
              </w:rPr>
            </w:pPr>
            <w:r>
              <w:rPr>
                <w:szCs w:val="22"/>
              </w:rPr>
              <w:t>183 (68,8%)*</w:t>
            </w:r>
          </w:p>
        </w:tc>
        <w:tc>
          <w:tcPr>
            <w:tcW w:w="0" w:type="auto"/>
            <w:tcBorders>
              <w:top w:val="single" w:sz="4" w:space="0" w:color="000000"/>
              <w:left w:val="single" w:sz="4" w:space="0" w:color="000000"/>
              <w:bottom w:val="single" w:sz="4" w:space="0" w:color="000000"/>
              <w:right w:val="single" w:sz="4" w:space="0" w:color="000000"/>
            </w:tcBorders>
            <w:vAlign w:val="center"/>
          </w:tcPr>
          <w:p w14:paraId="0653F170" w14:textId="3B87696F" w:rsidR="00DA4358" w:rsidRPr="00986907" w:rsidRDefault="00D7218E" w:rsidP="00CE56B0">
            <w:pPr>
              <w:keepNext/>
              <w:tabs>
                <w:tab w:val="left" w:pos="7655"/>
              </w:tabs>
              <w:spacing w:beforeLines="20" w:before="48" w:afterLines="20" w:after="48" w:line="240" w:lineRule="auto"/>
              <w:ind w:left="-57" w:right="-57"/>
              <w:jc w:val="center"/>
              <w:rPr>
                <w:szCs w:val="22"/>
                <w:lang w:eastAsia="zh-CN"/>
              </w:rPr>
            </w:pPr>
            <w:r>
              <w:rPr>
                <w:szCs w:val="22"/>
              </w:rPr>
              <w:t>0 (0,0%)</w:t>
            </w:r>
          </w:p>
        </w:tc>
      </w:tr>
      <w:tr w:rsidR="00DA4358" w:rsidRPr="00986907" w14:paraId="741F6E44" w14:textId="77777777" w:rsidTr="0002556D">
        <w:trPr>
          <w:trHeight w:val="309"/>
        </w:trPr>
        <w:tc>
          <w:tcPr>
            <w:tcW w:w="0" w:type="auto"/>
            <w:gridSpan w:val="7"/>
            <w:tcBorders>
              <w:top w:val="single" w:sz="4" w:space="0" w:color="000000"/>
              <w:left w:val="single" w:sz="4" w:space="0" w:color="000000"/>
              <w:bottom w:val="single" w:sz="4" w:space="0" w:color="000000"/>
              <w:right w:val="single" w:sz="4" w:space="0" w:color="000000"/>
            </w:tcBorders>
          </w:tcPr>
          <w:p w14:paraId="1371142B" w14:textId="24681068" w:rsidR="00DA4358" w:rsidRPr="00986907" w:rsidRDefault="00DA4358" w:rsidP="0002556D">
            <w:pPr>
              <w:keepNext/>
              <w:tabs>
                <w:tab w:val="left" w:pos="7655"/>
              </w:tabs>
              <w:spacing w:beforeLines="20" w:before="48" w:afterLines="20" w:after="48" w:line="240" w:lineRule="auto"/>
              <w:jc w:val="center"/>
              <w:rPr>
                <w:b/>
                <w:i/>
                <w:szCs w:val="22"/>
                <w:vertAlign w:val="superscript"/>
              </w:rPr>
            </w:pPr>
            <w:r>
              <w:rPr>
                <w:b/>
                <w:i/>
                <w:szCs w:val="22"/>
              </w:rPr>
              <w:t>Válaszarány (%): Az FWS-pontszám csökkenése közepesről vagy súlyosról nullára vagy enyhére</w:t>
            </w:r>
            <w:r>
              <w:rPr>
                <w:b/>
                <w:i/>
                <w:szCs w:val="22"/>
                <w:vertAlign w:val="superscript"/>
              </w:rPr>
              <w:t>b</w:t>
            </w:r>
          </w:p>
        </w:tc>
      </w:tr>
      <w:tr w:rsidR="00561C40" w:rsidRPr="00986907" w14:paraId="5BAEE842" w14:textId="77777777" w:rsidTr="0002556D">
        <w:trPr>
          <w:trHeight w:val="309"/>
        </w:trPr>
        <w:tc>
          <w:tcPr>
            <w:tcW w:w="0" w:type="auto"/>
            <w:tcBorders>
              <w:top w:val="single" w:sz="4" w:space="0" w:color="000000"/>
              <w:left w:val="single" w:sz="4" w:space="0" w:color="000000"/>
              <w:bottom w:val="single" w:sz="4" w:space="0" w:color="000000"/>
              <w:right w:val="single" w:sz="4" w:space="0" w:color="000000"/>
            </w:tcBorders>
          </w:tcPr>
          <w:p w14:paraId="74D60CD4" w14:textId="77777777" w:rsidR="00561C40" w:rsidRPr="00986907" w:rsidRDefault="00561C40" w:rsidP="00CE56B0">
            <w:pPr>
              <w:keepNext/>
              <w:tabs>
                <w:tab w:val="left" w:pos="7655"/>
              </w:tabs>
              <w:spacing w:beforeLines="20" w:before="48" w:afterLines="20" w:after="48" w:line="240" w:lineRule="auto"/>
              <w:rPr>
                <w:szCs w:val="22"/>
              </w:rPr>
            </w:pPr>
            <w:r>
              <w:rPr>
                <w:szCs w:val="22"/>
              </w:rPr>
              <w:t>Vizsgáló</w:t>
            </w:r>
          </w:p>
        </w:tc>
        <w:tc>
          <w:tcPr>
            <w:tcW w:w="0" w:type="auto"/>
            <w:tcBorders>
              <w:top w:val="single" w:sz="4" w:space="0" w:color="000000"/>
              <w:left w:val="single" w:sz="4" w:space="0" w:color="000000"/>
              <w:bottom w:val="single" w:sz="4" w:space="0" w:color="000000"/>
              <w:right w:val="single" w:sz="4" w:space="0" w:color="000000"/>
            </w:tcBorders>
          </w:tcPr>
          <w:p w14:paraId="52B71108" w14:textId="1F5F436E" w:rsidR="00561C40" w:rsidRPr="00986907" w:rsidRDefault="00561C40" w:rsidP="00CE56B0">
            <w:pPr>
              <w:keepNext/>
              <w:tabs>
                <w:tab w:val="left" w:pos="7655"/>
              </w:tabs>
              <w:spacing w:beforeLines="20" w:before="48" w:afterLines="20" w:after="48" w:line="240" w:lineRule="auto"/>
              <w:ind w:left="-57" w:right="-57"/>
              <w:jc w:val="center"/>
              <w:rPr>
                <w:szCs w:val="22"/>
              </w:rPr>
            </w:pPr>
            <w:r>
              <w:rPr>
                <w:szCs w:val="22"/>
              </w:rPr>
              <w:t>393 (74,3%)*</w:t>
            </w:r>
          </w:p>
        </w:tc>
        <w:tc>
          <w:tcPr>
            <w:tcW w:w="0" w:type="auto"/>
            <w:tcBorders>
              <w:top w:val="single" w:sz="4" w:space="0" w:color="000000"/>
              <w:left w:val="single" w:sz="4" w:space="0" w:color="000000"/>
              <w:bottom w:val="single" w:sz="4" w:space="0" w:color="000000"/>
              <w:right w:val="single" w:sz="4" w:space="0" w:color="000000"/>
            </w:tcBorders>
          </w:tcPr>
          <w:p w14:paraId="54154F06" w14:textId="631E9387" w:rsidR="00561C40" w:rsidRPr="00986907" w:rsidRDefault="00D7218E" w:rsidP="00CE56B0">
            <w:pPr>
              <w:keepNext/>
              <w:tabs>
                <w:tab w:val="left" w:pos="7655"/>
              </w:tabs>
              <w:spacing w:beforeLines="20" w:before="48" w:afterLines="20" w:after="48" w:line="240" w:lineRule="auto"/>
              <w:ind w:left="-57" w:right="-57"/>
              <w:jc w:val="center"/>
              <w:rPr>
                <w:szCs w:val="22"/>
              </w:rPr>
            </w:pPr>
            <w:r>
              <w:rPr>
                <w:szCs w:val="22"/>
              </w:rPr>
              <w:t>3 (1,7%)</w:t>
            </w:r>
          </w:p>
        </w:tc>
        <w:tc>
          <w:tcPr>
            <w:tcW w:w="0" w:type="auto"/>
            <w:tcBorders>
              <w:top w:val="single" w:sz="4" w:space="0" w:color="000000"/>
              <w:left w:val="single" w:sz="4" w:space="0" w:color="000000"/>
              <w:bottom w:val="single" w:sz="4" w:space="0" w:color="000000"/>
              <w:right w:val="single" w:sz="4" w:space="0" w:color="000000"/>
            </w:tcBorders>
          </w:tcPr>
          <w:p w14:paraId="50858154" w14:textId="39A03994" w:rsidR="00561C40" w:rsidRPr="00986907" w:rsidRDefault="00561C40" w:rsidP="00CE56B0">
            <w:pPr>
              <w:keepNext/>
              <w:tabs>
                <w:tab w:val="left" w:pos="7655"/>
              </w:tabs>
              <w:spacing w:beforeLines="20" w:before="48" w:afterLines="20" w:after="48" w:line="240" w:lineRule="auto"/>
              <w:ind w:left="-57" w:right="-57"/>
              <w:jc w:val="center"/>
              <w:rPr>
                <w:szCs w:val="22"/>
                <w:highlight w:val="yellow"/>
                <w:lang w:eastAsia="zh-CN"/>
              </w:rPr>
            </w:pPr>
            <w:r>
              <w:rPr>
                <w:szCs w:val="22"/>
              </w:rPr>
              <w:t xml:space="preserve">136 (85,0%)* </w:t>
            </w:r>
          </w:p>
        </w:tc>
        <w:tc>
          <w:tcPr>
            <w:tcW w:w="0" w:type="auto"/>
            <w:tcBorders>
              <w:top w:val="single" w:sz="4" w:space="0" w:color="000000"/>
              <w:left w:val="single" w:sz="4" w:space="0" w:color="000000"/>
              <w:bottom w:val="single" w:sz="4" w:space="0" w:color="000000"/>
              <w:right w:val="single" w:sz="4" w:space="0" w:color="000000"/>
            </w:tcBorders>
          </w:tcPr>
          <w:p w14:paraId="2CBF5FCA" w14:textId="283607F4" w:rsidR="00561C40" w:rsidRPr="00986907" w:rsidRDefault="00D7218E" w:rsidP="00CE56B0">
            <w:pPr>
              <w:keepNext/>
              <w:tabs>
                <w:tab w:val="left" w:pos="7655"/>
              </w:tabs>
              <w:spacing w:beforeLines="20" w:before="48" w:afterLines="20" w:after="48" w:line="240" w:lineRule="auto"/>
              <w:ind w:left="-57" w:right="-57"/>
              <w:jc w:val="center"/>
              <w:rPr>
                <w:szCs w:val="22"/>
                <w:lang w:eastAsia="zh-CN"/>
              </w:rPr>
            </w:pPr>
            <w:r>
              <w:rPr>
                <w:szCs w:val="22"/>
              </w:rPr>
              <w:t>2 (3,8%)</w:t>
            </w:r>
          </w:p>
        </w:tc>
        <w:tc>
          <w:tcPr>
            <w:tcW w:w="0" w:type="auto"/>
            <w:tcBorders>
              <w:top w:val="single" w:sz="4" w:space="0" w:color="000000"/>
              <w:left w:val="single" w:sz="4" w:space="0" w:color="000000"/>
              <w:bottom w:val="single" w:sz="4" w:space="0" w:color="000000"/>
              <w:right w:val="single" w:sz="4" w:space="0" w:color="000000"/>
            </w:tcBorders>
          </w:tcPr>
          <w:p w14:paraId="44CA8DEB" w14:textId="0FAECB2F" w:rsidR="00561C40" w:rsidRPr="00986907" w:rsidRDefault="00561C40" w:rsidP="00CE56B0">
            <w:pPr>
              <w:keepNext/>
              <w:tabs>
                <w:tab w:val="left" w:pos="7655"/>
              </w:tabs>
              <w:spacing w:beforeLines="20" w:before="48" w:afterLines="20" w:after="48" w:line="240" w:lineRule="auto"/>
              <w:ind w:left="-57" w:right="-57"/>
              <w:jc w:val="center"/>
              <w:rPr>
                <w:szCs w:val="22"/>
                <w:lang w:eastAsia="zh-CN"/>
              </w:rPr>
            </w:pPr>
            <w:r>
              <w:rPr>
                <w:szCs w:val="22"/>
              </w:rPr>
              <w:t>218 (82,0%)*</w:t>
            </w:r>
          </w:p>
        </w:tc>
        <w:tc>
          <w:tcPr>
            <w:tcW w:w="0" w:type="auto"/>
            <w:tcBorders>
              <w:top w:val="single" w:sz="4" w:space="0" w:color="000000"/>
              <w:left w:val="single" w:sz="4" w:space="0" w:color="000000"/>
              <w:bottom w:val="single" w:sz="4" w:space="0" w:color="000000"/>
              <w:right w:val="single" w:sz="4" w:space="0" w:color="000000"/>
            </w:tcBorders>
            <w:vAlign w:val="center"/>
          </w:tcPr>
          <w:p w14:paraId="29B3396E" w14:textId="5740CD35" w:rsidR="00561C40" w:rsidRPr="00986907" w:rsidRDefault="00D7218E" w:rsidP="00CE56B0">
            <w:pPr>
              <w:keepNext/>
              <w:tabs>
                <w:tab w:val="left" w:pos="7655"/>
              </w:tabs>
              <w:spacing w:beforeLines="20" w:before="48" w:afterLines="20" w:after="48" w:line="240" w:lineRule="auto"/>
              <w:ind w:left="-57" w:right="-57"/>
              <w:jc w:val="center"/>
              <w:rPr>
                <w:szCs w:val="22"/>
                <w:lang w:eastAsia="zh-CN"/>
              </w:rPr>
            </w:pPr>
            <w:r>
              <w:rPr>
                <w:szCs w:val="22"/>
              </w:rPr>
              <w:t>1 (1,1%)</w:t>
            </w:r>
          </w:p>
        </w:tc>
      </w:tr>
      <w:tr w:rsidR="00DA4358" w:rsidRPr="00986907" w14:paraId="7010C5F4" w14:textId="77777777" w:rsidTr="0002556D">
        <w:trPr>
          <w:trHeight w:val="837"/>
        </w:trPr>
        <w:tc>
          <w:tcPr>
            <w:tcW w:w="0" w:type="auto"/>
            <w:gridSpan w:val="7"/>
            <w:tcBorders>
              <w:top w:val="single" w:sz="4" w:space="0" w:color="auto"/>
              <w:left w:val="nil"/>
              <w:bottom w:val="nil"/>
              <w:right w:val="nil"/>
            </w:tcBorders>
            <w:hideMark/>
          </w:tcPr>
          <w:p w14:paraId="0E5B3D96" w14:textId="6FA5E1A0" w:rsidR="00D7218E" w:rsidRPr="00986907" w:rsidRDefault="008A01EA" w:rsidP="003F1324">
            <w:pPr>
              <w:tabs>
                <w:tab w:val="clear" w:pos="567"/>
                <w:tab w:val="left" w:pos="142"/>
              </w:tabs>
              <w:spacing w:line="240" w:lineRule="auto"/>
              <w:ind w:left="142" w:hanging="142"/>
              <w:rPr>
                <w:szCs w:val="22"/>
              </w:rPr>
            </w:pPr>
            <w:r>
              <w:rPr>
                <w:szCs w:val="22"/>
              </w:rPr>
              <w:t>*</w:t>
            </w:r>
            <w:r>
              <w:rPr>
                <w:szCs w:val="22"/>
              </w:rPr>
              <w:tab/>
              <w:t>&lt;0,001-es p-érték a Letybo és a placebo közötti különbségre vonatkozó Cochran–Mantel–Haenszel próbánál; N: a randomizált páciensek száma, n: a reagálók száma</w:t>
            </w:r>
          </w:p>
          <w:p w14:paraId="0863B13D" w14:textId="25A5AAFE" w:rsidR="00DA4358" w:rsidRPr="00986907" w:rsidRDefault="00DA4358" w:rsidP="003F1324">
            <w:pPr>
              <w:tabs>
                <w:tab w:val="clear" w:pos="567"/>
                <w:tab w:val="left" w:pos="142"/>
              </w:tabs>
              <w:spacing w:line="240" w:lineRule="auto"/>
              <w:ind w:left="142" w:hanging="142"/>
              <w:rPr>
                <w:szCs w:val="22"/>
              </w:rPr>
            </w:pPr>
            <w:r>
              <w:rPr>
                <w:szCs w:val="22"/>
                <w:vertAlign w:val="superscript"/>
              </w:rPr>
              <w:t>a</w:t>
            </w:r>
            <w:r>
              <w:rPr>
                <w:szCs w:val="22"/>
                <w:vertAlign w:val="superscript"/>
              </w:rPr>
              <w:tab/>
            </w:r>
            <w:r>
              <w:rPr>
                <w:szCs w:val="22"/>
              </w:rPr>
              <w:t>Elsődleges hatásossági végpont</w:t>
            </w:r>
          </w:p>
          <w:p w14:paraId="035E9CE1" w14:textId="4FD001A9" w:rsidR="00DA4358" w:rsidRDefault="00DA4358">
            <w:pPr>
              <w:tabs>
                <w:tab w:val="clear" w:pos="567"/>
                <w:tab w:val="left" w:pos="142"/>
              </w:tabs>
              <w:spacing w:line="240" w:lineRule="auto"/>
              <w:ind w:left="142" w:hanging="142"/>
            </w:pPr>
            <w:r>
              <w:rPr>
                <w:szCs w:val="22"/>
                <w:vertAlign w:val="superscript"/>
              </w:rPr>
              <w:t>b</w:t>
            </w:r>
            <w:r>
              <w:rPr>
                <w:szCs w:val="22"/>
              </w:rPr>
              <w:tab/>
              <w:t>Post hoc elemzés</w:t>
            </w:r>
          </w:p>
          <w:p w14:paraId="73932C20" w14:textId="0EB9A794" w:rsidR="00461C14" w:rsidRPr="00986907" w:rsidRDefault="00461C14">
            <w:pPr>
              <w:tabs>
                <w:tab w:val="clear" w:pos="567"/>
                <w:tab w:val="left" w:pos="142"/>
              </w:tabs>
              <w:spacing w:line="240" w:lineRule="auto"/>
              <w:ind w:left="142" w:hanging="142"/>
              <w:rPr>
                <w:szCs w:val="22"/>
                <w:lang w:eastAsia="zh-CN"/>
              </w:rPr>
            </w:pPr>
          </w:p>
        </w:tc>
      </w:tr>
    </w:tbl>
    <w:p w14:paraId="6C486C44" w14:textId="20C36117" w:rsidR="00904C33" w:rsidRPr="00986907" w:rsidRDefault="00904C33" w:rsidP="003F1324">
      <w:pPr>
        <w:pStyle w:val="Szvegtrzs"/>
        <w:rPr>
          <w:i w:val="0"/>
          <w:color w:val="auto"/>
          <w:szCs w:val="22"/>
        </w:rPr>
      </w:pPr>
      <w:r>
        <w:rPr>
          <w:i w:val="0"/>
          <w:color w:val="auto"/>
          <w:szCs w:val="22"/>
        </w:rPr>
        <w:t>A vizsgáló értékelése alapján a 4. héten a Letybo készítménnyel kezelt vizsgálati alanyok 38,3%-a mutatott 3 pontos javulást a ráncok súlyosságában a kiindulási „súlyos” állapothoz képest (FWS 3-as szint), „ránctalan” állapotot (FWS 0-s szintet) elérve.</w:t>
      </w:r>
    </w:p>
    <w:p w14:paraId="01D2348D" w14:textId="2177E2A4" w:rsidR="006F29C8" w:rsidRPr="00E34025" w:rsidRDefault="006F29C8" w:rsidP="003F1324">
      <w:pPr>
        <w:pStyle w:val="Kpalrs"/>
        <w:tabs>
          <w:tab w:val="clear" w:pos="1134"/>
        </w:tabs>
        <w:spacing w:before="0" w:after="0"/>
        <w:ind w:left="0" w:firstLine="0"/>
        <w:rPr>
          <w:i/>
          <w:sz w:val="22"/>
          <w:szCs w:val="22"/>
        </w:rPr>
      </w:pPr>
    </w:p>
    <w:p w14:paraId="5560ECD7" w14:textId="3DF1E3E1" w:rsidR="00D7218E" w:rsidRPr="00986907" w:rsidRDefault="00A54866" w:rsidP="003F1324">
      <w:pPr>
        <w:pStyle w:val="Szvegtrzs"/>
        <w:rPr>
          <w:i w:val="0"/>
          <w:color w:val="auto"/>
          <w:szCs w:val="22"/>
        </w:rPr>
      </w:pPr>
      <w:r>
        <w:rPr>
          <w:i w:val="0"/>
          <w:color w:val="auto"/>
          <w:szCs w:val="22"/>
        </w:rPr>
        <w:t>A glabella ráncok javulása (amelynek alapjául az FWS-pontszám ≥ 2 pontos csökkenése szolgál maximálisan összeráncolt homlok esetén, mind a vizsgálati alany, mind pedig a vizsgáló értékelése alapján) az injekció beadását követő első héten belül megkezdődött, a maximális hatás pedig az injekció beadását követő második héten állt be. A hatás időtartama 12-16 hétnek tekinthető (lásd 1. ábra).</w:t>
      </w:r>
    </w:p>
    <w:p w14:paraId="29EA7B73" w14:textId="026AD25F" w:rsidR="009553D6" w:rsidRPr="00986907" w:rsidRDefault="009553D6" w:rsidP="003F1324">
      <w:pPr>
        <w:pStyle w:val="Szvegtrzs"/>
        <w:rPr>
          <w:i w:val="0"/>
          <w:color w:val="auto"/>
          <w:szCs w:val="22"/>
        </w:rPr>
      </w:pPr>
    </w:p>
    <w:p w14:paraId="609E198D" w14:textId="36278D42" w:rsidR="006F67C1" w:rsidRPr="00986907" w:rsidRDefault="00A3770C" w:rsidP="00523FB8">
      <w:pPr>
        <w:pStyle w:val="Szvegtrzs"/>
        <w:keepNext/>
        <w:rPr>
          <w:i w:val="0"/>
          <w:color w:val="auto"/>
          <w:szCs w:val="22"/>
        </w:rPr>
      </w:pPr>
      <w:r>
        <w:rPr>
          <w:noProof/>
          <w:szCs w:val="22"/>
          <w:lang w:bidi="ar-SA"/>
        </w:rPr>
        <w:lastRenderedPageBreak/>
        <mc:AlternateContent>
          <mc:Choice Requires="wps">
            <w:drawing>
              <wp:anchor distT="0" distB="0" distL="114300" distR="114300" simplePos="0" relativeHeight="251683840" behindDoc="0" locked="0" layoutInCell="1" allowOverlap="1" wp14:anchorId="1FCF4D82" wp14:editId="57F995FD">
                <wp:simplePos x="0" y="0"/>
                <wp:positionH relativeFrom="column">
                  <wp:posOffset>5214123</wp:posOffset>
                </wp:positionH>
                <wp:positionV relativeFrom="paragraph">
                  <wp:posOffset>2506428</wp:posOffset>
                </wp:positionV>
                <wp:extent cx="356787" cy="147485"/>
                <wp:effectExtent l="0" t="0" r="5715" b="5080"/>
                <wp:wrapNone/>
                <wp:docPr id="16" name="Text Box 16"/>
                <wp:cNvGraphicFramePr/>
                <a:graphic xmlns:a="http://schemas.openxmlformats.org/drawingml/2006/main">
                  <a:graphicData uri="http://schemas.microsoft.com/office/word/2010/wordprocessingShape">
                    <wps:wsp>
                      <wps:cNvSpPr txBox="1"/>
                      <wps:spPr>
                        <a:xfrm>
                          <a:off x="0" y="0"/>
                          <a:ext cx="356787" cy="147485"/>
                        </a:xfrm>
                        <a:prstGeom prst="rect">
                          <a:avLst/>
                        </a:prstGeom>
                        <a:solidFill>
                          <a:schemeClr val="lt1"/>
                        </a:solidFill>
                        <a:ln w="6350">
                          <a:noFill/>
                        </a:ln>
                      </wps:spPr>
                      <wps:txbx>
                        <w:txbxContent>
                          <w:p w14:paraId="10CEBAE6" w14:textId="77777777" w:rsidR="009049F2" w:rsidRPr="00F15BB2" w:rsidRDefault="009049F2" w:rsidP="009049F2">
                            <w:pPr>
                              <w:spacing w:line="240" w:lineRule="auto"/>
                              <w:rPr>
                                <w:color w:val="808080" w:themeColor="background1" w:themeShade="80"/>
                                <w:sz w:val="17"/>
                                <w:szCs w:val="17"/>
                              </w:rPr>
                            </w:pPr>
                            <w:r>
                              <w:rPr>
                                <w:color w:val="808080" w:themeColor="background1" w:themeShade="80"/>
                                <w:sz w:val="17"/>
                                <w:szCs w:val="17"/>
                              </w:rPr>
                              <w:t>HÉT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CF4D82" id="Text Box 16" o:spid="_x0000_s1028" type="#_x0000_t202" style="position:absolute;margin-left:410.55pt;margin-top:197.35pt;width:28.1pt;height:11.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" fillcolor="white [3201]" stroked="f" strokeweight=".5pt">
                <v:textbox inset="0,0,0,0">
                  <w:txbxContent>
                    <w:p w14:paraId="10CEBAE6" w14:textId="77777777" w:rsidR="009049F2" w:rsidRPr="00F15BB2" w:rsidRDefault="009049F2" w:rsidP="009049F2">
                      <w:pPr>
                        <w:spacing w:line="240" w:lineRule="auto"/>
                        <w:rPr>
                          <w:color w:val="808080" w:themeColor="background1" w:themeShade="80"/>
                          <w:sz w:val="17"/>
                          <w:szCs w:val="17"/>
                        </w:rPr>
                      </w:pPr>
                      <w:r>
                        <w:rPr>
                          <w:color w:val="808080" w:themeColor="background1" w:themeShade="80"/>
                          <w:sz w:val="17"/>
                          <w:szCs w:val="17"/>
                        </w:rPr>
                        <w:t>HÉT</w:t>
                      </w:r>
                    </w:p>
                  </w:txbxContent>
                </v:textbox>
              </v:shape>
            </w:pict>
          </mc:Fallback>
        </mc:AlternateContent>
      </w:r>
      <w:r>
        <w:rPr>
          <w:noProof/>
          <w:szCs w:val="22"/>
          <w:lang w:bidi="ar-SA"/>
        </w:rPr>
        <mc:AlternateContent>
          <mc:Choice Requires="wps">
            <w:drawing>
              <wp:anchor distT="0" distB="0" distL="114300" distR="114300" simplePos="0" relativeHeight="251675648" behindDoc="0" locked="0" layoutInCell="1" allowOverlap="1" wp14:anchorId="15E3FA3D" wp14:editId="3A6E2F66">
                <wp:simplePos x="0" y="0"/>
                <wp:positionH relativeFrom="column">
                  <wp:posOffset>1111250</wp:posOffset>
                </wp:positionH>
                <wp:positionV relativeFrom="paragraph">
                  <wp:posOffset>2512060</wp:posOffset>
                </wp:positionV>
                <wp:extent cx="266700" cy="143510"/>
                <wp:effectExtent l="0" t="0" r="0" b="8890"/>
                <wp:wrapNone/>
                <wp:docPr id="12" name="Text Box 12"/>
                <wp:cNvGraphicFramePr/>
                <a:graphic xmlns:a="http://schemas.openxmlformats.org/drawingml/2006/main">
                  <a:graphicData uri="http://schemas.microsoft.com/office/word/2010/wordprocessingShape">
                    <wps:wsp>
                      <wps:cNvSpPr txBox="1"/>
                      <wps:spPr>
                        <a:xfrm>
                          <a:off x="0" y="0"/>
                          <a:ext cx="266700" cy="143510"/>
                        </a:xfrm>
                        <a:prstGeom prst="rect">
                          <a:avLst/>
                        </a:prstGeom>
                        <a:solidFill>
                          <a:schemeClr val="lt1"/>
                        </a:solidFill>
                        <a:ln w="6350">
                          <a:noFill/>
                        </a:ln>
                      </wps:spPr>
                      <wps:txbx>
                        <w:txbxContent>
                          <w:p w14:paraId="28C699FF" w14:textId="685D660F" w:rsidR="00F15BB2" w:rsidRPr="00F15BB2" w:rsidRDefault="00F15BB2" w:rsidP="00F15BB2">
                            <w:pPr>
                              <w:spacing w:line="240" w:lineRule="auto"/>
                              <w:rPr>
                                <w:color w:val="808080" w:themeColor="background1" w:themeShade="80"/>
                                <w:sz w:val="17"/>
                                <w:szCs w:val="17"/>
                              </w:rPr>
                            </w:pPr>
                            <w:r>
                              <w:rPr>
                                <w:color w:val="808080" w:themeColor="background1" w:themeShade="80"/>
                                <w:sz w:val="17"/>
                                <w:szCs w:val="17"/>
                              </w:rPr>
                              <w:t>HÉT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5E3FA3D" id="Text Box 12" o:spid="_x0000_s1029" type="#_x0000_t202" style="position:absolute;margin-left:87.5pt;margin-top:197.8pt;width:21pt;height:11.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" fillcolor="white [3201]" stroked="f" strokeweight=".5pt">
                <v:textbox inset="0,0,0,0">
                  <w:txbxContent>
                    <w:p w14:paraId="28C699FF" w14:textId="685D660F" w:rsidR="00F15BB2" w:rsidRPr="00F15BB2" w:rsidRDefault="00F15BB2" w:rsidP="00F15BB2">
                      <w:pPr>
                        <w:spacing w:line="240" w:lineRule="auto"/>
                        <w:rPr>
                          <w:color w:val="808080" w:themeColor="background1" w:themeShade="80"/>
                          <w:sz w:val="17"/>
                          <w:szCs w:val="17"/>
                        </w:rPr>
                      </w:pPr>
                      <w:r>
                        <w:rPr>
                          <w:color w:val="808080" w:themeColor="background1" w:themeShade="80"/>
                          <w:sz w:val="17"/>
                          <w:szCs w:val="17"/>
                        </w:rPr>
                        <w:t>HÉT</w:t>
                      </w:r>
                    </w:p>
                  </w:txbxContent>
                </v:textbox>
              </v:shape>
            </w:pict>
          </mc:Fallback>
        </mc:AlternateContent>
      </w:r>
      <w:r>
        <w:rPr>
          <w:noProof/>
          <w:szCs w:val="22"/>
          <w:lang w:bidi="ar-SA"/>
        </w:rPr>
        <mc:AlternateContent>
          <mc:Choice Requires="wps">
            <w:drawing>
              <wp:anchor distT="0" distB="0" distL="114300" distR="114300" simplePos="0" relativeHeight="251677696" behindDoc="0" locked="0" layoutInCell="1" allowOverlap="1" wp14:anchorId="7AC25D5B" wp14:editId="7F6E837B">
                <wp:simplePos x="0" y="0"/>
                <wp:positionH relativeFrom="column">
                  <wp:posOffset>1706518</wp:posOffset>
                </wp:positionH>
                <wp:positionV relativeFrom="paragraph">
                  <wp:posOffset>2512615</wp:posOffset>
                </wp:positionV>
                <wp:extent cx="272504" cy="1524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72504" cy="152400"/>
                        </a:xfrm>
                        <a:prstGeom prst="rect">
                          <a:avLst/>
                        </a:prstGeom>
                        <a:solidFill>
                          <a:schemeClr val="lt1"/>
                        </a:solidFill>
                        <a:ln w="6350">
                          <a:noFill/>
                        </a:ln>
                      </wps:spPr>
                      <wps:txbx>
                        <w:txbxContent>
                          <w:p w14:paraId="51078EA7" w14:textId="77777777" w:rsidR="00F15BB2" w:rsidRPr="00F15BB2" w:rsidRDefault="00F15BB2" w:rsidP="00F15BB2">
                            <w:pPr>
                              <w:spacing w:line="240" w:lineRule="auto"/>
                              <w:rPr>
                                <w:color w:val="808080" w:themeColor="background1" w:themeShade="80"/>
                                <w:sz w:val="17"/>
                                <w:szCs w:val="17"/>
                              </w:rPr>
                            </w:pPr>
                            <w:r>
                              <w:rPr>
                                <w:color w:val="808080" w:themeColor="background1" w:themeShade="80"/>
                                <w:sz w:val="17"/>
                                <w:szCs w:val="17"/>
                              </w:rPr>
                              <w:t>HÉT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C25D5B" id="Text Box 13" o:spid="_x0000_s1030" type="#_x0000_t202" style="position:absolute;margin-left:134.35pt;margin-top:197.85pt;width:21.45pt;height:1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" fillcolor="white [3201]" stroked="f" strokeweight=".5pt">
                <v:textbox inset="0,0,0,0">
                  <w:txbxContent>
                    <w:p w14:paraId="51078EA7" w14:textId="77777777" w:rsidR="00F15BB2" w:rsidRPr="00F15BB2" w:rsidRDefault="00F15BB2" w:rsidP="00F15BB2">
                      <w:pPr>
                        <w:spacing w:line="240" w:lineRule="auto"/>
                        <w:rPr>
                          <w:color w:val="808080" w:themeColor="background1" w:themeShade="80"/>
                          <w:sz w:val="17"/>
                          <w:szCs w:val="17"/>
                        </w:rPr>
                      </w:pPr>
                      <w:r>
                        <w:rPr>
                          <w:color w:val="808080" w:themeColor="background1" w:themeShade="80"/>
                          <w:sz w:val="17"/>
                          <w:szCs w:val="17"/>
                        </w:rPr>
                        <w:t>HÉT</w:t>
                      </w:r>
                    </w:p>
                  </w:txbxContent>
                </v:textbox>
              </v:shape>
            </w:pict>
          </mc:Fallback>
        </mc:AlternateContent>
      </w:r>
      <w:r>
        <w:rPr>
          <w:noProof/>
          <w:szCs w:val="22"/>
          <w:lang w:bidi="ar-SA"/>
        </w:rPr>
        <mc:AlternateContent>
          <mc:Choice Requires="wps">
            <w:drawing>
              <wp:anchor distT="0" distB="0" distL="114300" distR="114300" simplePos="0" relativeHeight="251681792" behindDoc="0" locked="0" layoutInCell="1" allowOverlap="1" wp14:anchorId="0F6659C7" wp14:editId="44988690">
                <wp:simplePos x="0" y="0"/>
                <wp:positionH relativeFrom="column">
                  <wp:posOffset>4052800</wp:posOffset>
                </wp:positionH>
                <wp:positionV relativeFrom="paragraph">
                  <wp:posOffset>2510932</wp:posOffset>
                </wp:positionV>
                <wp:extent cx="281779" cy="152400"/>
                <wp:effectExtent l="0" t="0" r="4445" b="0"/>
                <wp:wrapNone/>
                <wp:docPr id="15" name="Text Box 15"/>
                <wp:cNvGraphicFramePr/>
                <a:graphic xmlns:a="http://schemas.openxmlformats.org/drawingml/2006/main">
                  <a:graphicData uri="http://schemas.microsoft.com/office/word/2010/wordprocessingShape">
                    <wps:wsp>
                      <wps:cNvSpPr txBox="1"/>
                      <wps:spPr>
                        <a:xfrm>
                          <a:off x="0" y="0"/>
                          <a:ext cx="281779" cy="152400"/>
                        </a:xfrm>
                        <a:prstGeom prst="rect">
                          <a:avLst/>
                        </a:prstGeom>
                        <a:solidFill>
                          <a:schemeClr val="lt1"/>
                        </a:solidFill>
                        <a:ln w="6350">
                          <a:noFill/>
                        </a:ln>
                      </wps:spPr>
                      <wps:txbx>
                        <w:txbxContent>
                          <w:p w14:paraId="1387BC09" w14:textId="77777777" w:rsidR="00F15BB2" w:rsidRPr="00F15BB2" w:rsidRDefault="00F15BB2" w:rsidP="00F15BB2">
                            <w:pPr>
                              <w:spacing w:line="240" w:lineRule="auto"/>
                              <w:rPr>
                                <w:color w:val="808080" w:themeColor="background1" w:themeShade="80"/>
                                <w:sz w:val="17"/>
                                <w:szCs w:val="17"/>
                              </w:rPr>
                            </w:pPr>
                            <w:r>
                              <w:rPr>
                                <w:color w:val="808080" w:themeColor="background1" w:themeShade="80"/>
                                <w:sz w:val="17"/>
                                <w:szCs w:val="17"/>
                              </w:rPr>
                              <w:t>HÉT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6659C7" id="Text Box 15" o:spid="_x0000_s1031" type="#_x0000_t202" style="position:absolute;margin-left:319.1pt;margin-top:197.7pt;width:22.2pt;height: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" fillcolor="white [3201]" stroked="f" strokeweight=".5pt">
                <v:textbox inset="0,0,0,0">
                  <w:txbxContent>
                    <w:p w14:paraId="1387BC09" w14:textId="77777777" w:rsidR="00F15BB2" w:rsidRPr="00F15BB2" w:rsidRDefault="00F15BB2" w:rsidP="00F15BB2">
                      <w:pPr>
                        <w:spacing w:line="240" w:lineRule="auto"/>
                        <w:rPr>
                          <w:color w:val="808080" w:themeColor="background1" w:themeShade="80"/>
                          <w:sz w:val="17"/>
                          <w:szCs w:val="17"/>
                        </w:rPr>
                      </w:pPr>
                      <w:r>
                        <w:rPr>
                          <w:color w:val="808080" w:themeColor="background1" w:themeShade="80"/>
                          <w:sz w:val="17"/>
                          <w:szCs w:val="17"/>
                        </w:rPr>
                        <w:t>HÉT</w:t>
                      </w:r>
                    </w:p>
                  </w:txbxContent>
                </v:textbox>
              </v:shape>
            </w:pict>
          </mc:Fallback>
        </mc:AlternateContent>
      </w:r>
      <w:r>
        <w:rPr>
          <w:noProof/>
          <w:szCs w:val="22"/>
          <w:lang w:bidi="ar-SA"/>
        </w:rPr>
        <mc:AlternateContent>
          <mc:Choice Requires="wps">
            <w:drawing>
              <wp:anchor distT="0" distB="0" distL="114300" distR="114300" simplePos="0" relativeHeight="251679744" behindDoc="0" locked="0" layoutInCell="1" allowOverlap="1" wp14:anchorId="49642385" wp14:editId="00938FB6">
                <wp:simplePos x="0" y="0"/>
                <wp:positionH relativeFrom="column">
                  <wp:posOffset>2902173</wp:posOffset>
                </wp:positionH>
                <wp:positionV relativeFrom="paragraph">
                  <wp:posOffset>2510790</wp:posOffset>
                </wp:positionV>
                <wp:extent cx="284541" cy="152400"/>
                <wp:effectExtent l="0" t="0" r="1270" b="0"/>
                <wp:wrapNone/>
                <wp:docPr id="14" name="Text Box 14"/>
                <wp:cNvGraphicFramePr/>
                <a:graphic xmlns:a="http://schemas.openxmlformats.org/drawingml/2006/main">
                  <a:graphicData uri="http://schemas.microsoft.com/office/word/2010/wordprocessingShape">
                    <wps:wsp>
                      <wps:cNvSpPr txBox="1"/>
                      <wps:spPr>
                        <a:xfrm>
                          <a:off x="0" y="0"/>
                          <a:ext cx="284541" cy="152400"/>
                        </a:xfrm>
                        <a:prstGeom prst="rect">
                          <a:avLst/>
                        </a:prstGeom>
                        <a:solidFill>
                          <a:schemeClr val="lt1"/>
                        </a:solidFill>
                        <a:ln w="6350">
                          <a:noFill/>
                        </a:ln>
                      </wps:spPr>
                      <wps:txbx>
                        <w:txbxContent>
                          <w:p w14:paraId="26AE4F14" w14:textId="77777777" w:rsidR="00F15BB2" w:rsidRPr="00F15BB2" w:rsidRDefault="00F15BB2" w:rsidP="00F15BB2">
                            <w:pPr>
                              <w:spacing w:line="240" w:lineRule="auto"/>
                              <w:rPr>
                                <w:color w:val="808080" w:themeColor="background1" w:themeShade="80"/>
                                <w:sz w:val="17"/>
                                <w:szCs w:val="17"/>
                              </w:rPr>
                            </w:pPr>
                            <w:r>
                              <w:rPr>
                                <w:color w:val="808080" w:themeColor="background1" w:themeShade="80"/>
                                <w:sz w:val="17"/>
                                <w:szCs w:val="17"/>
                              </w:rPr>
                              <w:t>HÉT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9642385" id="Text Box 14" o:spid="_x0000_s1032" type="#_x0000_t202" style="position:absolute;margin-left:228.5pt;margin-top:197.7pt;width:22.4pt;height:1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" fillcolor="white [3201]" stroked="f" strokeweight=".5pt">
                <v:textbox inset="0,0,0,0">
                  <w:txbxContent>
                    <w:p w14:paraId="26AE4F14" w14:textId="77777777" w:rsidR="00F15BB2" w:rsidRPr="00F15BB2" w:rsidRDefault="00F15BB2" w:rsidP="00F15BB2">
                      <w:pPr>
                        <w:spacing w:line="240" w:lineRule="auto"/>
                        <w:rPr>
                          <w:color w:val="808080" w:themeColor="background1" w:themeShade="80"/>
                          <w:sz w:val="17"/>
                          <w:szCs w:val="17"/>
                        </w:rPr>
                      </w:pPr>
                      <w:r>
                        <w:rPr>
                          <w:color w:val="808080" w:themeColor="background1" w:themeShade="80"/>
                          <w:sz w:val="17"/>
                          <w:szCs w:val="17"/>
                        </w:rPr>
                        <w:t>HÉT</w:t>
                      </w:r>
                    </w:p>
                  </w:txbxContent>
                </v:textbox>
              </v:shape>
            </w:pict>
          </mc:Fallback>
        </mc:AlternateContent>
      </w:r>
      <w:r>
        <w:rPr>
          <w:noProof/>
          <w:szCs w:val="22"/>
          <w:lang w:bidi="ar-SA"/>
        </w:rPr>
        <mc:AlternateContent>
          <mc:Choice Requires="wps">
            <w:drawing>
              <wp:anchor distT="0" distB="0" distL="114300" distR="114300" simplePos="0" relativeHeight="251673600" behindDoc="0" locked="0" layoutInCell="1" allowOverlap="1" wp14:anchorId="4F722F34" wp14:editId="3458A136">
                <wp:simplePos x="0" y="0"/>
                <wp:positionH relativeFrom="column">
                  <wp:posOffset>377380</wp:posOffset>
                </wp:positionH>
                <wp:positionV relativeFrom="paragraph">
                  <wp:posOffset>2517775</wp:posOffset>
                </wp:positionV>
                <wp:extent cx="612140" cy="17462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612140" cy="174625"/>
                        </a:xfrm>
                        <a:prstGeom prst="rect">
                          <a:avLst/>
                        </a:prstGeom>
                        <a:solidFill>
                          <a:schemeClr val="lt1"/>
                        </a:solidFill>
                        <a:ln w="6350">
                          <a:noFill/>
                        </a:ln>
                      </wps:spPr>
                      <wps:txbx>
                        <w:txbxContent>
                          <w:p w14:paraId="1F7648F1" w14:textId="29220A54" w:rsidR="00F15BB2" w:rsidRPr="00F15BB2" w:rsidRDefault="00F15BB2" w:rsidP="00F15BB2">
                            <w:pPr>
                              <w:spacing w:line="240" w:lineRule="auto"/>
                              <w:rPr>
                                <w:color w:val="808080" w:themeColor="background1" w:themeShade="80"/>
                                <w:sz w:val="17"/>
                                <w:szCs w:val="17"/>
                              </w:rPr>
                            </w:pPr>
                            <w:r>
                              <w:rPr>
                                <w:color w:val="808080" w:themeColor="background1" w:themeShade="80"/>
                                <w:sz w:val="17"/>
                                <w:szCs w:val="17"/>
                              </w:rPr>
                              <w:t>KIINDULÁS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F722F34" id="Text Box 11" o:spid="_x0000_s1033" type="#_x0000_t202" style="position:absolute;margin-left:29.7pt;margin-top:198.25pt;width:48.2pt;height:13.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" fillcolor="white [3201]" stroked="f" strokeweight=".5pt">
                <v:textbox inset="0,0,0,0">
                  <w:txbxContent>
                    <w:p w14:paraId="1F7648F1" w14:textId="29220A54" w:rsidR="00F15BB2" w:rsidRPr="00F15BB2" w:rsidRDefault="00F15BB2" w:rsidP="00F15BB2">
                      <w:pPr>
                        <w:spacing w:line="240" w:lineRule="auto"/>
                        <w:rPr>
                          <w:color w:val="808080" w:themeColor="background1" w:themeShade="80"/>
                          <w:sz w:val="17"/>
                          <w:szCs w:val="17"/>
                        </w:rPr>
                      </w:pPr>
                      <w:r>
                        <w:rPr>
                          <w:color w:val="808080" w:themeColor="background1" w:themeShade="80"/>
                          <w:sz w:val="17"/>
                          <w:szCs w:val="17"/>
                        </w:rPr>
                        <w:t>KIINDULÁS</w:t>
                      </w:r>
                    </w:p>
                  </w:txbxContent>
                </v:textbox>
              </v:shape>
            </w:pict>
          </mc:Fallback>
        </mc:AlternateContent>
      </w:r>
      <w:r>
        <w:rPr>
          <w:noProof/>
          <w:szCs w:val="22"/>
          <w:lang w:bidi="ar-SA"/>
        </w:rPr>
        <mc:AlternateContent>
          <mc:Choice Requires="wps">
            <w:drawing>
              <wp:anchor distT="0" distB="0" distL="114300" distR="114300" simplePos="0" relativeHeight="251667456" behindDoc="0" locked="0" layoutInCell="1" allowOverlap="1" wp14:anchorId="5CC377E1" wp14:editId="79339E00">
                <wp:simplePos x="0" y="0"/>
                <wp:positionH relativeFrom="column">
                  <wp:posOffset>-715447</wp:posOffset>
                </wp:positionH>
                <wp:positionV relativeFrom="paragraph">
                  <wp:posOffset>1276013</wp:posOffset>
                </wp:positionV>
                <wp:extent cx="1734399" cy="298450"/>
                <wp:effectExtent l="0" t="6032" r="0" b="0"/>
                <wp:wrapNone/>
                <wp:docPr id="8" name="Text Box 8"/>
                <wp:cNvGraphicFramePr/>
                <a:graphic xmlns:a="http://schemas.openxmlformats.org/drawingml/2006/main">
                  <a:graphicData uri="http://schemas.microsoft.com/office/word/2010/wordprocessingShape">
                    <wps:wsp>
                      <wps:cNvSpPr txBox="1"/>
                      <wps:spPr>
                        <a:xfrm rot="16200000">
                          <a:off x="0" y="0"/>
                          <a:ext cx="1734399" cy="298450"/>
                        </a:xfrm>
                        <a:prstGeom prst="rect">
                          <a:avLst/>
                        </a:prstGeom>
                        <a:solidFill>
                          <a:schemeClr val="lt1"/>
                        </a:solidFill>
                        <a:ln w="6350">
                          <a:noFill/>
                        </a:ln>
                      </wps:spPr>
                      <wps:txbx>
                        <w:txbxContent>
                          <w:p w14:paraId="34B7038C" w14:textId="65C48FF8" w:rsidR="00FD0784" w:rsidRPr="00FD0784" w:rsidRDefault="00FD0784" w:rsidP="00FD0784">
                            <w:pPr>
                              <w:spacing w:line="240" w:lineRule="auto"/>
                              <w:jc w:val="center"/>
                              <w:rPr>
                                <w:color w:val="808080" w:themeColor="background1" w:themeShade="80"/>
                                <w:sz w:val="18"/>
                                <w:szCs w:val="18"/>
                              </w:rPr>
                            </w:pPr>
                            <w:r>
                              <w:rPr>
                                <w:color w:val="808080" w:themeColor="background1" w:themeShade="80"/>
                                <w:sz w:val="18"/>
                                <w:szCs w:val="18"/>
                              </w:rPr>
                              <w:t>Összetett végpont</w:t>
                            </w:r>
                          </w:p>
                          <w:p w14:paraId="08549F75" w14:textId="6989C7D8" w:rsidR="00FD0784" w:rsidRPr="00FD0784" w:rsidRDefault="00FD0784" w:rsidP="00FD0784">
                            <w:pPr>
                              <w:spacing w:line="240" w:lineRule="auto"/>
                              <w:jc w:val="center"/>
                              <w:rPr>
                                <w:color w:val="808080" w:themeColor="background1" w:themeShade="80"/>
                                <w:sz w:val="18"/>
                                <w:szCs w:val="18"/>
                              </w:rPr>
                            </w:pPr>
                            <w:r>
                              <w:rPr>
                                <w:color w:val="808080" w:themeColor="background1" w:themeShade="80"/>
                                <w:sz w:val="18"/>
                                <w:szCs w:val="18"/>
                              </w:rPr>
                              <w:t>Terápiás válaszarány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C377E1" id="Text Box 8" o:spid="_x0000_s1034" type="#_x0000_t202" style="position:absolute;margin-left:-56.35pt;margin-top:100.45pt;width:136.55pt;height:23.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" fillcolor="white [3201]" stroked="f" strokeweight=".5pt">
                <v:textbox inset="0,0,0,0">
                  <w:txbxContent>
                    <w:p w14:paraId="34B7038C" w14:textId="65C48FF8" w:rsidR="00FD0784" w:rsidRPr="00FD0784" w:rsidRDefault="00FD0784" w:rsidP="00FD0784">
                      <w:pPr>
                        <w:spacing w:line="240" w:lineRule="auto"/>
                        <w:jc w:val="center"/>
                        <w:rPr>
                          <w:color w:val="808080" w:themeColor="background1" w:themeShade="80"/>
                          <w:sz w:val="18"/>
                          <w:szCs w:val="18"/>
                        </w:rPr>
                      </w:pPr>
                      <w:r>
                        <w:rPr>
                          <w:color w:val="808080" w:themeColor="background1" w:themeShade="80"/>
                          <w:sz w:val="18"/>
                          <w:szCs w:val="18"/>
                        </w:rPr>
                        <w:t>Összetett végpont</w:t>
                      </w:r>
                    </w:p>
                    <w:p w14:paraId="08549F75" w14:textId="6989C7D8" w:rsidR="00FD0784" w:rsidRPr="00FD0784" w:rsidRDefault="00FD0784" w:rsidP="00FD0784">
                      <w:pPr>
                        <w:spacing w:line="240" w:lineRule="auto"/>
                        <w:jc w:val="center"/>
                        <w:rPr>
                          <w:color w:val="808080" w:themeColor="background1" w:themeShade="80"/>
                          <w:sz w:val="18"/>
                          <w:szCs w:val="18"/>
                        </w:rPr>
                      </w:pPr>
                      <w:r>
                        <w:rPr>
                          <w:color w:val="808080" w:themeColor="background1" w:themeShade="80"/>
                          <w:sz w:val="18"/>
                          <w:szCs w:val="18"/>
                        </w:rPr>
                        <w:t>Terápiás válaszarány</w:t>
                      </w:r>
                    </w:p>
                  </w:txbxContent>
                </v:textbox>
              </v:shape>
            </w:pict>
          </mc:Fallback>
        </mc:AlternateContent>
      </w:r>
      <w:r w:rsidR="0027552F">
        <w:rPr>
          <w:noProof/>
          <w:szCs w:val="22"/>
          <w:lang w:bidi="ar-SA"/>
        </w:rPr>
        <mc:AlternateContent>
          <mc:Choice Requires="wps">
            <w:drawing>
              <wp:anchor distT="0" distB="0" distL="114300" distR="114300" simplePos="0" relativeHeight="251685888" behindDoc="0" locked="0" layoutInCell="1" allowOverlap="1" wp14:anchorId="12AECD24" wp14:editId="2024EAFC">
                <wp:simplePos x="0" y="0"/>
                <wp:positionH relativeFrom="column">
                  <wp:posOffset>2236470</wp:posOffset>
                </wp:positionH>
                <wp:positionV relativeFrom="paragraph">
                  <wp:posOffset>2699385</wp:posOffset>
                </wp:positionV>
                <wp:extent cx="1593850" cy="152400"/>
                <wp:effectExtent l="0" t="0" r="6350" b="0"/>
                <wp:wrapNone/>
                <wp:docPr id="17" name="Text Box 17"/>
                <wp:cNvGraphicFramePr/>
                <a:graphic xmlns:a="http://schemas.openxmlformats.org/drawingml/2006/main">
                  <a:graphicData uri="http://schemas.microsoft.com/office/word/2010/wordprocessingShape">
                    <wps:wsp>
                      <wps:cNvSpPr txBox="1"/>
                      <wps:spPr>
                        <a:xfrm>
                          <a:off x="0" y="0"/>
                          <a:ext cx="1593850" cy="152400"/>
                        </a:xfrm>
                        <a:prstGeom prst="rect">
                          <a:avLst/>
                        </a:prstGeom>
                        <a:solidFill>
                          <a:schemeClr val="lt1"/>
                        </a:solidFill>
                        <a:ln w="6350">
                          <a:noFill/>
                        </a:ln>
                      </wps:spPr>
                      <wps:txbx>
                        <w:txbxContent>
                          <w:p w14:paraId="54273199" w14:textId="10D00AC9" w:rsidR="0027552F" w:rsidRPr="00F15BB2" w:rsidRDefault="0027552F" w:rsidP="0027552F">
                            <w:pPr>
                              <w:spacing w:line="240" w:lineRule="auto"/>
                              <w:jc w:val="center"/>
                              <w:rPr>
                                <w:color w:val="808080" w:themeColor="background1" w:themeShade="80"/>
                                <w:sz w:val="17"/>
                                <w:szCs w:val="17"/>
                              </w:rPr>
                            </w:pPr>
                            <w:r>
                              <w:rPr>
                                <w:color w:val="808080" w:themeColor="background1" w:themeShade="80"/>
                                <w:sz w:val="17"/>
                                <w:szCs w:val="17"/>
                              </w:rPr>
                              <w:t>Vizit az 1. ciklus során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AECD24" id="Text Box 17" o:spid="_x0000_s1035" type="#_x0000_t202" style="position:absolute;margin-left:176.1pt;margin-top:212.55pt;width:125.5pt;height:1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" fillcolor="white [3201]" stroked="f" strokeweight=".5pt">
                <v:textbox inset="0,0,0,0">
                  <w:txbxContent>
                    <w:p w14:paraId="54273199" w14:textId="10D00AC9" w:rsidR="0027552F" w:rsidRPr="00F15BB2" w:rsidRDefault="0027552F" w:rsidP="0027552F">
                      <w:pPr>
                        <w:spacing w:line="240" w:lineRule="auto"/>
                        <w:jc w:val="center"/>
                        <w:rPr>
                          <w:color w:val="808080" w:themeColor="background1" w:themeShade="80"/>
                          <w:sz w:val="17"/>
                          <w:szCs w:val="17"/>
                        </w:rPr>
                      </w:pPr>
                      <w:r>
                        <w:rPr>
                          <w:color w:val="808080" w:themeColor="background1" w:themeShade="80"/>
                          <w:sz w:val="17"/>
                          <w:szCs w:val="17"/>
                        </w:rPr>
                        <w:t>Vizit az 1. ciklus során</w:t>
                      </w:r>
                    </w:p>
                  </w:txbxContent>
                </v:textbox>
              </v:shape>
            </w:pict>
          </mc:Fallback>
        </mc:AlternateContent>
      </w:r>
      <w:r w:rsidR="0027552F">
        <w:rPr>
          <w:noProof/>
          <w:szCs w:val="22"/>
          <w:lang w:bidi="ar-SA"/>
        </w:rPr>
        <mc:AlternateContent>
          <mc:Choice Requires="wps">
            <w:drawing>
              <wp:anchor distT="0" distB="0" distL="114300" distR="114300" simplePos="0" relativeHeight="251671552" behindDoc="0" locked="0" layoutInCell="1" allowOverlap="1" wp14:anchorId="5964A278" wp14:editId="3E1CA1B3">
                <wp:simplePos x="0" y="0"/>
                <wp:positionH relativeFrom="column">
                  <wp:posOffset>4408170</wp:posOffset>
                </wp:positionH>
                <wp:positionV relativeFrom="paragraph">
                  <wp:posOffset>73660</wp:posOffset>
                </wp:positionV>
                <wp:extent cx="1206500" cy="4064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206500" cy="406400"/>
                        </a:xfrm>
                        <a:prstGeom prst="rect">
                          <a:avLst/>
                        </a:prstGeom>
                        <a:solidFill>
                          <a:schemeClr val="lt1"/>
                        </a:solidFill>
                        <a:ln w="6350">
                          <a:noFill/>
                        </a:ln>
                      </wps:spPr>
                      <wps:txbx>
                        <w:txbxContent>
                          <w:p w14:paraId="63A5FCF7" w14:textId="4FCF388C" w:rsidR="00FD0784" w:rsidRPr="00FD0784" w:rsidRDefault="00FD0784" w:rsidP="00FD0784">
                            <w:pPr>
                              <w:spacing w:line="240" w:lineRule="auto"/>
                              <w:rPr>
                                <w:color w:val="808080" w:themeColor="background1" w:themeShade="80"/>
                                <w:sz w:val="17"/>
                                <w:szCs w:val="17"/>
                              </w:rPr>
                            </w:pPr>
                            <w:r>
                              <w:rPr>
                                <w:color w:val="808080" w:themeColor="background1" w:themeShade="80"/>
                                <w:sz w:val="17"/>
                                <w:szCs w:val="17"/>
                              </w:rPr>
                              <w:t>BLESS II, placebo</w:t>
                            </w:r>
                          </w:p>
                          <w:p w14:paraId="71E66DFD" w14:textId="25F7EC4C" w:rsidR="00FD0784" w:rsidRPr="00FD0784" w:rsidRDefault="00FD0784" w:rsidP="00FD0784">
                            <w:pPr>
                              <w:spacing w:line="240" w:lineRule="auto"/>
                              <w:rPr>
                                <w:color w:val="808080" w:themeColor="background1" w:themeShade="80"/>
                                <w:sz w:val="17"/>
                                <w:szCs w:val="17"/>
                              </w:rPr>
                            </w:pPr>
                            <w:r>
                              <w:rPr>
                                <w:color w:val="808080" w:themeColor="background1" w:themeShade="80"/>
                                <w:sz w:val="17"/>
                                <w:szCs w:val="17"/>
                              </w:rPr>
                              <w:t>BLESS III, Letybo</w:t>
                            </w:r>
                          </w:p>
                          <w:p w14:paraId="30167B8C" w14:textId="1BE4DF6F" w:rsidR="00FD0784" w:rsidRPr="00FD0784" w:rsidRDefault="00FD0784" w:rsidP="00FD0784">
                            <w:pPr>
                              <w:spacing w:line="240" w:lineRule="auto"/>
                              <w:rPr>
                                <w:color w:val="808080" w:themeColor="background1" w:themeShade="80"/>
                                <w:sz w:val="17"/>
                                <w:szCs w:val="17"/>
                              </w:rPr>
                            </w:pPr>
                            <w:r>
                              <w:rPr>
                                <w:color w:val="808080" w:themeColor="background1" w:themeShade="80"/>
                                <w:sz w:val="17"/>
                                <w:szCs w:val="17"/>
                              </w:rPr>
                              <w:t>BLESS III, placebo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964A278" id="Text Box 10" o:spid="_x0000_s1036" type="#_x0000_t202" style="position:absolute;margin-left:347.1pt;margin-top:5.8pt;width:95pt;height:3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" fillcolor="white [3201]" stroked="f" strokeweight=".5pt">
                <v:textbox inset="0,0,0,0">
                  <w:txbxContent>
                    <w:p w14:paraId="63A5FCF7" w14:textId="4FCF388C" w:rsidR="00FD0784" w:rsidRPr="00FD0784" w:rsidRDefault="00FD0784" w:rsidP="00FD0784">
                      <w:pPr>
                        <w:spacing w:line="240" w:lineRule="auto"/>
                        <w:rPr>
                          <w:color w:val="808080" w:themeColor="background1" w:themeShade="80"/>
                          <w:sz w:val="17"/>
                          <w:szCs w:val="17"/>
                        </w:rPr>
                      </w:pPr>
                      <w:r>
                        <w:rPr>
                          <w:color w:val="808080" w:themeColor="background1" w:themeShade="80"/>
                          <w:sz w:val="17"/>
                          <w:szCs w:val="17"/>
                        </w:rPr>
                        <w:t>BLESS II, placebo</w:t>
                      </w:r>
                    </w:p>
                    <w:p w14:paraId="71E66DFD" w14:textId="25F7EC4C" w:rsidR="00FD0784" w:rsidRPr="00FD0784" w:rsidRDefault="00FD0784" w:rsidP="00FD0784">
                      <w:pPr>
                        <w:spacing w:line="240" w:lineRule="auto"/>
                        <w:rPr>
                          <w:color w:val="808080" w:themeColor="background1" w:themeShade="80"/>
                          <w:sz w:val="17"/>
                          <w:szCs w:val="17"/>
                        </w:rPr>
                      </w:pPr>
                      <w:r>
                        <w:rPr>
                          <w:color w:val="808080" w:themeColor="background1" w:themeShade="80"/>
                          <w:sz w:val="17"/>
                          <w:szCs w:val="17"/>
                        </w:rPr>
                        <w:t>BLESS III, Letybo</w:t>
                      </w:r>
                    </w:p>
                    <w:p w14:paraId="30167B8C" w14:textId="1BE4DF6F" w:rsidR="00FD0784" w:rsidRPr="00FD0784" w:rsidRDefault="00FD0784" w:rsidP="00FD0784">
                      <w:pPr>
                        <w:spacing w:line="240" w:lineRule="auto"/>
                        <w:rPr>
                          <w:color w:val="808080" w:themeColor="background1" w:themeShade="80"/>
                          <w:sz w:val="17"/>
                          <w:szCs w:val="17"/>
                        </w:rPr>
                      </w:pPr>
                      <w:r>
                        <w:rPr>
                          <w:color w:val="808080" w:themeColor="background1" w:themeShade="80"/>
                          <w:sz w:val="17"/>
                          <w:szCs w:val="17"/>
                        </w:rPr>
                        <w:t>BLESS III, placebo</w:t>
                      </w:r>
                    </w:p>
                  </w:txbxContent>
                </v:textbox>
              </v:shape>
            </w:pict>
          </mc:Fallback>
        </mc:AlternateContent>
      </w:r>
      <w:r w:rsidR="0027552F">
        <w:rPr>
          <w:noProof/>
          <w:szCs w:val="22"/>
          <w:lang w:bidi="ar-SA"/>
        </w:rPr>
        <mc:AlternateContent>
          <mc:Choice Requires="wps">
            <w:drawing>
              <wp:anchor distT="0" distB="0" distL="114300" distR="114300" simplePos="0" relativeHeight="251669504" behindDoc="0" locked="0" layoutInCell="1" allowOverlap="1" wp14:anchorId="7594177F" wp14:editId="42AA8266">
                <wp:simplePos x="0" y="0"/>
                <wp:positionH relativeFrom="column">
                  <wp:posOffset>3036570</wp:posOffset>
                </wp:positionH>
                <wp:positionV relativeFrom="paragraph">
                  <wp:posOffset>67310</wp:posOffset>
                </wp:positionV>
                <wp:extent cx="984250" cy="406400"/>
                <wp:effectExtent l="0" t="0" r="6350" b="0"/>
                <wp:wrapNone/>
                <wp:docPr id="9" name="Text Box 9"/>
                <wp:cNvGraphicFramePr/>
                <a:graphic xmlns:a="http://schemas.openxmlformats.org/drawingml/2006/main">
                  <a:graphicData uri="http://schemas.microsoft.com/office/word/2010/wordprocessingShape">
                    <wps:wsp>
                      <wps:cNvSpPr txBox="1"/>
                      <wps:spPr>
                        <a:xfrm>
                          <a:off x="0" y="0"/>
                          <a:ext cx="984250" cy="406400"/>
                        </a:xfrm>
                        <a:prstGeom prst="rect">
                          <a:avLst/>
                        </a:prstGeom>
                        <a:solidFill>
                          <a:schemeClr val="lt1"/>
                        </a:solidFill>
                        <a:ln w="6350">
                          <a:noFill/>
                        </a:ln>
                      </wps:spPr>
                      <wps:txbx>
                        <w:txbxContent>
                          <w:p w14:paraId="5BEE7653" w14:textId="2DEEB3A7" w:rsidR="00FD0784" w:rsidRPr="00FD0784" w:rsidRDefault="00FD0784" w:rsidP="00FD0784">
                            <w:pPr>
                              <w:spacing w:line="240" w:lineRule="auto"/>
                              <w:rPr>
                                <w:color w:val="808080" w:themeColor="background1" w:themeShade="80"/>
                                <w:sz w:val="17"/>
                                <w:szCs w:val="17"/>
                              </w:rPr>
                            </w:pPr>
                            <w:r>
                              <w:rPr>
                                <w:color w:val="808080" w:themeColor="background1" w:themeShade="80"/>
                                <w:sz w:val="17"/>
                                <w:szCs w:val="17"/>
                              </w:rPr>
                              <w:t>BLESS I, Letybo</w:t>
                            </w:r>
                          </w:p>
                          <w:p w14:paraId="396EDA18" w14:textId="60322474" w:rsidR="00FD0784" w:rsidRPr="00FD0784" w:rsidRDefault="00FD0784" w:rsidP="00FD0784">
                            <w:pPr>
                              <w:spacing w:line="240" w:lineRule="auto"/>
                              <w:rPr>
                                <w:color w:val="808080" w:themeColor="background1" w:themeShade="80"/>
                                <w:sz w:val="17"/>
                                <w:szCs w:val="17"/>
                              </w:rPr>
                            </w:pPr>
                            <w:r>
                              <w:rPr>
                                <w:color w:val="808080" w:themeColor="background1" w:themeShade="80"/>
                                <w:sz w:val="17"/>
                                <w:szCs w:val="17"/>
                              </w:rPr>
                              <w:t>BLESS I, placebo</w:t>
                            </w:r>
                          </w:p>
                          <w:p w14:paraId="7EAD59F1" w14:textId="15BA4FA7" w:rsidR="00FD0784" w:rsidRPr="00FD0784" w:rsidRDefault="00FD0784" w:rsidP="00FD0784">
                            <w:pPr>
                              <w:spacing w:line="240" w:lineRule="auto"/>
                              <w:rPr>
                                <w:color w:val="808080" w:themeColor="background1" w:themeShade="80"/>
                                <w:sz w:val="17"/>
                                <w:szCs w:val="17"/>
                              </w:rPr>
                            </w:pPr>
                            <w:r>
                              <w:rPr>
                                <w:color w:val="808080" w:themeColor="background1" w:themeShade="80"/>
                                <w:sz w:val="17"/>
                                <w:szCs w:val="17"/>
                              </w:rPr>
                              <w:t>BLESS II, Letybo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94177F" id="Text Box 9" o:spid="_x0000_s1037" type="#_x0000_t202" style="position:absolute;margin-left:239.1pt;margin-top:5.3pt;width:77.5pt;height:3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" fillcolor="white [3201]" stroked="f" strokeweight=".5pt">
                <v:textbox inset="0,0,0,0">
                  <w:txbxContent>
                    <w:p w14:paraId="5BEE7653" w14:textId="2DEEB3A7" w:rsidR="00FD0784" w:rsidRPr="00FD0784" w:rsidRDefault="00FD0784" w:rsidP="00FD0784">
                      <w:pPr>
                        <w:spacing w:line="240" w:lineRule="auto"/>
                        <w:rPr>
                          <w:color w:val="808080" w:themeColor="background1" w:themeShade="80"/>
                          <w:sz w:val="17"/>
                          <w:szCs w:val="17"/>
                        </w:rPr>
                      </w:pPr>
                      <w:r>
                        <w:rPr>
                          <w:color w:val="808080" w:themeColor="background1" w:themeShade="80"/>
                          <w:sz w:val="17"/>
                          <w:szCs w:val="17"/>
                        </w:rPr>
                        <w:t>BLESS I, Letybo</w:t>
                      </w:r>
                    </w:p>
                    <w:p w14:paraId="396EDA18" w14:textId="60322474" w:rsidR="00FD0784" w:rsidRPr="00FD0784" w:rsidRDefault="00FD0784" w:rsidP="00FD0784">
                      <w:pPr>
                        <w:spacing w:line="240" w:lineRule="auto"/>
                        <w:rPr>
                          <w:color w:val="808080" w:themeColor="background1" w:themeShade="80"/>
                          <w:sz w:val="17"/>
                          <w:szCs w:val="17"/>
                        </w:rPr>
                      </w:pPr>
                      <w:r>
                        <w:rPr>
                          <w:color w:val="808080" w:themeColor="background1" w:themeShade="80"/>
                          <w:sz w:val="17"/>
                          <w:szCs w:val="17"/>
                        </w:rPr>
                        <w:t>BLESS I, placebo</w:t>
                      </w:r>
                    </w:p>
                    <w:p w14:paraId="7EAD59F1" w14:textId="15BA4FA7" w:rsidR="00FD0784" w:rsidRPr="00FD0784" w:rsidRDefault="00FD0784" w:rsidP="00FD0784">
                      <w:pPr>
                        <w:spacing w:line="240" w:lineRule="auto"/>
                        <w:rPr>
                          <w:color w:val="808080" w:themeColor="background1" w:themeShade="80"/>
                          <w:sz w:val="17"/>
                          <w:szCs w:val="17"/>
                        </w:rPr>
                      </w:pPr>
                      <w:r>
                        <w:rPr>
                          <w:color w:val="808080" w:themeColor="background1" w:themeShade="80"/>
                          <w:sz w:val="17"/>
                          <w:szCs w:val="17"/>
                        </w:rPr>
                        <w:t>BLESS II, Letybo</w:t>
                      </w:r>
                    </w:p>
                  </w:txbxContent>
                </v:textbox>
              </v:shape>
            </w:pict>
          </mc:Fallback>
        </mc:AlternateContent>
      </w:r>
      <w:r w:rsidR="0027552F">
        <w:rPr>
          <w:noProof/>
          <w:szCs w:val="22"/>
          <w:lang w:bidi="ar-SA"/>
        </w:rPr>
        <w:drawing>
          <wp:inline distT="0" distB="0" distL="0" distR="0" wp14:anchorId="5C55B037" wp14:editId="4B412F20">
            <wp:extent cx="5760085" cy="2854325"/>
            <wp:effectExtent l="0" t="0" r="0" b="317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0085" cy="2854325"/>
                    </a:xfrm>
                    <a:prstGeom prst="rect">
                      <a:avLst/>
                    </a:prstGeom>
                  </pic:spPr>
                </pic:pic>
              </a:graphicData>
            </a:graphic>
          </wp:inline>
        </w:drawing>
      </w:r>
    </w:p>
    <w:p w14:paraId="02F07D2D" w14:textId="16D44220" w:rsidR="009553D6" w:rsidRPr="00E34025" w:rsidRDefault="009553D6" w:rsidP="0027552F">
      <w:pPr>
        <w:pStyle w:val="Kpalrs"/>
        <w:spacing w:before="0" w:after="0"/>
        <w:rPr>
          <w:sz w:val="22"/>
          <w:szCs w:val="22"/>
          <w:lang w:eastAsia="ja-JP"/>
        </w:rPr>
      </w:pPr>
      <w:r>
        <w:rPr>
          <w:sz w:val="22"/>
          <w:szCs w:val="22"/>
        </w:rPr>
        <w:t>1. ábra</w:t>
      </w:r>
      <w:r>
        <w:rPr>
          <w:sz w:val="22"/>
          <w:szCs w:val="22"/>
        </w:rPr>
        <w:tab/>
        <w:t>A válaszarány (≥ 2 pontos javulás az FWS-ben, mind a vizsgálati alany, mind pedig a vizsgáló értékelése alapján) időbeli alakulása az 1. ciklus során az aktív versus placebokezelés esetén a pivotális BLESS vizsgálatokban</w:t>
      </w:r>
    </w:p>
    <w:p w14:paraId="738F9E91" w14:textId="77777777" w:rsidR="009553D6" w:rsidRPr="00986907" w:rsidRDefault="009553D6" w:rsidP="00CE56B0">
      <w:pPr>
        <w:pStyle w:val="Szvegtrzs"/>
        <w:rPr>
          <w:i w:val="0"/>
          <w:color w:val="auto"/>
          <w:szCs w:val="22"/>
        </w:rPr>
      </w:pPr>
    </w:p>
    <w:p w14:paraId="501B6DBF" w14:textId="685FCF59" w:rsidR="00A54866" w:rsidRPr="00986907" w:rsidRDefault="0012544F" w:rsidP="00CE56B0">
      <w:pPr>
        <w:pStyle w:val="Szvegtrzs"/>
        <w:rPr>
          <w:i w:val="0"/>
          <w:color w:val="auto"/>
          <w:szCs w:val="22"/>
        </w:rPr>
      </w:pPr>
      <w:r>
        <w:rPr>
          <w:i w:val="0"/>
          <w:color w:val="auto"/>
          <w:szCs w:val="22"/>
        </w:rPr>
        <w:t xml:space="preserve">Kimutatható volt, hogy a </w:t>
      </w:r>
      <w:r>
        <w:rPr>
          <w:i w:val="0"/>
          <w:color w:val="auto"/>
          <w:szCs w:val="22"/>
          <w:u w:val="single"/>
        </w:rPr>
        <w:t>nyugalmi</w:t>
      </w:r>
      <w:r>
        <w:rPr>
          <w:i w:val="0"/>
          <w:color w:val="auto"/>
          <w:szCs w:val="22"/>
        </w:rPr>
        <w:t xml:space="preserve"> FWS-pontszám ≥ 1 pontos csökkenését mutatók aránya statisztikailag szignifikánsan nagyobb a Letybo</w:t>
      </w:r>
      <w:r w:rsidR="005371D6">
        <w:rPr>
          <w:i w:val="0"/>
          <w:color w:val="auto"/>
          <w:szCs w:val="22"/>
        </w:rPr>
        <w:t>-</w:t>
      </w:r>
      <w:r>
        <w:rPr>
          <w:i w:val="0"/>
          <w:color w:val="auto"/>
          <w:szCs w:val="22"/>
        </w:rPr>
        <w:t>csoportban, mint a placebocsoportban: Négy héttel az injekció beadását követően a vizsgálók úgy ítélték meg, hogy a Letybo készítménnyel kezelt páciensek 63,1%-a, 59,4%-a és 61,3%-a, valamint a placebóval kezelt páciensek 15,4%-a, 5,7%-a és 9,0%-a mutatott ≥ 1 pontos javulást a nyugalmi FWS-pontszámban a BLESS I, a BLESS II, illetve a BLESS III vizsgálatban (a kezelések közötti különbség p-értéke minden vizsgálat esetében &lt; 0,001 volt).</w:t>
      </w:r>
    </w:p>
    <w:p w14:paraId="474E0A82" w14:textId="77777777" w:rsidR="0099022C" w:rsidRPr="00986907" w:rsidRDefault="0099022C" w:rsidP="00CE56B0">
      <w:pPr>
        <w:pStyle w:val="Szvegtrzs"/>
        <w:rPr>
          <w:i w:val="0"/>
          <w:color w:val="auto"/>
          <w:szCs w:val="22"/>
        </w:rPr>
      </w:pPr>
    </w:p>
    <w:p w14:paraId="17F5FA11" w14:textId="26625B95" w:rsidR="00A54866" w:rsidRPr="00986907" w:rsidRDefault="00686100" w:rsidP="00CE56B0">
      <w:pPr>
        <w:pStyle w:val="Szvegtrzs"/>
        <w:rPr>
          <w:i w:val="0"/>
          <w:color w:val="auto"/>
          <w:szCs w:val="22"/>
        </w:rPr>
      </w:pPr>
      <w:r>
        <w:rPr>
          <w:i w:val="0"/>
          <w:color w:val="auto"/>
          <w:szCs w:val="22"/>
        </w:rPr>
        <w:t>A hosszú távú, ismételt adagokkal végzett, nyílt elrendezésű vizsgálatból származó adatok megerősítették, hogy az egy évig tartó vizsgálati időszakban a második, a harmadik és a negyedik Letybo-kezelés esetében a válaszarány továbbra is magas maradt, annak ellenére, hogy – a vizsgálat elrendezése miatt – az ismételt kezelési ciklusok esetében fellépett némi torzítás a nem reagálók javára.</w:t>
      </w:r>
    </w:p>
    <w:bookmarkEnd w:id="7"/>
    <w:p w14:paraId="52999D15" w14:textId="77777777" w:rsidR="00CC7F6F" w:rsidRPr="00986907" w:rsidRDefault="00CC7F6F" w:rsidP="00CE56B0">
      <w:pPr>
        <w:pStyle w:val="Szvegtrzs"/>
        <w:rPr>
          <w:i w:val="0"/>
          <w:color w:val="auto"/>
          <w:szCs w:val="22"/>
        </w:rPr>
      </w:pPr>
    </w:p>
    <w:p w14:paraId="63F8BDF5" w14:textId="74150DCD" w:rsidR="00D7218E" w:rsidRPr="00986907" w:rsidRDefault="00C86D6B" w:rsidP="00CE56B0">
      <w:pPr>
        <w:pStyle w:val="Szvegtrzs"/>
        <w:rPr>
          <w:i w:val="0"/>
          <w:color w:val="auto"/>
          <w:szCs w:val="22"/>
        </w:rPr>
      </w:pPr>
      <w:bookmarkStart w:id="12" w:name="_Hlk65503304"/>
      <w:bookmarkStart w:id="13" w:name="_Hlk8907850"/>
      <w:r>
        <w:rPr>
          <w:i w:val="0"/>
          <w:color w:val="auto"/>
          <w:szCs w:val="22"/>
        </w:rPr>
        <w:t>Az újonnan kifejlesztett, módosított Skindex-16 glabella ránc életminőség-skála szerint a vizsgálatban részt vevő páciensek több mint 85%-a közepes</w:t>
      </w:r>
      <w:r w:rsidR="00C12341">
        <w:rPr>
          <w:i w:val="0"/>
          <w:color w:val="auto"/>
          <w:szCs w:val="22"/>
        </w:rPr>
        <w:t>en súlyos</w:t>
      </w:r>
      <w:r>
        <w:rPr>
          <w:i w:val="0"/>
          <w:color w:val="auto"/>
          <w:szCs w:val="22"/>
        </w:rPr>
        <w:t xml:space="preserve"> vagy súlyos mértékű negatív pszichológiai hatást tapasztalt a glabella ráncok következtében a kiinduláskor, míg a páciensek kb. 15%-a enyhe hatásról számolt be.</w:t>
      </w:r>
    </w:p>
    <w:p w14:paraId="43FD4772" w14:textId="589C3C3D" w:rsidR="00177932" w:rsidRPr="00986907" w:rsidRDefault="00177932" w:rsidP="00CE56B0">
      <w:pPr>
        <w:pStyle w:val="Szvegtrzs"/>
        <w:rPr>
          <w:i w:val="0"/>
          <w:color w:val="auto"/>
          <w:szCs w:val="22"/>
        </w:rPr>
      </w:pPr>
    </w:p>
    <w:bookmarkEnd w:id="12"/>
    <w:p w14:paraId="54FD2362" w14:textId="233E111A" w:rsidR="00D7218E" w:rsidRPr="00986907" w:rsidRDefault="00A54866" w:rsidP="00CE56B0">
      <w:pPr>
        <w:pStyle w:val="Szvegtrzs"/>
        <w:rPr>
          <w:i w:val="0"/>
          <w:color w:val="auto"/>
          <w:szCs w:val="22"/>
        </w:rPr>
      </w:pPr>
      <w:r>
        <w:rPr>
          <w:i w:val="0"/>
          <w:color w:val="auto"/>
          <w:szCs w:val="22"/>
        </w:rPr>
        <w:t>A módosított Skindex-16 glabella ránc életminőség-skála szerint a Letybo készítménnyel kezelt páciensek esetében pszichológiai szempontból határozott javulás volt megfigyelhető a placebóval kezelt páciensekhez képest.</w:t>
      </w:r>
    </w:p>
    <w:p w14:paraId="69EFDF0A" w14:textId="0E433BB9" w:rsidR="00A21045" w:rsidRPr="00986907" w:rsidRDefault="00A21045" w:rsidP="00CE56B0">
      <w:pPr>
        <w:pStyle w:val="Szvegtrzs"/>
        <w:rPr>
          <w:i w:val="0"/>
          <w:color w:val="auto"/>
          <w:szCs w:val="22"/>
        </w:rPr>
      </w:pPr>
    </w:p>
    <w:bookmarkEnd w:id="13"/>
    <w:p w14:paraId="27443138" w14:textId="52CCA53C" w:rsidR="00A54866" w:rsidRPr="00986907" w:rsidRDefault="00CC7F6F" w:rsidP="00CE56B0">
      <w:pPr>
        <w:pStyle w:val="Szvegtrzs"/>
        <w:rPr>
          <w:i w:val="0"/>
          <w:color w:val="auto"/>
          <w:szCs w:val="22"/>
        </w:rPr>
      </w:pPr>
      <w:r>
        <w:rPr>
          <w:i w:val="0"/>
          <w:color w:val="auto"/>
          <w:szCs w:val="22"/>
        </w:rPr>
        <w:t>A páciensek többsége kedvező kozmetikai eredményekről számolt be, valamint magas volt az elégedettségi arány a végeredménnyel.</w:t>
      </w:r>
    </w:p>
    <w:p w14:paraId="7E20FA8C" w14:textId="77777777" w:rsidR="00A54866" w:rsidRPr="00986907" w:rsidRDefault="00A54866" w:rsidP="00CE56B0">
      <w:pPr>
        <w:autoSpaceDE w:val="0"/>
        <w:autoSpaceDN w:val="0"/>
        <w:adjustRightInd w:val="0"/>
        <w:spacing w:line="240" w:lineRule="auto"/>
        <w:rPr>
          <w:bCs/>
          <w:iCs/>
          <w:szCs w:val="22"/>
        </w:rPr>
      </w:pPr>
    </w:p>
    <w:p w14:paraId="5238B875" w14:textId="6B534529" w:rsidR="00786561" w:rsidRPr="00986907" w:rsidRDefault="00A54866" w:rsidP="00CE56B0">
      <w:pPr>
        <w:keepNext/>
        <w:keepLines/>
        <w:autoSpaceDE w:val="0"/>
        <w:autoSpaceDN w:val="0"/>
        <w:adjustRightInd w:val="0"/>
        <w:spacing w:line="240" w:lineRule="auto"/>
        <w:rPr>
          <w:bCs/>
          <w:i/>
          <w:iCs/>
          <w:szCs w:val="22"/>
        </w:rPr>
      </w:pPr>
      <w:r>
        <w:rPr>
          <w:bCs/>
          <w:i/>
          <w:iCs/>
          <w:szCs w:val="22"/>
        </w:rPr>
        <w:lastRenderedPageBreak/>
        <w:t>Biztonságosság</w:t>
      </w:r>
    </w:p>
    <w:p w14:paraId="2CD4BECF" w14:textId="77777777" w:rsidR="00AF1087" w:rsidRPr="00986907" w:rsidRDefault="00AF1087" w:rsidP="00CE56B0">
      <w:pPr>
        <w:keepNext/>
        <w:keepLines/>
        <w:autoSpaceDE w:val="0"/>
        <w:autoSpaceDN w:val="0"/>
        <w:adjustRightInd w:val="0"/>
        <w:spacing w:line="240" w:lineRule="auto"/>
        <w:rPr>
          <w:bCs/>
          <w:i/>
          <w:iCs/>
          <w:szCs w:val="22"/>
        </w:rPr>
      </w:pPr>
    </w:p>
    <w:p w14:paraId="21952284" w14:textId="0A22792A" w:rsidR="00D7218E" w:rsidRPr="00986907" w:rsidRDefault="00DF5110" w:rsidP="00CE56B0">
      <w:pPr>
        <w:keepNext/>
        <w:keepLines/>
        <w:autoSpaceDE w:val="0"/>
        <w:autoSpaceDN w:val="0"/>
        <w:adjustRightInd w:val="0"/>
        <w:spacing w:line="240" w:lineRule="auto"/>
        <w:rPr>
          <w:szCs w:val="22"/>
        </w:rPr>
      </w:pPr>
      <w:r>
        <w:rPr>
          <w:bCs/>
          <w:iCs/>
          <w:szCs w:val="22"/>
        </w:rPr>
        <w:t xml:space="preserve">A BLESS I, BLESS II és BLESS III vizsgálat kettős vak kezelése során 33 (3,5%) páciens tapasztalt olyan nemkívánatos eseményeket, amelyek legalább lehetségesen összefüggnek a Letybo készítménnyel, és 8 (2,5%) páciens tapasztalt olyan nemkívánatos eseményeket, amelyek legalább lehetségesen összefüggnek a placebokezeléssel. A nyílt elrendezésű kezelés során 46 (5,4%) páciens tapasztalt olyan nemkívánatos eseményeket, amelyek legalább lehetségesen összefüggnek a (legfeljebb 3 kezelési ciklust magába foglaló) </w:t>
      </w:r>
      <w:r>
        <w:rPr>
          <w:szCs w:val="22"/>
        </w:rPr>
        <w:t>Letybo</w:t>
      </w:r>
      <w:r>
        <w:rPr>
          <w:bCs/>
          <w:iCs/>
          <w:szCs w:val="22"/>
        </w:rPr>
        <w:t>-kezeléssel. Ezen nemkívánatos események egyik</w:t>
      </w:r>
      <w:r w:rsidR="00E14BD1">
        <w:rPr>
          <w:bCs/>
          <w:iCs/>
          <w:szCs w:val="22"/>
        </w:rPr>
        <w:t>ét</w:t>
      </w:r>
      <w:r>
        <w:rPr>
          <w:bCs/>
          <w:iCs/>
          <w:szCs w:val="22"/>
        </w:rPr>
        <w:t xml:space="preserve"> sem </w:t>
      </w:r>
      <w:r w:rsidR="00E14BD1">
        <w:rPr>
          <w:bCs/>
          <w:iCs/>
          <w:szCs w:val="22"/>
        </w:rPr>
        <w:t xml:space="preserve">tekintették </w:t>
      </w:r>
      <w:r>
        <w:rPr>
          <w:bCs/>
          <w:iCs/>
          <w:szCs w:val="22"/>
        </w:rPr>
        <w:t xml:space="preserve">súlyosnak. Az eredmények összhangban voltak a glabella ráncokkal összefüggő </w:t>
      </w:r>
      <w:r>
        <w:rPr>
          <w:szCs w:val="22"/>
        </w:rPr>
        <w:t>HG</w:t>
      </w:r>
      <w:r>
        <w:rPr>
          <w:szCs w:val="22"/>
        </w:rPr>
        <w:noBreakHyphen/>
        <w:t>11</w:t>
      </w:r>
      <w:r>
        <w:rPr>
          <w:szCs w:val="22"/>
        </w:rPr>
        <w:noBreakHyphen/>
        <w:t>01 III. fázisú támogató vizsgálat eredményeivel.</w:t>
      </w:r>
    </w:p>
    <w:p w14:paraId="3AA7C0F3" w14:textId="7159D98C" w:rsidR="00E206DE" w:rsidRPr="00986907" w:rsidRDefault="00E206DE" w:rsidP="00CE56B0">
      <w:pPr>
        <w:keepNext/>
        <w:keepLines/>
        <w:autoSpaceDE w:val="0"/>
        <w:autoSpaceDN w:val="0"/>
        <w:adjustRightInd w:val="0"/>
        <w:spacing w:line="240" w:lineRule="auto"/>
        <w:rPr>
          <w:szCs w:val="22"/>
        </w:rPr>
      </w:pPr>
    </w:p>
    <w:p w14:paraId="02BE71C7" w14:textId="14EE760B" w:rsidR="00D7218E" w:rsidRPr="00986907" w:rsidRDefault="00485ACD" w:rsidP="00CE56B0">
      <w:pPr>
        <w:autoSpaceDE w:val="0"/>
        <w:autoSpaceDN w:val="0"/>
        <w:adjustRightInd w:val="0"/>
        <w:spacing w:line="240" w:lineRule="auto"/>
        <w:rPr>
          <w:bCs/>
          <w:iCs/>
          <w:szCs w:val="22"/>
        </w:rPr>
      </w:pPr>
      <w:r>
        <w:rPr>
          <w:bCs/>
          <w:iCs/>
          <w:szCs w:val="22"/>
        </w:rPr>
        <w:t xml:space="preserve">A BLESS I, BLESS II és BLESS III vizsgálatban minden kezelés előtt, 4 héttel az egyes kezelések után és az utolsó vizsgálati viziten kiértékelték az antitestképződést. A </w:t>
      </w:r>
      <w:r>
        <w:rPr>
          <w:szCs w:val="22"/>
        </w:rPr>
        <w:t>Letybo</w:t>
      </w:r>
      <w:r>
        <w:rPr>
          <w:bCs/>
          <w:iCs/>
          <w:szCs w:val="22"/>
        </w:rPr>
        <w:t xml:space="preserve"> beadását követően egyik páciensnél sem észleltek neutralizáló antitesteket.</w:t>
      </w:r>
    </w:p>
    <w:p w14:paraId="0AB39528" w14:textId="5F1F7EB0" w:rsidR="00C30726" w:rsidRPr="00986907" w:rsidRDefault="00C30726" w:rsidP="00CE56B0">
      <w:pPr>
        <w:autoSpaceDE w:val="0"/>
        <w:autoSpaceDN w:val="0"/>
        <w:adjustRightInd w:val="0"/>
        <w:spacing w:line="240" w:lineRule="auto"/>
        <w:rPr>
          <w:bCs/>
          <w:iCs/>
          <w:szCs w:val="22"/>
        </w:rPr>
      </w:pPr>
    </w:p>
    <w:p w14:paraId="266DCE4A" w14:textId="6E226E9F" w:rsidR="0082069E" w:rsidRPr="00986907" w:rsidRDefault="0082069E" w:rsidP="00CE56B0">
      <w:pPr>
        <w:keepNext/>
        <w:keepLines/>
        <w:autoSpaceDE w:val="0"/>
        <w:autoSpaceDN w:val="0"/>
        <w:adjustRightInd w:val="0"/>
        <w:spacing w:line="240" w:lineRule="auto"/>
        <w:rPr>
          <w:bCs/>
          <w:iCs/>
          <w:szCs w:val="22"/>
          <w:u w:val="single"/>
        </w:rPr>
      </w:pPr>
      <w:r>
        <w:rPr>
          <w:bCs/>
          <w:iCs/>
          <w:szCs w:val="22"/>
          <w:u w:val="single"/>
        </w:rPr>
        <w:t>Forgalomba hozatal utáni adatok</w:t>
      </w:r>
    </w:p>
    <w:p w14:paraId="20628368" w14:textId="0A08F6C6" w:rsidR="00D7218E" w:rsidRPr="00986907" w:rsidRDefault="0082069E" w:rsidP="00CE56B0">
      <w:pPr>
        <w:keepNext/>
        <w:keepLines/>
        <w:autoSpaceDE w:val="0"/>
        <w:autoSpaceDN w:val="0"/>
        <w:adjustRightInd w:val="0"/>
        <w:spacing w:line="240" w:lineRule="auto"/>
        <w:rPr>
          <w:bCs/>
          <w:iCs/>
          <w:szCs w:val="22"/>
        </w:rPr>
      </w:pPr>
      <w:r>
        <w:rPr>
          <w:bCs/>
          <w:iCs/>
          <w:szCs w:val="22"/>
        </w:rPr>
        <w:t>A forgalomba hozatal utáni adatok, vagyis a 815 páciens részvételével végzett, a glabella ráncokkal kapcsolatos forgalomba hozatal utáni vizsgálat (HG</w:t>
      </w:r>
      <w:r>
        <w:rPr>
          <w:bCs/>
          <w:iCs/>
          <w:szCs w:val="22"/>
        </w:rPr>
        <w:noBreakHyphen/>
        <w:t>13</w:t>
      </w:r>
      <w:r>
        <w:rPr>
          <w:bCs/>
          <w:iCs/>
          <w:szCs w:val="22"/>
        </w:rPr>
        <w:noBreakHyphen/>
        <w:t>02) adatai összhangban vannak a klinikai vizsgálatokban megfigyelt adatokkal.</w:t>
      </w:r>
    </w:p>
    <w:p w14:paraId="6C01A454" w14:textId="7E57EA12" w:rsidR="0082069E" w:rsidRPr="00986907" w:rsidRDefault="0082069E" w:rsidP="00CE56B0">
      <w:pPr>
        <w:autoSpaceDE w:val="0"/>
        <w:autoSpaceDN w:val="0"/>
        <w:adjustRightInd w:val="0"/>
        <w:spacing w:line="240" w:lineRule="auto"/>
        <w:rPr>
          <w:bCs/>
          <w:iCs/>
          <w:szCs w:val="22"/>
        </w:rPr>
      </w:pPr>
    </w:p>
    <w:p w14:paraId="160A2DDE" w14:textId="77777777" w:rsidR="00A83902" w:rsidRPr="00986907" w:rsidRDefault="00A83902" w:rsidP="00CE56B0">
      <w:pPr>
        <w:keepNext/>
        <w:keepLines/>
        <w:spacing w:line="240" w:lineRule="auto"/>
        <w:rPr>
          <w:bCs/>
          <w:iCs/>
          <w:szCs w:val="22"/>
          <w:u w:val="single"/>
        </w:rPr>
      </w:pPr>
      <w:r>
        <w:rPr>
          <w:bCs/>
          <w:iCs/>
          <w:szCs w:val="22"/>
          <w:u w:val="single"/>
        </w:rPr>
        <w:t>Idősek</w:t>
      </w:r>
    </w:p>
    <w:p w14:paraId="138E1753" w14:textId="278784E4" w:rsidR="00D7218E" w:rsidRPr="00986907" w:rsidRDefault="00C6538E" w:rsidP="00CE56B0">
      <w:pPr>
        <w:keepNext/>
        <w:keepLines/>
        <w:spacing w:line="240" w:lineRule="auto"/>
        <w:rPr>
          <w:bCs/>
          <w:iCs/>
          <w:szCs w:val="22"/>
        </w:rPr>
      </w:pPr>
      <w:r>
        <w:rPr>
          <w:bCs/>
          <w:iCs/>
          <w:szCs w:val="22"/>
        </w:rPr>
        <w:t xml:space="preserve">A BLESS I, BLESS II és BLESS III vizsgálatban összesen 152/1272 (11,91%) páciens volt 65 éves vagy annál idősebb a szűréskor. 75 évesnél idősebb páciens nem vett részt a vizsgálatban. A BLESS I, BLESS II és BLESS III vizsgálatban </w:t>
      </w:r>
      <w:r>
        <w:rPr>
          <w:szCs w:val="22"/>
        </w:rPr>
        <w:t>Letybo</w:t>
      </w:r>
      <w:r>
        <w:rPr>
          <w:bCs/>
          <w:iCs/>
          <w:szCs w:val="22"/>
        </w:rPr>
        <w:t xml:space="preserve"> készítményt kapó páciensek között a 4. héten az összetett válaszarány (elsődleges végpont) alacsonyabb volt a ≥ 65 éves páciensek esetében (46/118 [39,0%]), mint a &lt; 65 éves páciensek esetében (450/839 [53,6%]). A kettős vak </w:t>
      </w:r>
      <w:r>
        <w:rPr>
          <w:szCs w:val="22"/>
        </w:rPr>
        <w:t>Letybo</w:t>
      </w:r>
      <w:r>
        <w:rPr>
          <w:bCs/>
          <w:iCs/>
          <w:szCs w:val="22"/>
        </w:rPr>
        <w:t>-kezeléssel összefüggésben állónak tartott nemkívánatos eseményeket tapasztalók teljes aránya szempontjából nem volt nagy különbség a három vizsgálatot összesítve tekintve (a &lt; 65 éves páciensek 3,7%-a, illetve a ≥ 65 éves páciensek 1,7%-a a készítménnyel összefüggő, illetve az injekciózási eljárással összefüggő nemkívánatos események figyelembe vétele esetén).</w:t>
      </w:r>
    </w:p>
    <w:p w14:paraId="34322E9F" w14:textId="4D2191CF" w:rsidR="00A83902" w:rsidRPr="00986907" w:rsidRDefault="00A83902" w:rsidP="00CE56B0">
      <w:pPr>
        <w:spacing w:line="240" w:lineRule="auto"/>
        <w:rPr>
          <w:bCs/>
          <w:iCs/>
          <w:szCs w:val="22"/>
          <w:u w:val="single"/>
        </w:rPr>
      </w:pPr>
    </w:p>
    <w:p w14:paraId="0433639B" w14:textId="77777777" w:rsidR="008D6BE8" w:rsidRPr="00986907" w:rsidRDefault="00812D16" w:rsidP="00A0276F">
      <w:pPr>
        <w:keepNext/>
        <w:keepLines/>
        <w:tabs>
          <w:tab w:val="clear" w:pos="567"/>
        </w:tabs>
        <w:spacing w:line="240" w:lineRule="auto"/>
        <w:rPr>
          <w:bCs/>
          <w:iCs/>
          <w:szCs w:val="22"/>
        </w:rPr>
      </w:pPr>
      <w:r>
        <w:rPr>
          <w:bCs/>
          <w:iCs/>
          <w:szCs w:val="22"/>
          <w:u w:val="single"/>
        </w:rPr>
        <w:t>Gyermekek és serdülők</w:t>
      </w:r>
    </w:p>
    <w:p w14:paraId="39C5B0A7" w14:textId="0398456E" w:rsidR="00D7218E" w:rsidRPr="00986907" w:rsidRDefault="00812D16" w:rsidP="00CE56B0">
      <w:pPr>
        <w:keepNext/>
        <w:keepLines/>
        <w:spacing w:line="240" w:lineRule="auto"/>
        <w:rPr>
          <w:iCs/>
          <w:noProof/>
          <w:szCs w:val="22"/>
        </w:rPr>
      </w:pPr>
      <w:r>
        <w:rPr>
          <w:szCs w:val="22"/>
        </w:rPr>
        <w:t>Az Európai Gyógyszerügynökség a gyermekek esetén minden korosztálynál eltekint a Letybo vizsgálati eredményeinek benyújtási kötelezettségétől az izomindukált ráncok kezelésére vonatkozóan (lásd 4.2 pont, gyermekgyógyászati alkalmazásra vonatkozó információk).</w:t>
      </w:r>
    </w:p>
    <w:p w14:paraId="649C72C9" w14:textId="7016D599" w:rsidR="00812D16" w:rsidRPr="00986907" w:rsidRDefault="00812D16" w:rsidP="00CE56B0">
      <w:pPr>
        <w:tabs>
          <w:tab w:val="clear" w:pos="567"/>
        </w:tabs>
        <w:spacing w:line="240" w:lineRule="auto"/>
        <w:rPr>
          <w:szCs w:val="22"/>
        </w:rPr>
      </w:pPr>
    </w:p>
    <w:p w14:paraId="60EC7D9B" w14:textId="77777777" w:rsidR="00812D16" w:rsidRPr="00986907" w:rsidRDefault="00812D16" w:rsidP="00DB3F99">
      <w:pPr>
        <w:keepNext/>
        <w:keepLines/>
        <w:spacing w:line="240" w:lineRule="auto"/>
        <w:ind w:left="567" w:hanging="567"/>
        <w:outlineLvl w:val="0"/>
        <w:rPr>
          <w:b/>
          <w:noProof/>
          <w:szCs w:val="22"/>
        </w:rPr>
      </w:pPr>
      <w:r>
        <w:rPr>
          <w:b/>
          <w:szCs w:val="22"/>
        </w:rPr>
        <w:t>5.2</w:t>
      </w:r>
      <w:r>
        <w:rPr>
          <w:b/>
          <w:szCs w:val="22"/>
        </w:rPr>
        <w:tab/>
        <w:t>Farmakokinetikai tulajdonságok</w:t>
      </w:r>
    </w:p>
    <w:p w14:paraId="6B9B956C" w14:textId="77777777" w:rsidR="00812D16" w:rsidRPr="00986907" w:rsidRDefault="00812D16" w:rsidP="00CE56B0">
      <w:pPr>
        <w:keepNext/>
        <w:keepLines/>
        <w:spacing w:line="240" w:lineRule="auto"/>
        <w:rPr>
          <w:b/>
          <w:noProof/>
          <w:szCs w:val="22"/>
        </w:rPr>
      </w:pPr>
    </w:p>
    <w:p w14:paraId="4AC04293" w14:textId="06B8E57D" w:rsidR="00714B9D" w:rsidRPr="00986907" w:rsidRDefault="006877F7" w:rsidP="00CE56B0">
      <w:pPr>
        <w:keepNext/>
        <w:keepLines/>
        <w:spacing w:line="240" w:lineRule="auto"/>
        <w:rPr>
          <w:szCs w:val="22"/>
        </w:rPr>
      </w:pPr>
      <w:r>
        <w:rPr>
          <w:szCs w:val="22"/>
        </w:rPr>
        <w:t>Nem várható, hogy a javasolt 20 egységnyi adagot tartalmazó intramuscularis injekciót követően az A típusú botulinum toxin mérhető szintben megjelenik a perifériás vérben.</w:t>
      </w:r>
    </w:p>
    <w:p w14:paraId="4CC6E26F" w14:textId="77777777" w:rsidR="00812D16" w:rsidRPr="00986907" w:rsidRDefault="00812D16" w:rsidP="00CE56B0">
      <w:pPr>
        <w:numPr>
          <w:ilvl w:val="12"/>
          <w:numId w:val="0"/>
        </w:numPr>
        <w:spacing w:line="240" w:lineRule="auto"/>
        <w:ind w:right="-2"/>
        <w:rPr>
          <w:iCs/>
          <w:noProof/>
          <w:szCs w:val="22"/>
        </w:rPr>
      </w:pPr>
    </w:p>
    <w:p w14:paraId="04E99EC9" w14:textId="77777777" w:rsidR="00812D16" w:rsidRPr="00986907" w:rsidRDefault="00812D16" w:rsidP="00DB3F99">
      <w:pPr>
        <w:keepNext/>
        <w:keepLines/>
        <w:spacing w:line="240" w:lineRule="auto"/>
        <w:ind w:left="567" w:hanging="567"/>
        <w:outlineLvl w:val="0"/>
        <w:rPr>
          <w:b/>
          <w:noProof/>
          <w:szCs w:val="22"/>
        </w:rPr>
      </w:pPr>
      <w:bookmarkStart w:id="14" w:name="_Hlk453664553"/>
      <w:r>
        <w:rPr>
          <w:b/>
          <w:szCs w:val="22"/>
        </w:rPr>
        <w:t>5.3</w:t>
      </w:r>
      <w:bookmarkEnd w:id="14"/>
      <w:r>
        <w:rPr>
          <w:b/>
          <w:szCs w:val="22"/>
        </w:rPr>
        <w:tab/>
        <w:t>A preklinikai biztonságossági vizsgálatok eredményei</w:t>
      </w:r>
    </w:p>
    <w:p w14:paraId="117D2C0F" w14:textId="77777777" w:rsidR="00CA155B" w:rsidRPr="00986907" w:rsidRDefault="00CA155B" w:rsidP="00CE56B0">
      <w:pPr>
        <w:keepNext/>
        <w:keepLines/>
        <w:spacing w:line="240" w:lineRule="auto"/>
        <w:rPr>
          <w:noProof/>
          <w:szCs w:val="22"/>
        </w:rPr>
      </w:pPr>
    </w:p>
    <w:p w14:paraId="2CF5EBAC" w14:textId="678EF1A2" w:rsidR="00D7218E" w:rsidRPr="00986907" w:rsidRDefault="00E00500" w:rsidP="00CE56B0">
      <w:pPr>
        <w:keepNext/>
        <w:keepLines/>
        <w:spacing w:line="240" w:lineRule="auto"/>
        <w:rPr>
          <w:szCs w:val="22"/>
        </w:rPr>
      </w:pPr>
      <w:r>
        <w:rPr>
          <w:szCs w:val="22"/>
        </w:rPr>
        <w:t>A BoNT/A</w:t>
      </w:r>
      <w:r>
        <w:rPr>
          <w:szCs w:val="22"/>
        </w:rPr>
        <w:noBreakHyphen/>
        <w:t>DP heti vagy havi rendszerességű, egyszeri és ismételt adag</w:t>
      </w:r>
      <w:r w:rsidR="00F96009">
        <w:rPr>
          <w:szCs w:val="22"/>
        </w:rPr>
        <w:t>olás</w:t>
      </w:r>
      <w:r>
        <w:rPr>
          <w:szCs w:val="22"/>
        </w:rPr>
        <w:t>ú, intramuscularis injekció formájában történő alkalmazásával, patkányok</w:t>
      </w:r>
      <w:r w:rsidR="00F96009">
        <w:rPr>
          <w:szCs w:val="22"/>
        </w:rPr>
        <w:t>kal</w:t>
      </w:r>
      <w:r>
        <w:rPr>
          <w:szCs w:val="22"/>
        </w:rPr>
        <w:t xml:space="preserve"> végzett toxicitási vizsgálatai a beinjekciózott izom dózisfüggő paralysisét tárták fel, amely csökkent mozgásképességhez, valamint alacsonyabb ételfogyasztáshoz, testtömeghez és kreatininszinthez vezetett a muscularis atrophia miatt, amely az állatok muscularis paralysisének és csökkent mozgékonyságának a következménye. Toxikológiailag releváns egyéb súlyos, helyi vagy szisztémás nemkívánatos hatást 15 E/</w:t>
      </w:r>
      <w:r w:rsidR="00F96009">
        <w:rPr>
          <w:szCs w:val="22"/>
        </w:rPr>
        <w:t>tt</w:t>
      </w:r>
      <w:r>
        <w:rPr>
          <w:szCs w:val="22"/>
        </w:rPr>
        <w:t>kg dózisig nem figyeltek meg.</w:t>
      </w:r>
    </w:p>
    <w:p w14:paraId="23F401BE" w14:textId="2494228C" w:rsidR="0045083A" w:rsidRPr="00986907" w:rsidRDefault="00E00500" w:rsidP="00CE56B0">
      <w:pPr>
        <w:tabs>
          <w:tab w:val="clear" w:pos="567"/>
        </w:tabs>
        <w:spacing w:line="240" w:lineRule="auto"/>
        <w:rPr>
          <w:szCs w:val="22"/>
        </w:rPr>
      </w:pPr>
      <w:r>
        <w:rPr>
          <w:szCs w:val="22"/>
        </w:rPr>
        <w:t>Egy embrio</w:t>
      </w:r>
      <w:r w:rsidR="00F96009">
        <w:rPr>
          <w:szCs w:val="22"/>
        </w:rPr>
        <w:t xml:space="preserve">fötális </w:t>
      </w:r>
      <w:r>
        <w:rPr>
          <w:szCs w:val="22"/>
        </w:rPr>
        <w:t>fejlődési vizsgálatban, ahol vemhes patkányoknál naponta legfeljebb 8 E/</w:t>
      </w:r>
      <w:r w:rsidR="00F96009">
        <w:rPr>
          <w:szCs w:val="22"/>
        </w:rPr>
        <w:t>tt</w:t>
      </w:r>
      <w:r>
        <w:rPr>
          <w:szCs w:val="22"/>
        </w:rPr>
        <w:t>kg BoNT/A</w:t>
      </w:r>
      <w:r>
        <w:rPr>
          <w:szCs w:val="22"/>
        </w:rPr>
        <w:noBreakHyphen/>
        <w:t xml:space="preserve">DP injekciót alkalmaztak intramuscularisan a gesztáció 5. és 16. napja között, muscularis atrophiát, alacsonyabb testtömeget és szennyezett perinealis régiót eredményező dózisfüggő izomparalysist figyeltek meg az anyaállatoknál. Késleltetett magzati csontképződést és alacsonyabb magzati testtömeget (≥ 20%) figyeltek meg, de malformációkat nem tapasztaltak; ezeket az anyai toxicitás másodlagos következményeiként értelmezték, ami összhangban van az A típusú botulinum </w:t>
      </w:r>
      <w:r>
        <w:rPr>
          <w:szCs w:val="22"/>
        </w:rPr>
        <w:lastRenderedPageBreak/>
        <w:t>toxint tartalmazó egyéb készítmények esetében tapasztaltakkal. A peri- és postnatalis fejlődésre gyakorolt hatásokat nem értékelték.</w:t>
      </w:r>
    </w:p>
    <w:p w14:paraId="62F38C6B" w14:textId="6C0540B8" w:rsidR="000D14A0" w:rsidRPr="00986907" w:rsidRDefault="000D14A0" w:rsidP="00CE56B0">
      <w:pPr>
        <w:spacing w:line="240" w:lineRule="auto"/>
        <w:rPr>
          <w:noProof/>
          <w:szCs w:val="22"/>
        </w:rPr>
      </w:pPr>
      <w:r>
        <w:rPr>
          <w:szCs w:val="22"/>
        </w:rPr>
        <w:t>Egyéb, A típusú botulinum toxint tartalmazó készítmények nagy dózisa esetén</w:t>
      </w:r>
      <w:r w:rsidR="00F96009">
        <w:rPr>
          <w:szCs w:val="22"/>
        </w:rPr>
        <w:t xml:space="preserve"> a</w:t>
      </w:r>
      <w:r>
        <w:rPr>
          <w:szCs w:val="22"/>
        </w:rPr>
        <w:t xml:space="preserve"> termékenység károsodás</w:t>
      </w:r>
      <w:r w:rsidR="00F96009">
        <w:rPr>
          <w:szCs w:val="22"/>
        </w:rPr>
        <w:t>á</w:t>
      </w:r>
      <w:r>
        <w:rPr>
          <w:szCs w:val="22"/>
        </w:rPr>
        <w:t>t figyelt</w:t>
      </w:r>
      <w:r w:rsidR="00F96009">
        <w:rPr>
          <w:szCs w:val="22"/>
        </w:rPr>
        <w:t>é</w:t>
      </w:r>
      <w:r>
        <w:rPr>
          <w:szCs w:val="22"/>
        </w:rPr>
        <w:t>k meg a hímeknél és a nőstényeknél.</w:t>
      </w:r>
    </w:p>
    <w:p w14:paraId="345EE021" w14:textId="79DC87D5" w:rsidR="006C7A35" w:rsidRPr="00986907" w:rsidRDefault="006C7A35" w:rsidP="00CE56B0">
      <w:pPr>
        <w:spacing w:line="240" w:lineRule="auto"/>
        <w:rPr>
          <w:noProof/>
          <w:szCs w:val="22"/>
        </w:rPr>
      </w:pPr>
      <w:r>
        <w:rPr>
          <w:szCs w:val="22"/>
        </w:rPr>
        <w:t>A BoNT/A</w:t>
      </w:r>
      <w:r>
        <w:rPr>
          <w:szCs w:val="22"/>
        </w:rPr>
        <w:noBreakHyphen/>
        <w:t xml:space="preserve">DP-vel kapcsolatban genotoxicitási, antigenitási, karcinogenitási, illetve termékenységi vizsgálatokat nem végeztek. </w:t>
      </w:r>
    </w:p>
    <w:p w14:paraId="36C9241C" w14:textId="77777777" w:rsidR="00812D16" w:rsidRPr="00986907" w:rsidRDefault="00812D16" w:rsidP="00CE56B0">
      <w:pPr>
        <w:spacing w:line="240" w:lineRule="auto"/>
        <w:rPr>
          <w:noProof/>
          <w:szCs w:val="22"/>
        </w:rPr>
      </w:pPr>
    </w:p>
    <w:p w14:paraId="5D7B2302" w14:textId="77777777" w:rsidR="00AC0D2B" w:rsidRPr="00986907" w:rsidRDefault="00AC0D2B" w:rsidP="00CE56B0">
      <w:pPr>
        <w:spacing w:line="240" w:lineRule="auto"/>
        <w:rPr>
          <w:noProof/>
          <w:szCs w:val="22"/>
        </w:rPr>
      </w:pPr>
    </w:p>
    <w:p w14:paraId="57FADF96" w14:textId="77777777" w:rsidR="00812D16" w:rsidRPr="00986907" w:rsidRDefault="00812D16" w:rsidP="003C26F2">
      <w:pPr>
        <w:keepNext/>
        <w:keepLines/>
        <w:spacing w:line="240" w:lineRule="auto"/>
        <w:ind w:left="567" w:hanging="567"/>
        <w:outlineLvl w:val="0"/>
        <w:rPr>
          <w:b/>
          <w:noProof/>
          <w:szCs w:val="22"/>
        </w:rPr>
      </w:pPr>
      <w:r>
        <w:rPr>
          <w:b/>
          <w:szCs w:val="22"/>
        </w:rPr>
        <w:t>6.</w:t>
      </w:r>
      <w:r>
        <w:rPr>
          <w:b/>
          <w:szCs w:val="22"/>
        </w:rPr>
        <w:tab/>
        <w:t>GYÓGYSZERÉSZETI JELLEMZŐK</w:t>
      </w:r>
    </w:p>
    <w:p w14:paraId="4E6071DB" w14:textId="77777777" w:rsidR="00812D16" w:rsidRPr="00986907" w:rsidRDefault="00812D16" w:rsidP="00CE56B0">
      <w:pPr>
        <w:keepNext/>
        <w:keepLines/>
        <w:spacing w:line="240" w:lineRule="auto"/>
        <w:rPr>
          <w:noProof/>
          <w:szCs w:val="22"/>
        </w:rPr>
      </w:pPr>
    </w:p>
    <w:p w14:paraId="64FCBBC4" w14:textId="77777777" w:rsidR="00812D16" w:rsidRPr="00986907" w:rsidRDefault="00812D16" w:rsidP="003C26F2">
      <w:pPr>
        <w:keepNext/>
        <w:keepLines/>
        <w:spacing w:line="240" w:lineRule="auto"/>
        <w:ind w:left="567" w:hanging="567"/>
        <w:outlineLvl w:val="0"/>
        <w:rPr>
          <w:noProof/>
          <w:szCs w:val="22"/>
        </w:rPr>
      </w:pPr>
      <w:bookmarkStart w:id="15" w:name="_Hlk453664336"/>
      <w:r>
        <w:rPr>
          <w:b/>
          <w:szCs w:val="22"/>
        </w:rPr>
        <w:t>6.1</w:t>
      </w:r>
      <w:bookmarkEnd w:id="15"/>
      <w:r>
        <w:rPr>
          <w:b/>
          <w:szCs w:val="22"/>
        </w:rPr>
        <w:tab/>
        <w:t>Segédanyagok felsorolása</w:t>
      </w:r>
    </w:p>
    <w:p w14:paraId="4EBC4CE8" w14:textId="77777777" w:rsidR="00812D16" w:rsidRPr="00986907" w:rsidRDefault="00812D16" w:rsidP="00CE56B0">
      <w:pPr>
        <w:keepNext/>
        <w:keepLines/>
        <w:spacing w:line="240" w:lineRule="auto"/>
        <w:rPr>
          <w:noProof/>
          <w:szCs w:val="22"/>
        </w:rPr>
      </w:pPr>
    </w:p>
    <w:p w14:paraId="28DF400B" w14:textId="77777777" w:rsidR="00934980" w:rsidRPr="00986907" w:rsidRDefault="00215470" w:rsidP="00CE56B0">
      <w:pPr>
        <w:keepNext/>
        <w:keepLines/>
        <w:spacing w:line="240" w:lineRule="auto"/>
        <w:rPr>
          <w:noProof/>
          <w:szCs w:val="22"/>
        </w:rPr>
      </w:pPr>
      <w:r>
        <w:rPr>
          <w:szCs w:val="22"/>
        </w:rPr>
        <w:t>humán albumin</w:t>
      </w:r>
    </w:p>
    <w:p w14:paraId="17A89EB8" w14:textId="77777777" w:rsidR="00934980" w:rsidRPr="00986907" w:rsidRDefault="00215470" w:rsidP="00CE56B0">
      <w:pPr>
        <w:keepNext/>
        <w:keepLines/>
        <w:spacing w:line="240" w:lineRule="auto"/>
        <w:rPr>
          <w:noProof/>
          <w:szCs w:val="22"/>
        </w:rPr>
      </w:pPr>
      <w:r>
        <w:rPr>
          <w:szCs w:val="22"/>
        </w:rPr>
        <w:t>nátrium-klorid</w:t>
      </w:r>
    </w:p>
    <w:p w14:paraId="3ADDBF94" w14:textId="77777777" w:rsidR="00812D16" w:rsidRPr="00986907" w:rsidRDefault="00812D16" w:rsidP="00CE56B0">
      <w:pPr>
        <w:spacing w:line="240" w:lineRule="auto"/>
        <w:rPr>
          <w:noProof/>
          <w:szCs w:val="22"/>
        </w:rPr>
      </w:pPr>
    </w:p>
    <w:p w14:paraId="680B5639" w14:textId="77777777" w:rsidR="00812D16" w:rsidRPr="00986907" w:rsidRDefault="00812D16" w:rsidP="003C26F2">
      <w:pPr>
        <w:keepNext/>
        <w:keepLines/>
        <w:spacing w:line="240" w:lineRule="auto"/>
        <w:ind w:left="567" w:hanging="567"/>
        <w:outlineLvl w:val="0"/>
        <w:rPr>
          <w:noProof/>
          <w:szCs w:val="22"/>
        </w:rPr>
      </w:pPr>
      <w:r>
        <w:rPr>
          <w:b/>
          <w:szCs w:val="22"/>
        </w:rPr>
        <w:t>6.2</w:t>
      </w:r>
      <w:r>
        <w:rPr>
          <w:b/>
          <w:szCs w:val="22"/>
        </w:rPr>
        <w:tab/>
        <w:t>Inkompatibilitások</w:t>
      </w:r>
    </w:p>
    <w:p w14:paraId="15F7B129" w14:textId="77777777" w:rsidR="00812D16" w:rsidRPr="00986907" w:rsidRDefault="00812D16" w:rsidP="00CE56B0">
      <w:pPr>
        <w:keepNext/>
        <w:keepLines/>
        <w:spacing w:line="240" w:lineRule="auto"/>
        <w:rPr>
          <w:noProof/>
          <w:szCs w:val="22"/>
        </w:rPr>
      </w:pPr>
    </w:p>
    <w:p w14:paraId="2A1DDAA8" w14:textId="60398C92" w:rsidR="00D7218E" w:rsidRPr="00986907" w:rsidRDefault="00A37978" w:rsidP="00CE56B0">
      <w:pPr>
        <w:keepNext/>
        <w:keepLines/>
        <w:spacing w:line="240" w:lineRule="auto"/>
        <w:rPr>
          <w:noProof/>
          <w:szCs w:val="22"/>
        </w:rPr>
      </w:pPr>
      <w:r>
        <w:rPr>
          <w:szCs w:val="22"/>
        </w:rPr>
        <w:t>Ez a gyógyszer kizárólag a 6.6 pontban felsorolt gyógyszerekkel keverhető.</w:t>
      </w:r>
    </w:p>
    <w:p w14:paraId="6A5B3179" w14:textId="565A20BE" w:rsidR="00812D16" w:rsidRPr="00986907" w:rsidRDefault="00812D16" w:rsidP="00CE56B0">
      <w:pPr>
        <w:spacing w:line="240" w:lineRule="auto"/>
        <w:rPr>
          <w:noProof/>
          <w:szCs w:val="22"/>
        </w:rPr>
      </w:pPr>
    </w:p>
    <w:p w14:paraId="4785DFE0" w14:textId="77777777" w:rsidR="00812D16" w:rsidRPr="00986907" w:rsidRDefault="00812D16" w:rsidP="003C26F2">
      <w:pPr>
        <w:keepNext/>
        <w:keepLines/>
        <w:spacing w:line="240" w:lineRule="auto"/>
        <w:ind w:left="567" w:hanging="567"/>
        <w:outlineLvl w:val="0"/>
        <w:rPr>
          <w:noProof/>
          <w:szCs w:val="22"/>
        </w:rPr>
      </w:pPr>
      <w:bookmarkStart w:id="16" w:name="_Hlk453664603"/>
      <w:r>
        <w:rPr>
          <w:b/>
          <w:szCs w:val="22"/>
        </w:rPr>
        <w:t>6.3</w:t>
      </w:r>
      <w:bookmarkEnd w:id="16"/>
      <w:r>
        <w:rPr>
          <w:b/>
          <w:szCs w:val="22"/>
        </w:rPr>
        <w:tab/>
        <w:t>Felhasználhatósági időtartam</w:t>
      </w:r>
    </w:p>
    <w:p w14:paraId="75EA63F2" w14:textId="77777777" w:rsidR="00812D16" w:rsidRPr="00986907" w:rsidRDefault="00812D16" w:rsidP="00CE56B0">
      <w:pPr>
        <w:keepNext/>
        <w:keepLines/>
        <w:spacing w:line="240" w:lineRule="auto"/>
        <w:rPr>
          <w:noProof/>
          <w:szCs w:val="22"/>
          <w:u w:val="single"/>
        </w:rPr>
      </w:pPr>
    </w:p>
    <w:p w14:paraId="3C09375F" w14:textId="77777777" w:rsidR="00D47E03" w:rsidRPr="00986907" w:rsidRDefault="00D47E03" w:rsidP="00CE56B0">
      <w:pPr>
        <w:keepNext/>
        <w:keepLines/>
        <w:spacing w:line="240" w:lineRule="auto"/>
        <w:rPr>
          <w:noProof/>
          <w:szCs w:val="22"/>
          <w:u w:val="single"/>
        </w:rPr>
      </w:pPr>
      <w:r>
        <w:rPr>
          <w:szCs w:val="22"/>
          <w:u w:val="single"/>
        </w:rPr>
        <w:t>Felbontatlan injekciós üveg</w:t>
      </w:r>
    </w:p>
    <w:p w14:paraId="489E061C" w14:textId="77777777" w:rsidR="00FA38D5" w:rsidRPr="00986907" w:rsidRDefault="00E80DD8" w:rsidP="00CE56B0">
      <w:pPr>
        <w:keepNext/>
        <w:keepLines/>
        <w:spacing w:line="240" w:lineRule="auto"/>
        <w:rPr>
          <w:noProof/>
          <w:szCs w:val="22"/>
        </w:rPr>
      </w:pPr>
      <w:r>
        <w:rPr>
          <w:szCs w:val="22"/>
        </w:rPr>
        <w:t>3 év.</w:t>
      </w:r>
    </w:p>
    <w:p w14:paraId="715D4EC3" w14:textId="77777777" w:rsidR="00812D16" w:rsidRPr="00986907" w:rsidRDefault="00812D16" w:rsidP="00CE56B0">
      <w:pPr>
        <w:spacing w:line="240" w:lineRule="auto"/>
        <w:rPr>
          <w:noProof/>
          <w:szCs w:val="22"/>
        </w:rPr>
      </w:pPr>
    </w:p>
    <w:p w14:paraId="23A392F1" w14:textId="77777777" w:rsidR="00D47E03" w:rsidRPr="00986907" w:rsidRDefault="00D47E03" w:rsidP="00CE56B0">
      <w:pPr>
        <w:keepNext/>
        <w:keepLines/>
        <w:spacing w:line="240" w:lineRule="auto"/>
        <w:rPr>
          <w:noProof/>
          <w:szCs w:val="22"/>
          <w:u w:val="single"/>
        </w:rPr>
      </w:pPr>
      <w:r>
        <w:rPr>
          <w:szCs w:val="22"/>
          <w:u w:val="single"/>
        </w:rPr>
        <w:t>Elkészített oldat</w:t>
      </w:r>
    </w:p>
    <w:p w14:paraId="0E003C80" w14:textId="1C53F59C" w:rsidR="007F4A7C" w:rsidRDefault="00F81A0B" w:rsidP="00CE56B0">
      <w:pPr>
        <w:spacing w:line="240" w:lineRule="auto"/>
        <w:rPr>
          <w:szCs w:val="22"/>
        </w:rPr>
      </w:pPr>
      <w:r w:rsidRPr="00523FB8">
        <w:rPr>
          <w:szCs w:val="22"/>
        </w:rPr>
        <w:t xml:space="preserve">A fizikai-kémiai stabilitás 2 – 8 </w:t>
      </w:r>
      <w:r w:rsidR="006448CB">
        <w:rPr>
          <w:szCs w:val="22"/>
        </w:rPr>
        <w:t>°</w:t>
      </w:r>
      <w:r w:rsidRPr="00523FB8">
        <w:rPr>
          <w:szCs w:val="22"/>
        </w:rPr>
        <w:t>C-on 24 órán keresztül igazolt.</w:t>
      </w:r>
    </w:p>
    <w:p w14:paraId="5E19ECD1" w14:textId="77777777" w:rsidR="00CF2CDA" w:rsidRPr="00523FB8" w:rsidRDefault="00CF2CDA" w:rsidP="00CE56B0">
      <w:pPr>
        <w:spacing w:line="240" w:lineRule="auto"/>
        <w:rPr>
          <w:szCs w:val="22"/>
        </w:rPr>
      </w:pPr>
    </w:p>
    <w:p w14:paraId="68605DB2" w14:textId="4EA441F3" w:rsidR="00AF008D" w:rsidRDefault="00F81A0B" w:rsidP="00CE56B0">
      <w:pPr>
        <w:spacing w:line="240" w:lineRule="auto"/>
        <w:rPr>
          <w:szCs w:val="22"/>
        </w:rPr>
      </w:pPr>
      <w:r w:rsidRPr="00523FB8">
        <w:rPr>
          <w:szCs w:val="22"/>
        </w:rPr>
        <w:t>Mikrobiológiai szempontból a készítményt azonnal fel kell használni, kivéve, ha a felbontás/feloldás/hígítás módja kizárja a mikrobiális szennyeződés kockázatát. Amennyiben nem használják fel azonnal, a felhasználásig az eltartási idő és a tárolási körülmények a felhasználó felelőssége.</w:t>
      </w:r>
    </w:p>
    <w:p w14:paraId="699FBFCE" w14:textId="77777777" w:rsidR="00F81A0B" w:rsidRPr="00986907" w:rsidRDefault="00F81A0B" w:rsidP="00CE56B0">
      <w:pPr>
        <w:spacing w:line="240" w:lineRule="auto"/>
        <w:rPr>
          <w:noProof/>
          <w:szCs w:val="22"/>
        </w:rPr>
      </w:pPr>
    </w:p>
    <w:p w14:paraId="53F75340" w14:textId="77777777" w:rsidR="00812D16" w:rsidRPr="00986907" w:rsidRDefault="00812D16" w:rsidP="003C26F2">
      <w:pPr>
        <w:keepNext/>
        <w:keepLines/>
        <w:spacing w:line="240" w:lineRule="auto"/>
        <w:ind w:left="567" w:hanging="567"/>
        <w:outlineLvl w:val="0"/>
        <w:rPr>
          <w:b/>
          <w:noProof/>
          <w:szCs w:val="22"/>
        </w:rPr>
      </w:pPr>
      <w:r>
        <w:rPr>
          <w:b/>
          <w:szCs w:val="22"/>
        </w:rPr>
        <w:t>6.4</w:t>
      </w:r>
      <w:r>
        <w:rPr>
          <w:b/>
          <w:szCs w:val="22"/>
        </w:rPr>
        <w:tab/>
        <w:t>Különleges tárolási előírások</w:t>
      </w:r>
    </w:p>
    <w:p w14:paraId="2DA7E93A" w14:textId="77777777" w:rsidR="001C3495" w:rsidRPr="00986907" w:rsidRDefault="001C3495" w:rsidP="00CE56B0">
      <w:pPr>
        <w:keepNext/>
        <w:keepLines/>
        <w:spacing w:line="240" w:lineRule="auto"/>
        <w:rPr>
          <w:noProof/>
          <w:szCs w:val="22"/>
        </w:rPr>
      </w:pPr>
    </w:p>
    <w:p w14:paraId="38B3E4B1" w14:textId="30F4C078" w:rsidR="00934980" w:rsidRPr="00986907" w:rsidRDefault="00934980" w:rsidP="00CE56B0">
      <w:pPr>
        <w:keepNext/>
        <w:keepLines/>
        <w:spacing w:line="240" w:lineRule="auto"/>
        <w:rPr>
          <w:noProof/>
          <w:szCs w:val="22"/>
        </w:rPr>
      </w:pPr>
      <w:r>
        <w:rPr>
          <w:szCs w:val="22"/>
        </w:rPr>
        <w:t>Hűtve (2 °C – 8 °C) tárolandó és szállítandó.</w:t>
      </w:r>
    </w:p>
    <w:p w14:paraId="68593B41" w14:textId="6BE8CE5A" w:rsidR="00812D16" w:rsidRPr="00986907" w:rsidRDefault="00AB2A61" w:rsidP="00CE56B0">
      <w:pPr>
        <w:spacing w:line="240" w:lineRule="auto"/>
        <w:rPr>
          <w:i/>
          <w:noProof/>
          <w:szCs w:val="22"/>
        </w:rPr>
      </w:pPr>
      <w:r>
        <w:rPr>
          <w:szCs w:val="22"/>
        </w:rPr>
        <w:t>A gyógyszer feloldás utáni tárolására vonatkozó előírásokat lásd a 6.3 pontban.</w:t>
      </w:r>
    </w:p>
    <w:p w14:paraId="42432E77" w14:textId="77777777" w:rsidR="00812D16" w:rsidRPr="00986907" w:rsidRDefault="00812D16" w:rsidP="00CE56B0">
      <w:pPr>
        <w:spacing w:line="240" w:lineRule="auto"/>
        <w:rPr>
          <w:noProof/>
          <w:szCs w:val="22"/>
        </w:rPr>
      </w:pPr>
    </w:p>
    <w:p w14:paraId="302EAEAB" w14:textId="77777777" w:rsidR="00D7218E" w:rsidRPr="00986907" w:rsidRDefault="00F9016F" w:rsidP="003C26F2">
      <w:pPr>
        <w:keepNext/>
        <w:keepLines/>
        <w:spacing w:line="240" w:lineRule="auto"/>
        <w:ind w:left="567" w:hanging="567"/>
        <w:outlineLvl w:val="0"/>
        <w:rPr>
          <w:b/>
          <w:noProof/>
          <w:szCs w:val="22"/>
        </w:rPr>
      </w:pPr>
      <w:r>
        <w:rPr>
          <w:b/>
          <w:szCs w:val="22"/>
        </w:rPr>
        <w:t>6.5</w:t>
      </w:r>
      <w:r>
        <w:rPr>
          <w:b/>
          <w:szCs w:val="22"/>
        </w:rPr>
        <w:tab/>
        <w:t>Csomagolás típusa és kiszerelése</w:t>
      </w:r>
    </w:p>
    <w:p w14:paraId="4235CF84" w14:textId="09EF90F2" w:rsidR="001C3495" w:rsidRPr="00986907" w:rsidRDefault="001C3495" w:rsidP="00CE56B0">
      <w:pPr>
        <w:keepNext/>
        <w:keepLines/>
        <w:spacing w:line="240" w:lineRule="auto"/>
        <w:rPr>
          <w:noProof/>
          <w:szCs w:val="22"/>
        </w:rPr>
      </w:pPr>
    </w:p>
    <w:p w14:paraId="21524825" w14:textId="43D725C0" w:rsidR="0088343F" w:rsidRPr="00986907" w:rsidRDefault="0007622F" w:rsidP="00CE56B0">
      <w:pPr>
        <w:keepNext/>
        <w:keepLines/>
        <w:spacing w:line="240" w:lineRule="auto"/>
        <w:rPr>
          <w:noProof/>
          <w:szCs w:val="22"/>
        </w:rPr>
      </w:pPr>
      <w:r>
        <w:rPr>
          <w:szCs w:val="22"/>
        </w:rPr>
        <w:t xml:space="preserve">5 ml-es átlátszó </w:t>
      </w:r>
      <w:r w:rsidR="00BF5AF1">
        <w:rPr>
          <w:szCs w:val="22"/>
        </w:rPr>
        <w:t xml:space="preserve">I-es típusú </w:t>
      </w:r>
      <w:r>
        <w:rPr>
          <w:szCs w:val="22"/>
        </w:rPr>
        <w:t>injekciós üveg</w:t>
      </w:r>
      <w:r w:rsidR="00BF5AF1">
        <w:rPr>
          <w:szCs w:val="22"/>
        </w:rPr>
        <w:t>,</w:t>
      </w:r>
      <w:r>
        <w:rPr>
          <w:szCs w:val="22"/>
        </w:rPr>
        <w:t xml:space="preserve"> dugóval (klórbutil gumi) és </w:t>
      </w:r>
      <w:r w:rsidR="00BF5AF1">
        <w:rPr>
          <w:szCs w:val="22"/>
        </w:rPr>
        <w:t xml:space="preserve">biztonsági záras védőkupakkal </w:t>
      </w:r>
      <w:r>
        <w:rPr>
          <w:szCs w:val="22"/>
        </w:rPr>
        <w:t>(alumínium) ellátva.</w:t>
      </w:r>
    </w:p>
    <w:p w14:paraId="5060F00D" w14:textId="77777777" w:rsidR="00E6231F" w:rsidRPr="00986907" w:rsidRDefault="00E6231F" w:rsidP="00CE56B0">
      <w:pPr>
        <w:spacing w:line="240" w:lineRule="auto"/>
        <w:rPr>
          <w:noProof/>
          <w:szCs w:val="22"/>
        </w:rPr>
      </w:pPr>
    </w:p>
    <w:p w14:paraId="4A536E2D" w14:textId="77C62DD1" w:rsidR="00794F9E" w:rsidRDefault="00AB0AD7" w:rsidP="00CE56B0">
      <w:pPr>
        <w:spacing w:line="240" w:lineRule="auto"/>
        <w:rPr>
          <w:szCs w:val="22"/>
        </w:rPr>
      </w:pPr>
      <w:r>
        <w:rPr>
          <w:szCs w:val="22"/>
        </w:rPr>
        <w:t>1 injekciós üveget tartalmazó csomag</w:t>
      </w:r>
      <w:r w:rsidR="00762B46">
        <w:rPr>
          <w:szCs w:val="22"/>
        </w:rPr>
        <w:t xml:space="preserve"> (minden csomag 1 injekciós üveget tartalmaz, dobozban)</w:t>
      </w:r>
      <w:r>
        <w:rPr>
          <w:szCs w:val="22"/>
        </w:rPr>
        <w:t>.</w:t>
      </w:r>
    </w:p>
    <w:p w14:paraId="2198DDC6" w14:textId="77777777" w:rsidR="00274199" w:rsidRDefault="00274199" w:rsidP="00274199">
      <w:pPr>
        <w:spacing w:line="240" w:lineRule="auto"/>
        <w:rPr>
          <w:szCs w:val="22"/>
        </w:rPr>
      </w:pPr>
      <w:r w:rsidRPr="002E0D2D">
        <w:rPr>
          <w:szCs w:val="22"/>
        </w:rPr>
        <w:t>2 injekciós üveget tartalmazó csomagolás (minden csomag 2 injekciós üveget tartalmaz, dobozban).</w:t>
      </w:r>
    </w:p>
    <w:p w14:paraId="03AC2777" w14:textId="50F90013" w:rsidR="00D7218E" w:rsidRPr="00986907" w:rsidRDefault="00752385" w:rsidP="00CE56B0">
      <w:pPr>
        <w:spacing w:line="240" w:lineRule="auto"/>
        <w:rPr>
          <w:szCs w:val="22"/>
        </w:rPr>
      </w:pPr>
      <w:r>
        <w:rPr>
          <w:szCs w:val="22"/>
        </w:rPr>
        <w:t xml:space="preserve">2 injekciós üveget tartalmazó </w:t>
      </w:r>
      <w:r w:rsidR="00C129FA">
        <w:rPr>
          <w:szCs w:val="22"/>
        </w:rPr>
        <w:t>gyűjtő</w:t>
      </w:r>
      <w:r>
        <w:rPr>
          <w:szCs w:val="22"/>
        </w:rPr>
        <w:t>csomag</w:t>
      </w:r>
      <w:r w:rsidR="00C129FA">
        <w:rPr>
          <w:szCs w:val="22"/>
        </w:rPr>
        <w:t>olás</w:t>
      </w:r>
      <w:r>
        <w:rPr>
          <w:szCs w:val="22"/>
        </w:rPr>
        <w:t xml:space="preserve"> </w:t>
      </w:r>
      <w:r w:rsidR="00762B46">
        <w:rPr>
          <w:szCs w:val="22"/>
        </w:rPr>
        <w:t>(minden csomag 2 injekciós üveget tartalmaz, dobozban, külső doboz gyűjtőcsomagolásban</w:t>
      </w:r>
      <w:r>
        <w:rPr>
          <w:szCs w:val="22"/>
        </w:rPr>
        <w:t>)</w:t>
      </w:r>
      <w:r w:rsidR="00667130">
        <w:rPr>
          <w:szCs w:val="22"/>
        </w:rPr>
        <w:t>.</w:t>
      </w:r>
    </w:p>
    <w:p w14:paraId="11B773CA" w14:textId="5A64562F" w:rsidR="00752385" w:rsidRPr="00986907" w:rsidRDefault="00752385" w:rsidP="00CE56B0">
      <w:pPr>
        <w:spacing w:line="240" w:lineRule="auto"/>
        <w:rPr>
          <w:noProof/>
          <w:szCs w:val="22"/>
        </w:rPr>
      </w:pPr>
      <w:r>
        <w:rPr>
          <w:szCs w:val="22"/>
        </w:rPr>
        <w:t xml:space="preserve">6 injekciós üveget tartalmazó </w:t>
      </w:r>
      <w:r w:rsidR="00C129FA">
        <w:rPr>
          <w:szCs w:val="22"/>
        </w:rPr>
        <w:t>gyűjtő</w:t>
      </w:r>
      <w:r>
        <w:rPr>
          <w:szCs w:val="22"/>
        </w:rPr>
        <w:t>csomag</w:t>
      </w:r>
      <w:r w:rsidR="00C129FA">
        <w:rPr>
          <w:szCs w:val="22"/>
        </w:rPr>
        <w:t>olás</w:t>
      </w:r>
      <w:r>
        <w:rPr>
          <w:szCs w:val="22"/>
        </w:rPr>
        <w:t xml:space="preserve"> (</w:t>
      </w:r>
      <w:r w:rsidR="00762B46">
        <w:rPr>
          <w:szCs w:val="22"/>
        </w:rPr>
        <w:t>minden csomag 6 injekciós üveget tartalmaz dobozban, külső fólia gyűjtőcsomagolásban</w:t>
      </w:r>
      <w:r>
        <w:rPr>
          <w:szCs w:val="22"/>
        </w:rPr>
        <w:t>)</w:t>
      </w:r>
      <w:r w:rsidR="00667130">
        <w:rPr>
          <w:szCs w:val="22"/>
        </w:rPr>
        <w:t>.</w:t>
      </w:r>
    </w:p>
    <w:p w14:paraId="7DB68FFB" w14:textId="5D5F4A4C" w:rsidR="00812D16" w:rsidRPr="00986907" w:rsidRDefault="00812D16" w:rsidP="00CE56B0">
      <w:pPr>
        <w:spacing w:line="240" w:lineRule="auto"/>
        <w:rPr>
          <w:noProof/>
          <w:szCs w:val="22"/>
        </w:rPr>
      </w:pPr>
    </w:p>
    <w:p w14:paraId="2BB23867" w14:textId="4EFE7C77" w:rsidR="0062427A" w:rsidRPr="00986907" w:rsidRDefault="0062427A" w:rsidP="00CE56B0">
      <w:pPr>
        <w:spacing w:line="240" w:lineRule="auto"/>
        <w:rPr>
          <w:noProof/>
          <w:szCs w:val="22"/>
        </w:rPr>
      </w:pPr>
      <w:r>
        <w:rPr>
          <w:szCs w:val="22"/>
        </w:rPr>
        <w:t>Nem feltétlenül mindegyik kiszerelés kerül kereskedelmi forgalomba.</w:t>
      </w:r>
    </w:p>
    <w:p w14:paraId="13F9CE7B" w14:textId="77777777" w:rsidR="0062427A" w:rsidRPr="00986907" w:rsidRDefault="0062427A" w:rsidP="00CE56B0">
      <w:pPr>
        <w:spacing w:line="240" w:lineRule="auto"/>
        <w:rPr>
          <w:noProof/>
          <w:szCs w:val="22"/>
        </w:rPr>
      </w:pPr>
    </w:p>
    <w:p w14:paraId="5FBE9601" w14:textId="77777777" w:rsidR="00812D16" w:rsidRPr="00986907" w:rsidRDefault="00812D16" w:rsidP="003C26F2">
      <w:pPr>
        <w:keepNext/>
        <w:keepLines/>
        <w:spacing w:line="240" w:lineRule="auto"/>
        <w:ind w:left="567" w:hanging="567"/>
        <w:outlineLvl w:val="0"/>
        <w:rPr>
          <w:noProof/>
          <w:szCs w:val="22"/>
        </w:rPr>
      </w:pPr>
      <w:bookmarkStart w:id="17" w:name="_Hlk453664398"/>
      <w:bookmarkStart w:id="18" w:name="OLE_LINK1"/>
      <w:r>
        <w:rPr>
          <w:b/>
          <w:szCs w:val="22"/>
        </w:rPr>
        <w:t>6.6</w:t>
      </w:r>
      <w:bookmarkEnd w:id="17"/>
      <w:r>
        <w:rPr>
          <w:b/>
          <w:szCs w:val="22"/>
        </w:rPr>
        <w:tab/>
        <w:t>A megsemmisítésre vonatkozó különleges óvintézkedések és egyéb, a készítmény kezelésével kapcsolatos információk</w:t>
      </w:r>
    </w:p>
    <w:p w14:paraId="2D8D8E17" w14:textId="77777777" w:rsidR="00812D16" w:rsidRPr="00986907" w:rsidRDefault="00812D16" w:rsidP="00CE56B0">
      <w:pPr>
        <w:keepNext/>
        <w:keepLines/>
        <w:spacing w:line="240" w:lineRule="auto"/>
        <w:rPr>
          <w:noProof/>
          <w:szCs w:val="22"/>
        </w:rPr>
      </w:pPr>
    </w:p>
    <w:p w14:paraId="2A90C726" w14:textId="77777777" w:rsidR="0088343F" w:rsidRPr="00986907" w:rsidRDefault="0088343F" w:rsidP="00CE56B0">
      <w:pPr>
        <w:keepNext/>
        <w:keepLines/>
        <w:spacing w:line="240" w:lineRule="auto"/>
        <w:rPr>
          <w:szCs w:val="22"/>
        </w:rPr>
      </w:pPr>
      <w:r>
        <w:rPr>
          <w:szCs w:val="22"/>
        </w:rPr>
        <w:t>A felhasználásra, a kezelésre és az ártalmatlanításra vonatkozó utasításokat szigorúan be kell tartani.</w:t>
      </w:r>
    </w:p>
    <w:p w14:paraId="0F34B887" w14:textId="77777777" w:rsidR="0088343F" w:rsidRPr="00986907" w:rsidRDefault="0088343F" w:rsidP="00CE56B0">
      <w:pPr>
        <w:keepNext/>
        <w:keepLines/>
        <w:spacing w:line="240" w:lineRule="auto"/>
        <w:rPr>
          <w:szCs w:val="22"/>
        </w:rPr>
      </w:pPr>
      <w:r>
        <w:rPr>
          <w:szCs w:val="22"/>
        </w:rPr>
        <w:t>A feloldást a helyes gyakorlat előírásai szerint kell elvégezni, különös tekintettel az aszepszisre.</w:t>
      </w:r>
    </w:p>
    <w:p w14:paraId="7497BD99" w14:textId="77777777" w:rsidR="008C6F53" w:rsidRPr="00986907" w:rsidRDefault="008C6F53" w:rsidP="00CE56B0">
      <w:pPr>
        <w:spacing w:line="240" w:lineRule="auto"/>
        <w:rPr>
          <w:szCs w:val="22"/>
        </w:rPr>
      </w:pPr>
    </w:p>
    <w:p w14:paraId="7C519D60" w14:textId="42C03FAA" w:rsidR="001139FE" w:rsidRPr="00986907" w:rsidRDefault="003B3C6C" w:rsidP="00CE56B0">
      <w:pPr>
        <w:spacing w:line="240" w:lineRule="auto"/>
        <w:rPr>
          <w:rFonts w:eastAsia="MS Mincho"/>
          <w:szCs w:val="22"/>
          <w:lang w:eastAsia="de-DE"/>
        </w:rPr>
      </w:pPr>
      <w:r>
        <w:rPr>
          <w:rFonts w:eastAsia="MS Mincho"/>
          <w:szCs w:val="22"/>
        </w:rPr>
        <w:lastRenderedPageBreak/>
        <w:t xml:space="preserve">A Letybo feloldásához 9 mg/ml (0,9%) nátrium-klorid oldatos injekciót kell </w:t>
      </w:r>
      <w:r w:rsidR="00C129FA">
        <w:rPr>
          <w:rFonts w:eastAsia="MS Mincho"/>
          <w:szCs w:val="22"/>
        </w:rPr>
        <w:t>alkalmazni</w:t>
      </w:r>
      <w:r>
        <w:rPr>
          <w:rFonts w:eastAsia="MS Mincho"/>
          <w:szCs w:val="22"/>
        </w:rPr>
        <w:t>, amely</w:t>
      </w:r>
      <w:r w:rsidR="00C129FA">
        <w:rPr>
          <w:rFonts w:eastAsia="MS Mincho"/>
          <w:szCs w:val="22"/>
        </w:rPr>
        <w:t>ből</w:t>
      </w:r>
      <w:r>
        <w:rPr>
          <w:rFonts w:eastAsia="MS Mincho"/>
          <w:szCs w:val="22"/>
        </w:rPr>
        <w:t xml:space="preserve"> 1,25 ml</w:t>
      </w:r>
      <w:r w:rsidR="00C129FA">
        <w:rPr>
          <w:rFonts w:eastAsia="MS Mincho"/>
          <w:szCs w:val="22"/>
        </w:rPr>
        <w:t>-</w:t>
      </w:r>
      <w:r>
        <w:rPr>
          <w:rFonts w:eastAsia="MS Mincho"/>
          <w:szCs w:val="22"/>
        </w:rPr>
        <w:t>t kell hozzáadni.</w:t>
      </w:r>
    </w:p>
    <w:p w14:paraId="620F6362" w14:textId="77777777" w:rsidR="008C6F53" w:rsidRPr="00986907" w:rsidRDefault="008C6F53" w:rsidP="00CE56B0">
      <w:pPr>
        <w:spacing w:line="240" w:lineRule="auto"/>
        <w:rPr>
          <w:szCs w:val="22"/>
        </w:rPr>
      </w:pPr>
    </w:p>
    <w:p w14:paraId="03649C05" w14:textId="74238123" w:rsidR="001139FE" w:rsidRPr="00986907" w:rsidRDefault="001139FE" w:rsidP="00CE56B0">
      <w:pPr>
        <w:spacing w:line="240" w:lineRule="auto"/>
        <w:rPr>
          <w:rFonts w:eastAsia="MS Mincho"/>
          <w:szCs w:val="22"/>
          <w:lang w:eastAsia="de-DE"/>
        </w:rPr>
      </w:pPr>
      <w:r>
        <w:rPr>
          <w:szCs w:val="22"/>
        </w:rPr>
        <w:t>A kifröccsent folyadék felfogása érdekében célszerű műanyaggal bélelt papírtörlő fölött feloldani az injekciós üveg tartalmát és előkészíteni a fecskendőt. 9 mg/ml (0,9%) nátrium-klorid oldatos injekciót kell felszívni egy fecskendőbe, amelyet óvatosan kell befecskendezni az injekciós üvegbe</w:t>
      </w:r>
      <w:r>
        <w:rPr>
          <w:rFonts w:eastAsia="MS Mincho"/>
          <w:szCs w:val="22"/>
        </w:rPr>
        <w:t>, elkerülve a hab- vagy buborékképződést, vagy az erőteljes felkeveredést, mert ez denaturációt okozhat</w:t>
      </w:r>
      <w:r>
        <w:rPr>
          <w:szCs w:val="22"/>
        </w:rPr>
        <w:t>. Ha a váku</w:t>
      </w:r>
      <w:r w:rsidR="00781A91">
        <w:rPr>
          <w:szCs w:val="22"/>
        </w:rPr>
        <w:t>u</w:t>
      </w:r>
      <w:r>
        <w:rPr>
          <w:szCs w:val="22"/>
        </w:rPr>
        <w:t xml:space="preserve">m nem szívja be az oldószert az injekciós üvegbe, akkor az injekciós üveget ki kell dobni. A feloldott </w:t>
      </w:r>
      <w:r>
        <w:rPr>
          <w:rFonts w:eastAsia="MS Mincho"/>
          <w:szCs w:val="22"/>
        </w:rPr>
        <w:t>Letybo</w:t>
      </w:r>
      <w:r>
        <w:rPr>
          <w:szCs w:val="22"/>
        </w:rPr>
        <w:t xml:space="preserve"> átlátszó, színtelen oldat, amely gyakorlatilag szemcsementes. </w:t>
      </w:r>
      <w:r>
        <w:rPr>
          <w:rFonts w:eastAsia="MS Mincho"/>
          <w:szCs w:val="22"/>
        </w:rPr>
        <w:t>Felhasználás előtt az injekciós üveget szemrevételezéssel ellenőrizze, és győződjön meg róla, hogy a készítmény idegen szemcséktől mentes.</w:t>
      </w:r>
    </w:p>
    <w:p w14:paraId="45C21121" w14:textId="77777777" w:rsidR="008C6F53" w:rsidRPr="00986907" w:rsidRDefault="008C6F53" w:rsidP="00CE56B0">
      <w:pPr>
        <w:spacing w:line="240" w:lineRule="auto"/>
        <w:rPr>
          <w:szCs w:val="22"/>
        </w:rPr>
      </w:pPr>
    </w:p>
    <w:p w14:paraId="1F8CE06C" w14:textId="2F898B37" w:rsidR="00D7218E" w:rsidRPr="00986907" w:rsidRDefault="009B6B80" w:rsidP="00CE56B0">
      <w:pPr>
        <w:spacing w:line="240" w:lineRule="auto"/>
        <w:rPr>
          <w:szCs w:val="22"/>
        </w:rPr>
      </w:pPr>
      <w:r>
        <w:t xml:space="preserve">Ha a feloldott oldat zavaros vagy szemcsés, akkor a </w:t>
      </w:r>
      <w:r>
        <w:rPr>
          <w:rFonts w:eastAsia="MS Mincho"/>
          <w:szCs w:val="22"/>
        </w:rPr>
        <w:t>Letybo</w:t>
      </w:r>
      <w:r>
        <w:rPr>
          <w:szCs w:val="22"/>
        </w:rPr>
        <w:t xml:space="preserve"> készítményt tilos felhasználni.</w:t>
      </w:r>
    </w:p>
    <w:p w14:paraId="73EC2B22" w14:textId="7A8A5DD5" w:rsidR="007A5FF8" w:rsidRPr="00986907" w:rsidRDefault="007A5FF8" w:rsidP="00CE56B0">
      <w:pPr>
        <w:spacing w:line="240" w:lineRule="auto"/>
        <w:rPr>
          <w:szCs w:val="22"/>
        </w:rPr>
      </w:pPr>
    </w:p>
    <w:p w14:paraId="41180A5C" w14:textId="67EA5F7F" w:rsidR="001139FE" w:rsidRPr="00986907" w:rsidRDefault="001139FE" w:rsidP="00CE56B0">
      <w:pPr>
        <w:spacing w:line="240" w:lineRule="auto"/>
        <w:rPr>
          <w:szCs w:val="22"/>
        </w:rPr>
      </w:pPr>
      <w:r>
        <w:rPr>
          <w:szCs w:val="22"/>
        </w:rPr>
        <w:t>Minden olyan oldatos injekciót, amelyet több mint 24 órán át tároltak, ki kell dobni.</w:t>
      </w:r>
    </w:p>
    <w:p w14:paraId="5252506D" w14:textId="559A4AD2" w:rsidR="0088343F" w:rsidRPr="00986907" w:rsidRDefault="001445E2" w:rsidP="00CE56B0">
      <w:pPr>
        <w:spacing w:line="240" w:lineRule="auto"/>
        <w:rPr>
          <w:szCs w:val="22"/>
        </w:rPr>
      </w:pPr>
      <w:r>
        <w:rPr>
          <w:szCs w:val="22"/>
        </w:rPr>
        <w:t>Bármilyen fel nem használt gyógyszer, illetve hulladékanyag megsemmisítését a gyógyszerekre vonatkozó előírások szerint kell végrehajtani.</w:t>
      </w:r>
    </w:p>
    <w:p w14:paraId="1B353076" w14:textId="77777777" w:rsidR="008920A6" w:rsidRPr="00986907" w:rsidRDefault="008920A6" w:rsidP="00CE56B0">
      <w:pPr>
        <w:spacing w:line="240" w:lineRule="auto"/>
        <w:rPr>
          <w:szCs w:val="22"/>
        </w:rPr>
      </w:pPr>
    </w:p>
    <w:p w14:paraId="3AE439BE" w14:textId="77777777" w:rsidR="0088343F" w:rsidRPr="00986907" w:rsidRDefault="0088343F" w:rsidP="00CE56B0">
      <w:pPr>
        <w:keepNext/>
        <w:keepLines/>
        <w:spacing w:line="240" w:lineRule="auto"/>
        <w:rPr>
          <w:szCs w:val="22"/>
        </w:rPr>
      </w:pPr>
      <w:r>
        <w:rPr>
          <w:szCs w:val="22"/>
          <w:u w:val="single"/>
        </w:rPr>
        <w:t>Az injekciós üvegek, a fecskendők és a felhasznált anyagok biztonságos ártalmatlanítására vonatkozó eljárás</w:t>
      </w:r>
    </w:p>
    <w:p w14:paraId="60880730" w14:textId="5AE9CA44" w:rsidR="0088343F" w:rsidRPr="00986907" w:rsidRDefault="0088343F" w:rsidP="00CE56B0">
      <w:pPr>
        <w:keepNext/>
        <w:keepLines/>
        <w:spacing w:line="240" w:lineRule="auto"/>
        <w:rPr>
          <w:szCs w:val="22"/>
        </w:rPr>
      </w:pPr>
      <w:r>
        <w:rPr>
          <w:szCs w:val="22"/>
        </w:rPr>
        <w:t xml:space="preserve">A nem feloldott </w:t>
      </w:r>
      <w:r>
        <w:rPr>
          <w:rFonts w:eastAsia="MS Mincho"/>
          <w:szCs w:val="22"/>
        </w:rPr>
        <w:t>Letybo</w:t>
      </w:r>
      <w:r>
        <w:rPr>
          <w:szCs w:val="22"/>
        </w:rPr>
        <w:t xml:space="preserve"> biztonságos ártalmatlanításához oldja fel az injekciós üvegben lévő Letybo készítményt egy kevés vízzel, majd autoklávozza az üveget. Az üres injekciós üvegeket, a maradék oldatot tartalmazó injekciós üvegeket, a fecskendőket és a kifröccsent anyagokat autoklávozni kell. Másik megoldásként a maradék </w:t>
      </w:r>
      <w:r>
        <w:rPr>
          <w:rFonts w:eastAsia="MS Mincho"/>
          <w:szCs w:val="22"/>
        </w:rPr>
        <w:t>Letybo</w:t>
      </w:r>
      <w:r>
        <w:rPr>
          <w:szCs w:val="22"/>
        </w:rPr>
        <w:t xml:space="preserve"> hígított nátrium-hidroxid</w:t>
      </w:r>
      <w:r w:rsidR="00781A91">
        <w:rPr>
          <w:szCs w:val="22"/>
        </w:rPr>
        <w:t>-</w:t>
      </w:r>
      <w:r>
        <w:rPr>
          <w:szCs w:val="22"/>
        </w:rPr>
        <w:t>oldat</w:t>
      </w:r>
      <w:r w:rsidR="00781A91">
        <w:rPr>
          <w:szCs w:val="22"/>
        </w:rPr>
        <w:t>t</w:t>
      </w:r>
      <w:r>
        <w:rPr>
          <w:szCs w:val="22"/>
        </w:rPr>
        <w:t>a</w:t>
      </w:r>
      <w:r w:rsidR="00781A91">
        <w:rPr>
          <w:szCs w:val="22"/>
        </w:rPr>
        <w:t>l</w:t>
      </w:r>
      <w:r>
        <w:rPr>
          <w:szCs w:val="22"/>
        </w:rPr>
        <w:t xml:space="preserve"> (0,1 N NaOH) vagy hígított nátrium-hipoklorit</w:t>
      </w:r>
      <w:r w:rsidR="00781A91">
        <w:rPr>
          <w:szCs w:val="22"/>
        </w:rPr>
        <w:t>-</w:t>
      </w:r>
      <w:r>
        <w:rPr>
          <w:szCs w:val="22"/>
        </w:rPr>
        <w:t>oldat</w:t>
      </w:r>
      <w:r w:rsidR="00781A91">
        <w:rPr>
          <w:szCs w:val="22"/>
        </w:rPr>
        <w:t>t</w:t>
      </w:r>
      <w:r>
        <w:rPr>
          <w:szCs w:val="22"/>
        </w:rPr>
        <w:t>a</w:t>
      </w:r>
      <w:r w:rsidR="00781A91">
        <w:rPr>
          <w:szCs w:val="22"/>
        </w:rPr>
        <w:t>l</w:t>
      </w:r>
      <w:r>
        <w:rPr>
          <w:szCs w:val="22"/>
        </w:rPr>
        <w:t xml:space="preserve"> (0,5% vagy 1% NaOCl) is inaktiválható.</w:t>
      </w:r>
    </w:p>
    <w:p w14:paraId="5D889C1F" w14:textId="77777777" w:rsidR="0088343F" w:rsidRPr="00986907" w:rsidRDefault="0088343F" w:rsidP="00CE56B0">
      <w:pPr>
        <w:spacing w:line="240" w:lineRule="auto"/>
        <w:rPr>
          <w:szCs w:val="22"/>
        </w:rPr>
      </w:pPr>
      <w:r>
        <w:rPr>
          <w:szCs w:val="22"/>
        </w:rPr>
        <w:t>Az inaktiválás után a használt injekciós üvegeket, fecskendőket és anyagokat tilos kiüríteni – ezeket megfelelő tárolókba kell kidobni, és a helyi előírások szerint kell ártalmatlanítani.</w:t>
      </w:r>
    </w:p>
    <w:p w14:paraId="5CDA2960" w14:textId="77777777" w:rsidR="0088343F" w:rsidRPr="00986907" w:rsidRDefault="0088343F" w:rsidP="00CE56B0">
      <w:pPr>
        <w:spacing w:line="240" w:lineRule="auto"/>
        <w:rPr>
          <w:szCs w:val="22"/>
        </w:rPr>
      </w:pPr>
    </w:p>
    <w:p w14:paraId="38723918" w14:textId="77777777" w:rsidR="0088343F" w:rsidRPr="00986907" w:rsidRDefault="0088343F" w:rsidP="00CE56B0">
      <w:pPr>
        <w:keepNext/>
        <w:keepLines/>
        <w:spacing w:line="240" w:lineRule="auto"/>
        <w:rPr>
          <w:szCs w:val="22"/>
        </w:rPr>
      </w:pPr>
      <w:r>
        <w:rPr>
          <w:szCs w:val="22"/>
          <w:u w:val="single"/>
        </w:rPr>
        <w:t>Javaslatok arra az esetre, ha a botulinum toxin kezelése során baleset történne</w:t>
      </w:r>
    </w:p>
    <w:p w14:paraId="110512CE" w14:textId="56016ABE" w:rsidR="0088343F" w:rsidRPr="00E34025" w:rsidRDefault="0088343F" w:rsidP="003C26F2">
      <w:pPr>
        <w:pStyle w:val="C-BodyText"/>
        <w:keepNext/>
        <w:keepLines/>
        <w:widowControl w:val="0"/>
        <w:numPr>
          <w:ilvl w:val="0"/>
          <w:numId w:val="28"/>
        </w:numPr>
        <w:tabs>
          <w:tab w:val="left" w:pos="567"/>
        </w:tabs>
        <w:spacing w:before="0" w:after="0" w:line="240" w:lineRule="auto"/>
        <w:ind w:left="567" w:hanging="567"/>
        <w:rPr>
          <w:sz w:val="22"/>
          <w:szCs w:val="22"/>
        </w:rPr>
      </w:pPr>
      <w:r>
        <w:rPr>
          <w:sz w:val="22"/>
          <w:szCs w:val="22"/>
        </w:rPr>
        <w:t>A kifröccsent készítményt fel kell törölni: ehhez használjon nátrium-hipoklorit</w:t>
      </w:r>
      <w:r w:rsidR="00781A91">
        <w:rPr>
          <w:sz w:val="22"/>
          <w:szCs w:val="22"/>
        </w:rPr>
        <w:t>-</w:t>
      </w:r>
      <w:r>
        <w:rPr>
          <w:sz w:val="22"/>
          <w:szCs w:val="22"/>
        </w:rPr>
        <w:t>oldattal átitatott nedvszívó anyagot (por esetén) vagy száraz nedvszívó anyagot (feloldott készítmény esetén).</w:t>
      </w:r>
    </w:p>
    <w:p w14:paraId="0AAF2E73" w14:textId="463077A2" w:rsidR="0088343F" w:rsidRPr="00E34025" w:rsidRDefault="0088343F" w:rsidP="003C26F2">
      <w:pPr>
        <w:pStyle w:val="C-BodyText"/>
        <w:widowControl w:val="0"/>
        <w:numPr>
          <w:ilvl w:val="0"/>
          <w:numId w:val="28"/>
        </w:numPr>
        <w:tabs>
          <w:tab w:val="left" w:pos="567"/>
        </w:tabs>
        <w:spacing w:before="0" w:after="0" w:line="240" w:lineRule="auto"/>
        <w:ind w:left="567" w:hanging="567"/>
        <w:rPr>
          <w:sz w:val="22"/>
          <w:szCs w:val="22"/>
        </w:rPr>
      </w:pPr>
      <w:r>
        <w:rPr>
          <w:sz w:val="22"/>
          <w:szCs w:val="22"/>
        </w:rPr>
        <w:t>A szennyezett felületeket nátrium-</w:t>
      </w:r>
      <w:r w:rsidR="0013343D">
        <w:rPr>
          <w:sz w:val="22"/>
          <w:szCs w:val="22"/>
        </w:rPr>
        <w:t>h</w:t>
      </w:r>
      <w:r>
        <w:rPr>
          <w:sz w:val="22"/>
          <w:szCs w:val="22"/>
        </w:rPr>
        <w:t>ipoklorit</w:t>
      </w:r>
      <w:r w:rsidR="00781A91">
        <w:rPr>
          <w:sz w:val="22"/>
          <w:szCs w:val="22"/>
        </w:rPr>
        <w:t>-</w:t>
      </w:r>
      <w:r>
        <w:rPr>
          <w:sz w:val="22"/>
          <w:szCs w:val="22"/>
        </w:rPr>
        <w:t>oldattal átitatott nedvszívó anyaggal kell megtisztítani, majd fel kell szárítani.</w:t>
      </w:r>
    </w:p>
    <w:p w14:paraId="7D959B6F" w14:textId="77777777" w:rsidR="0088343F" w:rsidRPr="00E34025" w:rsidRDefault="0088343F" w:rsidP="003C26F2">
      <w:pPr>
        <w:pStyle w:val="C-BodyText"/>
        <w:widowControl w:val="0"/>
        <w:numPr>
          <w:ilvl w:val="0"/>
          <w:numId w:val="28"/>
        </w:numPr>
        <w:tabs>
          <w:tab w:val="left" w:pos="567"/>
        </w:tabs>
        <w:spacing w:before="0" w:after="0" w:line="240" w:lineRule="auto"/>
        <w:ind w:left="567" w:hanging="567"/>
        <w:rPr>
          <w:sz w:val="22"/>
          <w:szCs w:val="22"/>
        </w:rPr>
      </w:pPr>
      <w:r>
        <w:rPr>
          <w:sz w:val="22"/>
          <w:szCs w:val="22"/>
        </w:rPr>
        <w:t>Ha egy injekciós üveg eltörik, járjon el a fentiek szerint, és óvatosan szedje össze a törött üvegdarabokat, majd törölje fel a készítményt, ügyelve rá, hogy ne vágja meg magát.</w:t>
      </w:r>
    </w:p>
    <w:p w14:paraId="6F78F139" w14:textId="4C6A6D73" w:rsidR="0088343F" w:rsidRPr="00E34025" w:rsidRDefault="0088343F" w:rsidP="003C26F2">
      <w:pPr>
        <w:pStyle w:val="C-BodyText"/>
        <w:widowControl w:val="0"/>
        <w:numPr>
          <w:ilvl w:val="0"/>
          <w:numId w:val="28"/>
        </w:numPr>
        <w:tabs>
          <w:tab w:val="left" w:pos="567"/>
        </w:tabs>
        <w:spacing w:before="0" w:after="0" w:line="240" w:lineRule="auto"/>
        <w:ind w:left="567" w:hanging="567"/>
        <w:rPr>
          <w:sz w:val="22"/>
          <w:szCs w:val="22"/>
        </w:rPr>
      </w:pPr>
      <w:r>
        <w:rPr>
          <w:sz w:val="22"/>
          <w:szCs w:val="22"/>
        </w:rPr>
        <w:t>Ha a készítmény bőrrel érintkezik, mossa le az érintett részt nátrium-hipoklorit</w:t>
      </w:r>
      <w:r w:rsidR="00DD408C">
        <w:rPr>
          <w:sz w:val="22"/>
          <w:szCs w:val="22"/>
        </w:rPr>
        <w:t>-</w:t>
      </w:r>
      <w:r>
        <w:rPr>
          <w:sz w:val="22"/>
          <w:szCs w:val="22"/>
        </w:rPr>
        <w:t>oldattal, majd öblítse le alaposan vízzel.</w:t>
      </w:r>
    </w:p>
    <w:p w14:paraId="0DCB1A4F" w14:textId="3FA6601E" w:rsidR="0088343F" w:rsidRPr="00E34025" w:rsidRDefault="0088343F" w:rsidP="003C26F2">
      <w:pPr>
        <w:pStyle w:val="C-BodyText"/>
        <w:widowControl w:val="0"/>
        <w:numPr>
          <w:ilvl w:val="0"/>
          <w:numId w:val="28"/>
        </w:numPr>
        <w:tabs>
          <w:tab w:val="left" w:pos="567"/>
        </w:tabs>
        <w:spacing w:before="0" w:after="0" w:line="240" w:lineRule="auto"/>
        <w:ind w:left="567" w:hanging="567"/>
        <w:rPr>
          <w:sz w:val="22"/>
          <w:szCs w:val="22"/>
        </w:rPr>
      </w:pPr>
      <w:r>
        <w:rPr>
          <w:sz w:val="22"/>
          <w:szCs w:val="22"/>
        </w:rPr>
        <w:t>Ha a készítmény szembe kerül, bő vízzel vagy szemmosó oldattal alaposan öblítse ki.</w:t>
      </w:r>
    </w:p>
    <w:p w14:paraId="43BD1341" w14:textId="101F2C56" w:rsidR="0088343F" w:rsidRDefault="0088343F" w:rsidP="003C26F2">
      <w:pPr>
        <w:pStyle w:val="C-BodyText"/>
        <w:widowControl w:val="0"/>
        <w:numPr>
          <w:ilvl w:val="0"/>
          <w:numId w:val="28"/>
        </w:numPr>
        <w:tabs>
          <w:tab w:val="left" w:pos="567"/>
        </w:tabs>
        <w:spacing w:before="0" w:after="0" w:line="240" w:lineRule="auto"/>
        <w:ind w:left="567" w:hanging="567"/>
        <w:rPr>
          <w:sz w:val="22"/>
          <w:szCs w:val="22"/>
        </w:rPr>
      </w:pPr>
      <w:r>
        <w:rPr>
          <w:sz w:val="22"/>
          <w:szCs w:val="22"/>
        </w:rPr>
        <w:t>Ha a készítmény sebbe, vágásba vagy sérült bőrre kerül, bő vízzel alaposan öblítse le, majd az adagnak megfelelően tegye meg a szükséges orvosi lépéseket.</w:t>
      </w:r>
    </w:p>
    <w:p w14:paraId="16F4AC1F" w14:textId="7F055101" w:rsidR="003A23AB" w:rsidRDefault="003A23AB" w:rsidP="003A23AB">
      <w:pPr>
        <w:pStyle w:val="C-BodyText"/>
        <w:widowControl w:val="0"/>
        <w:tabs>
          <w:tab w:val="left" w:pos="567"/>
        </w:tabs>
        <w:spacing w:before="0" w:after="0" w:line="240" w:lineRule="auto"/>
        <w:rPr>
          <w:sz w:val="22"/>
          <w:szCs w:val="22"/>
        </w:rPr>
      </w:pPr>
    </w:p>
    <w:p w14:paraId="7066F89C" w14:textId="77777777" w:rsidR="004318FA" w:rsidRPr="00523FB8" w:rsidRDefault="004318FA" w:rsidP="004318FA">
      <w:pPr>
        <w:pStyle w:val="Szvegtrzs"/>
        <w:tabs>
          <w:tab w:val="left" w:pos="567"/>
        </w:tabs>
        <w:rPr>
          <w:i w:val="0"/>
          <w:iCs/>
          <w:color w:val="auto"/>
          <w:szCs w:val="22"/>
        </w:rPr>
      </w:pPr>
      <w:r w:rsidRPr="00791579">
        <w:rPr>
          <w:b/>
          <w:i w:val="0"/>
          <w:iCs/>
          <w:color w:val="auto"/>
          <w:szCs w:val="22"/>
        </w:rPr>
        <w:t>Megjegyzés:</w:t>
      </w:r>
      <w:r w:rsidRPr="00791579">
        <w:rPr>
          <w:i w:val="0"/>
          <w:iCs/>
          <w:color w:val="auto"/>
          <w:szCs w:val="22"/>
        </w:rPr>
        <w:t xml:space="preserve"> </w:t>
      </w:r>
      <w:r w:rsidRPr="00523FB8">
        <w:rPr>
          <w:i w:val="0"/>
          <w:iCs/>
          <w:color w:val="auto"/>
          <w:szCs w:val="22"/>
        </w:rPr>
        <w:sym w:font="Wingdings" w:char="F058"/>
      </w:r>
      <w:r w:rsidRPr="00523FB8">
        <w:rPr>
          <w:i w:val="0"/>
          <w:iCs/>
          <w:color w:val="auto"/>
          <w:szCs w:val="22"/>
        </w:rPr>
        <w:sym w:font="Wingdings" w:char="F058"/>
      </w:r>
      <w:r w:rsidRPr="00523FB8">
        <w:rPr>
          <w:i w:val="0"/>
          <w:iCs/>
          <w:color w:val="auto"/>
          <w:szCs w:val="22"/>
        </w:rPr>
        <w:t xml:space="preserve"> (két kereszt)</w:t>
      </w:r>
    </w:p>
    <w:p w14:paraId="395C7282" w14:textId="0E82F1E7" w:rsidR="004318FA" w:rsidRPr="000D566A" w:rsidRDefault="004318FA" w:rsidP="004318FA">
      <w:pPr>
        <w:spacing w:line="240" w:lineRule="auto"/>
        <w:rPr>
          <w:b/>
          <w:szCs w:val="22"/>
        </w:rPr>
      </w:pPr>
      <w:r w:rsidRPr="000D566A">
        <w:rPr>
          <w:b/>
          <w:szCs w:val="22"/>
        </w:rPr>
        <w:t>Osztályozás: II./2 csoport</w:t>
      </w:r>
    </w:p>
    <w:p w14:paraId="2AA1A631" w14:textId="5086F09A" w:rsidR="004318FA" w:rsidRPr="000D566A" w:rsidRDefault="004318FA" w:rsidP="004318FA">
      <w:pPr>
        <w:spacing w:line="240" w:lineRule="auto"/>
        <w:rPr>
          <w:szCs w:val="22"/>
        </w:rPr>
      </w:pPr>
      <w:r w:rsidRPr="000D566A">
        <w:rPr>
          <w:bCs/>
          <w:szCs w:val="22"/>
        </w:rPr>
        <w:t>Korlátozott érvényű orvosi rendelvényhez kötött, szakorvosi/kórházi diagnózist követően folyamatos szakorvosi ellenőrzés mellett alkalmazható gyógyszer (Sz).</w:t>
      </w:r>
    </w:p>
    <w:bookmarkEnd w:id="18"/>
    <w:p w14:paraId="47987430" w14:textId="6290CDFF" w:rsidR="00812D16" w:rsidRPr="00986907" w:rsidRDefault="00812D16" w:rsidP="00CE56B0">
      <w:pPr>
        <w:spacing w:line="240" w:lineRule="auto"/>
        <w:rPr>
          <w:noProof/>
          <w:szCs w:val="22"/>
        </w:rPr>
      </w:pPr>
    </w:p>
    <w:p w14:paraId="683B9324" w14:textId="77777777" w:rsidR="008920A6" w:rsidRPr="00986907" w:rsidRDefault="008920A6" w:rsidP="00CE56B0">
      <w:pPr>
        <w:spacing w:line="240" w:lineRule="auto"/>
        <w:rPr>
          <w:noProof/>
          <w:szCs w:val="22"/>
        </w:rPr>
      </w:pPr>
    </w:p>
    <w:p w14:paraId="70A2856E" w14:textId="1B79838A" w:rsidR="00AC0D2B" w:rsidRPr="00986907" w:rsidRDefault="00812D16" w:rsidP="009C3098">
      <w:pPr>
        <w:keepNext/>
        <w:spacing w:line="240" w:lineRule="auto"/>
        <w:ind w:left="567" w:hanging="567"/>
        <w:rPr>
          <w:noProof/>
          <w:szCs w:val="22"/>
        </w:rPr>
      </w:pPr>
      <w:r>
        <w:rPr>
          <w:b/>
          <w:szCs w:val="22"/>
        </w:rPr>
        <w:t>7.</w:t>
      </w:r>
      <w:r>
        <w:rPr>
          <w:b/>
          <w:szCs w:val="22"/>
        </w:rPr>
        <w:tab/>
        <w:t>A FORGALOMBA HOZATALI ENGEDÉLY JOGOSULTJA</w:t>
      </w:r>
      <w:hyperlink r:id="rId14" w:history="1"/>
    </w:p>
    <w:p w14:paraId="6EAC2586" w14:textId="039F4289" w:rsidR="00F578BD" w:rsidRPr="00986907" w:rsidRDefault="00F578BD" w:rsidP="009C3098">
      <w:pPr>
        <w:keepNext/>
        <w:spacing w:line="240" w:lineRule="auto"/>
        <w:rPr>
          <w:noProof/>
          <w:szCs w:val="22"/>
        </w:rPr>
      </w:pPr>
    </w:p>
    <w:p w14:paraId="7436D8BB" w14:textId="77777777" w:rsidR="009C6307" w:rsidRPr="009C6307" w:rsidRDefault="009C6307" w:rsidP="009C6307">
      <w:pPr>
        <w:spacing w:line="240" w:lineRule="auto"/>
        <w:rPr>
          <w:szCs w:val="22"/>
        </w:rPr>
      </w:pPr>
      <w:r w:rsidRPr="009C6307">
        <w:rPr>
          <w:szCs w:val="22"/>
        </w:rPr>
        <w:t>CROMA-PHARMA GmbH</w:t>
      </w:r>
    </w:p>
    <w:p w14:paraId="772581CE" w14:textId="77777777" w:rsidR="009C6307" w:rsidRPr="009C6307" w:rsidRDefault="009C6307" w:rsidP="009C6307">
      <w:pPr>
        <w:spacing w:line="240" w:lineRule="auto"/>
        <w:rPr>
          <w:szCs w:val="22"/>
        </w:rPr>
      </w:pPr>
      <w:r w:rsidRPr="009C6307">
        <w:rPr>
          <w:szCs w:val="22"/>
        </w:rPr>
        <w:t xml:space="preserve">Industriezeile 6 </w:t>
      </w:r>
    </w:p>
    <w:p w14:paraId="74F1B00C" w14:textId="77777777" w:rsidR="009C6307" w:rsidRPr="009C6307" w:rsidRDefault="009C6307" w:rsidP="009C6307">
      <w:pPr>
        <w:spacing w:line="240" w:lineRule="auto"/>
        <w:rPr>
          <w:szCs w:val="22"/>
        </w:rPr>
      </w:pPr>
      <w:r w:rsidRPr="009C6307">
        <w:rPr>
          <w:szCs w:val="22"/>
        </w:rPr>
        <w:t>2100 Leobendorf</w:t>
      </w:r>
    </w:p>
    <w:p w14:paraId="0FC84535" w14:textId="5CECB3F6" w:rsidR="00F578BD" w:rsidRPr="00986907" w:rsidRDefault="009C6307" w:rsidP="009C6307">
      <w:pPr>
        <w:spacing w:line="240" w:lineRule="auto"/>
        <w:rPr>
          <w:szCs w:val="22"/>
        </w:rPr>
      </w:pPr>
      <w:r w:rsidRPr="009C6307">
        <w:rPr>
          <w:szCs w:val="22"/>
        </w:rPr>
        <w:t>Ausztria</w:t>
      </w:r>
    </w:p>
    <w:p w14:paraId="64893255" w14:textId="13C0A525" w:rsidR="009904B3" w:rsidRPr="00986907" w:rsidRDefault="009904B3" w:rsidP="00CE56B0">
      <w:pPr>
        <w:spacing w:line="240" w:lineRule="auto"/>
        <w:rPr>
          <w:noProof/>
          <w:szCs w:val="22"/>
        </w:rPr>
      </w:pPr>
    </w:p>
    <w:p w14:paraId="608C27E6" w14:textId="77777777" w:rsidR="008920A6" w:rsidRPr="00986907" w:rsidRDefault="008920A6" w:rsidP="00CE56B0">
      <w:pPr>
        <w:spacing w:line="240" w:lineRule="auto"/>
        <w:rPr>
          <w:noProof/>
          <w:szCs w:val="22"/>
        </w:rPr>
      </w:pPr>
    </w:p>
    <w:p w14:paraId="46A7FBB4" w14:textId="77777777" w:rsidR="00D7218E" w:rsidRPr="00986907" w:rsidRDefault="00812D16" w:rsidP="009C3098">
      <w:pPr>
        <w:keepNext/>
        <w:spacing w:line="240" w:lineRule="auto"/>
        <w:ind w:left="567" w:hanging="567"/>
        <w:outlineLvl w:val="0"/>
        <w:rPr>
          <w:b/>
          <w:szCs w:val="22"/>
        </w:rPr>
      </w:pPr>
      <w:r>
        <w:rPr>
          <w:b/>
          <w:szCs w:val="22"/>
        </w:rPr>
        <w:lastRenderedPageBreak/>
        <w:t>8.</w:t>
      </w:r>
      <w:r>
        <w:rPr>
          <w:b/>
          <w:szCs w:val="22"/>
        </w:rPr>
        <w:tab/>
        <w:t>A FORGALOMBA HOZATALI ENGEDÉLY SZÁMA(I)</w:t>
      </w:r>
    </w:p>
    <w:p w14:paraId="79701ED3" w14:textId="357003E1" w:rsidR="001139FE" w:rsidRPr="00986907" w:rsidRDefault="001139FE" w:rsidP="009C3098">
      <w:pPr>
        <w:keepNext/>
        <w:spacing w:line="240" w:lineRule="auto"/>
        <w:rPr>
          <w:noProof/>
          <w:szCs w:val="22"/>
        </w:rPr>
      </w:pPr>
    </w:p>
    <w:p w14:paraId="356AF5F5" w14:textId="5A533884" w:rsidR="0019696F" w:rsidRPr="0019696F" w:rsidRDefault="0019696F" w:rsidP="0019696F">
      <w:pPr>
        <w:spacing w:line="240" w:lineRule="auto"/>
        <w:rPr>
          <w:noProof/>
          <w:szCs w:val="22"/>
        </w:rPr>
      </w:pPr>
      <w:r w:rsidRPr="0019696F">
        <w:rPr>
          <w:noProof/>
          <w:szCs w:val="22"/>
        </w:rPr>
        <w:t>OGYI-T-24147/01</w:t>
      </w:r>
      <w:r>
        <w:rPr>
          <w:noProof/>
          <w:szCs w:val="22"/>
        </w:rPr>
        <w:tab/>
      </w:r>
      <w:r w:rsidRPr="0019696F">
        <w:rPr>
          <w:noProof/>
          <w:szCs w:val="22"/>
        </w:rPr>
        <w:t>1</w:t>
      </w:r>
      <w:r w:rsidR="008F5F6D">
        <w:rPr>
          <w:noProof/>
          <w:szCs w:val="22"/>
        </w:rPr>
        <w:t>×</w:t>
      </w:r>
      <w:r>
        <w:rPr>
          <w:noProof/>
          <w:szCs w:val="22"/>
        </w:rPr>
        <w:tab/>
        <w:t>I-es típusú injekciós üvegben.</w:t>
      </w:r>
    </w:p>
    <w:p w14:paraId="09333435" w14:textId="6A1755E3" w:rsidR="0019696F" w:rsidRPr="0019696F" w:rsidRDefault="0019696F" w:rsidP="0019696F">
      <w:pPr>
        <w:spacing w:line="240" w:lineRule="auto"/>
        <w:rPr>
          <w:noProof/>
          <w:szCs w:val="22"/>
        </w:rPr>
      </w:pPr>
      <w:r w:rsidRPr="0019696F">
        <w:rPr>
          <w:noProof/>
          <w:szCs w:val="22"/>
        </w:rPr>
        <w:t>OGYI-T-24147/02</w:t>
      </w:r>
      <w:r>
        <w:rPr>
          <w:noProof/>
          <w:szCs w:val="22"/>
        </w:rPr>
        <w:tab/>
      </w:r>
      <w:r w:rsidRPr="0019696F">
        <w:rPr>
          <w:noProof/>
          <w:szCs w:val="22"/>
        </w:rPr>
        <w:t>2</w:t>
      </w:r>
      <w:r w:rsidR="008F5F6D">
        <w:rPr>
          <w:noProof/>
          <w:szCs w:val="22"/>
        </w:rPr>
        <w:t>×</w:t>
      </w:r>
      <w:r w:rsidRPr="0019696F">
        <w:rPr>
          <w:noProof/>
          <w:szCs w:val="22"/>
        </w:rPr>
        <w:t>1</w:t>
      </w:r>
      <w:r>
        <w:rPr>
          <w:noProof/>
          <w:szCs w:val="22"/>
        </w:rPr>
        <w:tab/>
        <w:t>I-es típusú injekciós üvegben.</w:t>
      </w:r>
    </w:p>
    <w:p w14:paraId="5D5B6BC1" w14:textId="6E3E71D7" w:rsidR="001139FE" w:rsidRDefault="0019696F" w:rsidP="0019696F">
      <w:pPr>
        <w:spacing w:line="240" w:lineRule="auto"/>
        <w:rPr>
          <w:noProof/>
          <w:szCs w:val="22"/>
        </w:rPr>
      </w:pPr>
      <w:r w:rsidRPr="0019696F">
        <w:rPr>
          <w:noProof/>
          <w:szCs w:val="22"/>
        </w:rPr>
        <w:t>OGYI-T-24147/03</w:t>
      </w:r>
      <w:r>
        <w:rPr>
          <w:noProof/>
          <w:szCs w:val="22"/>
        </w:rPr>
        <w:tab/>
      </w:r>
      <w:r w:rsidRPr="0019696F">
        <w:rPr>
          <w:noProof/>
          <w:szCs w:val="22"/>
        </w:rPr>
        <w:t>6</w:t>
      </w:r>
      <w:r w:rsidR="008F5F6D">
        <w:rPr>
          <w:noProof/>
          <w:szCs w:val="22"/>
        </w:rPr>
        <w:t>×</w:t>
      </w:r>
      <w:r w:rsidRPr="0019696F">
        <w:rPr>
          <w:noProof/>
          <w:szCs w:val="22"/>
        </w:rPr>
        <w:t>1</w:t>
      </w:r>
      <w:r>
        <w:rPr>
          <w:noProof/>
          <w:szCs w:val="22"/>
        </w:rPr>
        <w:tab/>
        <w:t>I-es típusú injekciós üvegben.</w:t>
      </w:r>
    </w:p>
    <w:p w14:paraId="3EA1BF4C" w14:textId="234D4495" w:rsidR="00274199" w:rsidRPr="0019696F" w:rsidRDefault="00274199" w:rsidP="00274199">
      <w:pPr>
        <w:spacing w:line="240" w:lineRule="auto"/>
        <w:rPr>
          <w:noProof/>
          <w:szCs w:val="22"/>
        </w:rPr>
      </w:pPr>
      <w:r w:rsidRPr="002E0D2D">
        <w:rPr>
          <w:noProof/>
          <w:szCs w:val="22"/>
        </w:rPr>
        <w:t>OGYI-T-24147/</w:t>
      </w:r>
      <w:r w:rsidR="004209FE">
        <w:rPr>
          <w:noProof/>
          <w:szCs w:val="22"/>
        </w:rPr>
        <w:t>04</w:t>
      </w:r>
      <w:r w:rsidRPr="002E0D2D">
        <w:rPr>
          <w:noProof/>
          <w:szCs w:val="22"/>
        </w:rPr>
        <w:tab/>
        <w:t>2×</w:t>
      </w:r>
      <w:r w:rsidRPr="002E0D2D">
        <w:rPr>
          <w:noProof/>
          <w:szCs w:val="22"/>
        </w:rPr>
        <w:tab/>
        <w:t>I-es típusú injekciós üvegben.</w:t>
      </w:r>
    </w:p>
    <w:p w14:paraId="6CA233B2" w14:textId="77777777" w:rsidR="006E6CAA" w:rsidRDefault="006E6CAA" w:rsidP="0019696F">
      <w:pPr>
        <w:spacing w:line="240" w:lineRule="auto"/>
        <w:rPr>
          <w:noProof/>
          <w:szCs w:val="22"/>
        </w:rPr>
      </w:pPr>
    </w:p>
    <w:p w14:paraId="44F8DA02" w14:textId="77777777" w:rsidR="0019696F" w:rsidRPr="00986907" w:rsidRDefault="0019696F" w:rsidP="0019696F">
      <w:pPr>
        <w:spacing w:line="240" w:lineRule="auto"/>
        <w:rPr>
          <w:noProof/>
          <w:szCs w:val="22"/>
        </w:rPr>
      </w:pPr>
    </w:p>
    <w:p w14:paraId="1741A28F" w14:textId="77777777" w:rsidR="00812D16" w:rsidRPr="00986907" w:rsidRDefault="00812D16" w:rsidP="009C3098">
      <w:pPr>
        <w:keepNext/>
        <w:spacing w:line="240" w:lineRule="auto"/>
        <w:ind w:left="567" w:hanging="567"/>
        <w:outlineLvl w:val="0"/>
        <w:rPr>
          <w:b/>
          <w:szCs w:val="22"/>
        </w:rPr>
      </w:pPr>
      <w:r>
        <w:rPr>
          <w:b/>
          <w:szCs w:val="22"/>
        </w:rPr>
        <w:t>9.</w:t>
      </w:r>
      <w:r>
        <w:rPr>
          <w:b/>
          <w:szCs w:val="22"/>
        </w:rPr>
        <w:tab/>
        <w:t>A FORGALOMBA HOZATALI ENGEDÉLY ELSŐ KIADÁSÁNAK/ MEGÚJÍTÁSÁNAK DÁTUMA</w:t>
      </w:r>
    </w:p>
    <w:p w14:paraId="4C05FA73" w14:textId="77777777" w:rsidR="00812D16" w:rsidRPr="009C3098" w:rsidRDefault="00812D16" w:rsidP="009C3098">
      <w:pPr>
        <w:keepNext/>
        <w:spacing w:line="240" w:lineRule="auto"/>
        <w:rPr>
          <w:iCs/>
          <w:noProof/>
          <w:szCs w:val="22"/>
        </w:rPr>
      </w:pPr>
    </w:p>
    <w:p w14:paraId="709EDC2C" w14:textId="1B663948" w:rsidR="00DD408C" w:rsidRDefault="00DD408C" w:rsidP="00CE56B0">
      <w:pPr>
        <w:spacing w:line="240" w:lineRule="auto"/>
        <w:rPr>
          <w:noProof/>
          <w:szCs w:val="22"/>
          <w:lang w:eastAsia="en-US"/>
        </w:rPr>
      </w:pPr>
      <w:r w:rsidRPr="00F06234">
        <w:rPr>
          <w:noProof/>
          <w:szCs w:val="22"/>
          <w:lang w:eastAsia="en-US"/>
        </w:rPr>
        <w:t>A forgalomba hozatali engedély első kiadásának dátuma:</w:t>
      </w:r>
      <w:r w:rsidR="00E0134C">
        <w:rPr>
          <w:noProof/>
          <w:szCs w:val="22"/>
          <w:lang w:eastAsia="en-US"/>
        </w:rPr>
        <w:t xml:space="preserve"> 2022. október 27.</w:t>
      </w:r>
    </w:p>
    <w:p w14:paraId="473B6B2D" w14:textId="4D8B7371" w:rsidR="00DD408C" w:rsidRDefault="00DD408C" w:rsidP="00CE56B0">
      <w:pPr>
        <w:spacing w:line="240" w:lineRule="auto"/>
        <w:rPr>
          <w:noProof/>
          <w:szCs w:val="22"/>
          <w:lang w:eastAsia="en-US"/>
        </w:rPr>
      </w:pPr>
    </w:p>
    <w:p w14:paraId="79D88493" w14:textId="77777777" w:rsidR="00DD408C" w:rsidRPr="009C3098" w:rsidRDefault="00DD408C" w:rsidP="00CE56B0">
      <w:pPr>
        <w:spacing w:line="240" w:lineRule="auto"/>
        <w:rPr>
          <w:iCs/>
          <w:noProof/>
          <w:szCs w:val="22"/>
        </w:rPr>
      </w:pPr>
    </w:p>
    <w:p w14:paraId="69976C1B" w14:textId="77777777" w:rsidR="009C3098" w:rsidRDefault="00812D16" w:rsidP="009C3098">
      <w:pPr>
        <w:keepNext/>
        <w:spacing w:line="240" w:lineRule="auto"/>
        <w:ind w:left="567" w:hanging="567"/>
        <w:rPr>
          <w:b/>
          <w:szCs w:val="22"/>
        </w:rPr>
      </w:pPr>
      <w:r>
        <w:rPr>
          <w:b/>
          <w:szCs w:val="22"/>
        </w:rPr>
        <w:t>10.</w:t>
      </w:r>
      <w:r>
        <w:rPr>
          <w:b/>
          <w:szCs w:val="22"/>
        </w:rPr>
        <w:tab/>
        <w:t>A SZÖVEG ELLENŐRZÉSÉNEK DÁTUMA</w:t>
      </w:r>
    </w:p>
    <w:p w14:paraId="2C1EBD08" w14:textId="00A66C68" w:rsidR="009C3098" w:rsidRPr="00523FB8" w:rsidRDefault="009C3098" w:rsidP="009C3098">
      <w:pPr>
        <w:keepNext/>
        <w:tabs>
          <w:tab w:val="clear" w:pos="567"/>
        </w:tabs>
        <w:spacing w:line="240" w:lineRule="auto"/>
        <w:rPr>
          <w:szCs w:val="22"/>
        </w:rPr>
      </w:pPr>
    </w:p>
    <w:p w14:paraId="0B998F73" w14:textId="63B6F0D2" w:rsidR="00227732" w:rsidRPr="00523FB8" w:rsidRDefault="00C76603" w:rsidP="009C3098">
      <w:pPr>
        <w:keepNext/>
        <w:tabs>
          <w:tab w:val="clear" w:pos="567"/>
        </w:tabs>
        <w:spacing w:line="240" w:lineRule="auto"/>
        <w:rPr>
          <w:bCs/>
          <w:szCs w:val="22"/>
        </w:rPr>
      </w:pPr>
      <w:r>
        <w:rPr>
          <w:bCs/>
          <w:szCs w:val="22"/>
        </w:rPr>
        <w:t>202</w:t>
      </w:r>
      <w:r w:rsidR="00AB024B">
        <w:rPr>
          <w:bCs/>
          <w:szCs w:val="22"/>
        </w:rPr>
        <w:t xml:space="preserve">5. december </w:t>
      </w:r>
      <w:r>
        <w:rPr>
          <w:bCs/>
          <w:szCs w:val="22"/>
        </w:rPr>
        <w:t>1.</w:t>
      </w:r>
    </w:p>
    <w:sectPr w:rsidR="00227732" w:rsidRPr="00523FB8" w:rsidSect="003F037B">
      <w:headerReference w:type="default" r:id="rId15"/>
      <w:footerReference w:type="default" r:id="rId16"/>
      <w:headerReference w:type="first" r:id="rId17"/>
      <w:footerReference w:type="first" r:id="rId18"/>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3543DC" w14:textId="77777777" w:rsidR="00782187" w:rsidRDefault="00782187">
      <w:r>
        <w:separator/>
      </w:r>
    </w:p>
  </w:endnote>
  <w:endnote w:type="continuationSeparator" w:id="0">
    <w:p w14:paraId="385766F2" w14:textId="77777777" w:rsidR="00782187" w:rsidRDefault="00782187">
      <w:r>
        <w:continuationSeparator/>
      </w:r>
    </w:p>
  </w:endnote>
  <w:endnote w:type="continuationNotice" w:id="1">
    <w:p w14:paraId="2302DF60" w14:textId="77777777" w:rsidR="00782187" w:rsidRDefault="007821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3EEB7" w14:textId="41C80953" w:rsidR="002236B0" w:rsidRPr="00523FB8" w:rsidRDefault="002236B0" w:rsidP="00523FB8">
    <w:pPr>
      <w:pStyle w:val="llb"/>
      <w:tabs>
        <w:tab w:val="clear" w:pos="567"/>
        <w:tab w:val="clear" w:pos="4536"/>
        <w:tab w:val="clear" w:pos="8306"/>
      </w:tabs>
      <w:spacing w:line="240" w:lineRule="auto"/>
      <w:rPr>
        <w:rFonts w:ascii="Times New Roman" w:hAnsi="Times New Roman"/>
        <w:sz w:val="18"/>
        <w:szCs w:val="18"/>
      </w:rPr>
    </w:pPr>
    <w:r>
      <w:fldChar w:fldCharType="begin"/>
    </w:r>
    <w:r>
      <w:instrText xml:space="preserve"> EQ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84DDE" w14:textId="77777777" w:rsidR="0043055B" w:rsidRPr="00523FB8" w:rsidRDefault="0043055B" w:rsidP="009C562B">
    <w:pPr>
      <w:pStyle w:val="llb"/>
      <w:tabs>
        <w:tab w:val="clear" w:pos="567"/>
        <w:tab w:val="clear" w:pos="4536"/>
        <w:tab w:val="clear" w:pos="8306"/>
      </w:tabs>
      <w:spacing w:line="240" w:lineRule="auto"/>
      <w:rPr>
        <w:rFonts w:ascii="Times New Roman" w:hAnsi="Times New Roman"/>
        <w:sz w:val="18"/>
        <w:szCs w:val="18"/>
      </w:rPr>
    </w:pPr>
    <w:r w:rsidRPr="00523FB8">
      <w:rPr>
        <w:rFonts w:ascii="Times New Roman" w:hAnsi="Times New Roman"/>
        <w:sz w:val="18"/>
        <w:szCs w:val="18"/>
      </w:rPr>
      <w:t>NNGYK/ETGY/32718/2025</w:t>
    </w:r>
  </w:p>
  <w:p w14:paraId="52B8C0AA" w14:textId="400656C8" w:rsidR="002236B0" w:rsidRPr="00523FB8" w:rsidRDefault="0043055B" w:rsidP="009C562B">
    <w:pPr>
      <w:pStyle w:val="llb"/>
      <w:tabs>
        <w:tab w:val="clear" w:pos="567"/>
        <w:tab w:val="clear" w:pos="4536"/>
        <w:tab w:val="clear" w:pos="8306"/>
      </w:tabs>
      <w:spacing w:line="240" w:lineRule="auto"/>
      <w:rPr>
        <w:rFonts w:ascii="Times New Roman" w:hAnsi="Times New Roman"/>
        <w:sz w:val="18"/>
        <w:szCs w:val="18"/>
      </w:rPr>
    </w:pPr>
    <w:r w:rsidRPr="00523FB8">
      <w:rPr>
        <w:rFonts w:ascii="Times New Roman" w:hAnsi="Times New Roman"/>
        <w:sz w:val="18"/>
        <w:szCs w:val="18"/>
      </w:rPr>
      <w:t>NNGYK/ETGY/16782/2026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95FBB" w14:textId="77777777" w:rsidR="00782187" w:rsidRDefault="00782187">
      <w:r>
        <w:separator/>
      </w:r>
    </w:p>
  </w:footnote>
  <w:footnote w:type="continuationSeparator" w:id="0">
    <w:p w14:paraId="4A46052B" w14:textId="77777777" w:rsidR="00782187" w:rsidRDefault="00782187">
      <w:r>
        <w:continuationSeparator/>
      </w:r>
    </w:p>
  </w:footnote>
  <w:footnote w:type="continuationNotice" w:id="1">
    <w:p w14:paraId="09D424BA" w14:textId="77777777" w:rsidR="00782187" w:rsidRDefault="0078218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0874455"/>
      <w:docPartObj>
        <w:docPartGallery w:val="Page Numbers (Top of Page)"/>
        <w:docPartUnique/>
      </w:docPartObj>
    </w:sdtPr>
    <w:sdtEndPr>
      <w:rPr>
        <w:sz w:val="18"/>
        <w:szCs w:val="18"/>
      </w:rPr>
    </w:sdtEndPr>
    <w:sdtContent>
      <w:p w14:paraId="780D8958" w14:textId="5D24EC61" w:rsidR="0059798B" w:rsidRPr="00523FB8" w:rsidRDefault="00E645C2" w:rsidP="00523FB8">
        <w:pPr>
          <w:pStyle w:val="lfej"/>
          <w:spacing w:line="240" w:lineRule="auto"/>
          <w:jc w:val="center"/>
          <w:rPr>
            <w:rFonts w:ascii="Times New Roman" w:hAnsi="Times New Roman"/>
            <w:sz w:val="18"/>
            <w:szCs w:val="18"/>
          </w:rPr>
        </w:pPr>
        <w:r w:rsidRPr="0043055B">
          <w:rPr>
            <w:sz w:val="18"/>
            <w:szCs w:val="18"/>
          </w:rPr>
          <w:fldChar w:fldCharType="begin"/>
        </w:r>
        <w:r w:rsidRPr="0043055B">
          <w:rPr>
            <w:sz w:val="18"/>
            <w:szCs w:val="18"/>
          </w:rPr>
          <w:instrText>PAGE   \* MERGEFORMAT</w:instrText>
        </w:r>
        <w:r w:rsidRPr="0043055B">
          <w:rPr>
            <w:sz w:val="18"/>
            <w:szCs w:val="18"/>
          </w:rPr>
          <w:fldChar w:fldCharType="separate"/>
        </w:r>
        <w:r w:rsidR="005F6A70" w:rsidRPr="005F6A70">
          <w:rPr>
            <w:rFonts w:ascii="Times New Roman" w:hAnsi="Times New Roman"/>
            <w:noProof/>
            <w:sz w:val="18"/>
            <w:szCs w:val="18"/>
          </w:rPr>
          <w:t>13</w:t>
        </w:r>
        <w:r w:rsidRPr="0043055B">
          <w:rPr>
            <w:sz w:val="18"/>
            <w:szCs w:val="1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84D76" w14:textId="77777777" w:rsidR="0059798B" w:rsidRPr="0059798B" w:rsidRDefault="0059798B" w:rsidP="0059798B">
    <w:pPr>
      <w:pStyle w:val="lfej"/>
      <w:tabs>
        <w:tab w:val="clear" w:pos="567"/>
        <w:tab w:val="clear" w:pos="4153"/>
        <w:tab w:val="clear" w:pos="8306"/>
      </w:tabs>
      <w:spacing w:line="240" w:lineRule="auto"/>
      <w:rPr>
        <w:rFonts w:ascii="Times New Roman" w:hAnsi="Times New Roman"/>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402"/>
    <w:multiLevelType w:val="multilevel"/>
    <w:tmpl w:val="00000885"/>
    <w:lvl w:ilvl="0">
      <w:start w:val="1"/>
      <w:numFmt w:val="decimal"/>
      <w:lvlText w:val="%1."/>
      <w:lvlJc w:val="left"/>
      <w:pPr>
        <w:ind w:left="1116" w:hanging="254"/>
      </w:pPr>
      <w:rPr>
        <w:b/>
        <w:bCs/>
        <w:w w:val="103"/>
      </w:rPr>
    </w:lvl>
    <w:lvl w:ilvl="1">
      <w:numFmt w:val="bullet"/>
      <w:lvlText w:val="•"/>
      <w:lvlJc w:val="left"/>
      <w:pPr>
        <w:ind w:left="1076" w:hanging="117"/>
      </w:pPr>
      <w:rPr>
        <w:rFonts w:ascii="Arial" w:hAnsi="Arial" w:cs="Arial"/>
        <w:b w:val="0"/>
        <w:bCs w:val="0"/>
        <w:w w:val="102"/>
        <w:sz w:val="18"/>
        <w:szCs w:val="18"/>
      </w:rPr>
    </w:lvl>
    <w:lvl w:ilvl="2">
      <w:numFmt w:val="bullet"/>
      <w:lvlText w:val="•"/>
      <w:lvlJc w:val="left"/>
      <w:pPr>
        <w:ind w:left="1200" w:hanging="117"/>
      </w:pPr>
    </w:lvl>
    <w:lvl w:ilvl="3">
      <w:numFmt w:val="bullet"/>
      <w:lvlText w:val="•"/>
      <w:lvlJc w:val="left"/>
      <w:pPr>
        <w:ind w:left="1240" w:hanging="117"/>
      </w:pPr>
    </w:lvl>
    <w:lvl w:ilvl="4">
      <w:numFmt w:val="bullet"/>
      <w:lvlText w:val="•"/>
      <w:lvlJc w:val="left"/>
      <w:pPr>
        <w:ind w:left="2763" w:hanging="117"/>
      </w:pPr>
    </w:lvl>
    <w:lvl w:ilvl="5">
      <w:numFmt w:val="bullet"/>
      <w:lvlText w:val="•"/>
      <w:lvlJc w:val="left"/>
      <w:pPr>
        <w:ind w:left="4286" w:hanging="117"/>
      </w:pPr>
    </w:lvl>
    <w:lvl w:ilvl="6">
      <w:numFmt w:val="bullet"/>
      <w:lvlText w:val="•"/>
      <w:lvlJc w:val="left"/>
      <w:pPr>
        <w:ind w:left="5810" w:hanging="117"/>
      </w:pPr>
    </w:lvl>
    <w:lvl w:ilvl="7">
      <w:numFmt w:val="bullet"/>
      <w:lvlText w:val="•"/>
      <w:lvlJc w:val="left"/>
      <w:pPr>
        <w:ind w:left="7333" w:hanging="117"/>
      </w:pPr>
    </w:lvl>
    <w:lvl w:ilvl="8">
      <w:numFmt w:val="bullet"/>
      <w:lvlText w:val="•"/>
      <w:lvlJc w:val="left"/>
      <w:pPr>
        <w:ind w:left="8857" w:hanging="117"/>
      </w:pPr>
    </w:lvl>
  </w:abstractNum>
  <w:abstractNum w:abstractNumId="2" w15:restartNumberingAfterBreak="0">
    <w:nsid w:val="00000409"/>
    <w:multiLevelType w:val="multilevel"/>
    <w:tmpl w:val="0000088C"/>
    <w:lvl w:ilvl="0">
      <w:numFmt w:val="bullet"/>
      <w:lvlText w:val="•"/>
      <w:lvlJc w:val="left"/>
      <w:pPr>
        <w:ind w:left="54" w:hanging="117"/>
      </w:pPr>
      <w:rPr>
        <w:rFonts w:ascii="Arial" w:hAnsi="Arial" w:cs="Arial"/>
        <w:b w:val="0"/>
        <w:bCs w:val="0"/>
        <w:w w:val="102"/>
        <w:sz w:val="18"/>
        <w:szCs w:val="18"/>
      </w:rPr>
    </w:lvl>
    <w:lvl w:ilvl="1">
      <w:numFmt w:val="bullet"/>
      <w:lvlText w:val="•"/>
      <w:lvlJc w:val="left"/>
      <w:pPr>
        <w:ind w:left="1039" w:hanging="117"/>
      </w:pPr>
    </w:lvl>
    <w:lvl w:ilvl="2">
      <w:numFmt w:val="bullet"/>
      <w:lvlText w:val="•"/>
      <w:lvlJc w:val="left"/>
      <w:pPr>
        <w:ind w:left="2019" w:hanging="117"/>
      </w:pPr>
    </w:lvl>
    <w:lvl w:ilvl="3">
      <w:numFmt w:val="bullet"/>
      <w:lvlText w:val="•"/>
      <w:lvlJc w:val="left"/>
      <w:pPr>
        <w:ind w:left="2999" w:hanging="117"/>
      </w:pPr>
    </w:lvl>
    <w:lvl w:ilvl="4">
      <w:numFmt w:val="bullet"/>
      <w:lvlText w:val="•"/>
      <w:lvlJc w:val="left"/>
      <w:pPr>
        <w:ind w:left="3979" w:hanging="117"/>
      </w:pPr>
    </w:lvl>
    <w:lvl w:ilvl="5">
      <w:numFmt w:val="bullet"/>
      <w:lvlText w:val="•"/>
      <w:lvlJc w:val="left"/>
      <w:pPr>
        <w:ind w:left="4959" w:hanging="117"/>
      </w:pPr>
    </w:lvl>
    <w:lvl w:ilvl="6">
      <w:numFmt w:val="bullet"/>
      <w:lvlText w:val="•"/>
      <w:lvlJc w:val="left"/>
      <w:pPr>
        <w:ind w:left="5939" w:hanging="117"/>
      </w:pPr>
    </w:lvl>
    <w:lvl w:ilvl="7">
      <w:numFmt w:val="bullet"/>
      <w:lvlText w:val="•"/>
      <w:lvlJc w:val="left"/>
      <w:pPr>
        <w:ind w:left="6919" w:hanging="117"/>
      </w:pPr>
    </w:lvl>
    <w:lvl w:ilvl="8">
      <w:numFmt w:val="bullet"/>
      <w:lvlText w:val="•"/>
      <w:lvlJc w:val="left"/>
      <w:pPr>
        <w:ind w:left="7899" w:hanging="117"/>
      </w:pPr>
    </w:lvl>
  </w:abstractNum>
  <w:abstractNum w:abstractNumId="3" w15:restartNumberingAfterBreak="0">
    <w:nsid w:val="000900ED"/>
    <w:multiLevelType w:val="hybridMultilevel"/>
    <w:tmpl w:val="3D08C98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6855B06"/>
    <w:multiLevelType w:val="hybridMultilevel"/>
    <w:tmpl w:val="9522BA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9A063F8"/>
    <w:multiLevelType w:val="hybridMultilevel"/>
    <w:tmpl w:val="B4E8A5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09C44CC1"/>
    <w:multiLevelType w:val="hybridMultilevel"/>
    <w:tmpl w:val="7FF2C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D45493C"/>
    <w:multiLevelType w:val="hybridMultilevel"/>
    <w:tmpl w:val="8952AE64"/>
    <w:lvl w:ilvl="0" w:tplc="864E058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E8681A"/>
    <w:multiLevelType w:val="hybridMultilevel"/>
    <w:tmpl w:val="14D828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C6C0DD8"/>
    <w:multiLevelType w:val="hybridMultilevel"/>
    <w:tmpl w:val="B81E01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F6B7AFE"/>
    <w:multiLevelType w:val="hybridMultilevel"/>
    <w:tmpl w:val="50368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E135BD9"/>
    <w:multiLevelType w:val="hybridMultilevel"/>
    <w:tmpl w:val="DAD6C0E0"/>
    <w:lvl w:ilvl="0" w:tplc="42147094">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3481E0F"/>
    <w:multiLevelType w:val="hybridMultilevel"/>
    <w:tmpl w:val="C512D39E"/>
    <w:lvl w:ilvl="0" w:tplc="561E268A">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E7422D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8" w15:restartNumberingAfterBreak="0">
    <w:nsid w:val="45866962"/>
    <w:multiLevelType w:val="hybridMultilevel"/>
    <w:tmpl w:val="499C3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914BF5"/>
    <w:multiLevelType w:val="hybridMultilevel"/>
    <w:tmpl w:val="D2A492C6"/>
    <w:lvl w:ilvl="0" w:tplc="31001206">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58D40AD1"/>
    <w:multiLevelType w:val="hybridMultilevel"/>
    <w:tmpl w:val="7012DC7C"/>
    <w:lvl w:ilvl="0" w:tplc="8E04A9C6">
      <w:start w:val="1"/>
      <w:numFmt w:val="decimal"/>
      <w:lvlText w:val="%1."/>
      <w:lvlJc w:val="left"/>
      <w:pPr>
        <w:ind w:left="107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2D6557"/>
    <w:multiLevelType w:val="multilevel"/>
    <w:tmpl w:val="1E5AABE8"/>
    <w:lvl w:ilvl="0">
      <w:start w:val="1"/>
      <w:numFmt w:val="decimal"/>
      <w:lvlText w:val="%1."/>
      <w:lvlJc w:val="left"/>
      <w:pPr>
        <w:tabs>
          <w:tab w:val="num" w:pos="570"/>
        </w:tabs>
        <w:ind w:left="570" w:hanging="57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27" w15:restartNumberingAfterBreak="0">
    <w:nsid w:val="69E95A54"/>
    <w:multiLevelType w:val="hybridMultilevel"/>
    <w:tmpl w:val="3C18EFB0"/>
    <w:lvl w:ilvl="0" w:tplc="42147094">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0" w15:restartNumberingAfterBreak="0">
    <w:nsid w:val="6F9337D0"/>
    <w:multiLevelType w:val="hybridMultilevel"/>
    <w:tmpl w:val="B6C885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077BE3"/>
    <w:multiLevelType w:val="hybridMultilevel"/>
    <w:tmpl w:val="06CE5EBE"/>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AB50F1"/>
    <w:multiLevelType w:val="hybridMultilevel"/>
    <w:tmpl w:val="64CEA6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726D2E"/>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4"/>
  </w:num>
  <w:num w:numId="2">
    <w:abstractNumId w:val="25"/>
  </w:num>
  <w:num w:numId="3">
    <w:abstractNumId w:val="0"/>
    <w:lvlOverride w:ilvl="0">
      <w:lvl w:ilvl="0">
        <w:start w:val="1"/>
        <w:numFmt w:val="bullet"/>
        <w:lvlText w:val="-"/>
        <w:legacy w:legacy="1" w:legacySpace="0" w:legacyIndent="360"/>
        <w:lvlJc w:val="left"/>
        <w:pPr>
          <w:ind w:left="360" w:hanging="360"/>
        </w:pPr>
      </w:lvl>
    </w:lvlOverride>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26"/>
  </w:num>
  <w:num w:numId="6">
    <w:abstractNumId w:val="22"/>
  </w:num>
  <w:num w:numId="7">
    <w:abstractNumId w:val="14"/>
  </w:num>
  <w:num w:numId="8">
    <w:abstractNumId w:val="17"/>
  </w:num>
  <w:num w:numId="9">
    <w:abstractNumId w:val="32"/>
  </w:num>
  <w:num w:numId="10">
    <w:abstractNumId w:val="3"/>
  </w:num>
  <w:num w:numId="11">
    <w:abstractNumId w:val="28"/>
  </w:num>
  <w:num w:numId="12">
    <w:abstractNumId w:val="16"/>
  </w:num>
  <w:num w:numId="13">
    <w:abstractNumId w:val="12"/>
  </w:num>
  <w:num w:numId="14">
    <w:abstractNumId w:val="7"/>
  </w:num>
  <w:num w:numId="15">
    <w:abstractNumId w:val="0"/>
    <w:lvlOverride w:ilvl="0">
      <w:lvl w:ilvl="0">
        <w:start w:val="1"/>
        <w:numFmt w:val="bullet"/>
        <w:lvlText w:val="-"/>
        <w:legacy w:legacy="1" w:legacySpace="0" w:legacyIndent="360"/>
        <w:lvlJc w:val="left"/>
        <w:pPr>
          <w:ind w:left="360" w:hanging="360"/>
        </w:pPr>
      </w:lvl>
    </w:lvlOverride>
  </w:num>
  <w:num w:numId="16">
    <w:abstractNumId w:val="29"/>
  </w:num>
  <w:num w:numId="17">
    <w:abstractNumId w:val="20"/>
  </w:num>
  <w:num w:numId="18">
    <w:abstractNumId w:val="21"/>
  </w:num>
  <w:num w:numId="19">
    <w:abstractNumId w:val="33"/>
  </w:num>
  <w:num w:numId="20">
    <w:abstractNumId w:val="24"/>
  </w:num>
  <w:num w:numId="21">
    <w:abstractNumId w:val="30"/>
  </w:num>
  <w:num w:numId="22">
    <w:abstractNumId w:val="27"/>
  </w:num>
  <w:num w:numId="23">
    <w:abstractNumId w:val="13"/>
  </w:num>
  <w:num w:numId="24">
    <w:abstractNumId w:val="30"/>
  </w:num>
  <w:num w:numId="25">
    <w:abstractNumId w:val="7"/>
  </w:num>
  <w:num w:numId="26">
    <w:abstractNumId w:val="31"/>
  </w:num>
  <w:num w:numId="27">
    <w:abstractNumId w:val="11"/>
  </w:num>
  <w:num w:numId="28">
    <w:abstractNumId w:val="18"/>
  </w:num>
  <w:num w:numId="29">
    <w:abstractNumId w:val="23"/>
  </w:num>
  <w:num w:numId="30">
    <w:abstractNumId w:val="10"/>
  </w:num>
  <w:num w:numId="31">
    <w:abstractNumId w:val="5"/>
  </w:num>
  <w:num w:numId="32">
    <w:abstractNumId w:val="1"/>
  </w:num>
  <w:num w:numId="33">
    <w:abstractNumId w:val="2"/>
  </w:num>
  <w:num w:numId="34">
    <w:abstractNumId w:val="30"/>
  </w:num>
  <w:num w:numId="35">
    <w:abstractNumId w:val="6"/>
  </w:num>
  <w:num w:numId="36">
    <w:abstractNumId w:val="9"/>
  </w:num>
  <w:num w:numId="37">
    <w:abstractNumId w:val="8"/>
  </w:num>
  <w:num w:numId="38">
    <w:abstractNumId w:val="15"/>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6" w:nlCheck="1" w:checkStyle="1"/>
  <w:activeWritingStyle w:appName="MSWord" w:lang="de-DE" w:vendorID="64" w:dllVersion="6" w:nlCheck="1" w:checkStyle="0"/>
  <w:activeWritingStyle w:appName="MSWord" w:lang="de-AT"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activeWritingStyle w:appName="MSWord" w:lang="de-AT" w:vendorID="64" w:dllVersion="0" w:nlCheck="1" w:checkStyle="0"/>
  <w:activeWritingStyle w:appName="MSWord" w:lang="hu-HU" w:vendorID="64" w:dllVersion="0" w:nlCheck="1" w:checkStyle="0"/>
  <w:activeWritingStyle w:appName="MSWord" w:lang="pt-PT"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140"/>
    <w:rsid w:val="00001587"/>
    <w:rsid w:val="0000158C"/>
    <w:rsid w:val="00001B6D"/>
    <w:rsid w:val="0000362A"/>
    <w:rsid w:val="00003AEF"/>
    <w:rsid w:val="00004132"/>
    <w:rsid w:val="000047E2"/>
    <w:rsid w:val="00005701"/>
    <w:rsid w:val="00006670"/>
    <w:rsid w:val="00007528"/>
    <w:rsid w:val="00010231"/>
    <w:rsid w:val="000107E0"/>
    <w:rsid w:val="00010C82"/>
    <w:rsid w:val="0001164F"/>
    <w:rsid w:val="0001182A"/>
    <w:rsid w:val="000140A8"/>
    <w:rsid w:val="00014869"/>
    <w:rsid w:val="000148E4"/>
    <w:rsid w:val="000150CC"/>
    <w:rsid w:val="000150D3"/>
    <w:rsid w:val="00015EEC"/>
    <w:rsid w:val="000166C1"/>
    <w:rsid w:val="00016C1D"/>
    <w:rsid w:val="000178AA"/>
    <w:rsid w:val="0002006B"/>
    <w:rsid w:val="00020AE8"/>
    <w:rsid w:val="000212BB"/>
    <w:rsid w:val="00022693"/>
    <w:rsid w:val="00023A2C"/>
    <w:rsid w:val="00024768"/>
    <w:rsid w:val="000248B0"/>
    <w:rsid w:val="0002556D"/>
    <w:rsid w:val="00025EBE"/>
    <w:rsid w:val="00026BF2"/>
    <w:rsid w:val="000271F6"/>
    <w:rsid w:val="00027C08"/>
    <w:rsid w:val="00030445"/>
    <w:rsid w:val="000318C7"/>
    <w:rsid w:val="0003264B"/>
    <w:rsid w:val="0003271C"/>
    <w:rsid w:val="00032872"/>
    <w:rsid w:val="00032B7C"/>
    <w:rsid w:val="00033AE2"/>
    <w:rsid w:val="00033D26"/>
    <w:rsid w:val="00033FDB"/>
    <w:rsid w:val="000343AE"/>
    <w:rsid w:val="0003442D"/>
    <w:rsid w:val="000344F6"/>
    <w:rsid w:val="0003656E"/>
    <w:rsid w:val="00036CA5"/>
    <w:rsid w:val="00037336"/>
    <w:rsid w:val="000403EB"/>
    <w:rsid w:val="00042263"/>
    <w:rsid w:val="00042D26"/>
    <w:rsid w:val="00043505"/>
    <w:rsid w:val="00043C70"/>
    <w:rsid w:val="00043E88"/>
    <w:rsid w:val="00044042"/>
    <w:rsid w:val="00044665"/>
    <w:rsid w:val="00045DDB"/>
    <w:rsid w:val="00046809"/>
    <w:rsid w:val="000474D2"/>
    <w:rsid w:val="00047526"/>
    <w:rsid w:val="000479C5"/>
    <w:rsid w:val="00047CC1"/>
    <w:rsid w:val="0005062E"/>
    <w:rsid w:val="00050DFD"/>
    <w:rsid w:val="000516E6"/>
    <w:rsid w:val="00051894"/>
    <w:rsid w:val="000523D7"/>
    <w:rsid w:val="00053809"/>
    <w:rsid w:val="00053914"/>
    <w:rsid w:val="00054756"/>
    <w:rsid w:val="000556C8"/>
    <w:rsid w:val="000560C5"/>
    <w:rsid w:val="00056C49"/>
    <w:rsid w:val="00056FE0"/>
    <w:rsid w:val="00060090"/>
    <w:rsid w:val="000603C8"/>
    <w:rsid w:val="000608A4"/>
    <w:rsid w:val="00060AA1"/>
    <w:rsid w:val="00061FEE"/>
    <w:rsid w:val="000626C0"/>
    <w:rsid w:val="000631FD"/>
    <w:rsid w:val="000643D3"/>
    <w:rsid w:val="000654B9"/>
    <w:rsid w:val="00067B16"/>
    <w:rsid w:val="00067C10"/>
    <w:rsid w:val="000706AC"/>
    <w:rsid w:val="00071F8A"/>
    <w:rsid w:val="00073E04"/>
    <w:rsid w:val="0007401B"/>
    <w:rsid w:val="00074BC2"/>
    <w:rsid w:val="000755F8"/>
    <w:rsid w:val="000757B2"/>
    <w:rsid w:val="000758DE"/>
    <w:rsid w:val="0007622F"/>
    <w:rsid w:val="0007628D"/>
    <w:rsid w:val="00077D67"/>
    <w:rsid w:val="00080E63"/>
    <w:rsid w:val="00081DAB"/>
    <w:rsid w:val="00082608"/>
    <w:rsid w:val="00083D43"/>
    <w:rsid w:val="00087101"/>
    <w:rsid w:val="00092829"/>
    <w:rsid w:val="00092B09"/>
    <w:rsid w:val="0009351E"/>
    <w:rsid w:val="00093913"/>
    <w:rsid w:val="0009479A"/>
    <w:rsid w:val="00094AD6"/>
    <w:rsid w:val="00094D8A"/>
    <w:rsid w:val="00095375"/>
    <w:rsid w:val="00095D61"/>
    <w:rsid w:val="00095E44"/>
    <w:rsid w:val="00096228"/>
    <w:rsid w:val="00096683"/>
    <w:rsid w:val="000966A9"/>
    <w:rsid w:val="00096D8D"/>
    <w:rsid w:val="0009755A"/>
    <w:rsid w:val="000A033A"/>
    <w:rsid w:val="000A05D4"/>
    <w:rsid w:val="000A0D37"/>
    <w:rsid w:val="000A10C3"/>
    <w:rsid w:val="000A1232"/>
    <w:rsid w:val="000A1704"/>
    <w:rsid w:val="000A192D"/>
    <w:rsid w:val="000A30E5"/>
    <w:rsid w:val="000A31D6"/>
    <w:rsid w:val="000A40D0"/>
    <w:rsid w:val="000A4640"/>
    <w:rsid w:val="000A6C4C"/>
    <w:rsid w:val="000A7510"/>
    <w:rsid w:val="000A7928"/>
    <w:rsid w:val="000B0097"/>
    <w:rsid w:val="000B101F"/>
    <w:rsid w:val="000B1F4B"/>
    <w:rsid w:val="000B2F27"/>
    <w:rsid w:val="000B2F58"/>
    <w:rsid w:val="000B2FFF"/>
    <w:rsid w:val="000B37A8"/>
    <w:rsid w:val="000B48DE"/>
    <w:rsid w:val="000B51D9"/>
    <w:rsid w:val="000B53C2"/>
    <w:rsid w:val="000B58CF"/>
    <w:rsid w:val="000B596F"/>
    <w:rsid w:val="000B6227"/>
    <w:rsid w:val="000B7D64"/>
    <w:rsid w:val="000C03FB"/>
    <w:rsid w:val="000C232A"/>
    <w:rsid w:val="000C308F"/>
    <w:rsid w:val="000C3D99"/>
    <w:rsid w:val="000C4368"/>
    <w:rsid w:val="000C5A0C"/>
    <w:rsid w:val="000C5A4E"/>
    <w:rsid w:val="000C5E2A"/>
    <w:rsid w:val="000C635D"/>
    <w:rsid w:val="000C7F49"/>
    <w:rsid w:val="000D0045"/>
    <w:rsid w:val="000D0CEC"/>
    <w:rsid w:val="000D14A0"/>
    <w:rsid w:val="000D1574"/>
    <w:rsid w:val="000D1AEE"/>
    <w:rsid w:val="000D1F4F"/>
    <w:rsid w:val="000D44AC"/>
    <w:rsid w:val="000D4D07"/>
    <w:rsid w:val="000D6D49"/>
    <w:rsid w:val="000D7535"/>
    <w:rsid w:val="000D7712"/>
    <w:rsid w:val="000D7AD3"/>
    <w:rsid w:val="000E0EDD"/>
    <w:rsid w:val="000E165D"/>
    <w:rsid w:val="000E1BAF"/>
    <w:rsid w:val="000E223E"/>
    <w:rsid w:val="000E2491"/>
    <w:rsid w:val="000E2EA9"/>
    <w:rsid w:val="000E46A3"/>
    <w:rsid w:val="000E4E88"/>
    <w:rsid w:val="000E5726"/>
    <w:rsid w:val="000E5940"/>
    <w:rsid w:val="000E594D"/>
    <w:rsid w:val="000E6C94"/>
    <w:rsid w:val="000E7510"/>
    <w:rsid w:val="000F0C24"/>
    <w:rsid w:val="000F0CA8"/>
    <w:rsid w:val="000F1776"/>
    <w:rsid w:val="000F1BB2"/>
    <w:rsid w:val="000F217A"/>
    <w:rsid w:val="000F3F0A"/>
    <w:rsid w:val="000F3F94"/>
    <w:rsid w:val="000F5235"/>
    <w:rsid w:val="000F58DB"/>
    <w:rsid w:val="000F5B21"/>
    <w:rsid w:val="00100FE4"/>
    <w:rsid w:val="00101E11"/>
    <w:rsid w:val="0010287D"/>
    <w:rsid w:val="00103501"/>
    <w:rsid w:val="00103B2D"/>
    <w:rsid w:val="00103CD2"/>
    <w:rsid w:val="00104061"/>
    <w:rsid w:val="00104B84"/>
    <w:rsid w:val="00105111"/>
    <w:rsid w:val="00107186"/>
    <w:rsid w:val="00107236"/>
    <w:rsid w:val="001074B3"/>
    <w:rsid w:val="001101A2"/>
    <w:rsid w:val="001106F7"/>
    <w:rsid w:val="001108A9"/>
    <w:rsid w:val="0011104B"/>
    <w:rsid w:val="00112EDA"/>
    <w:rsid w:val="0011384C"/>
    <w:rsid w:val="001139FE"/>
    <w:rsid w:val="00114174"/>
    <w:rsid w:val="0011502A"/>
    <w:rsid w:val="00116A3F"/>
    <w:rsid w:val="00116DEC"/>
    <w:rsid w:val="00116F75"/>
    <w:rsid w:val="00117B4A"/>
    <w:rsid w:val="00117C1D"/>
    <w:rsid w:val="00117C9B"/>
    <w:rsid w:val="00120664"/>
    <w:rsid w:val="00122541"/>
    <w:rsid w:val="00123688"/>
    <w:rsid w:val="0012544F"/>
    <w:rsid w:val="00127A94"/>
    <w:rsid w:val="00127F47"/>
    <w:rsid w:val="00130074"/>
    <w:rsid w:val="00132979"/>
    <w:rsid w:val="0013343D"/>
    <w:rsid w:val="00133572"/>
    <w:rsid w:val="001336FC"/>
    <w:rsid w:val="00134E4A"/>
    <w:rsid w:val="001364FB"/>
    <w:rsid w:val="001365F2"/>
    <w:rsid w:val="0013664D"/>
    <w:rsid w:val="00136D7A"/>
    <w:rsid w:val="001374C5"/>
    <w:rsid w:val="001409FC"/>
    <w:rsid w:val="00140B32"/>
    <w:rsid w:val="00141029"/>
    <w:rsid w:val="00141389"/>
    <w:rsid w:val="00141470"/>
    <w:rsid w:val="00141540"/>
    <w:rsid w:val="00141FEE"/>
    <w:rsid w:val="001445E2"/>
    <w:rsid w:val="001449DF"/>
    <w:rsid w:val="0014569B"/>
    <w:rsid w:val="00146FB6"/>
    <w:rsid w:val="001470E0"/>
    <w:rsid w:val="00147259"/>
    <w:rsid w:val="00150060"/>
    <w:rsid w:val="00150F14"/>
    <w:rsid w:val="001510CF"/>
    <w:rsid w:val="001519B1"/>
    <w:rsid w:val="00154ACD"/>
    <w:rsid w:val="00154C69"/>
    <w:rsid w:val="00155B35"/>
    <w:rsid w:val="0015704C"/>
    <w:rsid w:val="00157895"/>
    <w:rsid w:val="0016019E"/>
    <w:rsid w:val="00161701"/>
    <w:rsid w:val="00161E87"/>
    <w:rsid w:val="00162D03"/>
    <w:rsid w:val="0016321E"/>
    <w:rsid w:val="00164FC8"/>
    <w:rsid w:val="00165079"/>
    <w:rsid w:val="0016566C"/>
    <w:rsid w:val="0017219E"/>
    <w:rsid w:val="001727F0"/>
    <w:rsid w:val="00172B06"/>
    <w:rsid w:val="00172C8A"/>
    <w:rsid w:val="0017347E"/>
    <w:rsid w:val="001752D8"/>
    <w:rsid w:val="00175931"/>
    <w:rsid w:val="00175A3D"/>
    <w:rsid w:val="00176B25"/>
    <w:rsid w:val="00176C80"/>
    <w:rsid w:val="0017733A"/>
    <w:rsid w:val="00177932"/>
    <w:rsid w:val="00181DE6"/>
    <w:rsid w:val="0018238B"/>
    <w:rsid w:val="00183389"/>
    <w:rsid w:val="00183419"/>
    <w:rsid w:val="0018394A"/>
    <w:rsid w:val="00184DCC"/>
    <w:rsid w:val="00185CB4"/>
    <w:rsid w:val="00186990"/>
    <w:rsid w:val="00186A9D"/>
    <w:rsid w:val="00186C33"/>
    <w:rsid w:val="00186D12"/>
    <w:rsid w:val="001874A6"/>
    <w:rsid w:val="0018765B"/>
    <w:rsid w:val="001877B6"/>
    <w:rsid w:val="00187A30"/>
    <w:rsid w:val="001904AE"/>
    <w:rsid w:val="00190913"/>
    <w:rsid w:val="00191012"/>
    <w:rsid w:val="0019236A"/>
    <w:rsid w:val="00192C1E"/>
    <w:rsid w:val="00192CBF"/>
    <w:rsid w:val="00193573"/>
    <w:rsid w:val="00193B21"/>
    <w:rsid w:val="00193C25"/>
    <w:rsid w:val="00193DD3"/>
    <w:rsid w:val="0019410B"/>
    <w:rsid w:val="001946A6"/>
    <w:rsid w:val="001948AA"/>
    <w:rsid w:val="0019565E"/>
    <w:rsid w:val="00195F65"/>
    <w:rsid w:val="0019696F"/>
    <w:rsid w:val="001A07E2"/>
    <w:rsid w:val="001A0A5D"/>
    <w:rsid w:val="001A192A"/>
    <w:rsid w:val="001A2018"/>
    <w:rsid w:val="001A3DB6"/>
    <w:rsid w:val="001A56F1"/>
    <w:rsid w:val="001A5D0E"/>
    <w:rsid w:val="001A6AFC"/>
    <w:rsid w:val="001A7874"/>
    <w:rsid w:val="001B01C8"/>
    <w:rsid w:val="001B0B52"/>
    <w:rsid w:val="001B0BC3"/>
    <w:rsid w:val="001B117E"/>
    <w:rsid w:val="001B13F6"/>
    <w:rsid w:val="001B1747"/>
    <w:rsid w:val="001B1DBF"/>
    <w:rsid w:val="001B2D44"/>
    <w:rsid w:val="001B4593"/>
    <w:rsid w:val="001B4D60"/>
    <w:rsid w:val="001B63DF"/>
    <w:rsid w:val="001B6C65"/>
    <w:rsid w:val="001B752A"/>
    <w:rsid w:val="001C12FB"/>
    <w:rsid w:val="001C2BEE"/>
    <w:rsid w:val="001C2DB4"/>
    <w:rsid w:val="001C3228"/>
    <w:rsid w:val="001C3495"/>
    <w:rsid w:val="001C35E9"/>
    <w:rsid w:val="001C36BD"/>
    <w:rsid w:val="001C3733"/>
    <w:rsid w:val="001C3B90"/>
    <w:rsid w:val="001C49B3"/>
    <w:rsid w:val="001C4B65"/>
    <w:rsid w:val="001C5206"/>
    <w:rsid w:val="001C58F2"/>
    <w:rsid w:val="001C5B30"/>
    <w:rsid w:val="001C70E0"/>
    <w:rsid w:val="001C7B54"/>
    <w:rsid w:val="001D2145"/>
    <w:rsid w:val="001D2953"/>
    <w:rsid w:val="001D3C05"/>
    <w:rsid w:val="001D4E50"/>
    <w:rsid w:val="001D6AF4"/>
    <w:rsid w:val="001D7735"/>
    <w:rsid w:val="001E05C1"/>
    <w:rsid w:val="001E0CA5"/>
    <w:rsid w:val="001E0CC1"/>
    <w:rsid w:val="001E1C10"/>
    <w:rsid w:val="001E3CC0"/>
    <w:rsid w:val="001E4BAE"/>
    <w:rsid w:val="001E77C3"/>
    <w:rsid w:val="001F090B"/>
    <w:rsid w:val="001F180A"/>
    <w:rsid w:val="001F1A28"/>
    <w:rsid w:val="001F1AD0"/>
    <w:rsid w:val="001F1D7D"/>
    <w:rsid w:val="001F1E97"/>
    <w:rsid w:val="001F2F22"/>
    <w:rsid w:val="001F35E8"/>
    <w:rsid w:val="001F3752"/>
    <w:rsid w:val="001F4014"/>
    <w:rsid w:val="001F445E"/>
    <w:rsid w:val="001F474A"/>
    <w:rsid w:val="001F6423"/>
    <w:rsid w:val="00201213"/>
    <w:rsid w:val="0020165E"/>
    <w:rsid w:val="0020272E"/>
    <w:rsid w:val="00202E50"/>
    <w:rsid w:val="00204AAB"/>
    <w:rsid w:val="00205180"/>
    <w:rsid w:val="002064CB"/>
    <w:rsid w:val="00206581"/>
    <w:rsid w:val="00207F81"/>
    <w:rsid w:val="002106E2"/>
    <w:rsid w:val="002109F4"/>
    <w:rsid w:val="0021192E"/>
    <w:rsid w:val="00211FDA"/>
    <w:rsid w:val="002127DF"/>
    <w:rsid w:val="00212DA6"/>
    <w:rsid w:val="0021359E"/>
    <w:rsid w:val="00213BB6"/>
    <w:rsid w:val="00214661"/>
    <w:rsid w:val="00215470"/>
    <w:rsid w:val="00215FDA"/>
    <w:rsid w:val="002160C2"/>
    <w:rsid w:val="00220455"/>
    <w:rsid w:val="00221659"/>
    <w:rsid w:val="00222BB9"/>
    <w:rsid w:val="00222D33"/>
    <w:rsid w:val="002236B0"/>
    <w:rsid w:val="00223749"/>
    <w:rsid w:val="002258D6"/>
    <w:rsid w:val="0022622D"/>
    <w:rsid w:val="002274FB"/>
    <w:rsid w:val="0022752E"/>
    <w:rsid w:val="00227732"/>
    <w:rsid w:val="002309D2"/>
    <w:rsid w:val="00230AF3"/>
    <w:rsid w:val="00231B61"/>
    <w:rsid w:val="0023315B"/>
    <w:rsid w:val="002347FE"/>
    <w:rsid w:val="002360D3"/>
    <w:rsid w:val="002363B0"/>
    <w:rsid w:val="00237D9E"/>
    <w:rsid w:val="0024178D"/>
    <w:rsid w:val="00242694"/>
    <w:rsid w:val="0024392B"/>
    <w:rsid w:val="00244252"/>
    <w:rsid w:val="002446AB"/>
    <w:rsid w:val="002450C6"/>
    <w:rsid w:val="00245DCF"/>
    <w:rsid w:val="0024631C"/>
    <w:rsid w:val="00246C65"/>
    <w:rsid w:val="00246EF4"/>
    <w:rsid w:val="0024721F"/>
    <w:rsid w:val="00247AB9"/>
    <w:rsid w:val="00250E12"/>
    <w:rsid w:val="00251559"/>
    <w:rsid w:val="00251A10"/>
    <w:rsid w:val="00251D24"/>
    <w:rsid w:val="002522FE"/>
    <w:rsid w:val="002527DA"/>
    <w:rsid w:val="00252BFF"/>
    <w:rsid w:val="00253732"/>
    <w:rsid w:val="002542A8"/>
    <w:rsid w:val="00254D4C"/>
    <w:rsid w:val="0025652D"/>
    <w:rsid w:val="00260A11"/>
    <w:rsid w:val="002613CC"/>
    <w:rsid w:val="0026169A"/>
    <w:rsid w:val="00261A0E"/>
    <w:rsid w:val="00262763"/>
    <w:rsid w:val="00263CCA"/>
    <w:rsid w:val="00264BEA"/>
    <w:rsid w:val="0026624A"/>
    <w:rsid w:val="002662B8"/>
    <w:rsid w:val="002667F0"/>
    <w:rsid w:val="0026700C"/>
    <w:rsid w:val="0026728E"/>
    <w:rsid w:val="002672A1"/>
    <w:rsid w:val="0026753C"/>
    <w:rsid w:val="00267850"/>
    <w:rsid w:val="00267B9D"/>
    <w:rsid w:val="00271032"/>
    <w:rsid w:val="00273E3E"/>
    <w:rsid w:val="00274147"/>
    <w:rsid w:val="00274199"/>
    <w:rsid w:val="002748D3"/>
    <w:rsid w:val="00274AE0"/>
    <w:rsid w:val="00275189"/>
    <w:rsid w:val="0027552F"/>
    <w:rsid w:val="002756DC"/>
    <w:rsid w:val="002757E6"/>
    <w:rsid w:val="0027586D"/>
    <w:rsid w:val="00275D8B"/>
    <w:rsid w:val="00276412"/>
    <w:rsid w:val="00276437"/>
    <w:rsid w:val="00276CAA"/>
    <w:rsid w:val="0027758F"/>
    <w:rsid w:val="00277D83"/>
    <w:rsid w:val="00280053"/>
    <w:rsid w:val="0028063F"/>
    <w:rsid w:val="00280740"/>
    <w:rsid w:val="00280F9E"/>
    <w:rsid w:val="00281BAD"/>
    <w:rsid w:val="00283B02"/>
    <w:rsid w:val="00283C5D"/>
    <w:rsid w:val="002844B0"/>
    <w:rsid w:val="00286322"/>
    <w:rsid w:val="00287EB6"/>
    <w:rsid w:val="00291597"/>
    <w:rsid w:val="002926F6"/>
    <w:rsid w:val="00292D0F"/>
    <w:rsid w:val="002939B7"/>
    <w:rsid w:val="002951AD"/>
    <w:rsid w:val="002958D4"/>
    <w:rsid w:val="00296B03"/>
    <w:rsid w:val="00296C1F"/>
    <w:rsid w:val="002A04C9"/>
    <w:rsid w:val="002A2669"/>
    <w:rsid w:val="002A373F"/>
    <w:rsid w:val="002A41E6"/>
    <w:rsid w:val="002A44C8"/>
    <w:rsid w:val="002A4A6C"/>
    <w:rsid w:val="002A4DAC"/>
    <w:rsid w:val="002A545A"/>
    <w:rsid w:val="002A5E48"/>
    <w:rsid w:val="002A6498"/>
    <w:rsid w:val="002B0059"/>
    <w:rsid w:val="002B0455"/>
    <w:rsid w:val="002B0F36"/>
    <w:rsid w:val="002B261C"/>
    <w:rsid w:val="002B2BEE"/>
    <w:rsid w:val="002B35C5"/>
    <w:rsid w:val="002B3935"/>
    <w:rsid w:val="002B406A"/>
    <w:rsid w:val="002B41D4"/>
    <w:rsid w:val="002B4BBA"/>
    <w:rsid w:val="002B53A8"/>
    <w:rsid w:val="002B543F"/>
    <w:rsid w:val="002B5AEE"/>
    <w:rsid w:val="002B6165"/>
    <w:rsid w:val="002B6872"/>
    <w:rsid w:val="002B7D73"/>
    <w:rsid w:val="002C06E3"/>
    <w:rsid w:val="002C0801"/>
    <w:rsid w:val="002C0ABE"/>
    <w:rsid w:val="002C1386"/>
    <w:rsid w:val="002C145F"/>
    <w:rsid w:val="002C3048"/>
    <w:rsid w:val="002C33B3"/>
    <w:rsid w:val="002C4484"/>
    <w:rsid w:val="002C44B0"/>
    <w:rsid w:val="002C4E07"/>
    <w:rsid w:val="002C5501"/>
    <w:rsid w:val="002C6644"/>
    <w:rsid w:val="002C6ACE"/>
    <w:rsid w:val="002C7D28"/>
    <w:rsid w:val="002D0586"/>
    <w:rsid w:val="002D1023"/>
    <w:rsid w:val="002D1459"/>
    <w:rsid w:val="002D1470"/>
    <w:rsid w:val="002D21CF"/>
    <w:rsid w:val="002D3B17"/>
    <w:rsid w:val="002D3DB7"/>
    <w:rsid w:val="002D4705"/>
    <w:rsid w:val="002D5B65"/>
    <w:rsid w:val="002D6396"/>
    <w:rsid w:val="002D6A33"/>
    <w:rsid w:val="002D6C60"/>
    <w:rsid w:val="002D706A"/>
    <w:rsid w:val="002D73A1"/>
    <w:rsid w:val="002D7E5E"/>
    <w:rsid w:val="002E07BA"/>
    <w:rsid w:val="002E07EF"/>
    <w:rsid w:val="002E0D06"/>
    <w:rsid w:val="002E0D2D"/>
    <w:rsid w:val="002E1810"/>
    <w:rsid w:val="002E373C"/>
    <w:rsid w:val="002E476F"/>
    <w:rsid w:val="002E4E94"/>
    <w:rsid w:val="002E5044"/>
    <w:rsid w:val="002E53E2"/>
    <w:rsid w:val="002E5958"/>
    <w:rsid w:val="002F1F28"/>
    <w:rsid w:val="002F43CA"/>
    <w:rsid w:val="002F57AA"/>
    <w:rsid w:val="002F6A26"/>
    <w:rsid w:val="002F6E16"/>
    <w:rsid w:val="002F6EF7"/>
    <w:rsid w:val="002F714C"/>
    <w:rsid w:val="002F77BF"/>
    <w:rsid w:val="003004A2"/>
    <w:rsid w:val="00300FF4"/>
    <w:rsid w:val="00301A62"/>
    <w:rsid w:val="003037BF"/>
    <w:rsid w:val="00303DD5"/>
    <w:rsid w:val="003042CF"/>
    <w:rsid w:val="00304F5A"/>
    <w:rsid w:val="0030572B"/>
    <w:rsid w:val="00306726"/>
    <w:rsid w:val="00307B74"/>
    <w:rsid w:val="0031019C"/>
    <w:rsid w:val="00310764"/>
    <w:rsid w:val="00310E35"/>
    <w:rsid w:val="00311BFD"/>
    <w:rsid w:val="00311EDB"/>
    <w:rsid w:val="00312F2D"/>
    <w:rsid w:val="00314718"/>
    <w:rsid w:val="0031488A"/>
    <w:rsid w:val="003175E1"/>
    <w:rsid w:val="00317D52"/>
    <w:rsid w:val="00320203"/>
    <w:rsid w:val="00322002"/>
    <w:rsid w:val="003247B0"/>
    <w:rsid w:val="00325E81"/>
    <w:rsid w:val="00326948"/>
    <w:rsid w:val="00326E36"/>
    <w:rsid w:val="00327052"/>
    <w:rsid w:val="00327056"/>
    <w:rsid w:val="00327517"/>
    <w:rsid w:val="00327728"/>
    <w:rsid w:val="003314A9"/>
    <w:rsid w:val="00333BDC"/>
    <w:rsid w:val="00333FA2"/>
    <w:rsid w:val="0033486D"/>
    <w:rsid w:val="00335228"/>
    <w:rsid w:val="00335299"/>
    <w:rsid w:val="003367C4"/>
    <w:rsid w:val="00336D8E"/>
    <w:rsid w:val="003376B3"/>
    <w:rsid w:val="00340368"/>
    <w:rsid w:val="00341642"/>
    <w:rsid w:val="00342DBA"/>
    <w:rsid w:val="00343AD8"/>
    <w:rsid w:val="003446F6"/>
    <w:rsid w:val="00345F9C"/>
    <w:rsid w:val="00347776"/>
    <w:rsid w:val="0035116D"/>
    <w:rsid w:val="00351A91"/>
    <w:rsid w:val="003520C4"/>
    <w:rsid w:val="003533AE"/>
    <w:rsid w:val="00354100"/>
    <w:rsid w:val="00354228"/>
    <w:rsid w:val="00354A6B"/>
    <w:rsid w:val="00354D70"/>
    <w:rsid w:val="003555A9"/>
    <w:rsid w:val="00355E14"/>
    <w:rsid w:val="00357C5E"/>
    <w:rsid w:val="003608BD"/>
    <w:rsid w:val="00361280"/>
    <w:rsid w:val="003615F1"/>
    <w:rsid w:val="00361A6E"/>
    <w:rsid w:val="00361B17"/>
    <w:rsid w:val="0036258D"/>
    <w:rsid w:val="003626AF"/>
    <w:rsid w:val="00362F81"/>
    <w:rsid w:val="0036309D"/>
    <w:rsid w:val="00363D7F"/>
    <w:rsid w:val="003647F8"/>
    <w:rsid w:val="00365DF4"/>
    <w:rsid w:val="0036655E"/>
    <w:rsid w:val="003673F5"/>
    <w:rsid w:val="003676F6"/>
    <w:rsid w:val="00367C66"/>
    <w:rsid w:val="003700B2"/>
    <w:rsid w:val="0037133B"/>
    <w:rsid w:val="0037233D"/>
    <w:rsid w:val="00373674"/>
    <w:rsid w:val="003736EF"/>
    <w:rsid w:val="003737E3"/>
    <w:rsid w:val="00376512"/>
    <w:rsid w:val="00377B41"/>
    <w:rsid w:val="00380A1A"/>
    <w:rsid w:val="00380D80"/>
    <w:rsid w:val="003816D7"/>
    <w:rsid w:val="0038291C"/>
    <w:rsid w:val="0038500E"/>
    <w:rsid w:val="0038709D"/>
    <w:rsid w:val="0038761D"/>
    <w:rsid w:val="003906F8"/>
    <w:rsid w:val="00390C78"/>
    <w:rsid w:val="00390DE2"/>
    <w:rsid w:val="00391506"/>
    <w:rsid w:val="003935EE"/>
    <w:rsid w:val="00393CCC"/>
    <w:rsid w:val="00393EE9"/>
    <w:rsid w:val="0039408A"/>
    <w:rsid w:val="003945F5"/>
    <w:rsid w:val="0039618B"/>
    <w:rsid w:val="00396494"/>
    <w:rsid w:val="0039673D"/>
    <w:rsid w:val="003975DA"/>
    <w:rsid w:val="00397893"/>
    <w:rsid w:val="003A166A"/>
    <w:rsid w:val="003A23AB"/>
    <w:rsid w:val="003A2407"/>
    <w:rsid w:val="003A2CF0"/>
    <w:rsid w:val="003A33D3"/>
    <w:rsid w:val="003A3880"/>
    <w:rsid w:val="003A4B52"/>
    <w:rsid w:val="003A586B"/>
    <w:rsid w:val="003A5BC5"/>
    <w:rsid w:val="003A5C7E"/>
    <w:rsid w:val="003A5D55"/>
    <w:rsid w:val="003A75E6"/>
    <w:rsid w:val="003A7A5D"/>
    <w:rsid w:val="003B17E9"/>
    <w:rsid w:val="003B255B"/>
    <w:rsid w:val="003B3317"/>
    <w:rsid w:val="003B3534"/>
    <w:rsid w:val="003B3B75"/>
    <w:rsid w:val="003B3C6C"/>
    <w:rsid w:val="003B4B2F"/>
    <w:rsid w:val="003B4C50"/>
    <w:rsid w:val="003B5091"/>
    <w:rsid w:val="003B52D4"/>
    <w:rsid w:val="003B71B7"/>
    <w:rsid w:val="003C052D"/>
    <w:rsid w:val="003C1CA5"/>
    <w:rsid w:val="003C1EC7"/>
    <w:rsid w:val="003C21FC"/>
    <w:rsid w:val="003C26F2"/>
    <w:rsid w:val="003C3D8E"/>
    <w:rsid w:val="003C4A20"/>
    <w:rsid w:val="003C4A92"/>
    <w:rsid w:val="003C5E61"/>
    <w:rsid w:val="003C64A0"/>
    <w:rsid w:val="003C6F0B"/>
    <w:rsid w:val="003C7BA3"/>
    <w:rsid w:val="003D04E6"/>
    <w:rsid w:val="003D050A"/>
    <w:rsid w:val="003D20A1"/>
    <w:rsid w:val="003D31EB"/>
    <w:rsid w:val="003D3642"/>
    <w:rsid w:val="003D483E"/>
    <w:rsid w:val="003D4E9C"/>
    <w:rsid w:val="003D4EB7"/>
    <w:rsid w:val="003D5640"/>
    <w:rsid w:val="003D5EE8"/>
    <w:rsid w:val="003D70E9"/>
    <w:rsid w:val="003D7A17"/>
    <w:rsid w:val="003D7CB9"/>
    <w:rsid w:val="003E0D78"/>
    <w:rsid w:val="003E19B6"/>
    <w:rsid w:val="003E1CB1"/>
    <w:rsid w:val="003E1F6D"/>
    <w:rsid w:val="003E3775"/>
    <w:rsid w:val="003E398F"/>
    <w:rsid w:val="003E3A1D"/>
    <w:rsid w:val="003E3BD5"/>
    <w:rsid w:val="003E4B3C"/>
    <w:rsid w:val="003E4E8B"/>
    <w:rsid w:val="003E6CA0"/>
    <w:rsid w:val="003F037B"/>
    <w:rsid w:val="003F0748"/>
    <w:rsid w:val="003F1257"/>
    <w:rsid w:val="003F1324"/>
    <w:rsid w:val="003F1F41"/>
    <w:rsid w:val="003F2FDE"/>
    <w:rsid w:val="003F330B"/>
    <w:rsid w:val="003F3B9F"/>
    <w:rsid w:val="003F4AF8"/>
    <w:rsid w:val="003F5B51"/>
    <w:rsid w:val="003F68E8"/>
    <w:rsid w:val="003F6FDF"/>
    <w:rsid w:val="00400ACC"/>
    <w:rsid w:val="004016F5"/>
    <w:rsid w:val="004020B9"/>
    <w:rsid w:val="004045AA"/>
    <w:rsid w:val="0040549A"/>
    <w:rsid w:val="00405B88"/>
    <w:rsid w:val="00405CC9"/>
    <w:rsid w:val="00406523"/>
    <w:rsid w:val="0040711E"/>
    <w:rsid w:val="00407AA0"/>
    <w:rsid w:val="00407D67"/>
    <w:rsid w:val="0041058B"/>
    <w:rsid w:val="00411644"/>
    <w:rsid w:val="00412450"/>
    <w:rsid w:val="00412EC7"/>
    <w:rsid w:val="004138DE"/>
    <w:rsid w:val="00413B39"/>
    <w:rsid w:val="00414B2F"/>
    <w:rsid w:val="00415AAC"/>
    <w:rsid w:val="00415E58"/>
    <w:rsid w:val="00416231"/>
    <w:rsid w:val="0041697A"/>
    <w:rsid w:val="00416E7E"/>
    <w:rsid w:val="00417A5B"/>
    <w:rsid w:val="004208AB"/>
    <w:rsid w:val="004209FE"/>
    <w:rsid w:val="00421467"/>
    <w:rsid w:val="004219EF"/>
    <w:rsid w:val="00421A72"/>
    <w:rsid w:val="00424348"/>
    <w:rsid w:val="0042503E"/>
    <w:rsid w:val="00426CD9"/>
    <w:rsid w:val="00427565"/>
    <w:rsid w:val="0043055B"/>
    <w:rsid w:val="00430FEB"/>
    <w:rsid w:val="004310EE"/>
    <w:rsid w:val="00431515"/>
    <w:rsid w:val="004318FA"/>
    <w:rsid w:val="00433677"/>
    <w:rsid w:val="004340D5"/>
    <w:rsid w:val="00434880"/>
    <w:rsid w:val="00434A21"/>
    <w:rsid w:val="00434A43"/>
    <w:rsid w:val="00434D40"/>
    <w:rsid w:val="004351EC"/>
    <w:rsid w:val="0043526D"/>
    <w:rsid w:val="004365BD"/>
    <w:rsid w:val="00437E96"/>
    <w:rsid w:val="00440080"/>
    <w:rsid w:val="0044153E"/>
    <w:rsid w:val="004418E0"/>
    <w:rsid w:val="00441CC8"/>
    <w:rsid w:val="004433D2"/>
    <w:rsid w:val="00443733"/>
    <w:rsid w:val="0044408A"/>
    <w:rsid w:val="004460E9"/>
    <w:rsid w:val="00447B6F"/>
    <w:rsid w:val="0045083A"/>
    <w:rsid w:val="00450B0E"/>
    <w:rsid w:val="00453623"/>
    <w:rsid w:val="00453C11"/>
    <w:rsid w:val="0045444F"/>
    <w:rsid w:val="00454AB8"/>
    <w:rsid w:val="00454BF8"/>
    <w:rsid w:val="004557B0"/>
    <w:rsid w:val="00457946"/>
    <w:rsid w:val="00457948"/>
    <w:rsid w:val="00457D8B"/>
    <w:rsid w:val="00460A17"/>
    <w:rsid w:val="0046120A"/>
    <w:rsid w:val="00461A42"/>
    <w:rsid w:val="00461C14"/>
    <w:rsid w:val="00462F79"/>
    <w:rsid w:val="00463438"/>
    <w:rsid w:val="00463ECE"/>
    <w:rsid w:val="00465388"/>
    <w:rsid w:val="004656E5"/>
    <w:rsid w:val="004677C9"/>
    <w:rsid w:val="00470CB5"/>
    <w:rsid w:val="00471EAB"/>
    <w:rsid w:val="004723EE"/>
    <w:rsid w:val="004757B2"/>
    <w:rsid w:val="00475A92"/>
    <w:rsid w:val="004760A3"/>
    <w:rsid w:val="0047663B"/>
    <w:rsid w:val="00477BB9"/>
    <w:rsid w:val="0048015F"/>
    <w:rsid w:val="004834BF"/>
    <w:rsid w:val="0048376F"/>
    <w:rsid w:val="00485350"/>
    <w:rsid w:val="0048568C"/>
    <w:rsid w:val="004859EE"/>
    <w:rsid w:val="00485ACD"/>
    <w:rsid w:val="00487366"/>
    <w:rsid w:val="004873E4"/>
    <w:rsid w:val="0049064E"/>
    <w:rsid w:val="0049072C"/>
    <w:rsid w:val="00490FD1"/>
    <w:rsid w:val="00491AD2"/>
    <w:rsid w:val="00492D7D"/>
    <w:rsid w:val="004935C0"/>
    <w:rsid w:val="004936C8"/>
    <w:rsid w:val="00493B43"/>
    <w:rsid w:val="00494EB1"/>
    <w:rsid w:val="004956AD"/>
    <w:rsid w:val="00496414"/>
    <w:rsid w:val="00496FD7"/>
    <w:rsid w:val="00497A38"/>
    <w:rsid w:val="00497F82"/>
    <w:rsid w:val="004A027E"/>
    <w:rsid w:val="004A19C0"/>
    <w:rsid w:val="004A273F"/>
    <w:rsid w:val="004A2D48"/>
    <w:rsid w:val="004A45BD"/>
    <w:rsid w:val="004A4656"/>
    <w:rsid w:val="004A4E36"/>
    <w:rsid w:val="004A77B0"/>
    <w:rsid w:val="004B08A9"/>
    <w:rsid w:val="004B1CED"/>
    <w:rsid w:val="004B2387"/>
    <w:rsid w:val="004B34A7"/>
    <w:rsid w:val="004B3B06"/>
    <w:rsid w:val="004B3ED5"/>
    <w:rsid w:val="004B4643"/>
    <w:rsid w:val="004B508F"/>
    <w:rsid w:val="004B63BE"/>
    <w:rsid w:val="004B7F67"/>
    <w:rsid w:val="004C06BE"/>
    <w:rsid w:val="004C0938"/>
    <w:rsid w:val="004C0CE6"/>
    <w:rsid w:val="004C12AC"/>
    <w:rsid w:val="004C16A8"/>
    <w:rsid w:val="004C1994"/>
    <w:rsid w:val="004C35B7"/>
    <w:rsid w:val="004C58DC"/>
    <w:rsid w:val="004C6505"/>
    <w:rsid w:val="004C70FC"/>
    <w:rsid w:val="004C7275"/>
    <w:rsid w:val="004C7DF9"/>
    <w:rsid w:val="004D022C"/>
    <w:rsid w:val="004D2675"/>
    <w:rsid w:val="004D2716"/>
    <w:rsid w:val="004D4080"/>
    <w:rsid w:val="004E05FD"/>
    <w:rsid w:val="004E086D"/>
    <w:rsid w:val="004E16A1"/>
    <w:rsid w:val="004E1A0D"/>
    <w:rsid w:val="004E1ECF"/>
    <w:rsid w:val="004E23F5"/>
    <w:rsid w:val="004E5418"/>
    <w:rsid w:val="004E63E5"/>
    <w:rsid w:val="004E6A47"/>
    <w:rsid w:val="004E6B76"/>
    <w:rsid w:val="004F1437"/>
    <w:rsid w:val="004F14D3"/>
    <w:rsid w:val="004F18A1"/>
    <w:rsid w:val="004F3540"/>
    <w:rsid w:val="004F52DB"/>
    <w:rsid w:val="004F5624"/>
    <w:rsid w:val="004F5DA4"/>
    <w:rsid w:val="004F62B2"/>
    <w:rsid w:val="004F6424"/>
    <w:rsid w:val="005040CD"/>
    <w:rsid w:val="00504229"/>
    <w:rsid w:val="00505229"/>
    <w:rsid w:val="00505F24"/>
    <w:rsid w:val="00507F98"/>
    <w:rsid w:val="005108A3"/>
    <w:rsid w:val="00510DB5"/>
    <w:rsid w:val="00510F6E"/>
    <w:rsid w:val="00511422"/>
    <w:rsid w:val="005116C0"/>
    <w:rsid w:val="00511793"/>
    <w:rsid w:val="005118AE"/>
    <w:rsid w:val="00511A30"/>
    <w:rsid w:val="0051212F"/>
    <w:rsid w:val="005148B1"/>
    <w:rsid w:val="0051587A"/>
    <w:rsid w:val="005158FA"/>
    <w:rsid w:val="00516864"/>
    <w:rsid w:val="005169AD"/>
    <w:rsid w:val="005208B9"/>
    <w:rsid w:val="0052215B"/>
    <w:rsid w:val="005221F0"/>
    <w:rsid w:val="00523FB8"/>
    <w:rsid w:val="00524807"/>
    <w:rsid w:val="005252FE"/>
    <w:rsid w:val="005257A1"/>
    <w:rsid w:val="00525932"/>
    <w:rsid w:val="00525FF9"/>
    <w:rsid w:val="00531CD3"/>
    <w:rsid w:val="00532233"/>
    <w:rsid w:val="00532C41"/>
    <w:rsid w:val="00532D3F"/>
    <w:rsid w:val="0053386D"/>
    <w:rsid w:val="0053457C"/>
    <w:rsid w:val="00534700"/>
    <w:rsid w:val="005371D6"/>
    <w:rsid w:val="0053791F"/>
    <w:rsid w:val="0054097D"/>
    <w:rsid w:val="005417B8"/>
    <w:rsid w:val="00541C33"/>
    <w:rsid w:val="00542A03"/>
    <w:rsid w:val="00542C8D"/>
    <w:rsid w:val="00544597"/>
    <w:rsid w:val="0054565F"/>
    <w:rsid w:val="00546622"/>
    <w:rsid w:val="00546991"/>
    <w:rsid w:val="00547255"/>
    <w:rsid w:val="00547538"/>
    <w:rsid w:val="00553BFA"/>
    <w:rsid w:val="0055446A"/>
    <w:rsid w:val="00554D05"/>
    <w:rsid w:val="005553A1"/>
    <w:rsid w:val="0055596B"/>
    <w:rsid w:val="005574AA"/>
    <w:rsid w:val="0056077E"/>
    <w:rsid w:val="00560EDA"/>
    <w:rsid w:val="00561C40"/>
    <w:rsid w:val="005629EE"/>
    <w:rsid w:val="005640C8"/>
    <w:rsid w:val="005648FA"/>
    <w:rsid w:val="00564D50"/>
    <w:rsid w:val="00566298"/>
    <w:rsid w:val="00567346"/>
    <w:rsid w:val="005702A1"/>
    <w:rsid w:val="005705C0"/>
    <w:rsid w:val="00571271"/>
    <w:rsid w:val="0057371B"/>
    <w:rsid w:val="00574F62"/>
    <w:rsid w:val="00575EB8"/>
    <w:rsid w:val="0057613A"/>
    <w:rsid w:val="00580B0E"/>
    <w:rsid w:val="00581626"/>
    <w:rsid w:val="00582A9B"/>
    <w:rsid w:val="005832AB"/>
    <w:rsid w:val="0058437C"/>
    <w:rsid w:val="005903BE"/>
    <w:rsid w:val="0059259B"/>
    <w:rsid w:val="00593313"/>
    <w:rsid w:val="005935F4"/>
    <w:rsid w:val="00593E0A"/>
    <w:rsid w:val="0059541B"/>
    <w:rsid w:val="00596F2F"/>
    <w:rsid w:val="00597420"/>
    <w:rsid w:val="005975A4"/>
    <w:rsid w:val="0059765E"/>
    <w:rsid w:val="0059798B"/>
    <w:rsid w:val="005A0231"/>
    <w:rsid w:val="005A167F"/>
    <w:rsid w:val="005A3232"/>
    <w:rsid w:val="005A346E"/>
    <w:rsid w:val="005A4135"/>
    <w:rsid w:val="005A484B"/>
    <w:rsid w:val="005A73CF"/>
    <w:rsid w:val="005A7923"/>
    <w:rsid w:val="005A7E43"/>
    <w:rsid w:val="005B02AA"/>
    <w:rsid w:val="005B056D"/>
    <w:rsid w:val="005B06C2"/>
    <w:rsid w:val="005B0712"/>
    <w:rsid w:val="005B08E5"/>
    <w:rsid w:val="005B129F"/>
    <w:rsid w:val="005B17E6"/>
    <w:rsid w:val="005B19F4"/>
    <w:rsid w:val="005B2560"/>
    <w:rsid w:val="005B2B14"/>
    <w:rsid w:val="005B388E"/>
    <w:rsid w:val="005B3EB1"/>
    <w:rsid w:val="005B3F6F"/>
    <w:rsid w:val="005B798B"/>
    <w:rsid w:val="005B7FC9"/>
    <w:rsid w:val="005C1FAE"/>
    <w:rsid w:val="005C39E8"/>
    <w:rsid w:val="005C3DD7"/>
    <w:rsid w:val="005C4471"/>
    <w:rsid w:val="005C477D"/>
    <w:rsid w:val="005C5660"/>
    <w:rsid w:val="005C60DF"/>
    <w:rsid w:val="005C68E2"/>
    <w:rsid w:val="005C71E4"/>
    <w:rsid w:val="005C72E3"/>
    <w:rsid w:val="005C7AB0"/>
    <w:rsid w:val="005D11B2"/>
    <w:rsid w:val="005D1BF6"/>
    <w:rsid w:val="005D328E"/>
    <w:rsid w:val="005D427B"/>
    <w:rsid w:val="005D4B68"/>
    <w:rsid w:val="005D6CB7"/>
    <w:rsid w:val="005D71F7"/>
    <w:rsid w:val="005E01D3"/>
    <w:rsid w:val="005E11C1"/>
    <w:rsid w:val="005E21DA"/>
    <w:rsid w:val="005E2563"/>
    <w:rsid w:val="005E28A3"/>
    <w:rsid w:val="005E394C"/>
    <w:rsid w:val="005E42BF"/>
    <w:rsid w:val="005E4D4B"/>
    <w:rsid w:val="005E4E70"/>
    <w:rsid w:val="005E65BB"/>
    <w:rsid w:val="005F0DA0"/>
    <w:rsid w:val="005F0DB0"/>
    <w:rsid w:val="005F2767"/>
    <w:rsid w:val="005F4790"/>
    <w:rsid w:val="005F4914"/>
    <w:rsid w:val="005F491D"/>
    <w:rsid w:val="005F5467"/>
    <w:rsid w:val="005F5F08"/>
    <w:rsid w:val="005F62B7"/>
    <w:rsid w:val="005F67FC"/>
    <w:rsid w:val="005F6869"/>
    <w:rsid w:val="005F6A70"/>
    <w:rsid w:val="005F6BB9"/>
    <w:rsid w:val="005F7F54"/>
    <w:rsid w:val="006018CE"/>
    <w:rsid w:val="006019D0"/>
    <w:rsid w:val="006030B5"/>
    <w:rsid w:val="00603148"/>
    <w:rsid w:val="00603B7E"/>
    <w:rsid w:val="00604A26"/>
    <w:rsid w:val="00605109"/>
    <w:rsid w:val="0060657A"/>
    <w:rsid w:val="00606FC7"/>
    <w:rsid w:val="00610456"/>
    <w:rsid w:val="00611473"/>
    <w:rsid w:val="00611B36"/>
    <w:rsid w:val="00611FE2"/>
    <w:rsid w:val="00612F63"/>
    <w:rsid w:val="006138B2"/>
    <w:rsid w:val="00613A34"/>
    <w:rsid w:val="00615ADA"/>
    <w:rsid w:val="00616ADB"/>
    <w:rsid w:val="0062083F"/>
    <w:rsid w:val="00620DF7"/>
    <w:rsid w:val="006221CD"/>
    <w:rsid w:val="00622220"/>
    <w:rsid w:val="00623628"/>
    <w:rsid w:val="0062427A"/>
    <w:rsid w:val="006242CA"/>
    <w:rsid w:val="00624620"/>
    <w:rsid w:val="00624BFE"/>
    <w:rsid w:val="006257BF"/>
    <w:rsid w:val="006266A9"/>
    <w:rsid w:val="00630411"/>
    <w:rsid w:val="00630426"/>
    <w:rsid w:val="006316C1"/>
    <w:rsid w:val="00631ED4"/>
    <w:rsid w:val="00633BC7"/>
    <w:rsid w:val="00633F66"/>
    <w:rsid w:val="00635AC7"/>
    <w:rsid w:val="00635E9C"/>
    <w:rsid w:val="0063753F"/>
    <w:rsid w:val="00637B41"/>
    <w:rsid w:val="006414EE"/>
    <w:rsid w:val="00641B50"/>
    <w:rsid w:val="00642524"/>
    <w:rsid w:val="00642D0A"/>
    <w:rsid w:val="006448CB"/>
    <w:rsid w:val="00644D52"/>
    <w:rsid w:val="0064630E"/>
    <w:rsid w:val="00646FE1"/>
    <w:rsid w:val="00647075"/>
    <w:rsid w:val="006526A0"/>
    <w:rsid w:val="0065463E"/>
    <w:rsid w:val="0065581D"/>
    <w:rsid w:val="00655C2F"/>
    <w:rsid w:val="00655DBF"/>
    <w:rsid w:val="0065717E"/>
    <w:rsid w:val="00660403"/>
    <w:rsid w:val="00661140"/>
    <w:rsid w:val="00663028"/>
    <w:rsid w:val="0066669B"/>
    <w:rsid w:val="00666B2A"/>
    <w:rsid w:val="00667130"/>
    <w:rsid w:val="006671A7"/>
    <w:rsid w:val="006710DD"/>
    <w:rsid w:val="00671FC9"/>
    <w:rsid w:val="00672B2B"/>
    <w:rsid w:val="00673200"/>
    <w:rsid w:val="00674B84"/>
    <w:rsid w:val="0067501E"/>
    <w:rsid w:val="006773D2"/>
    <w:rsid w:val="00677EF9"/>
    <w:rsid w:val="00680581"/>
    <w:rsid w:val="00680A56"/>
    <w:rsid w:val="006810DF"/>
    <w:rsid w:val="00681A41"/>
    <w:rsid w:val="006821B2"/>
    <w:rsid w:val="006824A1"/>
    <w:rsid w:val="00683402"/>
    <w:rsid w:val="006838C0"/>
    <w:rsid w:val="006838E1"/>
    <w:rsid w:val="00685856"/>
    <w:rsid w:val="00685901"/>
    <w:rsid w:val="00685BB9"/>
    <w:rsid w:val="00686100"/>
    <w:rsid w:val="006877F7"/>
    <w:rsid w:val="00687E06"/>
    <w:rsid w:val="00690127"/>
    <w:rsid w:val="00691BFF"/>
    <w:rsid w:val="006938E1"/>
    <w:rsid w:val="006940B7"/>
    <w:rsid w:val="00694A67"/>
    <w:rsid w:val="006953C1"/>
    <w:rsid w:val="00696124"/>
    <w:rsid w:val="00696232"/>
    <w:rsid w:val="00696EB2"/>
    <w:rsid w:val="0069741A"/>
    <w:rsid w:val="006A0728"/>
    <w:rsid w:val="006A0DEA"/>
    <w:rsid w:val="006A0E3D"/>
    <w:rsid w:val="006A0E45"/>
    <w:rsid w:val="006A12F9"/>
    <w:rsid w:val="006A16E9"/>
    <w:rsid w:val="006A1C37"/>
    <w:rsid w:val="006A4E7C"/>
    <w:rsid w:val="006A5450"/>
    <w:rsid w:val="006A6874"/>
    <w:rsid w:val="006A7731"/>
    <w:rsid w:val="006A7E51"/>
    <w:rsid w:val="006B0199"/>
    <w:rsid w:val="006B0A32"/>
    <w:rsid w:val="006B0BD8"/>
    <w:rsid w:val="006B4557"/>
    <w:rsid w:val="006B59F1"/>
    <w:rsid w:val="006B62DB"/>
    <w:rsid w:val="006B66F5"/>
    <w:rsid w:val="006B7771"/>
    <w:rsid w:val="006B7E86"/>
    <w:rsid w:val="006C0251"/>
    <w:rsid w:val="006C0320"/>
    <w:rsid w:val="006C1397"/>
    <w:rsid w:val="006C2B9A"/>
    <w:rsid w:val="006C3558"/>
    <w:rsid w:val="006C39BB"/>
    <w:rsid w:val="006C4502"/>
    <w:rsid w:val="006C4D4C"/>
    <w:rsid w:val="006C6114"/>
    <w:rsid w:val="006C7A35"/>
    <w:rsid w:val="006D061B"/>
    <w:rsid w:val="006D2288"/>
    <w:rsid w:val="006D39CB"/>
    <w:rsid w:val="006D434C"/>
    <w:rsid w:val="006D4464"/>
    <w:rsid w:val="006D523B"/>
    <w:rsid w:val="006D5BF1"/>
    <w:rsid w:val="006D5E91"/>
    <w:rsid w:val="006D6301"/>
    <w:rsid w:val="006D6C09"/>
    <w:rsid w:val="006D7E87"/>
    <w:rsid w:val="006E0895"/>
    <w:rsid w:val="006E14E6"/>
    <w:rsid w:val="006E14FD"/>
    <w:rsid w:val="006E18FF"/>
    <w:rsid w:val="006E1AEE"/>
    <w:rsid w:val="006E1EB0"/>
    <w:rsid w:val="006E21FD"/>
    <w:rsid w:val="006E2D7B"/>
    <w:rsid w:val="006E2F52"/>
    <w:rsid w:val="006E32A9"/>
    <w:rsid w:val="006E3B9C"/>
    <w:rsid w:val="006E472C"/>
    <w:rsid w:val="006E51A2"/>
    <w:rsid w:val="006E6CAA"/>
    <w:rsid w:val="006E71DB"/>
    <w:rsid w:val="006E7505"/>
    <w:rsid w:val="006F062D"/>
    <w:rsid w:val="006F0DE2"/>
    <w:rsid w:val="006F0FD8"/>
    <w:rsid w:val="006F11BD"/>
    <w:rsid w:val="006F1BE1"/>
    <w:rsid w:val="006F1C2C"/>
    <w:rsid w:val="006F1F13"/>
    <w:rsid w:val="006F25B4"/>
    <w:rsid w:val="006F29C8"/>
    <w:rsid w:val="006F32C7"/>
    <w:rsid w:val="006F3392"/>
    <w:rsid w:val="006F3495"/>
    <w:rsid w:val="006F3669"/>
    <w:rsid w:val="006F417D"/>
    <w:rsid w:val="006F56F1"/>
    <w:rsid w:val="006F5C83"/>
    <w:rsid w:val="006F6711"/>
    <w:rsid w:val="006F67C1"/>
    <w:rsid w:val="006F67CC"/>
    <w:rsid w:val="006F6B89"/>
    <w:rsid w:val="006F7149"/>
    <w:rsid w:val="006F76AA"/>
    <w:rsid w:val="00701C2D"/>
    <w:rsid w:val="00702162"/>
    <w:rsid w:val="00703930"/>
    <w:rsid w:val="00703CC3"/>
    <w:rsid w:val="0070433B"/>
    <w:rsid w:val="007051BA"/>
    <w:rsid w:val="00705253"/>
    <w:rsid w:val="0070536C"/>
    <w:rsid w:val="00705B29"/>
    <w:rsid w:val="0070610E"/>
    <w:rsid w:val="007066F3"/>
    <w:rsid w:val="00706CE3"/>
    <w:rsid w:val="007075C2"/>
    <w:rsid w:val="00707759"/>
    <w:rsid w:val="00710081"/>
    <w:rsid w:val="0071080C"/>
    <w:rsid w:val="00710B0D"/>
    <w:rsid w:val="00713CB5"/>
    <w:rsid w:val="00714B9D"/>
    <w:rsid w:val="00714E3F"/>
    <w:rsid w:val="0071558B"/>
    <w:rsid w:val="00715EA7"/>
    <w:rsid w:val="007169A9"/>
    <w:rsid w:val="0071776A"/>
    <w:rsid w:val="00721189"/>
    <w:rsid w:val="007221C3"/>
    <w:rsid w:val="007227E4"/>
    <w:rsid w:val="00722F2C"/>
    <w:rsid w:val="007254D1"/>
    <w:rsid w:val="007257BA"/>
    <w:rsid w:val="00725B32"/>
    <w:rsid w:val="00725B3C"/>
    <w:rsid w:val="00725DAF"/>
    <w:rsid w:val="007274D3"/>
    <w:rsid w:val="00730985"/>
    <w:rsid w:val="007312AA"/>
    <w:rsid w:val="00733D54"/>
    <w:rsid w:val="00734CEE"/>
    <w:rsid w:val="00736A4F"/>
    <w:rsid w:val="00737701"/>
    <w:rsid w:val="00737753"/>
    <w:rsid w:val="00737768"/>
    <w:rsid w:val="00737A1D"/>
    <w:rsid w:val="00737ED0"/>
    <w:rsid w:val="00737FFA"/>
    <w:rsid w:val="00740BB8"/>
    <w:rsid w:val="00740CE9"/>
    <w:rsid w:val="007428E3"/>
    <w:rsid w:val="0074394E"/>
    <w:rsid w:val="0074422D"/>
    <w:rsid w:val="00746968"/>
    <w:rsid w:val="00747AB1"/>
    <w:rsid w:val="00750D0A"/>
    <w:rsid w:val="00751D93"/>
    <w:rsid w:val="00752300"/>
    <w:rsid w:val="00752385"/>
    <w:rsid w:val="00752569"/>
    <w:rsid w:val="00753BF5"/>
    <w:rsid w:val="007546F8"/>
    <w:rsid w:val="0075579B"/>
    <w:rsid w:val="00755BAB"/>
    <w:rsid w:val="00756026"/>
    <w:rsid w:val="00756DB5"/>
    <w:rsid w:val="00757CCD"/>
    <w:rsid w:val="007603A2"/>
    <w:rsid w:val="00760477"/>
    <w:rsid w:val="0076080E"/>
    <w:rsid w:val="00761980"/>
    <w:rsid w:val="00762963"/>
    <w:rsid w:val="007629B9"/>
    <w:rsid w:val="00762B46"/>
    <w:rsid w:val="0076411D"/>
    <w:rsid w:val="0076448D"/>
    <w:rsid w:val="00764E4D"/>
    <w:rsid w:val="0076602C"/>
    <w:rsid w:val="007670F8"/>
    <w:rsid w:val="007671D4"/>
    <w:rsid w:val="0077046A"/>
    <w:rsid w:val="00770A85"/>
    <w:rsid w:val="00770FAF"/>
    <w:rsid w:val="00771089"/>
    <w:rsid w:val="00771AE1"/>
    <w:rsid w:val="00773DC9"/>
    <w:rsid w:val="0077572E"/>
    <w:rsid w:val="00775D64"/>
    <w:rsid w:val="00777181"/>
    <w:rsid w:val="0077759A"/>
    <w:rsid w:val="0077775D"/>
    <w:rsid w:val="00777BE4"/>
    <w:rsid w:val="0078031B"/>
    <w:rsid w:val="007815B3"/>
    <w:rsid w:val="00781A91"/>
    <w:rsid w:val="00782187"/>
    <w:rsid w:val="00784BF6"/>
    <w:rsid w:val="00784F44"/>
    <w:rsid w:val="00785046"/>
    <w:rsid w:val="007856C7"/>
    <w:rsid w:val="00785A9A"/>
    <w:rsid w:val="00786561"/>
    <w:rsid w:val="00786672"/>
    <w:rsid w:val="007870BF"/>
    <w:rsid w:val="007872CF"/>
    <w:rsid w:val="007905AD"/>
    <w:rsid w:val="00791579"/>
    <w:rsid w:val="0079201C"/>
    <w:rsid w:val="0079307F"/>
    <w:rsid w:val="007940C5"/>
    <w:rsid w:val="007947C4"/>
    <w:rsid w:val="00794810"/>
    <w:rsid w:val="00794F9E"/>
    <w:rsid w:val="007952C2"/>
    <w:rsid w:val="00795812"/>
    <w:rsid w:val="00795CE1"/>
    <w:rsid w:val="007A0646"/>
    <w:rsid w:val="007A06AC"/>
    <w:rsid w:val="007A12E6"/>
    <w:rsid w:val="007A1362"/>
    <w:rsid w:val="007A13B0"/>
    <w:rsid w:val="007A1B2F"/>
    <w:rsid w:val="007A4636"/>
    <w:rsid w:val="007A5298"/>
    <w:rsid w:val="007A5719"/>
    <w:rsid w:val="007A5FF8"/>
    <w:rsid w:val="007A7377"/>
    <w:rsid w:val="007B0A7B"/>
    <w:rsid w:val="007B1014"/>
    <w:rsid w:val="007B103F"/>
    <w:rsid w:val="007B1484"/>
    <w:rsid w:val="007B1918"/>
    <w:rsid w:val="007B1A10"/>
    <w:rsid w:val="007B249B"/>
    <w:rsid w:val="007B27EF"/>
    <w:rsid w:val="007B2F65"/>
    <w:rsid w:val="007B31AB"/>
    <w:rsid w:val="007B3268"/>
    <w:rsid w:val="007B37F1"/>
    <w:rsid w:val="007B42D3"/>
    <w:rsid w:val="007B45EB"/>
    <w:rsid w:val="007B46D9"/>
    <w:rsid w:val="007B5F45"/>
    <w:rsid w:val="007B6659"/>
    <w:rsid w:val="007B6C39"/>
    <w:rsid w:val="007B6C8A"/>
    <w:rsid w:val="007B7488"/>
    <w:rsid w:val="007B76AB"/>
    <w:rsid w:val="007B79B2"/>
    <w:rsid w:val="007B7DBD"/>
    <w:rsid w:val="007C0460"/>
    <w:rsid w:val="007C0784"/>
    <w:rsid w:val="007C09EA"/>
    <w:rsid w:val="007C0E2D"/>
    <w:rsid w:val="007C264B"/>
    <w:rsid w:val="007C45D3"/>
    <w:rsid w:val="007C597B"/>
    <w:rsid w:val="007C6247"/>
    <w:rsid w:val="007C67F3"/>
    <w:rsid w:val="007C71CB"/>
    <w:rsid w:val="007C760C"/>
    <w:rsid w:val="007D08FD"/>
    <w:rsid w:val="007D1584"/>
    <w:rsid w:val="007D2044"/>
    <w:rsid w:val="007D33E2"/>
    <w:rsid w:val="007D3CEA"/>
    <w:rsid w:val="007D4F33"/>
    <w:rsid w:val="007D54BE"/>
    <w:rsid w:val="007D554B"/>
    <w:rsid w:val="007D65C7"/>
    <w:rsid w:val="007D7459"/>
    <w:rsid w:val="007D74D2"/>
    <w:rsid w:val="007D79B5"/>
    <w:rsid w:val="007D7A43"/>
    <w:rsid w:val="007E0C94"/>
    <w:rsid w:val="007E1294"/>
    <w:rsid w:val="007E2334"/>
    <w:rsid w:val="007E23CE"/>
    <w:rsid w:val="007E2CE7"/>
    <w:rsid w:val="007E3FD6"/>
    <w:rsid w:val="007E43D0"/>
    <w:rsid w:val="007E4F00"/>
    <w:rsid w:val="007E54F8"/>
    <w:rsid w:val="007E584B"/>
    <w:rsid w:val="007E5987"/>
    <w:rsid w:val="007E5BD8"/>
    <w:rsid w:val="007E7BF9"/>
    <w:rsid w:val="007F02BC"/>
    <w:rsid w:val="007F047E"/>
    <w:rsid w:val="007F05AB"/>
    <w:rsid w:val="007F12C0"/>
    <w:rsid w:val="007F1D17"/>
    <w:rsid w:val="007F20D7"/>
    <w:rsid w:val="007F2E65"/>
    <w:rsid w:val="007F43BA"/>
    <w:rsid w:val="007F45D1"/>
    <w:rsid w:val="007F4A7C"/>
    <w:rsid w:val="007F64BE"/>
    <w:rsid w:val="007F6DC3"/>
    <w:rsid w:val="007F6F60"/>
    <w:rsid w:val="007F7925"/>
    <w:rsid w:val="008006B4"/>
    <w:rsid w:val="008015B6"/>
    <w:rsid w:val="00801C9C"/>
    <w:rsid w:val="00802960"/>
    <w:rsid w:val="008029A1"/>
    <w:rsid w:val="00803FD4"/>
    <w:rsid w:val="0080481C"/>
    <w:rsid w:val="00804C54"/>
    <w:rsid w:val="008056DD"/>
    <w:rsid w:val="00805F71"/>
    <w:rsid w:val="0081104C"/>
    <w:rsid w:val="008121F2"/>
    <w:rsid w:val="0081226B"/>
    <w:rsid w:val="00812D16"/>
    <w:rsid w:val="00814233"/>
    <w:rsid w:val="00816C51"/>
    <w:rsid w:val="00817A28"/>
    <w:rsid w:val="0082069E"/>
    <w:rsid w:val="00821865"/>
    <w:rsid w:val="008225EB"/>
    <w:rsid w:val="00822A9B"/>
    <w:rsid w:val="00823035"/>
    <w:rsid w:val="0082327D"/>
    <w:rsid w:val="0082433D"/>
    <w:rsid w:val="00824563"/>
    <w:rsid w:val="00824E73"/>
    <w:rsid w:val="00826509"/>
    <w:rsid w:val="0083020F"/>
    <w:rsid w:val="00830639"/>
    <w:rsid w:val="00833338"/>
    <w:rsid w:val="0083354D"/>
    <w:rsid w:val="0083529E"/>
    <w:rsid w:val="0083561B"/>
    <w:rsid w:val="00837D78"/>
    <w:rsid w:val="00840A31"/>
    <w:rsid w:val="00840D79"/>
    <w:rsid w:val="00842A21"/>
    <w:rsid w:val="00845DAD"/>
    <w:rsid w:val="008463BB"/>
    <w:rsid w:val="0084707B"/>
    <w:rsid w:val="0084755C"/>
    <w:rsid w:val="008504C8"/>
    <w:rsid w:val="00851377"/>
    <w:rsid w:val="00851ABF"/>
    <w:rsid w:val="00853DE9"/>
    <w:rsid w:val="00853E8F"/>
    <w:rsid w:val="0085437C"/>
    <w:rsid w:val="00854B2F"/>
    <w:rsid w:val="00855481"/>
    <w:rsid w:val="008557B9"/>
    <w:rsid w:val="00856354"/>
    <w:rsid w:val="00856855"/>
    <w:rsid w:val="008568E1"/>
    <w:rsid w:val="00856BE9"/>
    <w:rsid w:val="008578F8"/>
    <w:rsid w:val="00857AFD"/>
    <w:rsid w:val="00860566"/>
    <w:rsid w:val="00860B62"/>
    <w:rsid w:val="00860E92"/>
    <w:rsid w:val="0086129A"/>
    <w:rsid w:val="0086165C"/>
    <w:rsid w:val="00861B26"/>
    <w:rsid w:val="00862EED"/>
    <w:rsid w:val="00863761"/>
    <w:rsid w:val="0086435C"/>
    <w:rsid w:val="008643FC"/>
    <w:rsid w:val="008644C4"/>
    <w:rsid w:val="008649B9"/>
    <w:rsid w:val="00864FDB"/>
    <w:rsid w:val="0086784F"/>
    <w:rsid w:val="00870394"/>
    <w:rsid w:val="0087066D"/>
    <w:rsid w:val="0087073B"/>
    <w:rsid w:val="00870D07"/>
    <w:rsid w:val="008712B3"/>
    <w:rsid w:val="008735E6"/>
    <w:rsid w:val="00873967"/>
    <w:rsid w:val="008743BB"/>
    <w:rsid w:val="008770D4"/>
    <w:rsid w:val="00877296"/>
    <w:rsid w:val="008800E5"/>
    <w:rsid w:val="00880B68"/>
    <w:rsid w:val="0088127F"/>
    <w:rsid w:val="008815EF"/>
    <w:rsid w:val="00882735"/>
    <w:rsid w:val="00883176"/>
    <w:rsid w:val="0088343F"/>
    <w:rsid w:val="00883ED5"/>
    <w:rsid w:val="00884C14"/>
    <w:rsid w:val="00885273"/>
    <w:rsid w:val="00885F2C"/>
    <w:rsid w:val="00885F4E"/>
    <w:rsid w:val="00886386"/>
    <w:rsid w:val="0088701C"/>
    <w:rsid w:val="00887EFD"/>
    <w:rsid w:val="008920A6"/>
    <w:rsid w:val="00892459"/>
    <w:rsid w:val="008929AA"/>
    <w:rsid w:val="00892AA5"/>
    <w:rsid w:val="008933BE"/>
    <w:rsid w:val="008937F0"/>
    <w:rsid w:val="00893DBA"/>
    <w:rsid w:val="00893F6A"/>
    <w:rsid w:val="00893F8E"/>
    <w:rsid w:val="00894077"/>
    <w:rsid w:val="0089499B"/>
    <w:rsid w:val="00894ACA"/>
    <w:rsid w:val="00894EC5"/>
    <w:rsid w:val="00896658"/>
    <w:rsid w:val="008967B5"/>
    <w:rsid w:val="0089753F"/>
    <w:rsid w:val="008A01EA"/>
    <w:rsid w:val="008A03AC"/>
    <w:rsid w:val="008A0EA0"/>
    <w:rsid w:val="008A1008"/>
    <w:rsid w:val="008A305C"/>
    <w:rsid w:val="008A345A"/>
    <w:rsid w:val="008A3D28"/>
    <w:rsid w:val="008A3DB9"/>
    <w:rsid w:val="008A4993"/>
    <w:rsid w:val="008A5254"/>
    <w:rsid w:val="008A6A5C"/>
    <w:rsid w:val="008A7316"/>
    <w:rsid w:val="008B00E7"/>
    <w:rsid w:val="008B297F"/>
    <w:rsid w:val="008B3E6C"/>
    <w:rsid w:val="008B4A1C"/>
    <w:rsid w:val="008B4D12"/>
    <w:rsid w:val="008B500A"/>
    <w:rsid w:val="008B5243"/>
    <w:rsid w:val="008B746B"/>
    <w:rsid w:val="008C090B"/>
    <w:rsid w:val="008C1610"/>
    <w:rsid w:val="008C29C9"/>
    <w:rsid w:val="008C2CC0"/>
    <w:rsid w:val="008C2F1E"/>
    <w:rsid w:val="008C30E5"/>
    <w:rsid w:val="008C3B5B"/>
    <w:rsid w:val="008C409F"/>
    <w:rsid w:val="008C5370"/>
    <w:rsid w:val="008C602D"/>
    <w:rsid w:val="008C6BCC"/>
    <w:rsid w:val="008C6F53"/>
    <w:rsid w:val="008C7E6A"/>
    <w:rsid w:val="008D098D"/>
    <w:rsid w:val="008D0FE7"/>
    <w:rsid w:val="008D135A"/>
    <w:rsid w:val="008D2205"/>
    <w:rsid w:val="008D2331"/>
    <w:rsid w:val="008D347F"/>
    <w:rsid w:val="008D35AD"/>
    <w:rsid w:val="008D36CD"/>
    <w:rsid w:val="008D4380"/>
    <w:rsid w:val="008D48D1"/>
    <w:rsid w:val="008D51CB"/>
    <w:rsid w:val="008D5F8A"/>
    <w:rsid w:val="008D6B5A"/>
    <w:rsid w:val="008D6BE8"/>
    <w:rsid w:val="008E1068"/>
    <w:rsid w:val="008E27E9"/>
    <w:rsid w:val="008E3FF8"/>
    <w:rsid w:val="008E42DE"/>
    <w:rsid w:val="008E53C0"/>
    <w:rsid w:val="008E5B5B"/>
    <w:rsid w:val="008E623E"/>
    <w:rsid w:val="008F134B"/>
    <w:rsid w:val="008F1D23"/>
    <w:rsid w:val="008F2B01"/>
    <w:rsid w:val="008F2C49"/>
    <w:rsid w:val="008F2E22"/>
    <w:rsid w:val="008F32D3"/>
    <w:rsid w:val="008F36F0"/>
    <w:rsid w:val="008F3B6D"/>
    <w:rsid w:val="008F5F6D"/>
    <w:rsid w:val="008F66BC"/>
    <w:rsid w:val="008F7CFF"/>
    <w:rsid w:val="008F7ED1"/>
    <w:rsid w:val="00900485"/>
    <w:rsid w:val="00900E82"/>
    <w:rsid w:val="0090157D"/>
    <w:rsid w:val="00901C8D"/>
    <w:rsid w:val="009049F2"/>
    <w:rsid w:val="00904A4D"/>
    <w:rsid w:val="00904C0A"/>
    <w:rsid w:val="00904C33"/>
    <w:rsid w:val="00905643"/>
    <w:rsid w:val="00905EE9"/>
    <w:rsid w:val="00905F19"/>
    <w:rsid w:val="00906158"/>
    <w:rsid w:val="0090643F"/>
    <w:rsid w:val="009065F4"/>
    <w:rsid w:val="00907249"/>
    <w:rsid w:val="009075A7"/>
    <w:rsid w:val="00907DFB"/>
    <w:rsid w:val="00910624"/>
    <w:rsid w:val="00910941"/>
    <w:rsid w:val="00910FBA"/>
    <w:rsid w:val="00911D39"/>
    <w:rsid w:val="00912B9F"/>
    <w:rsid w:val="00914067"/>
    <w:rsid w:val="009143F6"/>
    <w:rsid w:val="00914F78"/>
    <w:rsid w:val="0091734E"/>
    <w:rsid w:val="00917C0F"/>
    <w:rsid w:val="0092023D"/>
    <w:rsid w:val="0092040E"/>
    <w:rsid w:val="00920C6C"/>
    <w:rsid w:val="00920EC6"/>
    <w:rsid w:val="0092118C"/>
    <w:rsid w:val="00921897"/>
    <w:rsid w:val="00921C6D"/>
    <w:rsid w:val="0092277E"/>
    <w:rsid w:val="009227D9"/>
    <w:rsid w:val="00923859"/>
    <w:rsid w:val="00923C44"/>
    <w:rsid w:val="00925E05"/>
    <w:rsid w:val="009268C2"/>
    <w:rsid w:val="00927791"/>
    <w:rsid w:val="00930607"/>
    <w:rsid w:val="00930D0A"/>
    <w:rsid w:val="00930FEB"/>
    <w:rsid w:val="00931EB1"/>
    <w:rsid w:val="009329BA"/>
    <w:rsid w:val="0093304D"/>
    <w:rsid w:val="009338A3"/>
    <w:rsid w:val="00934980"/>
    <w:rsid w:val="00934E99"/>
    <w:rsid w:val="00935D9F"/>
    <w:rsid w:val="00935ECE"/>
    <w:rsid w:val="009366DB"/>
    <w:rsid w:val="00936939"/>
    <w:rsid w:val="009375B1"/>
    <w:rsid w:val="0094053B"/>
    <w:rsid w:val="00941444"/>
    <w:rsid w:val="0094166C"/>
    <w:rsid w:val="00941977"/>
    <w:rsid w:val="00942040"/>
    <w:rsid w:val="00942C9F"/>
    <w:rsid w:val="00943F98"/>
    <w:rsid w:val="00945631"/>
    <w:rsid w:val="00945DAD"/>
    <w:rsid w:val="00947549"/>
    <w:rsid w:val="00947CF3"/>
    <w:rsid w:val="00950C3F"/>
    <w:rsid w:val="009524E3"/>
    <w:rsid w:val="00952FB5"/>
    <w:rsid w:val="00954951"/>
    <w:rsid w:val="00954FC1"/>
    <w:rsid w:val="009553D6"/>
    <w:rsid w:val="009567D5"/>
    <w:rsid w:val="0095793C"/>
    <w:rsid w:val="00960CC7"/>
    <w:rsid w:val="0096111E"/>
    <w:rsid w:val="00961125"/>
    <w:rsid w:val="00961A55"/>
    <w:rsid w:val="009623D8"/>
    <w:rsid w:val="009626A6"/>
    <w:rsid w:val="00963362"/>
    <w:rsid w:val="00963BCE"/>
    <w:rsid w:val="00963BD1"/>
    <w:rsid w:val="009640BA"/>
    <w:rsid w:val="00964D7F"/>
    <w:rsid w:val="00966B1F"/>
    <w:rsid w:val="009707C6"/>
    <w:rsid w:val="00970A7E"/>
    <w:rsid w:val="00971137"/>
    <w:rsid w:val="0097116E"/>
    <w:rsid w:val="009725F7"/>
    <w:rsid w:val="00974027"/>
    <w:rsid w:val="00974518"/>
    <w:rsid w:val="00976B6E"/>
    <w:rsid w:val="00977EA9"/>
    <w:rsid w:val="00980016"/>
    <w:rsid w:val="00980CED"/>
    <w:rsid w:val="00980FE0"/>
    <w:rsid w:val="00981142"/>
    <w:rsid w:val="00984041"/>
    <w:rsid w:val="00984749"/>
    <w:rsid w:val="009849D3"/>
    <w:rsid w:val="00985F8B"/>
    <w:rsid w:val="00986907"/>
    <w:rsid w:val="0099022C"/>
    <w:rsid w:val="009904B3"/>
    <w:rsid w:val="00990682"/>
    <w:rsid w:val="00990B70"/>
    <w:rsid w:val="00990C3B"/>
    <w:rsid w:val="00991CBD"/>
    <w:rsid w:val="009921E6"/>
    <w:rsid w:val="009928B7"/>
    <w:rsid w:val="0099321A"/>
    <w:rsid w:val="0099323D"/>
    <w:rsid w:val="009947E8"/>
    <w:rsid w:val="00995BC2"/>
    <w:rsid w:val="009960B7"/>
    <w:rsid w:val="00996F08"/>
    <w:rsid w:val="00997011"/>
    <w:rsid w:val="009972FE"/>
    <w:rsid w:val="009A1C1B"/>
    <w:rsid w:val="009A1D2B"/>
    <w:rsid w:val="009A2A45"/>
    <w:rsid w:val="009A2D1C"/>
    <w:rsid w:val="009B1603"/>
    <w:rsid w:val="009B1BE8"/>
    <w:rsid w:val="009B2C96"/>
    <w:rsid w:val="009B4ADA"/>
    <w:rsid w:val="009B536C"/>
    <w:rsid w:val="009B5C19"/>
    <w:rsid w:val="009B5D11"/>
    <w:rsid w:val="009B6455"/>
    <w:rsid w:val="009B6496"/>
    <w:rsid w:val="009B6B80"/>
    <w:rsid w:val="009C01DA"/>
    <w:rsid w:val="009C1528"/>
    <w:rsid w:val="009C1E56"/>
    <w:rsid w:val="009C20CC"/>
    <w:rsid w:val="009C2BDF"/>
    <w:rsid w:val="009C3098"/>
    <w:rsid w:val="009C33F9"/>
    <w:rsid w:val="009C3558"/>
    <w:rsid w:val="009C3B5A"/>
    <w:rsid w:val="009C562B"/>
    <w:rsid w:val="009C562E"/>
    <w:rsid w:val="009C59D6"/>
    <w:rsid w:val="009C5E44"/>
    <w:rsid w:val="009C6307"/>
    <w:rsid w:val="009C68EF"/>
    <w:rsid w:val="009C68FF"/>
    <w:rsid w:val="009C6C37"/>
    <w:rsid w:val="009C70F2"/>
    <w:rsid w:val="009C7531"/>
    <w:rsid w:val="009D05A4"/>
    <w:rsid w:val="009D0F80"/>
    <w:rsid w:val="009D220C"/>
    <w:rsid w:val="009D221F"/>
    <w:rsid w:val="009D2A90"/>
    <w:rsid w:val="009D544A"/>
    <w:rsid w:val="009D567E"/>
    <w:rsid w:val="009D69B7"/>
    <w:rsid w:val="009E09F0"/>
    <w:rsid w:val="009E19E8"/>
    <w:rsid w:val="009E33E8"/>
    <w:rsid w:val="009E377C"/>
    <w:rsid w:val="009E411C"/>
    <w:rsid w:val="009E458A"/>
    <w:rsid w:val="009E5316"/>
    <w:rsid w:val="009E5D7C"/>
    <w:rsid w:val="009E5DFC"/>
    <w:rsid w:val="009E7607"/>
    <w:rsid w:val="009E79C8"/>
    <w:rsid w:val="009E7F1A"/>
    <w:rsid w:val="009F1789"/>
    <w:rsid w:val="009F1D38"/>
    <w:rsid w:val="009F2E3B"/>
    <w:rsid w:val="009F36D2"/>
    <w:rsid w:val="009F39E9"/>
    <w:rsid w:val="009F3B2C"/>
    <w:rsid w:val="009F3B6B"/>
    <w:rsid w:val="009F3B6E"/>
    <w:rsid w:val="009F3EB0"/>
    <w:rsid w:val="009F4504"/>
    <w:rsid w:val="009F502C"/>
    <w:rsid w:val="009F603B"/>
    <w:rsid w:val="009F6987"/>
    <w:rsid w:val="009F720F"/>
    <w:rsid w:val="009F77FB"/>
    <w:rsid w:val="00A010E7"/>
    <w:rsid w:val="00A017E6"/>
    <w:rsid w:val="00A01A17"/>
    <w:rsid w:val="00A01A60"/>
    <w:rsid w:val="00A025AD"/>
    <w:rsid w:val="00A0276F"/>
    <w:rsid w:val="00A03D43"/>
    <w:rsid w:val="00A05C25"/>
    <w:rsid w:val="00A06E6E"/>
    <w:rsid w:val="00A076F9"/>
    <w:rsid w:val="00A07997"/>
    <w:rsid w:val="00A07F87"/>
    <w:rsid w:val="00A114E3"/>
    <w:rsid w:val="00A13659"/>
    <w:rsid w:val="00A14C26"/>
    <w:rsid w:val="00A1637F"/>
    <w:rsid w:val="00A16C85"/>
    <w:rsid w:val="00A17AF6"/>
    <w:rsid w:val="00A206ED"/>
    <w:rsid w:val="00A20806"/>
    <w:rsid w:val="00A20C7F"/>
    <w:rsid w:val="00A21045"/>
    <w:rsid w:val="00A21D41"/>
    <w:rsid w:val="00A22DBA"/>
    <w:rsid w:val="00A2329D"/>
    <w:rsid w:val="00A23C9F"/>
    <w:rsid w:val="00A23DCE"/>
    <w:rsid w:val="00A23EFE"/>
    <w:rsid w:val="00A24169"/>
    <w:rsid w:val="00A2490E"/>
    <w:rsid w:val="00A24E12"/>
    <w:rsid w:val="00A25442"/>
    <w:rsid w:val="00A25539"/>
    <w:rsid w:val="00A25BFF"/>
    <w:rsid w:val="00A25F50"/>
    <w:rsid w:val="00A26648"/>
    <w:rsid w:val="00A26F79"/>
    <w:rsid w:val="00A271F6"/>
    <w:rsid w:val="00A27522"/>
    <w:rsid w:val="00A27E5B"/>
    <w:rsid w:val="00A305A1"/>
    <w:rsid w:val="00A3136F"/>
    <w:rsid w:val="00A33471"/>
    <w:rsid w:val="00A34D0C"/>
    <w:rsid w:val="00A34D76"/>
    <w:rsid w:val="00A35125"/>
    <w:rsid w:val="00A365D0"/>
    <w:rsid w:val="00A3770C"/>
    <w:rsid w:val="00A37978"/>
    <w:rsid w:val="00A402B8"/>
    <w:rsid w:val="00A4043E"/>
    <w:rsid w:val="00A4185A"/>
    <w:rsid w:val="00A42005"/>
    <w:rsid w:val="00A437D9"/>
    <w:rsid w:val="00A43A69"/>
    <w:rsid w:val="00A43C16"/>
    <w:rsid w:val="00A4433B"/>
    <w:rsid w:val="00A443A6"/>
    <w:rsid w:val="00A45A1A"/>
    <w:rsid w:val="00A45E61"/>
    <w:rsid w:val="00A47150"/>
    <w:rsid w:val="00A47C74"/>
    <w:rsid w:val="00A47F32"/>
    <w:rsid w:val="00A50326"/>
    <w:rsid w:val="00A51CE1"/>
    <w:rsid w:val="00A53220"/>
    <w:rsid w:val="00A538E6"/>
    <w:rsid w:val="00A54514"/>
    <w:rsid w:val="00A54866"/>
    <w:rsid w:val="00A54E89"/>
    <w:rsid w:val="00A55581"/>
    <w:rsid w:val="00A56102"/>
    <w:rsid w:val="00A56337"/>
    <w:rsid w:val="00A56800"/>
    <w:rsid w:val="00A56D7E"/>
    <w:rsid w:val="00A57404"/>
    <w:rsid w:val="00A575BD"/>
    <w:rsid w:val="00A60EEC"/>
    <w:rsid w:val="00A630BA"/>
    <w:rsid w:val="00A6349A"/>
    <w:rsid w:val="00A63B83"/>
    <w:rsid w:val="00A643C6"/>
    <w:rsid w:val="00A64DE8"/>
    <w:rsid w:val="00A64F34"/>
    <w:rsid w:val="00A65BD9"/>
    <w:rsid w:val="00A65D20"/>
    <w:rsid w:val="00A66718"/>
    <w:rsid w:val="00A6690D"/>
    <w:rsid w:val="00A671EF"/>
    <w:rsid w:val="00A70B31"/>
    <w:rsid w:val="00A73A74"/>
    <w:rsid w:val="00A759FE"/>
    <w:rsid w:val="00A75CF1"/>
    <w:rsid w:val="00A75FE1"/>
    <w:rsid w:val="00A76281"/>
    <w:rsid w:val="00A76D67"/>
    <w:rsid w:val="00A76F4A"/>
    <w:rsid w:val="00A77562"/>
    <w:rsid w:val="00A776B8"/>
    <w:rsid w:val="00A801BF"/>
    <w:rsid w:val="00A81743"/>
    <w:rsid w:val="00A81EB6"/>
    <w:rsid w:val="00A82C79"/>
    <w:rsid w:val="00A82DE9"/>
    <w:rsid w:val="00A837FE"/>
    <w:rsid w:val="00A838BB"/>
    <w:rsid w:val="00A83902"/>
    <w:rsid w:val="00A84A84"/>
    <w:rsid w:val="00A85357"/>
    <w:rsid w:val="00A856B8"/>
    <w:rsid w:val="00A859A4"/>
    <w:rsid w:val="00A86A99"/>
    <w:rsid w:val="00A86B2C"/>
    <w:rsid w:val="00A871E5"/>
    <w:rsid w:val="00A87D07"/>
    <w:rsid w:val="00A902DD"/>
    <w:rsid w:val="00A91617"/>
    <w:rsid w:val="00A93C1C"/>
    <w:rsid w:val="00A96AF7"/>
    <w:rsid w:val="00A96FA8"/>
    <w:rsid w:val="00A96FF5"/>
    <w:rsid w:val="00A9770A"/>
    <w:rsid w:val="00AA0A43"/>
    <w:rsid w:val="00AA0DD3"/>
    <w:rsid w:val="00AA0E77"/>
    <w:rsid w:val="00AA1C07"/>
    <w:rsid w:val="00AA3688"/>
    <w:rsid w:val="00AA4006"/>
    <w:rsid w:val="00AA5887"/>
    <w:rsid w:val="00AA6A85"/>
    <w:rsid w:val="00AA74B4"/>
    <w:rsid w:val="00AB024B"/>
    <w:rsid w:val="00AB0AD7"/>
    <w:rsid w:val="00AB19F8"/>
    <w:rsid w:val="00AB20F7"/>
    <w:rsid w:val="00AB24A3"/>
    <w:rsid w:val="00AB2A61"/>
    <w:rsid w:val="00AB3A12"/>
    <w:rsid w:val="00AB4C44"/>
    <w:rsid w:val="00AB5A8D"/>
    <w:rsid w:val="00AB5D76"/>
    <w:rsid w:val="00AB6078"/>
    <w:rsid w:val="00AB6642"/>
    <w:rsid w:val="00AC0859"/>
    <w:rsid w:val="00AC0D2B"/>
    <w:rsid w:val="00AC0D34"/>
    <w:rsid w:val="00AC16E6"/>
    <w:rsid w:val="00AC26A9"/>
    <w:rsid w:val="00AC2EFE"/>
    <w:rsid w:val="00AC3930"/>
    <w:rsid w:val="00AC3AB1"/>
    <w:rsid w:val="00AC519B"/>
    <w:rsid w:val="00AC60F9"/>
    <w:rsid w:val="00AC6263"/>
    <w:rsid w:val="00AC68C6"/>
    <w:rsid w:val="00AC7612"/>
    <w:rsid w:val="00AC79C1"/>
    <w:rsid w:val="00AC7CA4"/>
    <w:rsid w:val="00AC7F3E"/>
    <w:rsid w:val="00AD3DB4"/>
    <w:rsid w:val="00AD3F55"/>
    <w:rsid w:val="00AD46A3"/>
    <w:rsid w:val="00AD493B"/>
    <w:rsid w:val="00AD4A64"/>
    <w:rsid w:val="00AD4D4E"/>
    <w:rsid w:val="00AD598F"/>
    <w:rsid w:val="00AD6D09"/>
    <w:rsid w:val="00AD7B58"/>
    <w:rsid w:val="00AD7C45"/>
    <w:rsid w:val="00AE07DA"/>
    <w:rsid w:val="00AE098E"/>
    <w:rsid w:val="00AE0BBA"/>
    <w:rsid w:val="00AE2291"/>
    <w:rsid w:val="00AE25C8"/>
    <w:rsid w:val="00AE4003"/>
    <w:rsid w:val="00AE4113"/>
    <w:rsid w:val="00AE4380"/>
    <w:rsid w:val="00AE4FAC"/>
    <w:rsid w:val="00AE5525"/>
    <w:rsid w:val="00AE6381"/>
    <w:rsid w:val="00AE656F"/>
    <w:rsid w:val="00AE6A4B"/>
    <w:rsid w:val="00AE7D78"/>
    <w:rsid w:val="00AF007E"/>
    <w:rsid w:val="00AF008D"/>
    <w:rsid w:val="00AF1087"/>
    <w:rsid w:val="00AF1D99"/>
    <w:rsid w:val="00AF2FA5"/>
    <w:rsid w:val="00AF3E49"/>
    <w:rsid w:val="00AF41F6"/>
    <w:rsid w:val="00AF438E"/>
    <w:rsid w:val="00AF4448"/>
    <w:rsid w:val="00AF44DD"/>
    <w:rsid w:val="00AF45CA"/>
    <w:rsid w:val="00AF46FB"/>
    <w:rsid w:val="00AF5CEE"/>
    <w:rsid w:val="00AF7506"/>
    <w:rsid w:val="00B007DD"/>
    <w:rsid w:val="00B0098A"/>
    <w:rsid w:val="00B009B2"/>
    <w:rsid w:val="00B01016"/>
    <w:rsid w:val="00B0146E"/>
    <w:rsid w:val="00B01FB6"/>
    <w:rsid w:val="00B02079"/>
    <w:rsid w:val="00B02160"/>
    <w:rsid w:val="00B0216E"/>
    <w:rsid w:val="00B02761"/>
    <w:rsid w:val="00B027CB"/>
    <w:rsid w:val="00B0352B"/>
    <w:rsid w:val="00B073E6"/>
    <w:rsid w:val="00B074F8"/>
    <w:rsid w:val="00B07A02"/>
    <w:rsid w:val="00B07A69"/>
    <w:rsid w:val="00B10792"/>
    <w:rsid w:val="00B11A3D"/>
    <w:rsid w:val="00B121B0"/>
    <w:rsid w:val="00B13B87"/>
    <w:rsid w:val="00B13BB2"/>
    <w:rsid w:val="00B161E2"/>
    <w:rsid w:val="00B17FAB"/>
    <w:rsid w:val="00B21BE7"/>
    <w:rsid w:val="00B22C5F"/>
    <w:rsid w:val="00B23687"/>
    <w:rsid w:val="00B25710"/>
    <w:rsid w:val="00B26BB5"/>
    <w:rsid w:val="00B27B03"/>
    <w:rsid w:val="00B31B62"/>
    <w:rsid w:val="00B3208E"/>
    <w:rsid w:val="00B33711"/>
    <w:rsid w:val="00B34889"/>
    <w:rsid w:val="00B35194"/>
    <w:rsid w:val="00B3589C"/>
    <w:rsid w:val="00B36805"/>
    <w:rsid w:val="00B37550"/>
    <w:rsid w:val="00B3779E"/>
    <w:rsid w:val="00B402C6"/>
    <w:rsid w:val="00B406A6"/>
    <w:rsid w:val="00B40DD3"/>
    <w:rsid w:val="00B413B9"/>
    <w:rsid w:val="00B41DC1"/>
    <w:rsid w:val="00B42350"/>
    <w:rsid w:val="00B42626"/>
    <w:rsid w:val="00B42F69"/>
    <w:rsid w:val="00B432C3"/>
    <w:rsid w:val="00B452F2"/>
    <w:rsid w:val="00B465CA"/>
    <w:rsid w:val="00B46EC7"/>
    <w:rsid w:val="00B47EFC"/>
    <w:rsid w:val="00B50378"/>
    <w:rsid w:val="00B50A91"/>
    <w:rsid w:val="00B5160B"/>
    <w:rsid w:val="00B51761"/>
    <w:rsid w:val="00B517D2"/>
    <w:rsid w:val="00B517FB"/>
    <w:rsid w:val="00B51871"/>
    <w:rsid w:val="00B51E6B"/>
    <w:rsid w:val="00B52022"/>
    <w:rsid w:val="00B52187"/>
    <w:rsid w:val="00B528F2"/>
    <w:rsid w:val="00B5351D"/>
    <w:rsid w:val="00B54400"/>
    <w:rsid w:val="00B54691"/>
    <w:rsid w:val="00B548F1"/>
    <w:rsid w:val="00B553B3"/>
    <w:rsid w:val="00B5578E"/>
    <w:rsid w:val="00B56600"/>
    <w:rsid w:val="00B56608"/>
    <w:rsid w:val="00B60CCD"/>
    <w:rsid w:val="00B62854"/>
    <w:rsid w:val="00B62EF1"/>
    <w:rsid w:val="00B63844"/>
    <w:rsid w:val="00B640CC"/>
    <w:rsid w:val="00B643F0"/>
    <w:rsid w:val="00B645B6"/>
    <w:rsid w:val="00B64B2F"/>
    <w:rsid w:val="00B667BF"/>
    <w:rsid w:val="00B674D6"/>
    <w:rsid w:val="00B6797D"/>
    <w:rsid w:val="00B67E0F"/>
    <w:rsid w:val="00B7061D"/>
    <w:rsid w:val="00B71FDA"/>
    <w:rsid w:val="00B7245B"/>
    <w:rsid w:val="00B72C90"/>
    <w:rsid w:val="00B735B8"/>
    <w:rsid w:val="00B73F56"/>
    <w:rsid w:val="00B74858"/>
    <w:rsid w:val="00B752EB"/>
    <w:rsid w:val="00B75441"/>
    <w:rsid w:val="00B77BE4"/>
    <w:rsid w:val="00B80107"/>
    <w:rsid w:val="00B812BE"/>
    <w:rsid w:val="00B813D5"/>
    <w:rsid w:val="00B8258D"/>
    <w:rsid w:val="00B825B4"/>
    <w:rsid w:val="00B84B36"/>
    <w:rsid w:val="00B84E7E"/>
    <w:rsid w:val="00B86608"/>
    <w:rsid w:val="00B87847"/>
    <w:rsid w:val="00B87F1A"/>
    <w:rsid w:val="00B900D3"/>
    <w:rsid w:val="00B90477"/>
    <w:rsid w:val="00B91BD9"/>
    <w:rsid w:val="00B92AA5"/>
    <w:rsid w:val="00B93904"/>
    <w:rsid w:val="00B9489B"/>
    <w:rsid w:val="00B95472"/>
    <w:rsid w:val="00B955FE"/>
    <w:rsid w:val="00B95FA9"/>
    <w:rsid w:val="00B96744"/>
    <w:rsid w:val="00BA0850"/>
    <w:rsid w:val="00BA0B9F"/>
    <w:rsid w:val="00BA1487"/>
    <w:rsid w:val="00BA3287"/>
    <w:rsid w:val="00BA5051"/>
    <w:rsid w:val="00BA6419"/>
    <w:rsid w:val="00BA6550"/>
    <w:rsid w:val="00BA69B3"/>
    <w:rsid w:val="00BB086A"/>
    <w:rsid w:val="00BB3642"/>
    <w:rsid w:val="00BB403D"/>
    <w:rsid w:val="00BB4A3B"/>
    <w:rsid w:val="00BB5255"/>
    <w:rsid w:val="00BB59F6"/>
    <w:rsid w:val="00BB5A88"/>
    <w:rsid w:val="00BB5EF0"/>
    <w:rsid w:val="00BB61A0"/>
    <w:rsid w:val="00BB66AB"/>
    <w:rsid w:val="00BB7885"/>
    <w:rsid w:val="00BB7BBA"/>
    <w:rsid w:val="00BC0101"/>
    <w:rsid w:val="00BC0AD6"/>
    <w:rsid w:val="00BC122E"/>
    <w:rsid w:val="00BC17DA"/>
    <w:rsid w:val="00BC3584"/>
    <w:rsid w:val="00BC4F99"/>
    <w:rsid w:val="00BC5838"/>
    <w:rsid w:val="00BC6DC2"/>
    <w:rsid w:val="00BC6FA0"/>
    <w:rsid w:val="00BD0B74"/>
    <w:rsid w:val="00BD0E2E"/>
    <w:rsid w:val="00BD3880"/>
    <w:rsid w:val="00BD3ADB"/>
    <w:rsid w:val="00BD3E77"/>
    <w:rsid w:val="00BD6CE7"/>
    <w:rsid w:val="00BE064F"/>
    <w:rsid w:val="00BE10B0"/>
    <w:rsid w:val="00BE18CC"/>
    <w:rsid w:val="00BE2CD2"/>
    <w:rsid w:val="00BE3B60"/>
    <w:rsid w:val="00BE442D"/>
    <w:rsid w:val="00BE4ED6"/>
    <w:rsid w:val="00BE54F3"/>
    <w:rsid w:val="00BE5F67"/>
    <w:rsid w:val="00BE6243"/>
    <w:rsid w:val="00BE6745"/>
    <w:rsid w:val="00BE7920"/>
    <w:rsid w:val="00BF1E46"/>
    <w:rsid w:val="00BF2A3A"/>
    <w:rsid w:val="00BF2CD1"/>
    <w:rsid w:val="00BF3BEE"/>
    <w:rsid w:val="00BF4B6A"/>
    <w:rsid w:val="00BF5135"/>
    <w:rsid w:val="00BF5AF1"/>
    <w:rsid w:val="00BF6447"/>
    <w:rsid w:val="00C00312"/>
    <w:rsid w:val="00C00828"/>
    <w:rsid w:val="00C009F5"/>
    <w:rsid w:val="00C01129"/>
    <w:rsid w:val="00C01DD9"/>
    <w:rsid w:val="00C02239"/>
    <w:rsid w:val="00C022E1"/>
    <w:rsid w:val="00C0398D"/>
    <w:rsid w:val="00C05C3D"/>
    <w:rsid w:val="00C06287"/>
    <w:rsid w:val="00C06FE2"/>
    <w:rsid w:val="00C071AC"/>
    <w:rsid w:val="00C07E7F"/>
    <w:rsid w:val="00C1012B"/>
    <w:rsid w:val="00C109A2"/>
    <w:rsid w:val="00C11707"/>
    <w:rsid w:val="00C11729"/>
    <w:rsid w:val="00C11E37"/>
    <w:rsid w:val="00C11E4C"/>
    <w:rsid w:val="00C12341"/>
    <w:rsid w:val="00C129FA"/>
    <w:rsid w:val="00C14954"/>
    <w:rsid w:val="00C14B7F"/>
    <w:rsid w:val="00C16098"/>
    <w:rsid w:val="00C179B0"/>
    <w:rsid w:val="00C20245"/>
    <w:rsid w:val="00C20313"/>
    <w:rsid w:val="00C20CA6"/>
    <w:rsid w:val="00C21AD6"/>
    <w:rsid w:val="00C21DAB"/>
    <w:rsid w:val="00C226F9"/>
    <w:rsid w:val="00C23398"/>
    <w:rsid w:val="00C23B23"/>
    <w:rsid w:val="00C2428B"/>
    <w:rsid w:val="00C24DD4"/>
    <w:rsid w:val="00C26C22"/>
    <w:rsid w:val="00C27B03"/>
    <w:rsid w:val="00C3029B"/>
    <w:rsid w:val="00C30726"/>
    <w:rsid w:val="00C3089B"/>
    <w:rsid w:val="00C32F02"/>
    <w:rsid w:val="00C33363"/>
    <w:rsid w:val="00C3338F"/>
    <w:rsid w:val="00C34B40"/>
    <w:rsid w:val="00C35836"/>
    <w:rsid w:val="00C37F66"/>
    <w:rsid w:val="00C403FD"/>
    <w:rsid w:val="00C40AEB"/>
    <w:rsid w:val="00C41B62"/>
    <w:rsid w:val="00C41CD3"/>
    <w:rsid w:val="00C43276"/>
    <w:rsid w:val="00C43438"/>
    <w:rsid w:val="00C44264"/>
    <w:rsid w:val="00C46251"/>
    <w:rsid w:val="00C4790F"/>
    <w:rsid w:val="00C47C24"/>
    <w:rsid w:val="00C47FC0"/>
    <w:rsid w:val="00C51104"/>
    <w:rsid w:val="00C5189F"/>
    <w:rsid w:val="00C51DEE"/>
    <w:rsid w:val="00C528CC"/>
    <w:rsid w:val="00C5311A"/>
    <w:rsid w:val="00C53ABD"/>
    <w:rsid w:val="00C53AD3"/>
    <w:rsid w:val="00C53C94"/>
    <w:rsid w:val="00C546E7"/>
    <w:rsid w:val="00C572EF"/>
    <w:rsid w:val="00C57741"/>
    <w:rsid w:val="00C60016"/>
    <w:rsid w:val="00C601DC"/>
    <w:rsid w:val="00C6074F"/>
    <w:rsid w:val="00C62568"/>
    <w:rsid w:val="00C6296C"/>
    <w:rsid w:val="00C639EC"/>
    <w:rsid w:val="00C64143"/>
    <w:rsid w:val="00C6434D"/>
    <w:rsid w:val="00C6521F"/>
    <w:rsid w:val="00C652E5"/>
    <w:rsid w:val="00C6538E"/>
    <w:rsid w:val="00C67446"/>
    <w:rsid w:val="00C67A40"/>
    <w:rsid w:val="00C70415"/>
    <w:rsid w:val="00C70962"/>
    <w:rsid w:val="00C71674"/>
    <w:rsid w:val="00C733F7"/>
    <w:rsid w:val="00C74E86"/>
    <w:rsid w:val="00C75E42"/>
    <w:rsid w:val="00C76603"/>
    <w:rsid w:val="00C7697F"/>
    <w:rsid w:val="00C8136C"/>
    <w:rsid w:val="00C82FAC"/>
    <w:rsid w:val="00C82FFA"/>
    <w:rsid w:val="00C84032"/>
    <w:rsid w:val="00C84A1B"/>
    <w:rsid w:val="00C850B0"/>
    <w:rsid w:val="00C85521"/>
    <w:rsid w:val="00C8553D"/>
    <w:rsid w:val="00C856C0"/>
    <w:rsid w:val="00C8620D"/>
    <w:rsid w:val="00C863EE"/>
    <w:rsid w:val="00C86D6B"/>
    <w:rsid w:val="00C91700"/>
    <w:rsid w:val="00C91A64"/>
    <w:rsid w:val="00C91F13"/>
    <w:rsid w:val="00C923C7"/>
    <w:rsid w:val="00C92646"/>
    <w:rsid w:val="00C9316A"/>
    <w:rsid w:val="00C93B5E"/>
    <w:rsid w:val="00C950C5"/>
    <w:rsid w:val="00C95D8D"/>
    <w:rsid w:val="00C97C7F"/>
    <w:rsid w:val="00CA06B1"/>
    <w:rsid w:val="00CA155B"/>
    <w:rsid w:val="00CA1BF7"/>
    <w:rsid w:val="00CA2283"/>
    <w:rsid w:val="00CA229B"/>
    <w:rsid w:val="00CA2AEF"/>
    <w:rsid w:val="00CA2CA3"/>
    <w:rsid w:val="00CA325F"/>
    <w:rsid w:val="00CA33B8"/>
    <w:rsid w:val="00CA370B"/>
    <w:rsid w:val="00CA4910"/>
    <w:rsid w:val="00CA4F19"/>
    <w:rsid w:val="00CA5914"/>
    <w:rsid w:val="00CA61EC"/>
    <w:rsid w:val="00CA6DD8"/>
    <w:rsid w:val="00CB01B9"/>
    <w:rsid w:val="00CB1582"/>
    <w:rsid w:val="00CB22B7"/>
    <w:rsid w:val="00CB2ABD"/>
    <w:rsid w:val="00CB31DA"/>
    <w:rsid w:val="00CB34CB"/>
    <w:rsid w:val="00CB5032"/>
    <w:rsid w:val="00CB64BF"/>
    <w:rsid w:val="00CB6A44"/>
    <w:rsid w:val="00CB7DF6"/>
    <w:rsid w:val="00CC0247"/>
    <w:rsid w:val="00CC2119"/>
    <w:rsid w:val="00CC2776"/>
    <w:rsid w:val="00CC2909"/>
    <w:rsid w:val="00CC303F"/>
    <w:rsid w:val="00CC3618"/>
    <w:rsid w:val="00CC3C96"/>
    <w:rsid w:val="00CC4BD3"/>
    <w:rsid w:val="00CC7F6F"/>
    <w:rsid w:val="00CD077C"/>
    <w:rsid w:val="00CD0F97"/>
    <w:rsid w:val="00CD16BF"/>
    <w:rsid w:val="00CD1C32"/>
    <w:rsid w:val="00CD342A"/>
    <w:rsid w:val="00CD37BA"/>
    <w:rsid w:val="00CD3940"/>
    <w:rsid w:val="00CD5A15"/>
    <w:rsid w:val="00CD6099"/>
    <w:rsid w:val="00CD6B4F"/>
    <w:rsid w:val="00CE24B9"/>
    <w:rsid w:val="00CE2F14"/>
    <w:rsid w:val="00CE463B"/>
    <w:rsid w:val="00CE52B8"/>
    <w:rsid w:val="00CE56B0"/>
    <w:rsid w:val="00CE5AB7"/>
    <w:rsid w:val="00CE6944"/>
    <w:rsid w:val="00CE6A0B"/>
    <w:rsid w:val="00CE6CAB"/>
    <w:rsid w:val="00CE6D0F"/>
    <w:rsid w:val="00CE7BF6"/>
    <w:rsid w:val="00CF0950"/>
    <w:rsid w:val="00CF2CDA"/>
    <w:rsid w:val="00CF3B07"/>
    <w:rsid w:val="00CF4C13"/>
    <w:rsid w:val="00CF50F9"/>
    <w:rsid w:val="00CF62E0"/>
    <w:rsid w:val="00CF6384"/>
    <w:rsid w:val="00CF6902"/>
    <w:rsid w:val="00CF6D43"/>
    <w:rsid w:val="00D02B8F"/>
    <w:rsid w:val="00D0401F"/>
    <w:rsid w:val="00D0633B"/>
    <w:rsid w:val="00D06E88"/>
    <w:rsid w:val="00D10C4B"/>
    <w:rsid w:val="00D11F90"/>
    <w:rsid w:val="00D1211D"/>
    <w:rsid w:val="00D12711"/>
    <w:rsid w:val="00D13527"/>
    <w:rsid w:val="00D15879"/>
    <w:rsid w:val="00D15E4E"/>
    <w:rsid w:val="00D16C6E"/>
    <w:rsid w:val="00D16F67"/>
    <w:rsid w:val="00D17601"/>
    <w:rsid w:val="00D20A42"/>
    <w:rsid w:val="00D20D6E"/>
    <w:rsid w:val="00D21300"/>
    <w:rsid w:val="00D2134A"/>
    <w:rsid w:val="00D214E5"/>
    <w:rsid w:val="00D2286F"/>
    <w:rsid w:val="00D22F7B"/>
    <w:rsid w:val="00D230DC"/>
    <w:rsid w:val="00D24154"/>
    <w:rsid w:val="00D243A2"/>
    <w:rsid w:val="00D2471A"/>
    <w:rsid w:val="00D26C9A"/>
    <w:rsid w:val="00D303E8"/>
    <w:rsid w:val="00D31B80"/>
    <w:rsid w:val="00D31BA6"/>
    <w:rsid w:val="00D335E1"/>
    <w:rsid w:val="00D3545E"/>
    <w:rsid w:val="00D35FEA"/>
    <w:rsid w:val="00D366E4"/>
    <w:rsid w:val="00D3691D"/>
    <w:rsid w:val="00D41FDF"/>
    <w:rsid w:val="00D423AC"/>
    <w:rsid w:val="00D44B15"/>
    <w:rsid w:val="00D44C0A"/>
    <w:rsid w:val="00D44DC6"/>
    <w:rsid w:val="00D459BE"/>
    <w:rsid w:val="00D476EA"/>
    <w:rsid w:val="00D47D12"/>
    <w:rsid w:val="00D47E03"/>
    <w:rsid w:val="00D47F54"/>
    <w:rsid w:val="00D509D9"/>
    <w:rsid w:val="00D514E5"/>
    <w:rsid w:val="00D53589"/>
    <w:rsid w:val="00D539D5"/>
    <w:rsid w:val="00D544D5"/>
    <w:rsid w:val="00D54D09"/>
    <w:rsid w:val="00D54F28"/>
    <w:rsid w:val="00D57897"/>
    <w:rsid w:val="00D602DE"/>
    <w:rsid w:val="00D6096A"/>
    <w:rsid w:val="00D60ABE"/>
    <w:rsid w:val="00D60CE5"/>
    <w:rsid w:val="00D61811"/>
    <w:rsid w:val="00D63698"/>
    <w:rsid w:val="00D63F9F"/>
    <w:rsid w:val="00D646D3"/>
    <w:rsid w:val="00D662F2"/>
    <w:rsid w:val="00D662FA"/>
    <w:rsid w:val="00D665F1"/>
    <w:rsid w:val="00D6711E"/>
    <w:rsid w:val="00D67424"/>
    <w:rsid w:val="00D71D92"/>
    <w:rsid w:val="00D7218E"/>
    <w:rsid w:val="00D730D4"/>
    <w:rsid w:val="00D73B08"/>
    <w:rsid w:val="00D743E7"/>
    <w:rsid w:val="00D74B98"/>
    <w:rsid w:val="00D77575"/>
    <w:rsid w:val="00D77786"/>
    <w:rsid w:val="00D80127"/>
    <w:rsid w:val="00D80204"/>
    <w:rsid w:val="00D804E2"/>
    <w:rsid w:val="00D805D1"/>
    <w:rsid w:val="00D81FB3"/>
    <w:rsid w:val="00D82772"/>
    <w:rsid w:val="00D82FD7"/>
    <w:rsid w:val="00D84FA6"/>
    <w:rsid w:val="00D85C5F"/>
    <w:rsid w:val="00D85ECC"/>
    <w:rsid w:val="00D864C7"/>
    <w:rsid w:val="00D86A44"/>
    <w:rsid w:val="00D86EB7"/>
    <w:rsid w:val="00D87BAC"/>
    <w:rsid w:val="00D904C8"/>
    <w:rsid w:val="00D90BC9"/>
    <w:rsid w:val="00D91242"/>
    <w:rsid w:val="00D91E9F"/>
    <w:rsid w:val="00D92025"/>
    <w:rsid w:val="00D9204D"/>
    <w:rsid w:val="00D92B5E"/>
    <w:rsid w:val="00D93388"/>
    <w:rsid w:val="00D93CFF"/>
    <w:rsid w:val="00D95457"/>
    <w:rsid w:val="00D97A7B"/>
    <w:rsid w:val="00DA04AF"/>
    <w:rsid w:val="00DA1259"/>
    <w:rsid w:val="00DA1AAD"/>
    <w:rsid w:val="00DA1E08"/>
    <w:rsid w:val="00DA4358"/>
    <w:rsid w:val="00DA478A"/>
    <w:rsid w:val="00DA4866"/>
    <w:rsid w:val="00DA4A52"/>
    <w:rsid w:val="00DA4FBC"/>
    <w:rsid w:val="00DA595A"/>
    <w:rsid w:val="00DA61B9"/>
    <w:rsid w:val="00DA7457"/>
    <w:rsid w:val="00DB0AF9"/>
    <w:rsid w:val="00DB0D51"/>
    <w:rsid w:val="00DB1083"/>
    <w:rsid w:val="00DB1B31"/>
    <w:rsid w:val="00DB22EC"/>
    <w:rsid w:val="00DB2995"/>
    <w:rsid w:val="00DB2ED0"/>
    <w:rsid w:val="00DB333D"/>
    <w:rsid w:val="00DB38F0"/>
    <w:rsid w:val="00DB3EE8"/>
    <w:rsid w:val="00DB3F99"/>
    <w:rsid w:val="00DB4701"/>
    <w:rsid w:val="00DB4E76"/>
    <w:rsid w:val="00DB59C0"/>
    <w:rsid w:val="00DB5BA9"/>
    <w:rsid w:val="00DB6021"/>
    <w:rsid w:val="00DB69F7"/>
    <w:rsid w:val="00DB7F2F"/>
    <w:rsid w:val="00DC0146"/>
    <w:rsid w:val="00DC03EE"/>
    <w:rsid w:val="00DC087F"/>
    <w:rsid w:val="00DC0EF4"/>
    <w:rsid w:val="00DC2143"/>
    <w:rsid w:val="00DC36B8"/>
    <w:rsid w:val="00DC3A50"/>
    <w:rsid w:val="00DC4314"/>
    <w:rsid w:val="00DC450B"/>
    <w:rsid w:val="00DC4DEB"/>
    <w:rsid w:val="00DC53F2"/>
    <w:rsid w:val="00DC6A21"/>
    <w:rsid w:val="00DC6B01"/>
    <w:rsid w:val="00DC75A1"/>
    <w:rsid w:val="00DC772B"/>
    <w:rsid w:val="00DC7797"/>
    <w:rsid w:val="00DC78DF"/>
    <w:rsid w:val="00DC7E53"/>
    <w:rsid w:val="00DD078A"/>
    <w:rsid w:val="00DD0D9A"/>
    <w:rsid w:val="00DD1737"/>
    <w:rsid w:val="00DD1DB1"/>
    <w:rsid w:val="00DD34E1"/>
    <w:rsid w:val="00DD3E0C"/>
    <w:rsid w:val="00DD408C"/>
    <w:rsid w:val="00DD45E7"/>
    <w:rsid w:val="00DD49BE"/>
    <w:rsid w:val="00DD4F49"/>
    <w:rsid w:val="00DD5A0A"/>
    <w:rsid w:val="00DD5D62"/>
    <w:rsid w:val="00DD71F6"/>
    <w:rsid w:val="00DD7667"/>
    <w:rsid w:val="00DD777C"/>
    <w:rsid w:val="00DD7C9E"/>
    <w:rsid w:val="00DE0D2F"/>
    <w:rsid w:val="00DE0D75"/>
    <w:rsid w:val="00DE19EB"/>
    <w:rsid w:val="00DE36AE"/>
    <w:rsid w:val="00DE373A"/>
    <w:rsid w:val="00DE373D"/>
    <w:rsid w:val="00DE5B0F"/>
    <w:rsid w:val="00DE7143"/>
    <w:rsid w:val="00DF08F7"/>
    <w:rsid w:val="00DF0FC9"/>
    <w:rsid w:val="00DF0FE3"/>
    <w:rsid w:val="00DF1673"/>
    <w:rsid w:val="00DF2B48"/>
    <w:rsid w:val="00DF2CB1"/>
    <w:rsid w:val="00DF5110"/>
    <w:rsid w:val="00DF6018"/>
    <w:rsid w:val="00DF62E9"/>
    <w:rsid w:val="00DF69F9"/>
    <w:rsid w:val="00DF7532"/>
    <w:rsid w:val="00DF75A5"/>
    <w:rsid w:val="00E00500"/>
    <w:rsid w:val="00E0134C"/>
    <w:rsid w:val="00E02579"/>
    <w:rsid w:val="00E02B50"/>
    <w:rsid w:val="00E0304A"/>
    <w:rsid w:val="00E04996"/>
    <w:rsid w:val="00E04B3F"/>
    <w:rsid w:val="00E060C1"/>
    <w:rsid w:val="00E0649A"/>
    <w:rsid w:val="00E06B1E"/>
    <w:rsid w:val="00E06BD3"/>
    <w:rsid w:val="00E07787"/>
    <w:rsid w:val="00E07BBD"/>
    <w:rsid w:val="00E10266"/>
    <w:rsid w:val="00E1074D"/>
    <w:rsid w:val="00E10796"/>
    <w:rsid w:val="00E10AAF"/>
    <w:rsid w:val="00E11D49"/>
    <w:rsid w:val="00E1335E"/>
    <w:rsid w:val="00E147D5"/>
    <w:rsid w:val="00E14BD1"/>
    <w:rsid w:val="00E14C04"/>
    <w:rsid w:val="00E14C0E"/>
    <w:rsid w:val="00E16642"/>
    <w:rsid w:val="00E16E9B"/>
    <w:rsid w:val="00E1787C"/>
    <w:rsid w:val="00E203E8"/>
    <w:rsid w:val="00E206DE"/>
    <w:rsid w:val="00E20CCE"/>
    <w:rsid w:val="00E220DD"/>
    <w:rsid w:val="00E220E4"/>
    <w:rsid w:val="00E2249E"/>
    <w:rsid w:val="00E22B76"/>
    <w:rsid w:val="00E234F1"/>
    <w:rsid w:val="00E241ED"/>
    <w:rsid w:val="00E24E3A"/>
    <w:rsid w:val="00E25A09"/>
    <w:rsid w:val="00E25AF8"/>
    <w:rsid w:val="00E26C55"/>
    <w:rsid w:val="00E26F6C"/>
    <w:rsid w:val="00E31BD0"/>
    <w:rsid w:val="00E331A1"/>
    <w:rsid w:val="00E34025"/>
    <w:rsid w:val="00E34CA3"/>
    <w:rsid w:val="00E35C4A"/>
    <w:rsid w:val="00E3670C"/>
    <w:rsid w:val="00E36F94"/>
    <w:rsid w:val="00E37A0F"/>
    <w:rsid w:val="00E37DA6"/>
    <w:rsid w:val="00E37FE3"/>
    <w:rsid w:val="00E40EB7"/>
    <w:rsid w:val="00E4196F"/>
    <w:rsid w:val="00E428B1"/>
    <w:rsid w:val="00E42BB4"/>
    <w:rsid w:val="00E439AD"/>
    <w:rsid w:val="00E43AAA"/>
    <w:rsid w:val="00E44C62"/>
    <w:rsid w:val="00E47936"/>
    <w:rsid w:val="00E5108B"/>
    <w:rsid w:val="00E5317C"/>
    <w:rsid w:val="00E5387C"/>
    <w:rsid w:val="00E53C42"/>
    <w:rsid w:val="00E54EF2"/>
    <w:rsid w:val="00E551D0"/>
    <w:rsid w:val="00E557B7"/>
    <w:rsid w:val="00E55AE8"/>
    <w:rsid w:val="00E56ADA"/>
    <w:rsid w:val="00E60DC5"/>
    <w:rsid w:val="00E60EB0"/>
    <w:rsid w:val="00E6138E"/>
    <w:rsid w:val="00E61A49"/>
    <w:rsid w:val="00E6231F"/>
    <w:rsid w:val="00E63559"/>
    <w:rsid w:val="00E63C8E"/>
    <w:rsid w:val="00E63D11"/>
    <w:rsid w:val="00E645C2"/>
    <w:rsid w:val="00E65A74"/>
    <w:rsid w:val="00E660DE"/>
    <w:rsid w:val="00E67180"/>
    <w:rsid w:val="00E6766D"/>
    <w:rsid w:val="00E676E2"/>
    <w:rsid w:val="00E677F6"/>
    <w:rsid w:val="00E67DF4"/>
    <w:rsid w:val="00E72BDF"/>
    <w:rsid w:val="00E731EB"/>
    <w:rsid w:val="00E73C02"/>
    <w:rsid w:val="00E74FA5"/>
    <w:rsid w:val="00E756A8"/>
    <w:rsid w:val="00E76032"/>
    <w:rsid w:val="00E768F2"/>
    <w:rsid w:val="00E77E9E"/>
    <w:rsid w:val="00E80DD8"/>
    <w:rsid w:val="00E81420"/>
    <w:rsid w:val="00E81D63"/>
    <w:rsid w:val="00E81DED"/>
    <w:rsid w:val="00E82316"/>
    <w:rsid w:val="00E825B3"/>
    <w:rsid w:val="00E849DE"/>
    <w:rsid w:val="00E851BD"/>
    <w:rsid w:val="00E85948"/>
    <w:rsid w:val="00E86536"/>
    <w:rsid w:val="00E9004A"/>
    <w:rsid w:val="00E9112F"/>
    <w:rsid w:val="00E9167E"/>
    <w:rsid w:val="00E922A4"/>
    <w:rsid w:val="00E925CE"/>
    <w:rsid w:val="00E935E4"/>
    <w:rsid w:val="00E93E04"/>
    <w:rsid w:val="00E93F3F"/>
    <w:rsid w:val="00E967CB"/>
    <w:rsid w:val="00E97181"/>
    <w:rsid w:val="00EA05D9"/>
    <w:rsid w:val="00EA1104"/>
    <w:rsid w:val="00EA25D5"/>
    <w:rsid w:val="00EA5257"/>
    <w:rsid w:val="00EA59B6"/>
    <w:rsid w:val="00EA5B0B"/>
    <w:rsid w:val="00EA6F1C"/>
    <w:rsid w:val="00EA71E6"/>
    <w:rsid w:val="00EA73C3"/>
    <w:rsid w:val="00EA7415"/>
    <w:rsid w:val="00EA7C1F"/>
    <w:rsid w:val="00EB0433"/>
    <w:rsid w:val="00EB1B8B"/>
    <w:rsid w:val="00EB1C3A"/>
    <w:rsid w:val="00EB24EC"/>
    <w:rsid w:val="00EB3C54"/>
    <w:rsid w:val="00EB4906"/>
    <w:rsid w:val="00EB4928"/>
    <w:rsid w:val="00EB4951"/>
    <w:rsid w:val="00EB522E"/>
    <w:rsid w:val="00EB595B"/>
    <w:rsid w:val="00EB6F32"/>
    <w:rsid w:val="00EC098E"/>
    <w:rsid w:val="00EC0BCB"/>
    <w:rsid w:val="00EC0E71"/>
    <w:rsid w:val="00EC0F17"/>
    <w:rsid w:val="00EC4228"/>
    <w:rsid w:val="00EC4317"/>
    <w:rsid w:val="00EC5F62"/>
    <w:rsid w:val="00ED2051"/>
    <w:rsid w:val="00ED3A8F"/>
    <w:rsid w:val="00ED5439"/>
    <w:rsid w:val="00ED613A"/>
    <w:rsid w:val="00ED6CFA"/>
    <w:rsid w:val="00ED6D53"/>
    <w:rsid w:val="00ED7EB8"/>
    <w:rsid w:val="00EE113C"/>
    <w:rsid w:val="00EE1855"/>
    <w:rsid w:val="00EE1E1F"/>
    <w:rsid w:val="00EE2B68"/>
    <w:rsid w:val="00EE2E3B"/>
    <w:rsid w:val="00EE3733"/>
    <w:rsid w:val="00EE395E"/>
    <w:rsid w:val="00EE6D70"/>
    <w:rsid w:val="00EE6F51"/>
    <w:rsid w:val="00EE7C99"/>
    <w:rsid w:val="00EF1386"/>
    <w:rsid w:val="00EF2491"/>
    <w:rsid w:val="00EF256B"/>
    <w:rsid w:val="00EF4383"/>
    <w:rsid w:val="00EF5277"/>
    <w:rsid w:val="00EF5CAD"/>
    <w:rsid w:val="00EF611F"/>
    <w:rsid w:val="00EF6BB0"/>
    <w:rsid w:val="00EF7237"/>
    <w:rsid w:val="00EF76E1"/>
    <w:rsid w:val="00F026D7"/>
    <w:rsid w:val="00F029AF"/>
    <w:rsid w:val="00F034B2"/>
    <w:rsid w:val="00F04099"/>
    <w:rsid w:val="00F05B66"/>
    <w:rsid w:val="00F1030E"/>
    <w:rsid w:val="00F10925"/>
    <w:rsid w:val="00F12A32"/>
    <w:rsid w:val="00F12F6C"/>
    <w:rsid w:val="00F13DAE"/>
    <w:rsid w:val="00F157D8"/>
    <w:rsid w:val="00F15BB2"/>
    <w:rsid w:val="00F175DA"/>
    <w:rsid w:val="00F201AD"/>
    <w:rsid w:val="00F21481"/>
    <w:rsid w:val="00F21B21"/>
    <w:rsid w:val="00F222BB"/>
    <w:rsid w:val="00F2348D"/>
    <w:rsid w:val="00F2491A"/>
    <w:rsid w:val="00F24B30"/>
    <w:rsid w:val="00F24EF6"/>
    <w:rsid w:val="00F254E4"/>
    <w:rsid w:val="00F2648D"/>
    <w:rsid w:val="00F26AAB"/>
    <w:rsid w:val="00F26D73"/>
    <w:rsid w:val="00F26F5D"/>
    <w:rsid w:val="00F2738D"/>
    <w:rsid w:val="00F30226"/>
    <w:rsid w:val="00F312E3"/>
    <w:rsid w:val="00F328FD"/>
    <w:rsid w:val="00F334B3"/>
    <w:rsid w:val="00F3381E"/>
    <w:rsid w:val="00F34C92"/>
    <w:rsid w:val="00F35D19"/>
    <w:rsid w:val="00F377AE"/>
    <w:rsid w:val="00F40E15"/>
    <w:rsid w:val="00F41269"/>
    <w:rsid w:val="00F41319"/>
    <w:rsid w:val="00F41A2D"/>
    <w:rsid w:val="00F4292E"/>
    <w:rsid w:val="00F44B13"/>
    <w:rsid w:val="00F45BE7"/>
    <w:rsid w:val="00F46128"/>
    <w:rsid w:val="00F463D7"/>
    <w:rsid w:val="00F467A4"/>
    <w:rsid w:val="00F474D8"/>
    <w:rsid w:val="00F50163"/>
    <w:rsid w:val="00F510E2"/>
    <w:rsid w:val="00F515F1"/>
    <w:rsid w:val="00F5176D"/>
    <w:rsid w:val="00F519DD"/>
    <w:rsid w:val="00F52299"/>
    <w:rsid w:val="00F5273A"/>
    <w:rsid w:val="00F52D6B"/>
    <w:rsid w:val="00F52E18"/>
    <w:rsid w:val="00F535E2"/>
    <w:rsid w:val="00F54516"/>
    <w:rsid w:val="00F546FB"/>
    <w:rsid w:val="00F55335"/>
    <w:rsid w:val="00F55CF7"/>
    <w:rsid w:val="00F561D3"/>
    <w:rsid w:val="00F56C6F"/>
    <w:rsid w:val="00F56E9F"/>
    <w:rsid w:val="00F57437"/>
    <w:rsid w:val="00F578BD"/>
    <w:rsid w:val="00F57D1C"/>
    <w:rsid w:val="00F6077A"/>
    <w:rsid w:val="00F6086A"/>
    <w:rsid w:val="00F6169B"/>
    <w:rsid w:val="00F62824"/>
    <w:rsid w:val="00F62D7C"/>
    <w:rsid w:val="00F6303B"/>
    <w:rsid w:val="00F634C8"/>
    <w:rsid w:val="00F6372F"/>
    <w:rsid w:val="00F64079"/>
    <w:rsid w:val="00F67155"/>
    <w:rsid w:val="00F679DA"/>
    <w:rsid w:val="00F7058F"/>
    <w:rsid w:val="00F70D21"/>
    <w:rsid w:val="00F70FEF"/>
    <w:rsid w:val="00F73E62"/>
    <w:rsid w:val="00F73F06"/>
    <w:rsid w:val="00F74F3A"/>
    <w:rsid w:val="00F75C02"/>
    <w:rsid w:val="00F76850"/>
    <w:rsid w:val="00F77955"/>
    <w:rsid w:val="00F77ECB"/>
    <w:rsid w:val="00F80602"/>
    <w:rsid w:val="00F80F31"/>
    <w:rsid w:val="00F81936"/>
    <w:rsid w:val="00F81A0B"/>
    <w:rsid w:val="00F81BF8"/>
    <w:rsid w:val="00F81E47"/>
    <w:rsid w:val="00F81F31"/>
    <w:rsid w:val="00F8208C"/>
    <w:rsid w:val="00F824EF"/>
    <w:rsid w:val="00F84408"/>
    <w:rsid w:val="00F84DD1"/>
    <w:rsid w:val="00F85C36"/>
    <w:rsid w:val="00F8622B"/>
    <w:rsid w:val="00F86474"/>
    <w:rsid w:val="00F868B4"/>
    <w:rsid w:val="00F8730A"/>
    <w:rsid w:val="00F9016F"/>
    <w:rsid w:val="00F90601"/>
    <w:rsid w:val="00F92DE6"/>
    <w:rsid w:val="00F931F0"/>
    <w:rsid w:val="00F93703"/>
    <w:rsid w:val="00F95DC5"/>
    <w:rsid w:val="00F96009"/>
    <w:rsid w:val="00FA38D5"/>
    <w:rsid w:val="00FA3A14"/>
    <w:rsid w:val="00FA751A"/>
    <w:rsid w:val="00FA78FD"/>
    <w:rsid w:val="00FB11BE"/>
    <w:rsid w:val="00FB1357"/>
    <w:rsid w:val="00FB1799"/>
    <w:rsid w:val="00FB1B56"/>
    <w:rsid w:val="00FB1B94"/>
    <w:rsid w:val="00FB202E"/>
    <w:rsid w:val="00FB257E"/>
    <w:rsid w:val="00FB27F1"/>
    <w:rsid w:val="00FB3604"/>
    <w:rsid w:val="00FB3C6D"/>
    <w:rsid w:val="00FB45C4"/>
    <w:rsid w:val="00FB4C6F"/>
    <w:rsid w:val="00FB4D74"/>
    <w:rsid w:val="00FC1495"/>
    <w:rsid w:val="00FC2432"/>
    <w:rsid w:val="00FC3CE9"/>
    <w:rsid w:val="00FC4F13"/>
    <w:rsid w:val="00FC58DE"/>
    <w:rsid w:val="00FC5E76"/>
    <w:rsid w:val="00FC69CF"/>
    <w:rsid w:val="00FC6F86"/>
    <w:rsid w:val="00FC7214"/>
    <w:rsid w:val="00FC7FB3"/>
    <w:rsid w:val="00FD058F"/>
    <w:rsid w:val="00FD0784"/>
    <w:rsid w:val="00FD0B70"/>
    <w:rsid w:val="00FD0D37"/>
    <w:rsid w:val="00FD1063"/>
    <w:rsid w:val="00FD116F"/>
    <w:rsid w:val="00FD11B8"/>
    <w:rsid w:val="00FD1440"/>
    <w:rsid w:val="00FD1489"/>
    <w:rsid w:val="00FD15B2"/>
    <w:rsid w:val="00FD17D7"/>
    <w:rsid w:val="00FD1E95"/>
    <w:rsid w:val="00FD2DA9"/>
    <w:rsid w:val="00FD342F"/>
    <w:rsid w:val="00FD35FA"/>
    <w:rsid w:val="00FD4E32"/>
    <w:rsid w:val="00FD5801"/>
    <w:rsid w:val="00FD59F1"/>
    <w:rsid w:val="00FD5A3D"/>
    <w:rsid w:val="00FD62B2"/>
    <w:rsid w:val="00FD66A4"/>
    <w:rsid w:val="00FD6FE2"/>
    <w:rsid w:val="00FD7178"/>
    <w:rsid w:val="00FD74CB"/>
    <w:rsid w:val="00FD7543"/>
    <w:rsid w:val="00FD7BF5"/>
    <w:rsid w:val="00FE185C"/>
    <w:rsid w:val="00FE3C5F"/>
    <w:rsid w:val="00FE401B"/>
    <w:rsid w:val="00FE4705"/>
    <w:rsid w:val="00FE557C"/>
    <w:rsid w:val="00FE6C74"/>
    <w:rsid w:val="00FF25D6"/>
    <w:rsid w:val="00FF27DA"/>
    <w:rsid w:val="00FF2BE1"/>
    <w:rsid w:val="00FF3129"/>
    <w:rsid w:val="00FF4494"/>
    <w:rsid w:val="00FF4C3A"/>
    <w:rsid w:val="00FF62F4"/>
    <w:rsid w:val="00FF6519"/>
    <w:rsid w:val="00FF69C7"/>
  </w:rsids>
  <m:mathPr>
    <m:mathFont m:val="Cambria Math"/>
    <m:brkBin m:val="before"/>
    <m:brkBinSub m:val="--"/>
    <m:smallFrac/>
    <m:dispDef/>
    <m:lMargin m:val="0"/>
    <m:rMargin m:val="0"/>
    <m:defJc m:val="centerGroup"/>
    <m:wrapIndent m:val="1440"/>
    <m:intLim m:val="subSup"/>
    <m:naryLim m:val="undOvr"/>
  </m:mathPr>
  <w:themeFontLang w:val="de-DE" w:eastAsia="zh-CN"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CDC12"/>
  <w15:docId w15:val="{147901C9-BBFC-467D-AF09-5791CA427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hu-HU" w:eastAsia="hu-HU" w:bidi="hu-HU"/>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D44C0A"/>
    <w:pPr>
      <w:tabs>
        <w:tab w:val="left" w:pos="567"/>
      </w:tabs>
      <w:spacing w:line="260" w:lineRule="exact"/>
    </w:pPr>
    <w:rPr>
      <w:rFonts w:eastAsia="Times New Roman"/>
      <w:sz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rsid w:val="006B59F1"/>
    <w:pPr>
      <w:tabs>
        <w:tab w:val="center" w:pos="4536"/>
        <w:tab w:val="right" w:pos="8306"/>
      </w:tabs>
    </w:pPr>
    <w:rPr>
      <w:rFonts w:ascii="Arial" w:hAnsi="Arial"/>
      <w:noProof/>
      <w:sz w:val="16"/>
    </w:rPr>
  </w:style>
  <w:style w:type="paragraph" w:styleId="lfej">
    <w:name w:val="header"/>
    <w:basedOn w:val="Norml"/>
    <w:link w:val="lfejChar"/>
    <w:uiPriority w:val="99"/>
    <w:rsid w:val="006B59F1"/>
    <w:pPr>
      <w:tabs>
        <w:tab w:val="center" w:pos="4153"/>
        <w:tab w:val="right" w:pos="8306"/>
      </w:tabs>
    </w:pPr>
    <w:rPr>
      <w:rFonts w:ascii="Arial" w:hAnsi="Arial"/>
      <w:sz w:val="20"/>
    </w:rPr>
  </w:style>
  <w:style w:type="paragraph" w:customStyle="1" w:styleId="MemoHeaderStyle">
    <w:name w:val="MemoHeaderStyle"/>
    <w:basedOn w:val="Norml"/>
    <w:next w:val="Norml"/>
    <w:rsid w:val="006B59F1"/>
    <w:pPr>
      <w:spacing w:line="120" w:lineRule="atLeast"/>
      <w:ind w:left="1418"/>
      <w:jc w:val="both"/>
    </w:pPr>
    <w:rPr>
      <w:rFonts w:ascii="Arial" w:hAnsi="Arial"/>
      <w:b/>
      <w:smallCaps/>
    </w:rPr>
  </w:style>
  <w:style w:type="character" w:styleId="Oldalszm">
    <w:name w:val="page number"/>
    <w:basedOn w:val="Bekezdsalapbettpusa"/>
    <w:rsid w:val="00812D16"/>
  </w:style>
  <w:style w:type="paragraph" w:styleId="Szvegtrzs">
    <w:name w:val="Body Text"/>
    <w:basedOn w:val="Norml"/>
    <w:rsid w:val="00812D16"/>
    <w:pPr>
      <w:tabs>
        <w:tab w:val="clear" w:pos="567"/>
      </w:tabs>
      <w:spacing w:line="240" w:lineRule="auto"/>
    </w:pPr>
    <w:rPr>
      <w:i/>
      <w:color w:val="008000"/>
    </w:rPr>
  </w:style>
  <w:style w:type="paragraph" w:styleId="Jegyzetszveg">
    <w:name w:val="annotation text"/>
    <w:basedOn w:val="Norml"/>
    <w:link w:val="JegyzetszvegChar"/>
    <w:uiPriority w:val="99"/>
    <w:rsid w:val="00812D16"/>
    <w:rPr>
      <w:sz w:val="20"/>
    </w:rPr>
  </w:style>
  <w:style w:type="character" w:styleId="Hiperhivatkozs">
    <w:name w:val="Hyperlink"/>
    <w:rsid w:val="00812D16"/>
    <w:rPr>
      <w:color w:val="0000FF"/>
      <w:u w:val="single"/>
    </w:rPr>
  </w:style>
  <w:style w:type="paragraph" w:customStyle="1" w:styleId="EMEAEnBodyText">
    <w:name w:val="EMEA En Body Text"/>
    <w:basedOn w:val="Norml"/>
    <w:rsid w:val="00812D16"/>
    <w:pPr>
      <w:tabs>
        <w:tab w:val="clear" w:pos="567"/>
      </w:tabs>
      <w:spacing w:before="120" w:after="120" w:line="240" w:lineRule="auto"/>
      <w:jc w:val="both"/>
    </w:pPr>
  </w:style>
  <w:style w:type="paragraph" w:styleId="Buborkszveg">
    <w:name w:val="Balloon Text"/>
    <w:basedOn w:val="Norml"/>
    <w:semiHidden/>
    <w:rsid w:val="00A20C7F"/>
    <w:rPr>
      <w:rFonts w:ascii="Tahoma" w:hAnsi="Tahoma" w:cs="Tahoma"/>
      <w:sz w:val="16"/>
      <w:szCs w:val="16"/>
    </w:rPr>
  </w:style>
  <w:style w:type="paragraph" w:customStyle="1" w:styleId="BodytextAgency">
    <w:name w:val="Body text (Agency)"/>
    <w:basedOn w:val="Norml"/>
    <w:link w:val="BodytextAgencyChar"/>
    <w:rsid w:val="00345F9C"/>
    <w:pPr>
      <w:tabs>
        <w:tab w:val="clear" w:pos="567"/>
      </w:tabs>
      <w:spacing w:after="140" w:line="280" w:lineRule="atLeast"/>
    </w:pPr>
    <w:rPr>
      <w:rFonts w:ascii="Verdana" w:eastAsia="Verdana" w:hAnsi="Verdana" w:cs="Verdana"/>
      <w:sz w:val="18"/>
      <w:szCs w:val="18"/>
    </w:rPr>
  </w:style>
  <w:style w:type="character" w:customStyle="1" w:styleId="BodytextAgencyChar">
    <w:name w:val="Body text (Agency) Char"/>
    <w:link w:val="BodytextAgency"/>
    <w:rsid w:val="00345F9C"/>
    <w:rPr>
      <w:rFonts w:ascii="Verdana" w:eastAsia="Verdana" w:hAnsi="Verdana" w:cs="Verdana"/>
      <w:sz w:val="18"/>
      <w:szCs w:val="18"/>
    </w:rPr>
  </w:style>
  <w:style w:type="paragraph" w:customStyle="1" w:styleId="DraftingNotesAgency">
    <w:name w:val="Drafting Notes (Agency)"/>
    <w:basedOn w:val="Norml"/>
    <w:next w:val="BodytextAgency"/>
    <w:link w:val="DraftingNotesAgencyChar"/>
    <w:rsid w:val="00345F9C"/>
    <w:pPr>
      <w:tabs>
        <w:tab w:val="clear" w:pos="567"/>
      </w:tabs>
      <w:spacing w:after="140" w:line="280" w:lineRule="atLeast"/>
    </w:pPr>
    <w:rPr>
      <w:rFonts w:ascii="Courier New" w:eastAsia="Verdana" w:hAnsi="Courier New"/>
      <w:i/>
      <w:color w:val="339966"/>
      <w:szCs w:val="18"/>
    </w:rPr>
  </w:style>
  <w:style w:type="character" w:customStyle="1" w:styleId="DraftingNotesAgencyChar">
    <w:name w:val="Drafting Notes (Agency) Char"/>
    <w:link w:val="DraftingNotesAgency"/>
    <w:rsid w:val="00345F9C"/>
    <w:rPr>
      <w:rFonts w:ascii="Courier New" w:eastAsia="Verdana" w:hAnsi="Courier New"/>
      <w:i/>
      <w:color w:val="339966"/>
      <w:sz w:val="22"/>
      <w:szCs w:val="18"/>
    </w:rPr>
  </w:style>
  <w:style w:type="paragraph" w:customStyle="1" w:styleId="NormalAgency">
    <w:name w:val="Normal (Agency)"/>
    <w:link w:val="NormalAgencyChar"/>
    <w:rsid w:val="00C179B0"/>
    <w:rPr>
      <w:rFonts w:ascii="Verdana" w:eastAsia="Verdana" w:hAnsi="Verdana" w:cs="Verdana"/>
      <w:sz w:val="18"/>
      <w:szCs w:val="18"/>
    </w:rPr>
  </w:style>
  <w:style w:type="table" w:customStyle="1" w:styleId="TablegridAgencyblack">
    <w:name w:val="Table grid (Agency) black"/>
    <w:basedOn w:val="Normltblzat"/>
    <w:semiHidden/>
    <w:rsid w:val="00C179B0"/>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Bold" w:hAnsi="Times New Roman Bold"/>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C179B0"/>
    <w:pPr>
      <w:keepNext/>
    </w:pPr>
    <w:rPr>
      <w:rFonts w:eastAsia="Times New Roman"/>
      <w:b/>
    </w:rPr>
  </w:style>
  <w:style w:type="paragraph" w:customStyle="1" w:styleId="TabletextrowsAgency">
    <w:name w:val="Table text rows (Agency)"/>
    <w:basedOn w:val="Norml"/>
    <w:rsid w:val="00C179B0"/>
    <w:pPr>
      <w:tabs>
        <w:tab w:val="clear" w:pos="567"/>
      </w:tabs>
      <w:spacing w:line="280" w:lineRule="exact"/>
    </w:pPr>
    <w:rPr>
      <w:rFonts w:ascii="Verdana" w:hAnsi="Verdana" w:cs="Verdana"/>
      <w:sz w:val="18"/>
      <w:szCs w:val="18"/>
    </w:rPr>
  </w:style>
  <w:style w:type="character" w:customStyle="1" w:styleId="NormalAgencyChar">
    <w:name w:val="Normal (Agency) Char"/>
    <w:link w:val="NormalAgency"/>
    <w:rsid w:val="00C179B0"/>
    <w:rPr>
      <w:rFonts w:ascii="Verdana" w:eastAsia="Verdana" w:hAnsi="Verdana" w:cs="Verdana"/>
      <w:sz w:val="18"/>
      <w:szCs w:val="18"/>
    </w:rPr>
  </w:style>
  <w:style w:type="character" w:styleId="Jegyzethivatkozs">
    <w:name w:val="annotation reference"/>
    <w:rsid w:val="00BC6DC2"/>
    <w:rPr>
      <w:sz w:val="16"/>
      <w:szCs w:val="16"/>
    </w:rPr>
  </w:style>
  <w:style w:type="paragraph" w:styleId="Megjegyzstrgya">
    <w:name w:val="annotation subject"/>
    <w:basedOn w:val="Jegyzetszveg"/>
    <w:next w:val="Jegyzetszveg"/>
    <w:link w:val="MegjegyzstrgyaChar"/>
    <w:rsid w:val="00BC6DC2"/>
    <w:rPr>
      <w:b/>
      <w:bCs/>
    </w:rPr>
  </w:style>
  <w:style w:type="character" w:customStyle="1" w:styleId="JegyzetszvegChar">
    <w:name w:val="Jegyzetszöveg Char"/>
    <w:link w:val="Jegyzetszveg"/>
    <w:uiPriority w:val="99"/>
    <w:rsid w:val="00BC6DC2"/>
    <w:rPr>
      <w:rFonts w:eastAsia="Times New Roman"/>
    </w:rPr>
  </w:style>
  <w:style w:type="character" w:customStyle="1" w:styleId="MegjegyzstrgyaChar">
    <w:name w:val="Megjegyzés tárgya Char"/>
    <w:link w:val="Megjegyzstrgya"/>
    <w:rsid w:val="00BC6DC2"/>
    <w:rPr>
      <w:rFonts w:eastAsia="Times New Roman"/>
      <w:b/>
      <w:bCs/>
    </w:rPr>
  </w:style>
  <w:style w:type="paragraph" w:styleId="Vltozat">
    <w:name w:val="Revision"/>
    <w:hidden/>
    <w:uiPriority w:val="99"/>
    <w:semiHidden/>
    <w:rsid w:val="00B21BE7"/>
    <w:rPr>
      <w:rFonts w:eastAsia="Times New Roman"/>
      <w:sz w:val="22"/>
    </w:rPr>
  </w:style>
  <w:style w:type="paragraph" w:styleId="NormlWeb">
    <w:name w:val="Normal (Web)"/>
    <w:basedOn w:val="Norml"/>
    <w:uiPriority w:val="99"/>
    <w:unhideWhenUsed/>
    <w:rsid w:val="00E93E04"/>
    <w:pPr>
      <w:tabs>
        <w:tab w:val="clear" w:pos="567"/>
      </w:tabs>
      <w:spacing w:before="100" w:beforeAutospacing="1" w:after="100" w:afterAutospacing="1" w:line="240" w:lineRule="auto"/>
    </w:pPr>
    <w:rPr>
      <w:sz w:val="24"/>
      <w:szCs w:val="24"/>
    </w:rPr>
  </w:style>
  <w:style w:type="table" w:styleId="Rcsostblzat">
    <w:name w:val="Table Grid"/>
    <w:basedOn w:val="Normltblzat"/>
    <w:rsid w:val="009B2C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Font">
    <w:name w:val="Paragraph Font"/>
    <w:basedOn w:val="Norml"/>
    <w:link w:val="ParagraphFontZchn"/>
    <w:rsid w:val="00DA4866"/>
    <w:pPr>
      <w:tabs>
        <w:tab w:val="clear" w:pos="567"/>
      </w:tabs>
      <w:spacing w:before="120" w:after="120" w:line="280" w:lineRule="atLeast"/>
    </w:pPr>
    <w:rPr>
      <w:sz w:val="24"/>
    </w:rPr>
  </w:style>
  <w:style w:type="character" w:customStyle="1" w:styleId="ParagraphFontZchn">
    <w:name w:val="Paragraph Font Zchn"/>
    <w:link w:val="ParagraphFont"/>
    <w:rsid w:val="00DA4866"/>
    <w:rPr>
      <w:rFonts w:eastAsia="Times New Roman"/>
      <w:sz w:val="24"/>
    </w:rPr>
  </w:style>
  <w:style w:type="character" w:styleId="Kiemels2">
    <w:name w:val="Strong"/>
    <w:basedOn w:val="Bekezdsalapbettpusa"/>
    <w:uiPriority w:val="22"/>
    <w:qFormat/>
    <w:rsid w:val="00F2648D"/>
    <w:rPr>
      <w:b/>
      <w:bCs/>
    </w:rPr>
  </w:style>
  <w:style w:type="paragraph" w:styleId="Dokumentumtrkp">
    <w:name w:val="Document Map"/>
    <w:basedOn w:val="Norml"/>
    <w:link w:val="DokumentumtrkpChar"/>
    <w:semiHidden/>
    <w:unhideWhenUsed/>
    <w:rsid w:val="005B7FC9"/>
    <w:pPr>
      <w:spacing w:line="240" w:lineRule="auto"/>
    </w:pPr>
    <w:rPr>
      <w:rFonts w:ascii="Tahoma" w:hAnsi="Tahoma" w:cs="Tahoma"/>
      <w:sz w:val="16"/>
      <w:szCs w:val="16"/>
    </w:rPr>
  </w:style>
  <w:style w:type="character" w:customStyle="1" w:styleId="DokumentumtrkpChar">
    <w:name w:val="Dokumentumtérkép Char"/>
    <w:basedOn w:val="Bekezdsalapbettpusa"/>
    <w:link w:val="Dokumentumtrkp"/>
    <w:semiHidden/>
    <w:rsid w:val="005B7FC9"/>
    <w:rPr>
      <w:rFonts w:ascii="Tahoma" w:eastAsia="Times New Roman" w:hAnsi="Tahoma" w:cs="Tahoma"/>
      <w:sz w:val="16"/>
      <w:szCs w:val="16"/>
    </w:rPr>
  </w:style>
  <w:style w:type="paragraph" w:styleId="Listaszerbekezds">
    <w:name w:val="List Paragraph"/>
    <w:basedOn w:val="Norml"/>
    <w:uiPriority w:val="34"/>
    <w:qFormat/>
    <w:rsid w:val="00AF4448"/>
    <w:pPr>
      <w:tabs>
        <w:tab w:val="clear" w:pos="567"/>
        <w:tab w:val="left" w:pos="720"/>
      </w:tabs>
      <w:spacing w:after="300" w:line="288" w:lineRule="auto"/>
      <w:ind w:left="708"/>
    </w:pPr>
    <w:rPr>
      <w:sz w:val="24"/>
    </w:rPr>
  </w:style>
  <w:style w:type="paragraph" w:customStyle="1" w:styleId="C-BodyText">
    <w:name w:val="C-Body Text"/>
    <w:link w:val="C-BodyTextChar"/>
    <w:rsid w:val="008C6F53"/>
    <w:pPr>
      <w:spacing w:before="120" w:after="120" w:line="280" w:lineRule="atLeast"/>
    </w:pPr>
    <w:rPr>
      <w:rFonts w:eastAsia="Times New Roman"/>
      <w:sz w:val="24"/>
    </w:rPr>
  </w:style>
  <w:style w:type="character" w:customStyle="1" w:styleId="C-BodyTextChar">
    <w:name w:val="C-Body Text Char"/>
    <w:link w:val="C-BodyText"/>
    <w:rsid w:val="008C6F53"/>
    <w:rPr>
      <w:rFonts w:eastAsia="Times New Roman"/>
      <w:sz w:val="24"/>
    </w:rPr>
  </w:style>
  <w:style w:type="paragraph" w:styleId="Kpalrs">
    <w:name w:val="caption"/>
    <w:aliases w:val="Caption Char,Bayer Caption,Beschriftung1,Caption Char1,Caption Char Char,Caption Char1 Char Char, Char,Char,caption,Caption-FUSA,Caption Char Char Char Char,Char Char Char Char Char,Caption Char Char1"/>
    <w:basedOn w:val="Norml"/>
    <w:next w:val="Szvegtrzs"/>
    <w:link w:val="KpalrsChar"/>
    <w:unhideWhenUsed/>
    <w:qFormat/>
    <w:rsid w:val="006F29C8"/>
    <w:pPr>
      <w:keepNext/>
      <w:keepLines/>
      <w:tabs>
        <w:tab w:val="clear" w:pos="567"/>
        <w:tab w:val="left" w:pos="1134"/>
      </w:tabs>
      <w:spacing w:before="20" w:after="20" w:line="240" w:lineRule="auto"/>
      <w:ind w:left="1134" w:hanging="1134"/>
    </w:pPr>
    <w:rPr>
      <w:rFonts w:eastAsiaTheme="minorEastAsia"/>
      <w:b/>
      <w:bCs/>
      <w:sz w:val="20"/>
      <w:szCs w:val="18"/>
    </w:rPr>
  </w:style>
  <w:style w:type="character" w:customStyle="1" w:styleId="KpalrsChar">
    <w:name w:val="Képaláírás Char"/>
    <w:aliases w:val="Caption Char Char2,Bayer Caption Char,Beschriftung1 Char,Caption Char1 Char,Caption Char Char Char,Caption Char1 Char Char Char, Char Char,Char Char,caption Char,Caption-FUSA Char,Caption Char Char Char Char Char,Caption Char Char1 Char"/>
    <w:link w:val="Kpalrs"/>
    <w:locked/>
    <w:rsid w:val="006F29C8"/>
    <w:rPr>
      <w:rFonts w:eastAsiaTheme="minorEastAsia"/>
      <w:b/>
      <w:bCs/>
      <w:szCs w:val="18"/>
    </w:rPr>
  </w:style>
  <w:style w:type="paragraph" w:customStyle="1" w:styleId="Default">
    <w:name w:val="Default"/>
    <w:rsid w:val="004418E0"/>
    <w:pPr>
      <w:autoSpaceDE w:val="0"/>
      <w:autoSpaceDN w:val="0"/>
      <w:adjustRightInd w:val="0"/>
    </w:pPr>
    <w:rPr>
      <w:rFonts w:ascii="Verdana" w:hAnsi="Verdana" w:cs="Verdana"/>
      <w:color w:val="000000"/>
      <w:sz w:val="24"/>
      <w:szCs w:val="24"/>
    </w:rPr>
  </w:style>
  <w:style w:type="character" w:styleId="Mrltotthiperhivatkozs">
    <w:name w:val="FollowedHyperlink"/>
    <w:basedOn w:val="Bekezdsalapbettpusa"/>
    <w:rsid w:val="00411644"/>
    <w:rPr>
      <w:color w:val="800080" w:themeColor="followedHyperlink"/>
      <w:u w:val="single"/>
    </w:rPr>
  </w:style>
  <w:style w:type="character" w:customStyle="1" w:styleId="UnresolvedMention1">
    <w:name w:val="Unresolved Mention1"/>
    <w:basedOn w:val="Bekezdsalapbettpusa"/>
    <w:uiPriority w:val="99"/>
    <w:semiHidden/>
    <w:unhideWhenUsed/>
    <w:rsid w:val="00A27E5B"/>
    <w:rPr>
      <w:color w:val="808080"/>
      <w:shd w:val="clear" w:color="auto" w:fill="E6E6E6"/>
    </w:rPr>
  </w:style>
  <w:style w:type="character" w:customStyle="1" w:styleId="NichtaufgelsteErwhnung1">
    <w:name w:val="Nicht aufgelöste Erwähnung1"/>
    <w:basedOn w:val="Bekezdsalapbettpusa"/>
    <w:uiPriority w:val="99"/>
    <w:semiHidden/>
    <w:unhideWhenUsed/>
    <w:rsid w:val="009904B3"/>
    <w:rPr>
      <w:color w:val="605E5C"/>
      <w:shd w:val="clear" w:color="auto" w:fill="E1DFDD"/>
    </w:rPr>
  </w:style>
  <w:style w:type="character" w:customStyle="1" w:styleId="NichtaufgelsteErwhnung2">
    <w:name w:val="Nicht aufgelöste Erwähnung2"/>
    <w:basedOn w:val="Bekezdsalapbettpusa"/>
    <w:uiPriority w:val="99"/>
    <w:semiHidden/>
    <w:unhideWhenUsed/>
    <w:rsid w:val="00F578BD"/>
    <w:rPr>
      <w:color w:val="605E5C"/>
      <w:shd w:val="clear" w:color="auto" w:fill="E1DFDD"/>
    </w:rPr>
  </w:style>
  <w:style w:type="paragraph" w:customStyle="1" w:styleId="TitleA">
    <w:name w:val="Title A"/>
    <w:basedOn w:val="Norml"/>
    <w:rsid w:val="00853DE9"/>
    <w:pPr>
      <w:tabs>
        <w:tab w:val="clear" w:pos="567"/>
      </w:tabs>
      <w:spacing w:line="240" w:lineRule="auto"/>
      <w:jc w:val="center"/>
    </w:pPr>
    <w:rPr>
      <w:b/>
    </w:rPr>
  </w:style>
  <w:style w:type="character" w:customStyle="1" w:styleId="q4iawc">
    <w:name w:val="q4iawc"/>
    <w:basedOn w:val="Bekezdsalapbettpusa"/>
    <w:rsid w:val="00024768"/>
  </w:style>
  <w:style w:type="character" w:customStyle="1" w:styleId="lfejChar">
    <w:name w:val="Élőfej Char"/>
    <w:basedOn w:val="Bekezdsalapbettpusa"/>
    <w:link w:val="lfej"/>
    <w:uiPriority w:val="99"/>
    <w:rsid w:val="00E645C2"/>
    <w:rPr>
      <w:rFonts w:ascii="Arial" w:eastAsia="Times New Roman"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44065">
      <w:bodyDiv w:val="1"/>
      <w:marLeft w:val="0"/>
      <w:marRight w:val="0"/>
      <w:marTop w:val="0"/>
      <w:marBottom w:val="0"/>
      <w:divBdr>
        <w:top w:val="none" w:sz="0" w:space="0" w:color="auto"/>
        <w:left w:val="none" w:sz="0" w:space="0" w:color="auto"/>
        <w:bottom w:val="none" w:sz="0" w:space="0" w:color="auto"/>
        <w:right w:val="none" w:sz="0" w:space="0" w:color="auto"/>
      </w:divBdr>
    </w:div>
    <w:div w:id="157966191">
      <w:bodyDiv w:val="1"/>
      <w:marLeft w:val="0"/>
      <w:marRight w:val="0"/>
      <w:marTop w:val="0"/>
      <w:marBottom w:val="0"/>
      <w:divBdr>
        <w:top w:val="none" w:sz="0" w:space="0" w:color="auto"/>
        <w:left w:val="none" w:sz="0" w:space="0" w:color="auto"/>
        <w:bottom w:val="none" w:sz="0" w:space="0" w:color="auto"/>
        <w:right w:val="none" w:sz="0" w:space="0" w:color="auto"/>
      </w:divBdr>
    </w:div>
    <w:div w:id="252662800">
      <w:bodyDiv w:val="1"/>
      <w:marLeft w:val="0"/>
      <w:marRight w:val="0"/>
      <w:marTop w:val="0"/>
      <w:marBottom w:val="0"/>
      <w:divBdr>
        <w:top w:val="none" w:sz="0" w:space="0" w:color="auto"/>
        <w:left w:val="none" w:sz="0" w:space="0" w:color="auto"/>
        <w:bottom w:val="none" w:sz="0" w:space="0" w:color="auto"/>
        <w:right w:val="none" w:sz="0" w:space="0" w:color="auto"/>
      </w:divBdr>
    </w:div>
    <w:div w:id="326831012">
      <w:bodyDiv w:val="1"/>
      <w:marLeft w:val="0"/>
      <w:marRight w:val="0"/>
      <w:marTop w:val="0"/>
      <w:marBottom w:val="0"/>
      <w:divBdr>
        <w:top w:val="none" w:sz="0" w:space="0" w:color="auto"/>
        <w:left w:val="none" w:sz="0" w:space="0" w:color="auto"/>
        <w:bottom w:val="none" w:sz="0" w:space="0" w:color="auto"/>
        <w:right w:val="none" w:sz="0" w:space="0" w:color="auto"/>
      </w:divBdr>
      <w:divsChild>
        <w:div w:id="213322291">
          <w:marLeft w:val="0"/>
          <w:marRight w:val="0"/>
          <w:marTop w:val="0"/>
          <w:marBottom w:val="0"/>
          <w:divBdr>
            <w:top w:val="none" w:sz="0" w:space="0" w:color="auto"/>
            <w:left w:val="none" w:sz="0" w:space="0" w:color="auto"/>
            <w:bottom w:val="none" w:sz="0" w:space="0" w:color="auto"/>
            <w:right w:val="none" w:sz="0" w:space="0" w:color="auto"/>
          </w:divBdr>
        </w:div>
        <w:div w:id="474492932">
          <w:marLeft w:val="0"/>
          <w:marRight w:val="0"/>
          <w:marTop w:val="0"/>
          <w:marBottom w:val="0"/>
          <w:divBdr>
            <w:top w:val="none" w:sz="0" w:space="0" w:color="auto"/>
            <w:left w:val="none" w:sz="0" w:space="0" w:color="auto"/>
            <w:bottom w:val="none" w:sz="0" w:space="0" w:color="auto"/>
            <w:right w:val="none" w:sz="0" w:space="0" w:color="auto"/>
          </w:divBdr>
        </w:div>
        <w:div w:id="1675448879">
          <w:marLeft w:val="0"/>
          <w:marRight w:val="0"/>
          <w:marTop w:val="0"/>
          <w:marBottom w:val="0"/>
          <w:divBdr>
            <w:top w:val="none" w:sz="0" w:space="0" w:color="auto"/>
            <w:left w:val="none" w:sz="0" w:space="0" w:color="auto"/>
            <w:bottom w:val="none" w:sz="0" w:space="0" w:color="auto"/>
            <w:right w:val="none" w:sz="0" w:space="0" w:color="auto"/>
          </w:divBdr>
        </w:div>
        <w:div w:id="1754889799">
          <w:marLeft w:val="0"/>
          <w:marRight w:val="0"/>
          <w:marTop w:val="0"/>
          <w:marBottom w:val="0"/>
          <w:divBdr>
            <w:top w:val="none" w:sz="0" w:space="0" w:color="auto"/>
            <w:left w:val="none" w:sz="0" w:space="0" w:color="auto"/>
            <w:bottom w:val="none" w:sz="0" w:space="0" w:color="auto"/>
            <w:right w:val="none" w:sz="0" w:space="0" w:color="auto"/>
          </w:divBdr>
        </w:div>
        <w:div w:id="1875920888">
          <w:marLeft w:val="0"/>
          <w:marRight w:val="0"/>
          <w:marTop w:val="0"/>
          <w:marBottom w:val="0"/>
          <w:divBdr>
            <w:top w:val="none" w:sz="0" w:space="0" w:color="auto"/>
            <w:left w:val="none" w:sz="0" w:space="0" w:color="auto"/>
            <w:bottom w:val="none" w:sz="0" w:space="0" w:color="auto"/>
            <w:right w:val="none" w:sz="0" w:space="0" w:color="auto"/>
          </w:divBdr>
        </w:div>
        <w:div w:id="1886064974">
          <w:marLeft w:val="0"/>
          <w:marRight w:val="0"/>
          <w:marTop w:val="0"/>
          <w:marBottom w:val="0"/>
          <w:divBdr>
            <w:top w:val="none" w:sz="0" w:space="0" w:color="auto"/>
            <w:left w:val="none" w:sz="0" w:space="0" w:color="auto"/>
            <w:bottom w:val="none" w:sz="0" w:space="0" w:color="auto"/>
            <w:right w:val="none" w:sz="0" w:space="0" w:color="auto"/>
          </w:divBdr>
        </w:div>
      </w:divsChild>
    </w:div>
    <w:div w:id="437795724">
      <w:bodyDiv w:val="1"/>
      <w:marLeft w:val="0"/>
      <w:marRight w:val="0"/>
      <w:marTop w:val="0"/>
      <w:marBottom w:val="0"/>
      <w:divBdr>
        <w:top w:val="none" w:sz="0" w:space="0" w:color="auto"/>
        <w:left w:val="none" w:sz="0" w:space="0" w:color="auto"/>
        <w:bottom w:val="none" w:sz="0" w:space="0" w:color="auto"/>
        <w:right w:val="none" w:sz="0" w:space="0" w:color="auto"/>
      </w:divBdr>
    </w:div>
    <w:div w:id="443774167">
      <w:bodyDiv w:val="1"/>
      <w:marLeft w:val="0"/>
      <w:marRight w:val="0"/>
      <w:marTop w:val="0"/>
      <w:marBottom w:val="0"/>
      <w:divBdr>
        <w:top w:val="none" w:sz="0" w:space="0" w:color="auto"/>
        <w:left w:val="none" w:sz="0" w:space="0" w:color="auto"/>
        <w:bottom w:val="none" w:sz="0" w:space="0" w:color="auto"/>
        <w:right w:val="none" w:sz="0" w:space="0" w:color="auto"/>
      </w:divBdr>
    </w:div>
    <w:div w:id="470369316">
      <w:bodyDiv w:val="1"/>
      <w:marLeft w:val="0"/>
      <w:marRight w:val="0"/>
      <w:marTop w:val="0"/>
      <w:marBottom w:val="0"/>
      <w:divBdr>
        <w:top w:val="none" w:sz="0" w:space="0" w:color="auto"/>
        <w:left w:val="none" w:sz="0" w:space="0" w:color="auto"/>
        <w:bottom w:val="none" w:sz="0" w:space="0" w:color="auto"/>
        <w:right w:val="none" w:sz="0" w:space="0" w:color="auto"/>
      </w:divBdr>
    </w:div>
    <w:div w:id="581839098">
      <w:bodyDiv w:val="1"/>
      <w:marLeft w:val="0"/>
      <w:marRight w:val="0"/>
      <w:marTop w:val="0"/>
      <w:marBottom w:val="0"/>
      <w:divBdr>
        <w:top w:val="none" w:sz="0" w:space="0" w:color="auto"/>
        <w:left w:val="none" w:sz="0" w:space="0" w:color="auto"/>
        <w:bottom w:val="none" w:sz="0" w:space="0" w:color="auto"/>
        <w:right w:val="none" w:sz="0" w:space="0" w:color="auto"/>
      </w:divBdr>
    </w:div>
    <w:div w:id="582371575">
      <w:bodyDiv w:val="1"/>
      <w:marLeft w:val="0"/>
      <w:marRight w:val="0"/>
      <w:marTop w:val="0"/>
      <w:marBottom w:val="0"/>
      <w:divBdr>
        <w:top w:val="none" w:sz="0" w:space="0" w:color="auto"/>
        <w:left w:val="none" w:sz="0" w:space="0" w:color="auto"/>
        <w:bottom w:val="none" w:sz="0" w:space="0" w:color="auto"/>
        <w:right w:val="none" w:sz="0" w:space="0" w:color="auto"/>
      </w:divBdr>
    </w:div>
    <w:div w:id="617184034">
      <w:bodyDiv w:val="1"/>
      <w:marLeft w:val="0"/>
      <w:marRight w:val="0"/>
      <w:marTop w:val="0"/>
      <w:marBottom w:val="0"/>
      <w:divBdr>
        <w:top w:val="none" w:sz="0" w:space="0" w:color="auto"/>
        <w:left w:val="none" w:sz="0" w:space="0" w:color="auto"/>
        <w:bottom w:val="none" w:sz="0" w:space="0" w:color="auto"/>
        <w:right w:val="none" w:sz="0" w:space="0" w:color="auto"/>
      </w:divBdr>
    </w:div>
    <w:div w:id="635725939">
      <w:bodyDiv w:val="1"/>
      <w:marLeft w:val="0"/>
      <w:marRight w:val="0"/>
      <w:marTop w:val="0"/>
      <w:marBottom w:val="0"/>
      <w:divBdr>
        <w:top w:val="none" w:sz="0" w:space="0" w:color="auto"/>
        <w:left w:val="none" w:sz="0" w:space="0" w:color="auto"/>
        <w:bottom w:val="none" w:sz="0" w:space="0" w:color="auto"/>
        <w:right w:val="none" w:sz="0" w:space="0" w:color="auto"/>
      </w:divBdr>
    </w:div>
    <w:div w:id="639846381">
      <w:bodyDiv w:val="1"/>
      <w:marLeft w:val="0"/>
      <w:marRight w:val="0"/>
      <w:marTop w:val="0"/>
      <w:marBottom w:val="0"/>
      <w:divBdr>
        <w:top w:val="none" w:sz="0" w:space="0" w:color="auto"/>
        <w:left w:val="none" w:sz="0" w:space="0" w:color="auto"/>
        <w:bottom w:val="none" w:sz="0" w:space="0" w:color="auto"/>
        <w:right w:val="none" w:sz="0" w:space="0" w:color="auto"/>
      </w:divBdr>
    </w:div>
    <w:div w:id="693506411">
      <w:bodyDiv w:val="1"/>
      <w:marLeft w:val="0"/>
      <w:marRight w:val="0"/>
      <w:marTop w:val="0"/>
      <w:marBottom w:val="0"/>
      <w:divBdr>
        <w:top w:val="none" w:sz="0" w:space="0" w:color="auto"/>
        <w:left w:val="none" w:sz="0" w:space="0" w:color="auto"/>
        <w:bottom w:val="none" w:sz="0" w:space="0" w:color="auto"/>
        <w:right w:val="none" w:sz="0" w:space="0" w:color="auto"/>
      </w:divBdr>
    </w:div>
    <w:div w:id="739407702">
      <w:bodyDiv w:val="1"/>
      <w:marLeft w:val="0"/>
      <w:marRight w:val="0"/>
      <w:marTop w:val="0"/>
      <w:marBottom w:val="0"/>
      <w:divBdr>
        <w:top w:val="none" w:sz="0" w:space="0" w:color="auto"/>
        <w:left w:val="none" w:sz="0" w:space="0" w:color="auto"/>
        <w:bottom w:val="none" w:sz="0" w:space="0" w:color="auto"/>
        <w:right w:val="none" w:sz="0" w:space="0" w:color="auto"/>
      </w:divBdr>
    </w:div>
    <w:div w:id="767430441">
      <w:bodyDiv w:val="1"/>
      <w:marLeft w:val="0"/>
      <w:marRight w:val="0"/>
      <w:marTop w:val="0"/>
      <w:marBottom w:val="0"/>
      <w:divBdr>
        <w:top w:val="none" w:sz="0" w:space="0" w:color="auto"/>
        <w:left w:val="none" w:sz="0" w:space="0" w:color="auto"/>
        <w:bottom w:val="none" w:sz="0" w:space="0" w:color="auto"/>
        <w:right w:val="none" w:sz="0" w:space="0" w:color="auto"/>
      </w:divBdr>
    </w:div>
    <w:div w:id="839663847">
      <w:bodyDiv w:val="1"/>
      <w:marLeft w:val="0"/>
      <w:marRight w:val="0"/>
      <w:marTop w:val="0"/>
      <w:marBottom w:val="0"/>
      <w:divBdr>
        <w:top w:val="none" w:sz="0" w:space="0" w:color="auto"/>
        <w:left w:val="none" w:sz="0" w:space="0" w:color="auto"/>
        <w:bottom w:val="none" w:sz="0" w:space="0" w:color="auto"/>
        <w:right w:val="none" w:sz="0" w:space="0" w:color="auto"/>
      </w:divBdr>
    </w:div>
    <w:div w:id="899629639">
      <w:bodyDiv w:val="1"/>
      <w:marLeft w:val="0"/>
      <w:marRight w:val="0"/>
      <w:marTop w:val="0"/>
      <w:marBottom w:val="0"/>
      <w:divBdr>
        <w:top w:val="none" w:sz="0" w:space="0" w:color="auto"/>
        <w:left w:val="none" w:sz="0" w:space="0" w:color="auto"/>
        <w:bottom w:val="none" w:sz="0" w:space="0" w:color="auto"/>
        <w:right w:val="none" w:sz="0" w:space="0" w:color="auto"/>
      </w:divBdr>
    </w:div>
    <w:div w:id="912853088">
      <w:bodyDiv w:val="1"/>
      <w:marLeft w:val="0"/>
      <w:marRight w:val="0"/>
      <w:marTop w:val="0"/>
      <w:marBottom w:val="0"/>
      <w:divBdr>
        <w:top w:val="none" w:sz="0" w:space="0" w:color="auto"/>
        <w:left w:val="none" w:sz="0" w:space="0" w:color="auto"/>
        <w:bottom w:val="none" w:sz="0" w:space="0" w:color="auto"/>
        <w:right w:val="none" w:sz="0" w:space="0" w:color="auto"/>
      </w:divBdr>
    </w:div>
    <w:div w:id="964434744">
      <w:bodyDiv w:val="1"/>
      <w:marLeft w:val="0"/>
      <w:marRight w:val="0"/>
      <w:marTop w:val="0"/>
      <w:marBottom w:val="0"/>
      <w:divBdr>
        <w:top w:val="none" w:sz="0" w:space="0" w:color="auto"/>
        <w:left w:val="none" w:sz="0" w:space="0" w:color="auto"/>
        <w:bottom w:val="none" w:sz="0" w:space="0" w:color="auto"/>
        <w:right w:val="none" w:sz="0" w:space="0" w:color="auto"/>
      </w:divBdr>
    </w:div>
    <w:div w:id="993491848">
      <w:bodyDiv w:val="1"/>
      <w:marLeft w:val="0"/>
      <w:marRight w:val="0"/>
      <w:marTop w:val="0"/>
      <w:marBottom w:val="0"/>
      <w:divBdr>
        <w:top w:val="none" w:sz="0" w:space="0" w:color="auto"/>
        <w:left w:val="none" w:sz="0" w:space="0" w:color="auto"/>
        <w:bottom w:val="none" w:sz="0" w:space="0" w:color="auto"/>
        <w:right w:val="none" w:sz="0" w:space="0" w:color="auto"/>
      </w:divBdr>
    </w:div>
    <w:div w:id="1020085697">
      <w:bodyDiv w:val="1"/>
      <w:marLeft w:val="0"/>
      <w:marRight w:val="0"/>
      <w:marTop w:val="0"/>
      <w:marBottom w:val="0"/>
      <w:divBdr>
        <w:top w:val="none" w:sz="0" w:space="0" w:color="auto"/>
        <w:left w:val="none" w:sz="0" w:space="0" w:color="auto"/>
        <w:bottom w:val="none" w:sz="0" w:space="0" w:color="auto"/>
        <w:right w:val="none" w:sz="0" w:space="0" w:color="auto"/>
      </w:divBdr>
    </w:div>
    <w:div w:id="1029406378">
      <w:bodyDiv w:val="1"/>
      <w:marLeft w:val="0"/>
      <w:marRight w:val="0"/>
      <w:marTop w:val="0"/>
      <w:marBottom w:val="0"/>
      <w:divBdr>
        <w:top w:val="none" w:sz="0" w:space="0" w:color="auto"/>
        <w:left w:val="none" w:sz="0" w:space="0" w:color="auto"/>
        <w:bottom w:val="none" w:sz="0" w:space="0" w:color="auto"/>
        <w:right w:val="none" w:sz="0" w:space="0" w:color="auto"/>
      </w:divBdr>
    </w:div>
    <w:div w:id="1053961980">
      <w:bodyDiv w:val="1"/>
      <w:marLeft w:val="0"/>
      <w:marRight w:val="0"/>
      <w:marTop w:val="0"/>
      <w:marBottom w:val="0"/>
      <w:divBdr>
        <w:top w:val="none" w:sz="0" w:space="0" w:color="auto"/>
        <w:left w:val="none" w:sz="0" w:space="0" w:color="auto"/>
        <w:bottom w:val="none" w:sz="0" w:space="0" w:color="auto"/>
        <w:right w:val="none" w:sz="0" w:space="0" w:color="auto"/>
      </w:divBdr>
    </w:div>
    <w:div w:id="1081413034">
      <w:bodyDiv w:val="1"/>
      <w:marLeft w:val="0"/>
      <w:marRight w:val="0"/>
      <w:marTop w:val="0"/>
      <w:marBottom w:val="0"/>
      <w:divBdr>
        <w:top w:val="none" w:sz="0" w:space="0" w:color="auto"/>
        <w:left w:val="none" w:sz="0" w:space="0" w:color="auto"/>
        <w:bottom w:val="none" w:sz="0" w:space="0" w:color="auto"/>
        <w:right w:val="none" w:sz="0" w:space="0" w:color="auto"/>
      </w:divBdr>
    </w:div>
    <w:div w:id="1124278069">
      <w:bodyDiv w:val="1"/>
      <w:marLeft w:val="0"/>
      <w:marRight w:val="0"/>
      <w:marTop w:val="0"/>
      <w:marBottom w:val="0"/>
      <w:divBdr>
        <w:top w:val="none" w:sz="0" w:space="0" w:color="auto"/>
        <w:left w:val="none" w:sz="0" w:space="0" w:color="auto"/>
        <w:bottom w:val="none" w:sz="0" w:space="0" w:color="auto"/>
        <w:right w:val="none" w:sz="0" w:space="0" w:color="auto"/>
      </w:divBdr>
    </w:div>
    <w:div w:id="1154182473">
      <w:bodyDiv w:val="1"/>
      <w:marLeft w:val="0"/>
      <w:marRight w:val="0"/>
      <w:marTop w:val="0"/>
      <w:marBottom w:val="0"/>
      <w:divBdr>
        <w:top w:val="none" w:sz="0" w:space="0" w:color="auto"/>
        <w:left w:val="none" w:sz="0" w:space="0" w:color="auto"/>
        <w:bottom w:val="none" w:sz="0" w:space="0" w:color="auto"/>
        <w:right w:val="none" w:sz="0" w:space="0" w:color="auto"/>
      </w:divBdr>
      <w:divsChild>
        <w:div w:id="1301223758">
          <w:marLeft w:val="0"/>
          <w:marRight w:val="0"/>
          <w:marTop w:val="0"/>
          <w:marBottom w:val="0"/>
          <w:divBdr>
            <w:top w:val="none" w:sz="0" w:space="0" w:color="auto"/>
            <w:left w:val="none" w:sz="0" w:space="0" w:color="auto"/>
            <w:bottom w:val="none" w:sz="0" w:space="0" w:color="auto"/>
            <w:right w:val="none" w:sz="0" w:space="0" w:color="auto"/>
          </w:divBdr>
          <w:divsChild>
            <w:div w:id="156263927">
              <w:marLeft w:val="-225"/>
              <w:marRight w:val="-225"/>
              <w:marTop w:val="0"/>
              <w:marBottom w:val="0"/>
              <w:divBdr>
                <w:top w:val="none" w:sz="0" w:space="0" w:color="auto"/>
                <w:left w:val="none" w:sz="0" w:space="0" w:color="auto"/>
                <w:bottom w:val="none" w:sz="0" w:space="0" w:color="auto"/>
                <w:right w:val="none" w:sz="0" w:space="0" w:color="auto"/>
              </w:divBdr>
              <w:divsChild>
                <w:div w:id="2096393904">
                  <w:marLeft w:val="0"/>
                  <w:marRight w:val="0"/>
                  <w:marTop w:val="0"/>
                  <w:marBottom w:val="0"/>
                  <w:divBdr>
                    <w:top w:val="none" w:sz="0" w:space="0" w:color="auto"/>
                    <w:left w:val="none" w:sz="0" w:space="0" w:color="auto"/>
                    <w:bottom w:val="none" w:sz="0" w:space="0" w:color="auto"/>
                    <w:right w:val="none" w:sz="0" w:space="0" w:color="auto"/>
                  </w:divBdr>
                  <w:divsChild>
                    <w:div w:id="1279801891">
                      <w:marLeft w:val="0"/>
                      <w:marRight w:val="0"/>
                      <w:marTop w:val="0"/>
                      <w:marBottom w:val="0"/>
                      <w:divBdr>
                        <w:top w:val="none" w:sz="0" w:space="0" w:color="auto"/>
                        <w:left w:val="none" w:sz="0" w:space="0" w:color="auto"/>
                        <w:bottom w:val="none" w:sz="0" w:space="0" w:color="auto"/>
                        <w:right w:val="none" w:sz="0" w:space="0" w:color="auto"/>
                      </w:divBdr>
                      <w:divsChild>
                        <w:div w:id="1609390075">
                          <w:marLeft w:val="0"/>
                          <w:marRight w:val="0"/>
                          <w:marTop w:val="0"/>
                          <w:marBottom w:val="0"/>
                          <w:divBdr>
                            <w:top w:val="none" w:sz="0" w:space="0" w:color="auto"/>
                            <w:left w:val="none" w:sz="0" w:space="0" w:color="auto"/>
                            <w:bottom w:val="none" w:sz="0" w:space="0" w:color="auto"/>
                            <w:right w:val="none" w:sz="0" w:space="0" w:color="auto"/>
                          </w:divBdr>
                          <w:divsChild>
                            <w:div w:id="1723170173">
                              <w:marLeft w:val="0"/>
                              <w:marRight w:val="0"/>
                              <w:marTop w:val="0"/>
                              <w:marBottom w:val="0"/>
                              <w:divBdr>
                                <w:top w:val="none" w:sz="0" w:space="0" w:color="auto"/>
                                <w:left w:val="none" w:sz="0" w:space="0" w:color="auto"/>
                                <w:bottom w:val="none" w:sz="0" w:space="0" w:color="auto"/>
                                <w:right w:val="none" w:sz="0" w:space="0" w:color="auto"/>
                              </w:divBdr>
                              <w:divsChild>
                                <w:div w:id="79572321">
                                  <w:marLeft w:val="0"/>
                                  <w:marRight w:val="0"/>
                                  <w:marTop w:val="0"/>
                                  <w:marBottom w:val="0"/>
                                  <w:divBdr>
                                    <w:top w:val="none" w:sz="0" w:space="0" w:color="auto"/>
                                    <w:left w:val="none" w:sz="0" w:space="0" w:color="auto"/>
                                    <w:bottom w:val="none" w:sz="0" w:space="0" w:color="auto"/>
                                    <w:right w:val="none" w:sz="0" w:space="0" w:color="auto"/>
                                  </w:divBdr>
                                  <w:divsChild>
                                    <w:div w:id="53138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8544107">
      <w:bodyDiv w:val="1"/>
      <w:marLeft w:val="0"/>
      <w:marRight w:val="0"/>
      <w:marTop w:val="0"/>
      <w:marBottom w:val="0"/>
      <w:divBdr>
        <w:top w:val="none" w:sz="0" w:space="0" w:color="auto"/>
        <w:left w:val="none" w:sz="0" w:space="0" w:color="auto"/>
        <w:bottom w:val="none" w:sz="0" w:space="0" w:color="auto"/>
        <w:right w:val="none" w:sz="0" w:space="0" w:color="auto"/>
      </w:divBdr>
    </w:div>
    <w:div w:id="1367100432">
      <w:bodyDiv w:val="1"/>
      <w:marLeft w:val="0"/>
      <w:marRight w:val="0"/>
      <w:marTop w:val="0"/>
      <w:marBottom w:val="0"/>
      <w:divBdr>
        <w:top w:val="none" w:sz="0" w:space="0" w:color="auto"/>
        <w:left w:val="none" w:sz="0" w:space="0" w:color="auto"/>
        <w:bottom w:val="none" w:sz="0" w:space="0" w:color="auto"/>
        <w:right w:val="none" w:sz="0" w:space="0" w:color="auto"/>
      </w:divBdr>
    </w:div>
    <w:div w:id="1368414222">
      <w:bodyDiv w:val="1"/>
      <w:marLeft w:val="0"/>
      <w:marRight w:val="0"/>
      <w:marTop w:val="0"/>
      <w:marBottom w:val="0"/>
      <w:divBdr>
        <w:top w:val="none" w:sz="0" w:space="0" w:color="auto"/>
        <w:left w:val="none" w:sz="0" w:space="0" w:color="auto"/>
        <w:bottom w:val="none" w:sz="0" w:space="0" w:color="auto"/>
        <w:right w:val="none" w:sz="0" w:space="0" w:color="auto"/>
      </w:divBdr>
    </w:div>
    <w:div w:id="1458068537">
      <w:bodyDiv w:val="1"/>
      <w:marLeft w:val="0"/>
      <w:marRight w:val="0"/>
      <w:marTop w:val="0"/>
      <w:marBottom w:val="0"/>
      <w:divBdr>
        <w:top w:val="none" w:sz="0" w:space="0" w:color="auto"/>
        <w:left w:val="none" w:sz="0" w:space="0" w:color="auto"/>
        <w:bottom w:val="none" w:sz="0" w:space="0" w:color="auto"/>
        <w:right w:val="none" w:sz="0" w:space="0" w:color="auto"/>
      </w:divBdr>
      <w:divsChild>
        <w:div w:id="1099105773">
          <w:marLeft w:val="0"/>
          <w:marRight w:val="0"/>
          <w:marTop w:val="0"/>
          <w:marBottom w:val="0"/>
          <w:divBdr>
            <w:top w:val="none" w:sz="0" w:space="0" w:color="auto"/>
            <w:left w:val="none" w:sz="0" w:space="0" w:color="auto"/>
            <w:bottom w:val="none" w:sz="0" w:space="0" w:color="auto"/>
            <w:right w:val="none" w:sz="0" w:space="0" w:color="auto"/>
          </w:divBdr>
          <w:divsChild>
            <w:div w:id="346833528">
              <w:marLeft w:val="0"/>
              <w:marRight w:val="0"/>
              <w:marTop w:val="0"/>
              <w:marBottom w:val="0"/>
              <w:divBdr>
                <w:top w:val="none" w:sz="0" w:space="0" w:color="auto"/>
                <w:left w:val="none" w:sz="0" w:space="0" w:color="auto"/>
                <w:bottom w:val="none" w:sz="0" w:space="0" w:color="auto"/>
                <w:right w:val="none" w:sz="0" w:space="0" w:color="auto"/>
              </w:divBdr>
            </w:div>
            <w:div w:id="45417683">
              <w:marLeft w:val="0"/>
              <w:marRight w:val="0"/>
              <w:marTop w:val="0"/>
              <w:marBottom w:val="0"/>
              <w:divBdr>
                <w:top w:val="none" w:sz="0" w:space="0" w:color="auto"/>
                <w:left w:val="none" w:sz="0" w:space="0" w:color="auto"/>
                <w:bottom w:val="none" w:sz="0" w:space="0" w:color="auto"/>
                <w:right w:val="none" w:sz="0" w:space="0" w:color="auto"/>
              </w:divBdr>
            </w:div>
            <w:div w:id="762530404">
              <w:marLeft w:val="0"/>
              <w:marRight w:val="0"/>
              <w:marTop w:val="0"/>
              <w:marBottom w:val="0"/>
              <w:divBdr>
                <w:top w:val="none" w:sz="0" w:space="0" w:color="auto"/>
                <w:left w:val="none" w:sz="0" w:space="0" w:color="auto"/>
                <w:bottom w:val="none" w:sz="0" w:space="0" w:color="auto"/>
                <w:right w:val="none" w:sz="0" w:space="0" w:color="auto"/>
              </w:divBdr>
            </w:div>
            <w:div w:id="15860044">
              <w:marLeft w:val="0"/>
              <w:marRight w:val="0"/>
              <w:marTop w:val="0"/>
              <w:marBottom w:val="0"/>
              <w:divBdr>
                <w:top w:val="none" w:sz="0" w:space="0" w:color="auto"/>
                <w:left w:val="none" w:sz="0" w:space="0" w:color="auto"/>
                <w:bottom w:val="none" w:sz="0" w:space="0" w:color="auto"/>
                <w:right w:val="none" w:sz="0" w:space="0" w:color="auto"/>
              </w:divBdr>
            </w:div>
            <w:div w:id="976639666">
              <w:marLeft w:val="0"/>
              <w:marRight w:val="0"/>
              <w:marTop w:val="0"/>
              <w:marBottom w:val="0"/>
              <w:divBdr>
                <w:top w:val="none" w:sz="0" w:space="0" w:color="auto"/>
                <w:left w:val="none" w:sz="0" w:space="0" w:color="auto"/>
                <w:bottom w:val="none" w:sz="0" w:space="0" w:color="auto"/>
                <w:right w:val="none" w:sz="0" w:space="0" w:color="auto"/>
              </w:divBdr>
            </w:div>
            <w:div w:id="2111122607">
              <w:marLeft w:val="0"/>
              <w:marRight w:val="0"/>
              <w:marTop w:val="0"/>
              <w:marBottom w:val="0"/>
              <w:divBdr>
                <w:top w:val="none" w:sz="0" w:space="0" w:color="auto"/>
                <w:left w:val="none" w:sz="0" w:space="0" w:color="auto"/>
                <w:bottom w:val="none" w:sz="0" w:space="0" w:color="auto"/>
                <w:right w:val="none" w:sz="0" w:space="0" w:color="auto"/>
              </w:divBdr>
            </w:div>
            <w:div w:id="1217887369">
              <w:marLeft w:val="0"/>
              <w:marRight w:val="0"/>
              <w:marTop w:val="0"/>
              <w:marBottom w:val="0"/>
              <w:divBdr>
                <w:top w:val="none" w:sz="0" w:space="0" w:color="auto"/>
                <w:left w:val="none" w:sz="0" w:space="0" w:color="auto"/>
                <w:bottom w:val="none" w:sz="0" w:space="0" w:color="auto"/>
                <w:right w:val="none" w:sz="0" w:space="0" w:color="auto"/>
              </w:divBdr>
            </w:div>
            <w:div w:id="102821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563307">
      <w:bodyDiv w:val="1"/>
      <w:marLeft w:val="0"/>
      <w:marRight w:val="0"/>
      <w:marTop w:val="0"/>
      <w:marBottom w:val="0"/>
      <w:divBdr>
        <w:top w:val="none" w:sz="0" w:space="0" w:color="auto"/>
        <w:left w:val="none" w:sz="0" w:space="0" w:color="auto"/>
        <w:bottom w:val="none" w:sz="0" w:space="0" w:color="auto"/>
        <w:right w:val="none" w:sz="0" w:space="0" w:color="auto"/>
      </w:divBdr>
    </w:div>
    <w:div w:id="1518496219">
      <w:bodyDiv w:val="1"/>
      <w:marLeft w:val="0"/>
      <w:marRight w:val="0"/>
      <w:marTop w:val="0"/>
      <w:marBottom w:val="0"/>
      <w:divBdr>
        <w:top w:val="none" w:sz="0" w:space="0" w:color="auto"/>
        <w:left w:val="none" w:sz="0" w:space="0" w:color="auto"/>
        <w:bottom w:val="none" w:sz="0" w:space="0" w:color="auto"/>
        <w:right w:val="none" w:sz="0" w:space="0" w:color="auto"/>
      </w:divBdr>
    </w:div>
    <w:div w:id="1526749705">
      <w:bodyDiv w:val="1"/>
      <w:marLeft w:val="0"/>
      <w:marRight w:val="0"/>
      <w:marTop w:val="0"/>
      <w:marBottom w:val="0"/>
      <w:divBdr>
        <w:top w:val="none" w:sz="0" w:space="0" w:color="auto"/>
        <w:left w:val="none" w:sz="0" w:space="0" w:color="auto"/>
        <w:bottom w:val="none" w:sz="0" w:space="0" w:color="auto"/>
        <w:right w:val="none" w:sz="0" w:space="0" w:color="auto"/>
      </w:divBdr>
    </w:div>
    <w:div w:id="1531645430">
      <w:bodyDiv w:val="1"/>
      <w:marLeft w:val="0"/>
      <w:marRight w:val="0"/>
      <w:marTop w:val="0"/>
      <w:marBottom w:val="0"/>
      <w:divBdr>
        <w:top w:val="none" w:sz="0" w:space="0" w:color="auto"/>
        <w:left w:val="none" w:sz="0" w:space="0" w:color="auto"/>
        <w:bottom w:val="none" w:sz="0" w:space="0" w:color="auto"/>
        <w:right w:val="none" w:sz="0" w:space="0" w:color="auto"/>
      </w:divBdr>
    </w:div>
    <w:div w:id="1534147189">
      <w:bodyDiv w:val="1"/>
      <w:marLeft w:val="0"/>
      <w:marRight w:val="0"/>
      <w:marTop w:val="0"/>
      <w:marBottom w:val="0"/>
      <w:divBdr>
        <w:top w:val="none" w:sz="0" w:space="0" w:color="auto"/>
        <w:left w:val="none" w:sz="0" w:space="0" w:color="auto"/>
        <w:bottom w:val="none" w:sz="0" w:space="0" w:color="auto"/>
        <w:right w:val="none" w:sz="0" w:space="0" w:color="auto"/>
      </w:divBdr>
    </w:div>
    <w:div w:id="1549418063">
      <w:bodyDiv w:val="1"/>
      <w:marLeft w:val="0"/>
      <w:marRight w:val="0"/>
      <w:marTop w:val="0"/>
      <w:marBottom w:val="0"/>
      <w:divBdr>
        <w:top w:val="none" w:sz="0" w:space="0" w:color="auto"/>
        <w:left w:val="none" w:sz="0" w:space="0" w:color="auto"/>
        <w:bottom w:val="none" w:sz="0" w:space="0" w:color="auto"/>
        <w:right w:val="none" w:sz="0" w:space="0" w:color="auto"/>
      </w:divBdr>
    </w:div>
    <w:div w:id="1610813063">
      <w:bodyDiv w:val="1"/>
      <w:marLeft w:val="0"/>
      <w:marRight w:val="0"/>
      <w:marTop w:val="0"/>
      <w:marBottom w:val="0"/>
      <w:divBdr>
        <w:top w:val="none" w:sz="0" w:space="0" w:color="auto"/>
        <w:left w:val="none" w:sz="0" w:space="0" w:color="auto"/>
        <w:bottom w:val="none" w:sz="0" w:space="0" w:color="auto"/>
        <w:right w:val="none" w:sz="0" w:space="0" w:color="auto"/>
      </w:divBdr>
    </w:div>
    <w:div w:id="1630630111">
      <w:bodyDiv w:val="1"/>
      <w:marLeft w:val="0"/>
      <w:marRight w:val="0"/>
      <w:marTop w:val="0"/>
      <w:marBottom w:val="0"/>
      <w:divBdr>
        <w:top w:val="none" w:sz="0" w:space="0" w:color="auto"/>
        <w:left w:val="none" w:sz="0" w:space="0" w:color="auto"/>
        <w:bottom w:val="none" w:sz="0" w:space="0" w:color="auto"/>
        <w:right w:val="none" w:sz="0" w:space="0" w:color="auto"/>
      </w:divBdr>
    </w:div>
    <w:div w:id="1650943878">
      <w:bodyDiv w:val="1"/>
      <w:marLeft w:val="0"/>
      <w:marRight w:val="0"/>
      <w:marTop w:val="0"/>
      <w:marBottom w:val="0"/>
      <w:divBdr>
        <w:top w:val="none" w:sz="0" w:space="0" w:color="auto"/>
        <w:left w:val="none" w:sz="0" w:space="0" w:color="auto"/>
        <w:bottom w:val="none" w:sz="0" w:space="0" w:color="auto"/>
        <w:right w:val="none" w:sz="0" w:space="0" w:color="auto"/>
      </w:divBdr>
      <w:divsChild>
        <w:div w:id="1748069860">
          <w:marLeft w:val="0"/>
          <w:marRight w:val="0"/>
          <w:marTop w:val="0"/>
          <w:marBottom w:val="0"/>
          <w:divBdr>
            <w:top w:val="none" w:sz="0" w:space="0" w:color="auto"/>
            <w:left w:val="none" w:sz="0" w:space="0" w:color="auto"/>
            <w:bottom w:val="none" w:sz="0" w:space="0" w:color="auto"/>
            <w:right w:val="none" w:sz="0" w:space="0" w:color="auto"/>
          </w:divBdr>
        </w:div>
        <w:div w:id="1644965355">
          <w:marLeft w:val="0"/>
          <w:marRight w:val="0"/>
          <w:marTop w:val="0"/>
          <w:marBottom w:val="0"/>
          <w:divBdr>
            <w:top w:val="none" w:sz="0" w:space="0" w:color="auto"/>
            <w:left w:val="none" w:sz="0" w:space="0" w:color="auto"/>
            <w:bottom w:val="none" w:sz="0" w:space="0" w:color="auto"/>
            <w:right w:val="none" w:sz="0" w:space="0" w:color="auto"/>
          </w:divBdr>
        </w:div>
        <w:div w:id="618143120">
          <w:marLeft w:val="0"/>
          <w:marRight w:val="0"/>
          <w:marTop w:val="0"/>
          <w:marBottom w:val="0"/>
          <w:divBdr>
            <w:top w:val="none" w:sz="0" w:space="0" w:color="auto"/>
            <w:left w:val="none" w:sz="0" w:space="0" w:color="auto"/>
            <w:bottom w:val="none" w:sz="0" w:space="0" w:color="auto"/>
            <w:right w:val="none" w:sz="0" w:space="0" w:color="auto"/>
          </w:divBdr>
        </w:div>
        <w:div w:id="683169937">
          <w:marLeft w:val="0"/>
          <w:marRight w:val="0"/>
          <w:marTop w:val="0"/>
          <w:marBottom w:val="0"/>
          <w:divBdr>
            <w:top w:val="none" w:sz="0" w:space="0" w:color="auto"/>
            <w:left w:val="none" w:sz="0" w:space="0" w:color="auto"/>
            <w:bottom w:val="none" w:sz="0" w:space="0" w:color="auto"/>
            <w:right w:val="none" w:sz="0" w:space="0" w:color="auto"/>
          </w:divBdr>
        </w:div>
      </w:divsChild>
    </w:div>
    <w:div w:id="1664317919">
      <w:bodyDiv w:val="1"/>
      <w:marLeft w:val="0"/>
      <w:marRight w:val="0"/>
      <w:marTop w:val="0"/>
      <w:marBottom w:val="0"/>
      <w:divBdr>
        <w:top w:val="none" w:sz="0" w:space="0" w:color="auto"/>
        <w:left w:val="none" w:sz="0" w:space="0" w:color="auto"/>
        <w:bottom w:val="none" w:sz="0" w:space="0" w:color="auto"/>
        <w:right w:val="none" w:sz="0" w:space="0" w:color="auto"/>
      </w:divBdr>
    </w:div>
    <w:div w:id="1679237047">
      <w:bodyDiv w:val="1"/>
      <w:marLeft w:val="0"/>
      <w:marRight w:val="0"/>
      <w:marTop w:val="0"/>
      <w:marBottom w:val="0"/>
      <w:divBdr>
        <w:top w:val="none" w:sz="0" w:space="0" w:color="auto"/>
        <w:left w:val="none" w:sz="0" w:space="0" w:color="auto"/>
        <w:bottom w:val="none" w:sz="0" w:space="0" w:color="auto"/>
        <w:right w:val="none" w:sz="0" w:space="0" w:color="auto"/>
      </w:divBdr>
    </w:div>
    <w:div w:id="1721437562">
      <w:bodyDiv w:val="1"/>
      <w:marLeft w:val="0"/>
      <w:marRight w:val="0"/>
      <w:marTop w:val="0"/>
      <w:marBottom w:val="0"/>
      <w:divBdr>
        <w:top w:val="none" w:sz="0" w:space="0" w:color="auto"/>
        <w:left w:val="none" w:sz="0" w:space="0" w:color="auto"/>
        <w:bottom w:val="none" w:sz="0" w:space="0" w:color="auto"/>
        <w:right w:val="none" w:sz="0" w:space="0" w:color="auto"/>
      </w:divBdr>
    </w:div>
    <w:div w:id="1790857653">
      <w:bodyDiv w:val="1"/>
      <w:marLeft w:val="0"/>
      <w:marRight w:val="0"/>
      <w:marTop w:val="0"/>
      <w:marBottom w:val="0"/>
      <w:divBdr>
        <w:top w:val="none" w:sz="0" w:space="0" w:color="auto"/>
        <w:left w:val="none" w:sz="0" w:space="0" w:color="auto"/>
        <w:bottom w:val="none" w:sz="0" w:space="0" w:color="auto"/>
        <w:right w:val="none" w:sz="0" w:space="0" w:color="auto"/>
      </w:divBdr>
    </w:div>
    <w:div w:id="1808280902">
      <w:bodyDiv w:val="1"/>
      <w:marLeft w:val="0"/>
      <w:marRight w:val="0"/>
      <w:marTop w:val="0"/>
      <w:marBottom w:val="0"/>
      <w:divBdr>
        <w:top w:val="none" w:sz="0" w:space="0" w:color="auto"/>
        <w:left w:val="none" w:sz="0" w:space="0" w:color="auto"/>
        <w:bottom w:val="none" w:sz="0" w:space="0" w:color="auto"/>
        <w:right w:val="none" w:sz="0" w:space="0" w:color="auto"/>
      </w:divBdr>
    </w:div>
    <w:div w:id="1864512063">
      <w:bodyDiv w:val="1"/>
      <w:marLeft w:val="0"/>
      <w:marRight w:val="0"/>
      <w:marTop w:val="0"/>
      <w:marBottom w:val="0"/>
      <w:divBdr>
        <w:top w:val="none" w:sz="0" w:space="0" w:color="auto"/>
        <w:left w:val="none" w:sz="0" w:space="0" w:color="auto"/>
        <w:bottom w:val="none" w:sz="0" w:space="0" w:color="auto"/>
        <w:right w:val="none" w:sz="0" w:space="0" w:color="auto"/>
      </w:divBdr>
    </w:div>
    <w:div w:id="1892156597">
      <w:bodyDiv w:val="1"/>
      <w:marLeft w:val="0"/>
      <w:marRight w:val="0"/>
      <w:marTop w:val="0"/>
      <w:marBottom w:val="0"/>
      <w:divBdr>
        <w:top w:val="none" w:sz="0" w:space="0" w:color="auto"/>
        <w:left w:val="none" w:sz="0" w:space="0" w:color="auto"/>
        <w:bottom w:val="none" w:sz="0" w:space="0" w:color="auto"/>
        <w:right w:val="none" w:sz="0" w:space="0" w:color="auto"/>
      </w:divBdr>
    </w:div>
    <w:div w:id="1927760674">
      <w:bodyDiv w:val="1"/>
      <w:marLeft w:val="0"/>
      <w:marRight w:val="0"/>
      <w:marTop w:val="0"/>
      <w:marBottom w:val="0"/>
      <w:divBdr>
        <w:top w:val="none" w:sz="0" w:space="0" w:color="auto"/>
        <w:left w:val="none" w:sz="0" w:space="0" w:color="auto"/>
        <w:bottom w:val="none" w:sz="0" w:space="0" w:color="auto"/>
        <w:right w:val="none" w:sz="0" w:space="0" w:color="auto"/>
      </w:divBdr>
    </w:div>
    <w:div w:id="1949703920">
      <w:bodyDiv w:val="1"/>
      <w:marLeft w:val="0"/>
      <w:marRight w:val="0"/>
      <w:marTop w:val="0"/>
      <w:marBottom w:val="0"/>
      <w:divBdr>
        <w:top w:val="none" w:sz="0" w:space="0" w:color="auto"/>
        <w:left w:val="none" w:sz="0" w:space="0" w:color="auto"/>
        <w:bottom w:val="none" w:sz="0" w:space="0" w:color="auto"/>
        <w:right w:val="none" w:sz="0" w:space="0" w:color="auto"/>
      </w:divBdr>
    </w:div>
    <w:div w:id="1953508906">
      <w:bodyDiv w:val="1"/>
      <w:marLeft w:val="0"/>
      <w:marRight w:val="0"/>
      <w:marTop w:val="0"/>
      <w:marBottom w:val="0"/>
      <w:divBdr>
        <w:top w:val="none" w:sz="0" w:space="0" w:color="auto"/>
        <w:left w:val="none" w:sz="0" w:space="0" w:color="auto"/>
        <w:bottom w:val="none" w:sz="0" w:space="0" w:color="auto"/>
        <w:right w:val="none" w:sz="0" w:space="0" w:color="auto"/>
      </w:divBdr>
    </w:div>
    <w:div w:id="2025589959">
      <w:bodyDiv w:val="1"/>
      <w:marLeft w:val="0"/>
      <w:marRight w:val="0"/>
      <w:marTop w:val="0"/>
      <w:marBottom w:val="0"/>
      <w:divBdr>
        <w:top w:val="none" w:sz="0" w:space="0" w:color="auto"/>
        <w:left w:val="none" w:sz="0" w:space="0" w:color="auto"/>
        <w:bottom w:val="none" w:sz="0" w:space="0" w:color="auto"/>
        <w:right w:val="none" w:sz="0" w:space="0" w:color="auto"/>
      </w:divBdr>
    </w:div>
    <w:div w:id="2049136042">
      <w:bodyDiv w:val="1"/>
      <w:marLeft w:val="0"/>
      <w:marRight w:val="0"/>
      <w:marTop w:val="0"/>
      <w:marBottom w:val="0"/>
      <w:divBdr>
        <w:top w:val="none" w:sz="0" w:space="0" w:color="auto"/>
        <w:left w:val="none" w:sz="0" w:space="0" w:color="auto"/>
        <w:bottom w:val="none" w:sz="0" w:space="0" w:color="auto"/>
        <w:right w:val="none" w:sz="0" w:space="0" w:color="auto"/>
      </w:divBdr>
      <w:divsChild>
        <w:div w:id="69813989">
          <w:marLeft w:val="0"/>
          <w:marRight w:val="0"/>
          <w:marTop w:val="0"/>
          <w:marBottom w:val="0"/>
          <w:divBdr>
            <w:top w:val="none" w:sz="0" w:space="0" w:color="auto"/>
            <w:left w:val="none" w:sz="0" w:space="0" w:color="auto"/>
            <w:bottom w:val="none" w:sz="0" w:space="0" w:color="auto"/>
            <w:right w:val="none" w:sz="0" w:space="0" w:color="auto"/>
          </w:divBdr>
        </w:div>
        <w:div w:id="150879310">
          <w:marLeft w:val="0"/>
          <w:marRight w:val="0"/>
          <w:marTop w:val="0"/>
          <w:marBottom w:val="0"/>
          <w:divBdr>
            <w:top w:val="none" w:sz="0" w:space="0" w:color="auto"/>
            <w:left w:val="none" w:sz="0" w:space="0" w:color="auto"/>
            <w:bottom w:val="none" w:sz="0" w:space="0" w:color="auto"/>
            <w:right w:val="none" w:sz="0" w:space="0" w:color="auto"/>
          </w:divBdr>
        </w:div>
        <w:div w:id="255863356">
          <w:marLeft w:val="0"/>
          <w:marRight w:val="0"/>
          <w:marTop w:val="0"/>
          <w:marBottom w:val="0"/>
          <w:divBdr>
            <w:top w:val="none" w:sz="0" w:space="0" w:color="auto"/>
            <w:left w:val="none" w:sz="0" w:space="0" w:color="auto"/>
            <w:bottom w:val="none" w:sz="0" w:space="0" w:color="auto"/>
            <w:right w:val="none" w:sz="0" w:space="0" w:color="auto"/>
          </w:divBdr>
        </w:div>
        <w:div w:id="269363801">
          <w:marLeft w:val="0"/>
          <w:marRight w:val="0"/>
          <w:marTop w:val="0"/>
          <w:marBottom w:val="0"/>
          <w:divBdr>
            <w:top w:val="none" w:sz="0" w:space="0" w:color="auto"/>
            <w:left w:val="none" w:sz="0" w:space="0" w:color="auto"/>
            <w:bottom w:val="none" w:sz="0" w:space="0" w:color="auto"/>
            <w:right w:val="none" w:sz="0" w:space="0" w:color="auto"/>
          </w:divBdr>
        </w:div>
        <w:div w:id="452486050">
          <w:marLeft w:val="0"/>
          <w:marRight w:val="0"/>
          <w:marTop w:val="0"/>
          <w:marBottom w:val="0"/>
          <w:divBdr>
            <w:top w:val="none" w:sz="0" w:space="0" w:color="auto"/>
            <w:left w:val="none" w:sz="0" w:space="0" w:color="auto"/>
            <w:bottom w:val="none" w:sz="0" w:space="0" w:color="auto"/>
            <w:right w:val="none" w:sz="0" w:space="0" w:color="auto"/>
          </w:divBdr>
        </w:div>
        <w:div w:id="480661303">
          <w:marLeft w:val="0"/>
          <w:marRight w:val="0"/>
          <w:marTop w:val="0"/>
          <w:marBottom w:val="0"/>
          <w:divBdr>
            <w:top w:val="none" w:sz="0" w:space="0" w:color="auto"/>
            <w:left w:val="none" w:sz="0" w:space="0" w:color="auto"/>
            <w:bottom w:val="none" w:sz="0" w:space="0" w:color="auto"/>
            <w:right w:val="none" w:sz="0" w:space="0" w:color="auto"/>
          </w:divBdr>
        </w:div>
        <w:div w:id="556554536">
          <w:marLeft w:val="0"/>
          <w:marRight w:val="0"/>
          <w:marTop w:val="0"/>
          <w:marBottom w:val="0"/>
          <w:divBdr>
            <w:top w:val="none" w:sz="0" w:space="0" w:color="auto"/>
            <w:left w:val="none" w:sz="0" w:space="0" w:color="auto"/>
            <w:bottom w:val="none" w:sz="0" w:space="0" w:color="auto"/>
            <w:right w:val="none" w:sz="0" w:space="0" w:color="auto"/>
          </w:divBdr>
        </w:div>
        <w:div w:id="570166106">
          <w:marLeft w:val="0"/>
          <w:marRight w:val="0"/>
          <w:marTop w:val="0"/>
          <w:marBottom w:val="0"/>
          <w:divBdr>
            <w:top w:val="none" w:sz="0" w:space="0" w:color="auto"/>
            <w:left w:val="none" w:sz="0" w:space="0" w:color="auto"/>
            <w:bottom w:val="none" w:sz="0" w:space="0" w:color="auto"/>
            <w:right w:val="none" w:sz="0" w:space="0" w:color="auto"/>
          </w:divBdr>
        </w:div>
        <w:div w:id="677149574">
          <w:marLeft w:val="0"/>
          <w:marRight w:val="0"/>
          <w:marTop w:val="0"/>
          <w:marBottom w:val="0"/>
          <w:divBdr>
            <w:top w:val="none" w:sz="0" w:space="0" w:color="auto"/>
            <w:left w:val="none" w:sz="0" w:space="0" w:color="auto"/>
            <w:bottom w:val="none" w:sz="0" w:space="0" w:color="auto"/>
            <w:right w:val="none" w:sz="0" w:space="0" w:color="auto"/>
          </w:divBdr>
        </w:div>
        <w:div w:id="713889788">
          <w:marLeft w:val="0"/>
          <w:marRight w:val="0"/>
          <w:marTop w:val="0"/>
          <w:marBottom w:val="0"/>
          <w:divBdr>
            <w:top w:val="none" w:sz="0" w:space="0" w:color="auto"/>
            <w:left w:val="none" w:sz="0" w:space="0" w:color="auto"/>
            <w:bottom w:val="none" w:sz="0" w:space="0" w:color="auto"/>
            <w:right w:val="none" w:sz="0" w:space="0" w:color="auto"/>
          </w:divBdr>
        </w:div>
        <w:div w:id="877280438">
          <w:marLeft w:val="0"/>
          <w:marRight w:val="0"/>
          <w:marTop w:val="0"/>
          <w:marBottom w:val="0"/>
          <w:divBdr>
            <w:top w:val="none" w:sz="0" w:space="0" w:color="auto"/>
            <w:left w:val="none" w:sz="0" w:space="0" w:color="auto"/>
            <w:bottom w:val="none" w:sz="0" w:space="0" w:color="auto"/>
            <w:right w:val="none" w:sz="0" w:space="0" w:color="auto"/>
          </w:divBdr>
        </w:div>
        <w:div w:id="1242980970">
          <w:marLeft w:val="0"/>
          <w:marRight w:val="0"/>
          <w:marTop w:val="0"/>
          <w:marBottom w:val="0"/>
          <w:divBdr>
            <w:top w:val="none" w:sz="0" w:space="0" w:color="auto"/>
            <w:left w:val="none" w:sz="0" w:space="0" w:color="auto"/>
            <w:bottom w:val="none" w:sz="0" w:space="0" w:color="auto"/>
            <w:right w:val="none" w:sz="0" w:space="0" w:color="auto"/>
          </w:divBdr>
        </w:div>
        <w:div w:id="1469008021">
          <w:marLeft w:val="0"/>
          <w:marRight w:val="0"/>
          <w:marTop w:val="0"/>
          <w:marBottom w:val="0"/>
          <w:divBdr>
            <w:top w:val="none" w:sz="0" w:space="0" w:color="auto"/>
            <w:left w:val="none" w:sz="0" w:space="0" w:color="auto"/>
            <w:bottom w:val="none" w:sz="0" w:space="0" w:color="auto"/>
            <w:right w:val="none" w:sz="0" w:space="0" w:color="auto"/>
          </w:divBdr>
        </w:div>
        <w:div w:id="1571035825">
          <w:marLeft w:val="0"/>
          <w:marRight w:val="0"/>
          <w:marTop w:val="0"/>
          <w:marBottom w:val="0"/>
          <w:divBdr>
            <w:top w:val="none" w:sz="0" w:space="0" w:color="auto"/>
            <w:left w:val="none" w:sz="0" w:space="0" w:color="auto"/>
            <w:bottom w:val="none" w:sz="0" w:space="0" w:color="auto"/>
            <w:right w:val="none" w:sz="0" w:space="0" w:color="auto"/>
          </w:divBdr>
        </w:div>
        <w:div w:id="1865898867">
          <w:marLeft w:val="0"/>
          <w:marRight w:val="0"/>
          <w:marTop w:val="0"/>
          <w:marBottom w:val="0"/>
          <w:divBdr>
            <w:top w:val="none" w:sz="0" w:space="0" w:color="auto"/>
            <w:left w:val="none" w:sz="0" w:space="0" w:color="auto"/>
            <w:bottom w:val="none" w:sz="0" w:space="0" w:color="auto"/>
            <w:right w:val="none" w:sz="0" w:space="0" w:color="auto"/>
          </w:divBdr>
        </w:div>
        <w:div w:id="1940210640">
          <w:marLeft w:val="0"/>
          <w:marRight w:val="0"/>
          <w:marTop w:val="0"/>
          <w:marBottom w:val="0"/>
          <w:divBdr>
            <w:top w:val="none" w:sz="0" w:space="0" w:color="auto"/>
            <w:left w:val="none" w:sz="0" w:space="0" w:color="auto"/>
            <w:bottom w:val="none" w:sz="0" w:space="0" w:color="auto"/>
            <w:right w:val="none" w:sz="0" w:space="0" w:color="auto"/>
          </w:divBdr>
        </w:div>
        <w:div w:id="2044667960">
          <w:marLeft w:val="0"/>
          <w:marRight w:val="0"/>
          <w:marTop w:val="0"/>
          <w:marBottom w:val="0"/>
          <w:divBdr>
            <w:top w:val="none" w:sz="0" w:space="0" w:color="auto"/>
            <w:left w:val="none" w:sz="0" w:space="0" w:color="auto"/>
            <w:bottom w:val="none" w:sz="0" w:space="0" w:color="auto"/>
            <w:right w:val="none" w:sz="0" w:space="0" w:color="auto"/>
          </w:divBdr>
        </w:div>
        <w:div w:id="2087920986">
          <w:marLeft w:val="0"/>
          <w:marRight w:val="0"/>
          <w:marTop w:val="0"/>
          <w:marBottom w:val="0"/>
          <w:divBdr>
            <w:top w:val="none" w:sz="0" w:space="0" w:color="auto"/>
            <w:left w:val="none" w:sz="0" w:space="0" w:color="auto"/>
            <w:bottom w:val="none" w:sz="0" w:space="0" w:color="auto"/>
            <w:right w:val="none" w:sz="0" w:space="0" w:color="auto"/>
          </w:divBdr>
        </w:div>
      </w:divsChild>
    </w:div>
    <w:div w:id="2102406756">
      <w:bodyDiv w:val="1"/>
      <w:marLeft w:val="0"/>
      <w:marRight w:val="0"/>
      <w:marTop w:val="0"/>
      <w:marBottom w:val="0"/>
      <w:divBdr>
        <w:top w:val="none" w:sz="0" w:space="0" w:color="auto"/>
        <w:left w:val="none" w:sz="0" w:space="0" w:color="auto"/>
        <w:bottom w:val="none" w:sz="0" w:space="0" w:color="auto"/>
        <w:right w:val="none" w:sz="0" w:space="0" w:color="auto"/>
      </w:divBdr>
    </w:div>
    <w:div w:id="2123376742">
      <w:bodyDiv w:val="1"/>
      <w:marLeft w:val="0"/>
      <w:marRight w:val="0"/>
      <w:marTop w:val="0"/>
      <w:marBottom w:val="0"/>
      <w:divBdr>
        <w:top w:val="none" w:sz="0" w:space="0" w:color="auto"/>
        <w:left w:val="none" w:sz="0" w:space="0" w:color="auto"/>
        <w:bottom w:val="none" w:sz="0" w:space="0" w:color="auto"/>
        <w:right w:val="none" w:sz="0" w:space="0" w:color="auto"/>
      </w:divBdr>
    </w:div>
    <w:div w:id="2133934644">
      <w:bodyDiv w:val="1"/>
      <w:marLeft w:val="0"/>
      <w:marRight w:val="0"/>
      <w:marTop w:val="0"/>
      <w:marBottom w:val="0"/>
      <w:divBdr>
        <w:top w:val="none" w:sz="0" w:space="0" w:color="auto"/>
        <w:left w:val="none" w:sz="0" w:space="0" w:color="auto"/>
        <w:bottom w:val="none" w:sz="0" w:space="0" w:color="auto"/>
        <w:right w:val="none" w:sz="0" w:space="0" w:color="auto"/>
      </w:divBdr>
      <w:divsChild>
        <w:div w:id="676884987">
          <w:marLeft w:val="0"/>
          <w:marRight w:val="0"/>
          <w:marTop w:val="0"/>
          <w:marBottom w:val="0"/>
          <w:divBdr>
            <w:top w:val="none" w:sz="0" w:space="0" w:color="auto"/>
            <w:left w:val="none" w:sz="0" w:space="0" w:color="auto"/>
            <w:bottom w:val="none" w:sz="0" w:space="0" w:color="auto"/>
            <w:right w:val="none" w:sz="0" w:space="0" w:color="auto"/>
          </w:divBdr>
        </w:div>
        <w:div w:id="11305103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ma.europa.eu/en/documents/template-form/qrd-appendix-v-adverse-drug-reaction-reporting-details_en.docx"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808d58a-9f93-4f70-a0ab-fb77ba22052e"/>
    <lcf76f155ced4ddcb4097134ff3c332f xmlns="c0905a40-53bd-4204-8bf5-6c0ee3585b1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um" ma:contentTypeID="0x01010000E42E78EDED4D458F617A0DF21769C3" ma:contentTypeVersion="15" ma:contentTypeDescription="Új dokumentum létrehozása." ma:contentTypeScope="" ma:versionID="6c7e62294db43ecfe34f543db7688115">
  <xsd:schema xmlns:xsd="http://www.w3.org/2001/XMLSchema" xmlns:xs="http://www.w3.org/2001/XMLSchema" xmlns:p="http://schemas.microsoft.com/office/2006/metadata/properties" xmlns:ns2="c0905a40-53bd-4204-8bf5-6c0ee3585b14" xmlns:ns3="0808d58a-9f93-4f70-a0ab-fb77ba22052e" targetNamespace="http://schemas.microsoft.com/office/2006/metadata/properties" ma:root="true" ma:fieldsID="39ab06691ef20c22cb156326d207fe1e" ns2:_="" ns3:_="">
    <xsd:import namespace="c0905a40-53bd-4204-8bf5-6c0ee3585b14"/>
    <xsd:import namespace="0808d58a-9f93-4f70-a0ab-fb77ba22052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905a40-53bd-4204-8bf5-6c0ee3585b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Képcímkék" ma:readOnly="false" ma:fieldId="{5cf76f15-5ced-4ddc-b409-7134ff3c332f}" ma:taxonomyMulti="true" ma:sspId="d13337c7-c1db-40c3-ab93-374080c5027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808d58a-9f93-4f70-a0ab-fb77ba22052e" elementFormDefault="qualified">
    <xsd:import namespace="http://schemas.microsoft.com/office/2006/documentManagement/types"/>
    <xsd:import namespace="http://schemas.microsoft.com/office/infopath/2007/PartnerControls"/>
    <xsd:element name="SharedWithUsers" ma:index="10"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Megosztva részletekkel" ma:internalName="SharedWithDetails" ma:readOnly="true">
      <xsd:simpleType>
        <xsd:restriction base="dms:Note">
          <xsd:maxLength value="255"/>
        </xsd:restriction>
      </xsd:simpleType>
    </xsd:element>
    <xsd:element name="TaxCatchAll" ma:index="22" nillable="true" ma:displayName="Taxonomy Catch All Column" ma:hidden="true" ma:list="{69cedab9-ac7b-4d01-9d9e-1bf35971069c}" ma:internalName="TaxCatchAll" ma:showField="CatchAllData" ma:web="0808d58a-9f93-4f70-a0ab-fb77ba2205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7DFDB-C55D-4778-B363-BC20C3E212BD}">
  <ds:schemaRefs>
    <ds:schemaRef ds:uri="c0905a40-53bd-4204-8bf5-6c0ee3585b14"/>
    <ds:schemaRef ds:uri="http://schemas.microsoft.com/office/infopath/2007/PartnerControls"/>
    <ds:schemaRef ds:uri="http://schemas.openxmlformats.org/package/2006/metadata/core-properties"/>
    <ds:schemaRef ds:uri="http://purl.org/dc/dcmitype/"/>
    <ds:schemaRef ds:uri="http://schemas.microsoft.com/office/2006/documentManagement/types"/>
    <ds:schemaRef ds:uri="0808d58a-9f93-4f70-a0ab-fb77ba22052e"/>
    <ds:schemaRef ds:uri="http://www.w3.org/XML/1998/namespace"/>
    <ds:schemaRef ds:uri="http://schemas.microsoft.com/office/2006/metadata/properties"/>
    <ds:schemaRef ds:uri="http://purl.org/dc/terms/"/>
    <ds:schemaRef ds:uri="http://purl.org/dc/elements/1.1/"/>
  </ds:schemaRefs>
</ds:datastoreItem>
</file>

<file path=customXml/itemProps2.xml><?xml version="1.0" encoding="utf-8"?>
<ds:datastoreItem xmlns:ds="http://schemas.openxmlformats.org/officeDocument/2006/customXml" ds:itemID="{4848B063-8F23-4D42-BFAF-84D2E11C84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905a40-53bd-4204-8bf5-6c0ee3585b14"/>
    <ds:schemaRef ds:uri="0808d58a-9f93-4f70-a0ab-fb77ba2205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9A77AC-FFDA-4982-AE6F-8338E72FC6F2}">
  <ds:schemaRefs>
    <ds:schemaRef ds:uri="http://schemas.microsoft.com/sharepoint/v3/contenttype/forms"/>
  </ds:schemaRefs>
</ds:datastoreItem>
</file>

<file path=customXml/itemProps4.xml><?xml version="1.0" encoding="utf-8"?>
<ds:datastoreItem xmlns:ds="http://schemas.openxmlformats.org/officeDocument/2006/customXml" ds:itemID="{41AC0D36-791A-4302-B3BD-80A10C577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4023</Words>
  <Characters>28280</Characters>
  <Application>Microsoft Office Word</Application>
  <DocSecurity>0</DocSecurity>
  <Lines>235</Lines>
  <Paragraphs>64</Paragraphs>
  <ScaleCrop>false</ScaleCrop>
  <HeadingPairs>
    <vt:vector size="8" baseType="variant">
      <vt:variant>
        <vt:lpstr>Cím</vt:lpstr>
      </vt:variant>
      <vt:variant>
        <vt:i4>1</vt:i4>
      </vt:variant>
      <vt:variant>
        <vt:lpstr>Titel</vt:lpstr>
      </vt:variant>
      <vt:variant>
        <vt:i4>1</vt:i4>
      </vt:variant>
      <vt:variant>
        <vt:lpstr>Title</vt:lpstr>
      </vt:variant>
      <vt:variant>
        <vt:i4>1</vt:i4>
      </vt:variant>
      <vt:variant>
        <vt:lpstr>Titlu</vt:lpstr>
      </vt:variant>
      <vt:variant>
        <vt:i4>1</vt:i4>
      </vt:variant>
    </vt:vector>
  </HeadingPairs>
  <TitlesOfParts>
    <vt:vector size="4" baseType="lpstr">
      <vt:lpstr>QRD Human Product Information Template</vt:lpstr>
      <vt:lpstr>QRD Human Product Information Template</vt:lpstr>
      <vt:lpstr>QRD Human Product Information Template</vt:lpstr>
      <vt:lpstr>QRD Human Product Information Template</vt:lpstr>
    </vt:vector>
  </TitlesOfParts>
  <Company>European Medicines Agency</Company>
  <LinksUpToDate>false</LinksUpToDate>
  <CharactersWithSpaces>32239</CharactersWithSpaces>
  <SharedDoc>false</SharedDoc>
  <HLinks>
    <vt:vector size="12" baseType="variant">
      <vt:variant>
        <vt:i4>852012</vt:i4>
      </vt:variant>
      <vt:variant>
        <vt:i4>3</vt:i4>
      </vt:variant>
      <vt:variant>
        <vt:i4>0</vt:i4>
      </vt:variant>
      <vt:variant>
        <vt:i4>5</vt:i4>
      </vt:variant>
      <vt:variant>
        <vt:lpwstr>mailto:office@croma.at</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QRD Human Product Information Template</dc:title>
  <dc:creator>European Medicines Agency</dc:creator>
  <cp:lastModifiedBy>HU_OGYI_45.2</cp:lastModifiedBy>
  <cp:revision>3</cp:revision>
  <cp:lastPrinted>2019-06-20T12:57:00Z</cp:lastPrinted>
  <dcterms:created xsi:type="dcterms:W3CDTF">2026-09-01T11:05:00Z</dcterms:created>
  <dcterms:modified xsi:type="dcterms:W3CDTF">2026-09-01T11:07:00Z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General-EMA/423415/2010</vt:lpwstr>
  </property>
  <property fmtid="{D5CDD505-2E9C-101B-9397-08002B2CF9AE}" pid="6" name="DM_Title">
    <vt:lpwstr/>
  </property>
  <property fmtid="{D5CDD505-2E9C-101B-9397-08002B2CF9AE}" pid="7" name="DM_Language">
    <vt:lpwstr/>
  </property>
  <property fmtid="{D5CDD505-2E9C-101B-9397-08002B2CF9AE}" pid="8" name="DM_Owner">
    <vt:lpwstr>Espinasse Claire</vt:lpwstr>
  </property>
  <property fmtid="{D5CDD505-2E9C-101B-9397-08002B2CF9AE}" pid="9" name="DM_emea_cc">
    <vt:lpwstr/>
  </property>
  <property fmtid="{D5CDD505-2E9C-101B-9397-08002B2CF9AE}" pid="10" name="DM_emea_message_subject">
    <vt:lpwstr/>
  </property>
  <property fmtid="{D5CDD505-2E9C-101B-9397-08002B2CF9AE}" pid="11" name="DM_emea_doc_number">
    <vt:lpwstr>423415</vt:lpwstr>
  </property>
  <property fmtid="{D5CDD505-2E9C-101B-9397-08002B2CF9AE}" pid="12" name="DM_emea_received_date">
    <vt:lpwstr>nulldate</vt:lpwstr>
  </property>
  <property fmtid="{D5CDD505-2E9C-101B-9397-08002B2CF9AE}" pid="13" name="DM_emea_resp_body">
    <vt:lpwstr/>
  </property>
  <property fmtid="{D5CDD505-2E9C-101B-9397-08002B2CF9AE}" pid="14" name="DM_emea_revision_label">
    <vt:lpwstr/>
  </property>
  <property fmtid="{D5CDD505-2E9C-101B-9397-08002B2CF9AE}" pid="15" name="DM_emea_to">
    <vt:lpwstr/>
  </property>
  <property fmtid="{D5CDD505-2E9C-101B-9397-08002B2CF9AE}" pid="16" name="DM_emea_bcc">
    <vt:lpwstr/>
  </property>
  <property fmtid="{D5CDD505-2E9C-101B-9397-08002B2CF9AE}" pid="17" name="DM_emea_doc_category">
    <vt:lpwstr>General</vt:lpwstr>
  </property>
  <property fmtid="{D5CDD505-2E9C-101B-9397-08002B2CF9AE}" pid="18" name="DM_emea_from">
    <vt:lpwstr/>
  </property>
  <property fmtid="{D5CDD505-2E9C-101B-9397-08002B2CF9AE}" pid="19" name="DM_emea_internal_label">
    <vt:lpwstr>EMA</vt:lpwstr>
  </property>
  <property fmtid="{D5CDD505-2E9C-101B-9397-08002B2CF9AE}" pid="20" name="DM_emea_legal_date">
    <vt:lpwstr>nulldate</vt:lpwstr>
  </property>
  <property fmtid="{D5CDD505-2E9C-101B-9397-08002B2CF9AE}" pid="21" name="DM_emea_year">
    <vt:lpwstr>2010</vt:lpwstr>
  </property>
  <property fmtid="{D5CDD505-2E9C-101B-9397-08002B2CF9AE}" pid="22" name="DM_emea_sent_date">
    <vt:lpwstr>nulldate</vt:lpwstr>
  </property>
  <property fmtid="{D5CDD505-2E9C-101B-9397-08002B2CF9AE}" pid="23" name="DM_emea_doc_lang">
    <vt:lpwstr/>
  </property>
  <property fmtid="{D5CDD505-2E9C-101B-9397-08002B2CF9AE}" pid="24" name="DM_emea_meeting_status">
    <vt:lpwstr/>
  </property>
  <property fmtid="{D5CDD505-2E9C-101B-9397-08002B2CF9AE}" pid="25" name="DM_emea_meeting_action">
    <vt:lpwstr/>
  </property>
  <property fmtid="{D5CDD505-2E9C-101B-9397-08002B2CF9AE}" pid="26" name="DM_emea_meeting_hyperlink">
    <vt:lpwstr/>
  </property>
  <property fmtid="{D5CDD505-2E9C-101B-9397-08002B2CF9AE}" pid="27" name="DM_emea_meeting_title">
    <vt:lpwstr/>
  </property>
  <property fmtid="{D5CDD505-2E9C-101B-9397-08002B2CF9AE}" pid="28" name="DM_emea_meeting_ref">
    <vt:lpwstr/>
  </property>
  <property fmtid="{D5CDD505-2E9C-101B-9397-08002B2CF9AE}" pid="29" name="DM_emea_meeting_flags">
    <vt:lpwstr/>
  </property>
  <property fmtid="{D5CDD505-2E9C-101B-9397-08002B2CF9AE}" pid="30" name="DM_Version">
    <vt:lpwstr>CURRENT,2.0</vt:lpwstr>
  </property>
  <property fmtid="{D5CDD505-2E9C-101B-9397-08002B2CF9AE}" pid="31" name="DM_Name">
    <vt:lpwstr>Hqrdtemplatecleanen</vt:lpwstr>
  </property>
  <property fmtid="{D5CDD505-2E9C-101B-9397-08002B2CF9AE}" pid="32" name="DM_Creation_Date">
    <vt:lpwstr>05/02/2016 14:16:33</vt:lpwstr>
  </property>
  <property fmtid="{D5CDD505-2E9C-101B-9397-08002B2CF9AE}" pid="33" name="DM_Modify_Date">
    <vt:lpwstr>05/02/2016 14:16:33</vt:lpwstr>
  </property>
  <property fmtid="{D5CDD505-2E9C-101B-9397-08002B2CF9AE}" pid="34" name="DM_Creator_Name">
    <vt:lpwstr>Akhtar Tia</vt:lpwstr>
  </property>
  <property fmtid="{D5CDD505-2E9C-101B-9397-08002B2CF9AE}" pid="35" name="DM_Modifier_Name">
    <vt:lpwstr>Akhtar Tia</vt:lpwstr>
  </property>
  <property fmtid="{D5CDD505-2E9C-101B-9397-08002B2CF9AE}" pid="36" name="DM_Type">
    <vt:lpwstr>emea_document</vt:lpwstr>
  </property>
  <property fmtid="{D5CDD505-2E9C-101B-9397-08002B2CF9AE}" pid="37" name="DM_DocRefId">
    <vt:lpwstr>EMA/85269/2016</vt:lpwstr>
  </property>
  <property fmtid="{D5CDD505-2E9C-101B-9397-08002B2CF9AE}" pid="38" name="DM_Category">
    <vt:lpwstr>Templates and Form</vt:lpwstr>
  </property>
  <property fmtid="{D5CDD505-2E9C-101B-9397-08002B2CF9AE}" pid="39" name="DM_Path">
    <vt:lpwstr>/02b. Administration of Scientific Meeting/WPs SAGs DGs and other WGs/CxMP - QRD/3. Other activities/02. Procedures/01. QRD PI templates/01 QRD Human Templates/07 H-qrd template falsified legislation</vt:lpwstr>
  </property>
  <property fmtid="{D5CDD505-2E9C-101B-9397-08002B2CF9AE}" pid="40" name="DM_emea_doc_ref_id">
    <vt:lpwstr>EMA/85269/2016</vt:lpwstr>
  </property>
  <property fmtid="{D5CDD505-2E9C-101B-9397-08002B2CF9AE}" pid="41" name="DM_Modifer_Name">
    <vt:lpwstr>Akhtar Tia</vt:lpwstr>
  </property>
  <property fmtid="{D5CDD505-2E9C-101B-9397-08002B2CF9AE}" pid="42" name="DM_Modified_Date">
    <vt:lpwstr>05/02/2016 14:16:33</vt:lpwstr>
  </property>
  <property fmtid="{D5CDD505-2E9C-101B-9397-08002B2CF9AE}" pid="43" name="ContentTypeId">
    <vt:lpwstr>0x01010000E42E78EDED4D458F617A0DF21769C3</vt:lpwstr>
  </property>
  <property fmtid="{D5CDD505-2E9C-101B-9397-08002B2CF9AE}" pid="44" name="MediaServiceImageTags">
    <vt:lpwstr/>
  </property>
</Properties>
</file>