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AA7C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bookmarkStart w:id="0" w:name="_GoBack"/>
      <w:bookmarkEnd w:id="0"/>
      <w:r w:rsidRPr="00D91094">
        <w:rPr>
          <w:rFonts w:ascii="Times New Roman" w:hAnsi="Times New Roman" w:cs="Times New Roman"/>
          <w:b/>
          <w:bCs/>
        </w:rPr>
        <w:t>1.</w:t>
      </w:r>
      <w:r w:rsidRPr="00D91094">
        <w:rPr>
          <w:rFonts w:ascii="Times New Roman" w:hAnsi="Times New Roman" w:cs="Times New Roman"/>
          <w:b/>
          <w:bCs/>
        </w:rPr>
        <w:tab/>
        <w:t>A GYÓGYSZER NEVE</w:t>
      </w:r>
    </w:p>
    <w:p w14:paraId="77443CD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FDFB883" w14:textId="77777777" w:rsidR="00716545" w:rsidRPr="00A90B86"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90B86">
        <w:rPr>
          <w:rFonts w:ascii="Times New Roman" w:hAnsi="Times New Roman" w:cs="Times New Roman"/>
        </w:rPr>
        <w:t>Vidonorm Kombi 4 mg/1,25 mg/5 mg tabletta</w:t>
      </w:r>
    </w:p>
    <w:p w14:paraId="14B64558" w14:textId="77777777" w:rsidR="00716545" w:rsidRPr="00A90B86"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90B86">
        <w:rPr>
          <w:rFonts w:ascii="Times New Roman" w:hAnsi="Times New Roman" w:cs="Times New Roman"/>
        </w:rPr>
        <w:t>Vidonorm Kombi 8 mg/2,5 mg/5 mg tabletta</w:t>
      </w:r>
    </w:p>
    <w:p w14:paraId="2F8F0CF3" w14:textId="77777777" w:rsidR="00716545" w:rsidRPr="00A90B86"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90B86">
        <w:rPr>
          <w:rFonts w:ascii="Times New Roman" w:hAnsi="Times New Roman" w:cs="Times New Roman"/>
        </w:rPr>
        <w:t>Vidonorm Kombi 8 mg/2,5 mg/10 mg tabletta</w:t>
      </w:r>
    </w:p>
    <w:p w14:paraId="1DF080C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E89E6A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B61842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2.</w:t>
      </w:r>
      <w:r w:rsidRPr="00D91094">
        <w:rPr>
          <w:rFonts w:ascii="Times New Roman" w:hAnsi="Times New Roman" w:cs="Times New Roman"/>
          <w:b/>
          <w:bCs/>
        </w:rPr>
        <w:tab/>
        <w:t>MINŐSÉGI ÉS MENNYISÉGI ÖSSZETÉTEL</w:t>
      </w:r>
    </w:p>
    <w:p w14:paraId="6716D76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2537119"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AF1A38">
        <w:rPr>
          <w:rFonts w:ascii="Times New Roman" w:hAnsi="Times New Roman" w:cs="Times New Roman"/>
          <w:u w:val="single"/>
        </w:rPr>
        <w:t>Vidonorm Kombi 4 mg/1,25 mg/5 mg tabletta</w:t>
      </w:r>
    </w:p>
    <w:p w14:paraId="0626B9A2"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rPr>
        <w:t>4 mg perindopril-terc-butil-amint (amely megfelel 3,338 mg perindoprilnak), 1,25 mg indapamidot és 5 mg amlodipint (amlodipin-bezilát formájában) tartalmaz tablettánként.</w:t>
      </w:r>
    </w:p>
    <w:p w14:paraId="16AC1E8C"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41C9828"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u w:val="single"/>
        </w:rPr>
        <w:t>Vidonorm Kombi 8 mg/2,5 mg/5 mg tabletta</w:t>
      </w:r>
    </w:p>
    <w:p w14:paraId="38061252"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rPr>
        <w:t>8 mg perindopril-terc-butil-amint (amely megfelel 6,676 mg perindoprilnak), 2,5 mg indapamidot és 5 mg amlodipint (amlodipin-bezilát formájában) tartalmaz tablettánként.</w:t>
      </w:r>
    </w:p>
    <w:p w14:paraId="5BF99AD2"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1B54BA0"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u w:val="single"/>
        </w:rPr>
        <w:t>Vidonorm Kombi 8 mg/2,5 mg/10 mg tabletta</w:t>
      </w:r>
    </w:p>
    <w:p w14:paraId="7322EABA" w14:textId="5B775D54"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rPr>
        <w:t xml:space="preserve">8 mg perindopril-terc-butil-amint (amely megfelel 6,676 mg perindoprilnak), 2,5 mg indapamidot és </w:t>
      </w:r>
      <w:r w:rsidR="00AA7FC6" w:rsidRPr="00AF1A38">
        <w:rPr>
          <w:rFonts w:ascii="Times New Roman" w:hAnsi="Times New Roman" w:cs="Times New Roman"/>
        </w:rPr>
        <w:t>10</w:t>
      </w:r>
      <w:r w:rsidRPr="00AF1A38">
        <w:rPr>
          <w:rFonts w:ascii="Times New Roman" w:hAnsi="Times New Roman" w:cs="Times New Roman"/>
        </w:rPr>
        <w:t> mg amlodipint (amlodipin-bezilát formájában) tartalmaz tablettánként.</w:t>
      </w:r>
    </w:p>
    <w:p w14:paraId="1D93C4DA"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8F3AC99"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rPr>
        <w:t>A segédanyagok teljes listáját lásd a 6.1 pontban.</w:t>
      </w:r>
    </w:p>
    <w:p w14:paraId="47313569"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5DAD017"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66DDF1D"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AF1A38">
        <w:rPr>
          <w:rFonts w:ascii="Times New Roman" w:hAnsi="Times New Roman" w:cs="Times New Roman"/>
          <w:b/>
          <w:bCs/>
        </w:rPr>
        <w:t>3.</w:t>
      </w:r>
      <w:r w:rsidRPr="00AF1A38">
        <w:rPr>
          <w:rFonts w:ascii="Times New Roman" w:hAnsi="Times New Roman" w:cs="Times New Roman"/>
          <w:b/>
          <w:bCs/>
        </w:rPr>
        <w:tab/>
        <w:t>GYÓGYSZERFORMA</w:t>
      </w:r>
    </w:p>
    <w:p w14:paraId="701556CA"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DAF7BF0"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AF1A38">
        <w:rPr>
          <w:rFonts w:ascii="Times New Roman" w:hAnsi="Times New Roman" w:cs="Times New Roman"/>
        </w:rPr>
        <w:t>Tabletta.</w:t>
      </w:r>
    </w:p>
    <w:p w14:paraId="5032B06E" w14:textId="77777777" w:rsidR="00716545" w:rsidRPr="00AF1A38"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3A74ABF" w14:textId="77777777" w:rsidR="00716545" w:rsidRPr="00AF1A38" w:rsidRDefault="00716545" w:rsidP="00716545">
      <w:pPr>
        <w:pStyle w:val="Nincstrkz"/>
        <w:widowControl w:val="0"/>
        <w:suppressAutoHyphens/>
        <w:rPr>
          <w:rFonts w:cs="Times New Roman"/>
          <w:u w:val="single"/>
        </w:rPr>
      </w:pPr>
      <w:r w:rsidRPr="00AF1A38">
        <w:rPr>
          <w:rFonts w:cs="Times New Roman"/>
          <w:u w:val="single"/>
        </w:rPr>
        <w:t>Vidonorm Kombi 4 mg/1,25 mg/5 mg tabletta</w:t>
      </w:r>
    </w:p>
    <w:p w14:paraId="03EB529D" w14:textId="77777777" w:rsidR="00716545" w:rsidRPr="00AF1A38" w:rsidRDefault="00716545" w:rsidP="00716545">
      <w:pPr>
        <w:pStyle w:val="Nincstrkz"/>
        <w:widowControl w:val="0"/>
        <w:suppressAutoHyphens/>
        <w:rPr>
          <w:rFonts w:cs="Times New Roman"/>
        </w:rPr>
      </w:pPr>
      <w:r w:rsidRPr="00AF1A38">
        <w:rPr>
          <w:rFonts w:cs="Times New Roman"/>
        </w:rPr>
        <w:t>Sötét rózsaszín, márványozott, kerek tabletta, egyik oldalán „4 1.25 5” jelzéssel. Átmérője 7 mm.</w:t>
      </w:r>
    </w:p>
    <w:p w14:paraId="75CD009D" w14:textId="77777777" w:rsidR="00716545" w:rsidRPr="00AF1A38" w:rsidRDefault="00716545" w:rsidP="00716545">
      <w:pPr>
        <w:pStyle w:val="Nincstrkz"/>
        <w:widowControl w:val="0"/>
        <w:suppressAutoHyphens/>
        <w:rPr>
          <w:rFonts w:cs="Times New Roman"/>
        </w:rPr>
      </w:pPr>
    </w:p>
    <w:p w14:paraId="549D6DFC" w14:textId="77777777" w:rsidR="00716545" w:rsidRPr="00AF1A38" w:rsidRDefault="00716545" w:rsidP="00716545">
      <w:pPr>
        <w:pStyle w:val="Nincstrkz"/>
        <w:widowControl w:val="0"/>
        <w:suppressAutoHyphens/>
        <w:rPr>
          <w:rFonts w:cs="Times New Roman"/>
          <w:u w:val="single"/>
        </w:rPr>
      </w:pPr>
      <w:r w:rsidRPr="00AF1A38">
        <w:rPr>
          <w:rFonts w:cs="Times New Roman"/>
          <w:u w:val="single"/>
        </w:rPr>
        <w:t>Vidonorm Kombi 8 mg/2,5 mg/5 mg tabletta</w:t>
      </w:r>
    </w:p>
    <w:p w14:paraId="36914C91" w14:textId="0D44566E" w:rsidR="00716545" w:rsidRPr="00AF1A38" w:rsidRDefault="00D704AA" w:rsidP="00716545">
      <w:pPr>
        <w:pStyle w:val="Nincstrkz"/>
        <w:widowControl w:val="0"/>
        <w:suppressAutoHyphens/>
        <w:rPr>
          <w:rFonts w:cs="Times New Roman"/>
        </w:rPr>
      </w:pPr>
      <w:r w:rsidRPr="00AF1A38">
        <w:rPr>
          <w:rFonts w:cs="Times New Roman"/>
        </w:rPr>
        <w:t>R</w:t>
      </w:r>
      <w:r w:rsidR="00716545" w:rsidRPr="00AF1A38">
        <w:rPr>
          <w:rFonts w:cs="Times New Roman"/>
        </w:rPr>
        <w:t>ózsaszín, márványozott, kerek tabletta, egyik oldalán „8 2.5 5” jelzéssel. Átmérője 9,4 mm.</w:t>
      </w:r>
    </w:p>
    <w:p w14:paraId="7F331F5A" w14:textId="77777777" w:rsidR="00716545" w:rsidRPr="00AF1A38" w:rsidRDefault="00716545" w:rsidP="00716545">
      <w:pPr>
        <w:pStyle w:val="Nincstrkz"/>
        <w:widowControl w:val="0"/>
        <w:suppressAutoHyphens/>
        <w:rPr>
          <w:rFonts w:cs="Times New Roman"/>
        </w:rPr>
      </w:pPr>
    </w:p>
    <w:p w14:paraId="6746C73D" w14:textId="77777777" w:rsidR="00716545" w:rsidRPr="00AF1A38" w:rsidRDefault="00716545" w:rsidP="00716545">
      <w:pPr>
        <w:pStyle w:val="Nincstrkz"/>
        <w:widowControl w:val="0"/>
        <w:suppressAutoHyphens/>
        <w:rPr>
          <w:rFonts w:cs="Times New Roman"/>
          <w:u w:val="single"/>
        </w:rPr>
      </w:pPr>
      <w:r w:rsidRPr="00AF1A38">
        <w:rPr>
          <w:rFonts w:cs="Times New Roman"/>
          <w:u w:val="single"/>
        </w:rPr>
        <w:t>Vidonorm Kombi 8 mg/2,5 mg/10 mg tabletta</w:t>
      </w:r>
    </w:p>
    <w:p w14:paraId="21565FA1" w14:textId="77777777" w:rsidR="00716545" w:rsidRPr="00D91094" w:rsidRDefault="00716545" w:rsidP="00716545">
      <w:pPr>
        <w:pStyle w:val="Nincstrkz"/>
        <w:widowControl w:val="0"/>
        <w:suppressAutoHyphens/>
        <w:rPr>
          <w:rFonts w:cs="Times New Roman"/>
        </w:rPr>
      </w:pPr>
      <w:r w:rsidRPr="00AF1A38">
        <w:rPr>
          <w:rFonts w:cs="Times New Roman"/>
        </w:rPr>
        <w:t>Sötét rózsaszín, márványozott, kerek tabletta, egyik oldalán „8 2.5 10” jelzéssel. Átmérője 9,4 mm.</w:t>
      </w:r>
    </w:p>
    <w:p w14:paraId="099F6F9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489C8D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4EB45D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w:t>
      </w:r>
      <w:r w:rsidRPr="00D91094">
        <w:rPr>
          <w:rFonts w:ascii="Times New Roman" w:hAnsi="Times New Roman" w:cs="Times New Roman"/>
          <w:b/>
          <w:bCs/>
        </w:rPr>
        <w:tab/>
        <w:t>KLINIKAI JELLEMZŐK</w:t>
      </w:r>
    </w:p>
    <w:p w14:paraId="00E2F92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E7C77D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4.1</w:t>
      </w:r>
      <w:r w:rsidRPr="00D91094">
        <w:rPr>
          <w:rFonts w:ascii="Times New Roman" w:hAnsi="Times New Roman" w:cs="Times New Roman"/>
          <w:b/>
          <w:bCs/>
        </w:rPr>
        <w:tab/>
        <w:t>Terápiás javallatok</w:t>
      </w:r>
    </w:p>
    <w:p w14:paraId="280DB7C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14F9E94" w14:textId="70C476EC"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Vidonorm Kombi esszenciális hypertonia szubsztitúciós kezelésére </w:t>
      </w:r>
      <w:r w:rsidR="00D2704D" w:rsidRPr="00D91094">
        <w:rPr>
          <w:rFonts w:ascii="Times New Roman" w:hAnsi="Times New Roman" w:cs="Times New Roman"/>
        </w:rPr>
        <w:t>java</w:t>
      </w:r>
      <w:r w:rsidR="00D2704D">
        <w:rPr>
          <w:rFonts w:ascii="Times New Roman" w:hAnsi="Times New Roman" w:cs="Times New Roman"/>
        </w:rPr>
        <w:t>llott</w:t>
      </w:r>
      <w:r w:rsidRPr="00D91094">
        <w:rPr>
          <w:rFonts w:ascii="Times New Roman" w:hAnsi="Times New Roman" w:cs="Times New Roman"/>
        </w:rPr>
        <w:t>, a kombinációban levővel megegyező dózis</w:t>
      </w:r>
      <w:r w:rsidR="006863A3">
        <w:rPr>
          <w:rFonts w:ascii="Times New Roman" w:hAnsi="Times New Roman" w:cs="Times New Roman"/>
        </w:rPr>
        <w:t>ú</w:t>
      </w:r>
      <w:r w:rsidRPr="00D91094">
        <w:rPr>
          <w:rFonts w:ascii="Times New Roman" w:hAnsi="Times New Roman" w:cs="Times New Roman"/>
        </w:rPr>
        <w:t xml:space="preserve"> perindopril/indapamid és amlodipin </w:t>
      </w:r>
      <w:r w:rsidR="00221850" w:rsidRPr="00221850">
        <w:rPr>
          <w:rFonts w:ascii="Times New Roman" w:hAnsi="Times New Roman" w:cs="Times New Roman"/>
        </w:rPr>
        <w:t xml:space="preserve">egyidejű </w:t>
      </w:r>
      <w:r w:rsidRPr="00D91094">
        <w:rPr>
          <w:rFonts w:ascii="Times New Roman" w:hAnsi="Times New Roman" w:cs="Times New Roman"/>
        </w:rPr>
        <w:t>alkalmazásával</w:t>
      </w:r>
      <w:r w:rsidR="00D2704D" w:rsidRPr="00D2704D">
        <w:t xml:space="preserve"> </w:t>
      </w:r>
      <w:r w:rsidR="00D2704D" w:rsidRPr="00D2704D">
        <w:rPr>
          <w:rFonts w:ascii="Times New Roman" w:hAnsi="Times New Roman" w:cs="Times New Roman"/>
        </w:rPr>
        <w:t xml:space="preserve">már megfelelően beállított </w:t>
      </w:r>
      <w:r w:rsidR="00C74E1A">
        <w:rPr>
          <w:rFonts w:ascii="Times New Roman" w:hAnsi="Times New Roman" w:cs="Times New Roman"/>
        </w:rPr>
        <w:t xml:space="preserve">felnőtt </w:t>
      </w:r>
      <w:r w:rsidR="00D2704D" w:rsidRPr="00D2704D">
        <w:rPr>
          <w:rFonts w:ascii="Times New Roman" w:hAnsi="Times New Roman" w:cs="Times New Roman"/>
        </w:rPr>
        <w:t>betegek számára</w:t>
      </w:r>
      <w:r w:rsidRPr="00D91094">
        <w:rPr>
          <w:rFonts w:ascii="Times New Roman" w:hAnsi="Times New Roman" w:cs="Times New Roman"/>
        </w:rPr>
        <w:t>.</w:t>
      </w:r>
    </w:p>
    <w:p w14:paraId="568350B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6BC86D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4.2</w:t>
      </w:r>
      <w:r w:rsidRPr="00D91094">
        <w:rPr>
          <w:rFonts w:ascii="Times New Roman" w:hAnsi="Times New Roman" w:cs="Times New Roman"/>
          <w:b/>
          <w:bCs/>
        </w:rPr>
        <w:tab/>
        <w:t>Adagolás és alkalmazás</w:t>
      </w:r>
    </w:p>
    <w:p w14:paraId="098D95C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7B7216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Adagolás</w:t>
      </w:r>
    </w:p>
    <w:p w14:paraId="67890B7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F88A92C" w14:textId="77777777" w:rsidR="00716545"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betegeknek a korábbi kezelésük során kapott hatáserősségű készítményt kell szedniük.</w:t>
      </w:r>
    </w:p>
    <w:p w14:paraId="08CEBC87" w14:textId="77777777" w:rsidR="00274DC4" w:rsidRPr="00274DC4" w:rsidRDefault="00274DC4" w:rsidP="00274DC4">
      <w:pPr>
        <w:widowControl w:val="0"/>
        <w:suppressAutoHyphens/>
        <w:autoSpaceDE w:val="0"/>
        <w:autoSpaceDN w:val="0"/>
        <w:adjustRightInd w:val="0"/>
        <w:spacing w:after="0" w:line="240" w:lineRule="auto"/>
        <w:rPr>
          <w:rFonts w:ascii="Times New Roman" w:hAnsi="Times New Roman" w:cs="Times New Roman"/>
        </w:rPr>
      </w:pPr>
      <w:r w:rsidRPr="00274DC4">
        <w:rPr>
          <w:rFonts w:ascii="Times New Roman" w:hAnsi="Times New Roman" w:cs="Times New Roman"/>
        </w:rPr>
        <w:t>A fix dózisú kombináció nem alkalmas kezdeti terápiára.</w:t>
      </w:r>
    </w:p>
    <w:p w14:paraId="7E233BB7" w14:textId="77777777" w:rsidR="00274DC4" w:rsidRPr="00D91094" w:rsidRDefault="00274DC4" w:rsidP="00274DC4">
      <w:pPr>
        <w:widowControl w:val="0"/>
        <w:suppressAutoHyphens/>
        <w:autoSpaceDE w:val="0"/>
        <w:autoSpaceDN w:val="0"/>
        <w:adjustRightInd w:val="0"/>
        <w:spacing w:after="0" w:line="240" w:lineRule="auto"/>
        <w:rPr>
          <w:rFonts w:ascii="Times New Roman" w:hAnsi="Times New Roman" w:cs="Times New Roman"/>
        </w:rPr>
      </w:pPr>
      <w:r w:rsidRPr="00274DC4">
        <w:rPr>
          <w:rFonts w:ascii="Times New Roman" w:hAnsi="Times New Roman" w:cs="Times New Roman"/>
        </w:rPr>
        <w:t>Amennyiben az adagolás módosítása szükséges, az egyes komponensek egyéni titrálását kell elvégezni.</w:t>
      </w:r>
    </w:p>
    <w:p w14:paraId="28B6CFEC" w14:textId="48681DF0"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Vidonorm Kombi szokásos d</w:t>
      </w:r>
      <w:r w:rsidR="00715ACA">
        <w:rPr>
          <w:rFonts w:ascii="Times New Roman" w:hAnsi="Times New Roman" w:cs="Times New Roman"/>
        </w:rPr>
        <w:t>ózis</w:t>
      </w:r>
      <w:r w:rsidRPr="00D91094">
        <w:rPr>
          <w:rFonts w:ascii="Times New Roman" w:hAnsi="Times New Roman" w:cs="Times New Roman"/>
        </w:rPr>
        <w:t>a naponta egy tabletta egyszeri adagban.</w:t>
      </w:r>
    </w:p>
    <w:p w14:paraId="08534EB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EFF0B2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lastRenderedPageBreak/>
        <w:t>Idősek (lásd 4.4 pont)</w:t>
      </w:r>
    </w:p>
    <w:p w14:paraId="195CE1F8" w14:textId="5D515B7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idősekn</w:t>
      </w:r>
      <w:r w:rsidR="00715ACA">
        <w:rPr>
          <w:rFonts w:ascii="Times New Roman" w:hAnsi="Times New Roman" w:cs="Times New Roman"/>
        </w:rPr>
        <w:t>él</w:t>
      </w:r>
      <w:r w:rsidRPr="00D91094">
        <w:rPr>
          <w:rFonts w:ascii="Times New Roman" w:hAnsi="Times New Roman" w:cs="Times New Roman"/>
        </w:rPr>
        <w:t xml:space="preserve"> a perindoprilát eliminációja csökkent mértékű (lásd 5.2 pont).</w:t>
      </w:r>
    </w:p>
    <w:p w14:paraId="1B559D1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kezelést a vérnyomásválasz és a vesefunkció figyelembevétele után </w:t>
      </w:r>
      <w:r w:rsidRPr="00004848">
        <w:rPr>
          <w:rFonts w:ascii="Times New Roman" w:hAnsi="Times New Roman" w:cs="Times New Roman"/>
        </w:rPr>
        <w:t>kell kezdeni.</w:t>
      </w:r>
    </w:p>
    <w:p w14:paraId="3E79605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170C3C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Vesekárosodás (lásd 4.4 pont)</w:t>
      </w:r>
    </w:p>
    <w:p w14:paraId="6E13F758" w14:textId="152E2DC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u w:val="single"/>
        </w:rPr>
      </w:pPr>
      <w:r w:rsidRPr="00D91094">
        <w:rPr>
          <w:rFonts w:ascii="Times New Roman" w:hAnsi="Times New Roman" w:cs="Times New Roman"/>
          <w:i/>
          <w:iCs/>
          <w:u w:val="single"/>
        </w:rPr>
        <w:t>Perindopril/indapamid kombinációra vonatkozóan</w:t>
      </w:r>
    </w:p>
    <w:p w14:paraId="0F04D871" w14:textId="17058C1F"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Súlyos vesekárosodás esetén (ha a kreatinin clearance &lt; 30 ml/min), a készítmény alkalmazása ellenjavallt.</w:t>
      </w:r>
    </w:p>
    <w:p w14:paraId="47F02910" w14:textId="7D886996"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Közepesen súlyos vesekárosodás esetén (ha a kreatinin clearance 30</w:t>
      </w:r>
      <w:r w:rsidRPr="00D91094">
        <w:rPr>
          <w:rFonts w:ascii="Times New Roman" w:hAnsi="Times New Roman" w:cs="Times New Roman"/>
        </w:rPr>
        <w:noBreakHyphen/>
        <w:t>60 </w:t>
      </w:r>
      <w:r w:rsidRPr="009436A9">
        <w:rPr>
          <w:rFonts w:ascii="Times New Roman" w:hAnsi="Times New Roman" w:cs="Times New Roman"/>
        </w:rPr>
        <w:t>ml/min</w:t>
      </w:r>
      <w:r w:rsidRPr="00D91094">
        <w:rPr>
          <w:rFonts w:ascii="Times New Roman" w:hAnsi="Times New Roman" w:cs="Times New Roman"/>
        </w:rPr>
        <w:t xml:space="preserve">) a Vidonorm Kombi </w:t>
      </w:r>
      <w:r w:rsidRPr="00D91094">
        <w:rPr>
          <w:rFonts w:ascii="Times New Roman" w:hAnsi="Times New Roman" w:cs="Times New Roman"/>
          <w:bCs/>
        </w:rPr>
        <w:t>8 mg/2</w:t>
      </w:r>
      <w:r w:rsidR="00715ACA">
        <w:rPr>
          <w:rFonts w:ascii="Times New Roman" w:hAnsi="Times New Roman" w:cs="Times New Roman"/>
          <w:bCs/>
        </w:rPr>
        <w:t>,</w:t>
      </w:r>
      <w:r w:rsidRPr="00D91094">
        <w:rPr>
          <w:rFonts w:ascii="Times New Roman" w:hAnsi="Times New Roman" w:cs="Times New Roman"/>
          <w:bCs/>
        </w:rPr>
        <w:t>5 mg/5 mg és a Vidonorm Kombi</w:t>
      </w:r>
      <w:r w:rsidRPr="00D91094">
        <w:rPr>
          <w:rFonts w:ascii="Times New Roman" w:hAnsi="Times New Roman" w:cs="Times New Roman"/>
          <w:b/>
          <w:bCs/>
        </w:rPr>
        <w:t xml:space="preserve"> </w:t>
      </w:r>
      <w:r w:rsidRPr="00D91094">
        <w:rPr>
          <w:rFonts w:ascii="Times New Roman" w:hAnsi="Times New Roman" w:cs="Times New Roman"/>
          <w:bCs/>
        </w:rPr>
        <w:t>8 mg/2</w:t>
      </w:r>
      <w:r w:rsidR="00715ACA">
        <w:rPr>
          <w:rFonts w:ascii="Times New Roman" w:hAnsi="Times New Roman" w:cs="Times New Roman"/>
          <w:bCs/>
        </w:rPr>
        <w:t>,</w:t>
      </w:r>
      <w:r w:rsidRPr="00D91094">
        <w:rPr>
          <w:rFonts w:ascii="Times New Roman" w:hAnsi="Times New Roman" w:cs="Times New Roman"/>
          <w:bCs/>
        </w:rPr>
        <w:t xml:space="preserve">5 mg/10 mg </w:t>
      </w:r>
      <w:r w:rsidRPr="00D91094">
        <w:rPr>
          <w:rFonts w:ascii="Times New Roman" w:hAnsi="Times New Roman" w:cs="Times New Roman"/>
        </w:rPr>
        <w:t>készítmény alkalmazása ellenjavallt (lásd 4.3 pont).</w:t>
      </w:r>
    </w:p>
    <w:p w14:paraId="14044AA9" w14:textId="38B69E11"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szokásos orvosi nyomon követés magában foglalja a szérum</w:t>
      </w:r>
      <w:r w:rsidR="00AB7068">
        <w:rPr>
          <w:rFonts w:ascii="Times New Roman" w:hAnsi="Times New Roman" w:cs="Times New Roman"/>
        </w:rPr>
        <w:t xml:space="preserve"> </w:t>
      </w:r>
      <w:r w:rsidRPr="00D91094">
        <w:rPr>
          <w:rFonts w:ascii="Times New Roman" w:hAnsi="Times New Roman" w:cs="Times New Roman"/>
        </w:rPr>
        <w:t>kreatinin- és káliumérték</w:t>
      </w:r>
      <w:r w:rsidR="00AB7068">
        <w:rPr>
          <w:rFonts w:ascii="Times New Roman" w:hAnsi="Times New Roman" w:cs="Times New Roman"/>
        </w:rPr>
        <w:t>ének</w:t>
      </w:r>
      <w:r w:rsidRPr="00D91094">
        <w:rPr>
          <w:rFonts w:ascii="Times New Roman" w:hAnsi="Times New Roman" w:cs="Times New Roman"/>
        </w:rPr>
        <w:t xml:space="preserve"> rendszeres ellenőrzését.</w:t>
      </w:r>
    </w:p>
    <w:p w14:paraId="03B0FF9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8497D80" w14:textId="77777777" w:rsidR="00716545" w:rsidRPr="00004848" w:rsidRDefault="00716545" w:rsidP="00716545">
      <w:pPr>
        <w:widowControl w:val="0"/>
        <w:suppressAutoHyphens/>
        <w:autoSpaceDE w:val="0"/>
        <w:autoSpaceDN w:val="0"/>
        <w:adjustRightInd w:val="0"/>
        <w:spacing w:after="0" w:line="240" w:lineRule="auto"/>
        <w:rPr>
          <w:rFonts w:ascii="Times New Roman" w:hAnsi="Times New Roman" w:cs="Times New Roman"/>
          <w:i/>
          <w:iCs/>
          <w:u w:val="single"/>
        </w:rPr>
      </w:pPr>
      <w:r w:rsidRPr="00004848">
        <w:rPr>
          <w:rFonts w:ascii="Times New Roman" w:hAnsi="Times New Roman" w:cs="Times New Roman"/>
          <w:i/>
          <w:iCs/>
          <w:u w:val="single"/>
        </w:rPr>
        <w:t>Amlodipinre vonatkozóan</w:t>
      </w:r>
    </w:p>
    <w:p w14:paraId="76605BD5" w14:textId="50DAD501"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0045B6">
        <w:rPr>
          <w:rFonts w:ascii="Times New Roman" w:hAnsi="Times New Roman" w:cs="Times New Roman"/>
        </w:rPr>
        <w:t>Az amlodipin plazmakoncentrációjának változása nem mutat összefüggést a vesekárosodás mértékével</w:t>
      </w:r>
      <w:r w:rsidRPr="00004848">
        <w:rPr>
          <w:rFonts w:ascii="Times New Roman" w:hAnsi="Times New Roman" w:cs="Times New Roman"/>
        </w:rPr>
        <w:t>. Az amlodipin nem dializálható (lásd 5.2 pont).</w:t>
      </w:r>
    </w:p>
    <w:p w14:paraId="69AFED6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D330EA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rPr>
      </w:pPr>
      <w:r w:rsidRPr="00D91094">
        <w:rPr>
          <w:rFonts w:ascii="Times New Roman" w:hAnsi="Times New Roman" w:cs="Times New Roman"/>
          <w:i/>
          <w:iCs/>
        </w:rPr>
        <w:t>Májkárosodás</w:t>
      </w:r>
      <w:r w:rsidRPr="00D91094">
        <w:rPr>
          <w:rFonts w:ascii="Times New Roman" w:hAnsi="Times New Roman" w:cs="Times New Roman"/>
          <w:i/>
        </w:rPr>
        <w:t xml:space="preserve"> (lásd 4.3, 4.4 és 5.2 pont)</w:t>
      </w:r>
    </w:p>
    <w:p w14:paraId="4AC55FF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Súlyos májkárosodás esetén a kezelés ellenjavallt. Enyhe és közepesen súlyos májkárosodásban szenvedő betegeknél a Vidonorm Kombi-t körültekintéssel kell alkalmazni, mivel</w:t>
      </w:r>
      <w:r w:rsidRPr="00D91094">
        <w:rPr>
          <w:rFonts w:ascii="Times New Roman" w:eastAsia="Lucida Sans Unicode" w:hAnsi="Times New Roman" w:cs="Times New Roman"/>
          <w:lang w:eastAsia="hu-HU"/>
        </w:rPr>
        <w:t xml:space="preserve"> amlodipinre vonatkozó </w:t>
      </w:r>
      <w:r w:rsidRPr="00D91094">
        <w:rPr>
          <w:rFonts w:ascii="Times New Roman" w:hAnsi="Times New Roman" w:cs="Times New Roman"/>
        </w:rPr>
        <w:t>pontos adagolási javaslat ezen betegek számára nincs megállapítva.</w:t>
      </w:r>
    </w:p>
    <w:p w14:paraId="10FFCEB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Cs/>
        </w:rPr>
      </w:pPr>
    </w:p>
    <w:p w14:paraId="40AA149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rPr>
        <w:t>Gyermekek és serdülők</w:t>
      </w:r>
    </w:p>
    <w:p w14:paraId="0F26B886" w14:textId="762A779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rPr>
        <w:t xml:space="preserve">A </w:t>
      </w:r>
      <w:r w:rsidRPr="00D91094">
        <w:rPr>
          <w:rFonts w:ascii="Times New Roman" w:hAnsi="Times New Roman" w:cs="Times New Roman"/>
          <w:bCs/>
        </w:rPr>
        <w:t xml:space="preserve">Vidonorm Kombi </w:t>
      </w:r>
      <w:r w:rsidRPr="00D91094">
        <w:rPr>
          <w:rFonts w:ascii="Times New Roman" w:hAnsi="Times New Roman" w:cs="Times New Roman"/>
        </w:rPr>
        <w:t>hatásosságát és biztonságosságát nem igazolták gyermekeknél és serdülőknél.</w:t>
      </w:r>
      <w:r w:rsidR="00006080" w:rsidRPr="00006080">
        <w:t xml:space="preserve"> </w:t>
      </w:r>
      <w:r w:rsidR="00006080" w:rsidRPr="00006080">
        <w:rPr>
          <w:rFonts w:ascii="Times New Roman" w:hAnsi="Times New Roman" w:cs="Times New Roman"/>
        </w:rPr>
        <w:t>Nem állnak rendelkezésre adatok</w:t>
      </w:r>
      <w:r w:rsidR="00006080">
        <w:rPr>
          <w:rFonts w:ascii="Times New Roman" w:hAnsi="Times New Roman" w:cs="Times New Roman"/>
        </w:rPr>
        <w:t xml:space="preserve">. </w:t>
      </w:r>
      <w:r w:rsidRPr="00D91094">
        <w:rPr>
          <w:rFonts w:ascii="Times New Roman" w:hAnsi="Times New Roman" w:cs="Times New Roman"/>
        </w:rPr>
        <w:t>Gyermekeknél és serdülőknél a Vidonorm Kombi tabletta nem alkalmazható.</w:t>
      </w:r>
    </w:p>
    <w:p w14:paraId="5B81945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523C4A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Az alkalmazás módja</w:t>
      </w:r>
    </w:p>
    <w:p w14:paraId="183B798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CB31C5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tablettát lehetőség szerint reggel, étkezés előtt kell bevenni.</w:t>
      </w:r>
    </w:p>
    <w:p w14:paraId="3E533B0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A0D4ED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4.3</w:t>
      </w:r>
      <w:r w:rsidRPr="00D91094">
        <w:rPr>
          <w:rFonts w:ascii="Times New Roman" w:hAnsi="Times New Roman" w:cs="Times New Roman"/>
          <w:b/>
          <w:bCs/>
        </w:rPr>
        <w:tab/>
        <w:t>Ellenjavallatok</w:t>
      </w:r>
    </w:p>
    <w:p w14:paraId="0B9593C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451EED7" w14:textId="77777777" w:rsidR="00716545" w:rsidRPr="00D91094" w:rsidRDefault="00716545"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készítmény hatóanyagaival, más szulfonamidokkal, dihidropiridin-származékokkal vagy bármely más ACE-gátlóval szembeni, vagy a 6.1 pontban felsorolt bármely segédanyagával szembeni túlérzékenység;</w:t>
      </w:r>
    </w:p>
    <w:p w14:paraId="56446986" w14:textId="563B52E5" w:rsidR="00716545" w:rsidRPr="00D91094" w:rsidRDefault="006863A3"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korábbi </w:t>
      </w:r>
      <w:r w:rsidR="00716545" w:rsidRPr="00D91094">
        <w:rPr>
          <w:rFonts w:ascii="Times New Roman" w:hAnsi="Times New Roman" w:cs="Times New Roman"/>
        </w:rPr>
        <w:t>ACE-gátló</w:t>
      </w:r>
      <w:r>
        <w:rPr>
          <w:rFonts w:ascii="Times New Roman" w:hAnsi="Times New Roman" w:cs="Times New Roman"/>
        </w:rPr>
        <w:t>-</w:t>
      </w:r>
      <w:r w:rsidR="00716545" w:rsidRPr="00D91094">
        <w:rPr>
          <w:rFonts w:ascii="Times New Roman" w:hAnsi="Times New Roman" w:cs="Times New Roman"/>
        </w:rPr>
        <w:t>kezelés kapcsán kialakult angiooedema (Quincke-oedema) (lásd 4.4 pont);</w:t>
      </w:r>
    </w:p>
    <w:p w14:paraId="19911518" w14:textId="5CD20C06" w:rsidR="00716545" w:rsidRPr="00D91094" w:rsidRDefault="00715ACA" w:rsidP="00006080">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s</w:t>
      </w:r>
      <w:r w:rsidR="00716545" w:rsidRPr="00D91094">
        <w:rPr>
          <w:rFonts w:ascii="Times New Roman" w:hAnsi="Times New Roman" w:cs="Times New Roman"/>
        </w:rPr>
        <w:t>zakubitril/valzartán</w:t>
      </w:r>
      <w:r w:rsidR="006863A3">
        <w:rPr>
          <w:rFonts w:ascii="Times New Roman" w:hAnsi="Times New Roman" w:cs="Times New Roman"/>
        </w:rPr>
        <w:t>-</w:t>
      </w:r>
      <w:r w:rsidR="00716545" w:rsidRPr="00D91094">
        <w:rPr>
          <w:rFonts w:ascii="Times New Roman" w:hAnsi="Times New Roman" w:cs="Times New Roman"/>
        </w:rPr>
        <w:t>terápiával való egyidejű alkalmazás. A Vidonorm Kombi</w:t>
      </w:r>
      <w:r>
        <w:t>-</w:t>
      </w:r>
      <w:r w:rsidR="00006080" w:rsidRPr="00006080">
        <w:rPr>
          <w:rFonts w:ascii="Times New Roman" w:hAnsi="Times New Roman" w:cs="Times New Roman"/>
        </w:rPr>
        <w:t>kezelést</w:t>
      </w:r>
      <w:r w:rsidR="00716545" w:rsidRPr="00D91094">
        <w:rPr>
          <w:rFonts w:ascii="Times New Roman" w:hAnsi="Times New Roman" w:cs="Times New Roman"/>
        </w:rPr>
        <w:t xml:space="preserve"> </w:t>
      </w:r>
      <w:r w:rsidR="00006080" w:rsidRPr="00006080">
        <w:rPr>
          <w:rFonts w:ascii="Times New Roman" w:hAnsi="Times New Roman" w:cs="Times New Roman"/>
          <w:lang w:val="en-GB"/>
        </w:rPr>
        <w:t>legkorábban</w:t>
      </w:r>
      <w:r w:rsidR="00006080" w:rsidRPr="00006080">
        <w:rPr>
          <w:rFonts w:ascii="Times New Roman" w:hAnsi="Times New Roman" w:cs="Times New Roman"/>
        </w:rPr>
        <w:t xml:space="preserve"> </w:t>
      </w:r>
      <w:r w:rsidR="00716545" w:rsidRPr="00D91094">
        <w:rPr>
          <w:rFonts w:ascii="Times New Roman" w:hAnsi="Times New Roman" w:cs="Times New Roman"/>
        </w:rPr>
        <w:t xml:space="preserve">a szakubitril/valzartán legutolsó adagja után 36 órával </w:t>
      </w:r>
      <w:r w:rsidR="00006080">
        <w:rPr>
          <w:rFonts w:ascii="Times New Roman" w:hAnsi="Times New Roman" w:cs="Times New Roman"/>
        </w:rPr>
        <w:t>szabad elkezdeni</w:t>
      </w:r>
      <w:r w:rsidR="00716545" w:rsidRPr="00D91094">
        <w:rPr>
          <w:rFonts w:ascii="Times New Roman" w:hAnsi="Times New Roman" w:cs="Times New Roman"/>
        </w:rPr>
        <w:t xml:space="preserve"> (lásd 4.4 és 4.5 pont);</w:t>
      </w:r>
    </w:p>
    <w:p w14:paraId="6DE30445" w14:textId="01242D55"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ö</w:t>
      </w:r>
      <w:r w:rsidR="00716545" w:rsidRPr="00D91094">
        <w:rPr>
          <w:rFonts w:ascii="Times New Roman" w:hAnsi="Times New Roman" w:cs="Times New Roman"/>
        </w:rPr>
        <w:t>rökletes/idiopathiás angioneuroticus oedema;</w:t>
      </w:r>
    </w:p>
    <w:p w14:paraId="3927C101" w14:textId="63EBBF9D"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a</w:t>
      </w:r>
      <w:r w:rsidR="00716545" w:rsidRPr="00D91094">
        <w:rPr>
          <w:rFonts w:ascii="Times New Roman" w:hAnsi="Times New Roman" w:cs="Times New Roman"/>
        </w:rPr>
        <w:t xml:space="preserve"> terhesség második és harmadik trimesztere (lásd 4.4 és 4.6. pont);</w:t>
      </w:r>
    </w:p>
    <w:p w14:paraId="4524199B" w14:textId="6622CA8B"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e</w:t>
      </w:r>
      <w:r w:rsidR="00716545" w:rsidRPr="00D91094">
        <w:rPr>
          <w:rFonts w:ascii="Times New Roman" w:hAnsi="Times New Roman" w:cs="Times New Roman"/>
        </w:rPr>
        <w:t>gyidejű alkalmazása aliszkirén</w:t>
      </w:r>
      <w:r>
        <w:rPr>
          <w:rFonts w:ascii="Times New Roman" w:hAnsi="Times New Roman" w:cs="Times New Roman"/>
        </w:rPr>
        <w:t>-</w:t>
      </w:r>
      <w:r w:rsidR="00716545" w:rsidRPr="00D91094">
        <w:rPr>
          <w:rFonts w:ascii="Times New Roman" w:hAnsi="Times New Roman" w:cs="Times New Roman"/>
        </w:rPr>
        <w:t>tartalmú készítményekkel diabetes mellitusban szenvedő vagy károsodott veseműködésű betegeknél (GFR &lt; 60 ml/perc/1,73 m</w:t>
      </w:r>
      <w:r w:rsidR="00716545" w:rsidRPr="00D91094">
        <w:rPr>
          <w:rFonts w:ascii="Times New Roman" w:hAnsi="Times New Roman" w:cs="Times New Roman"/>
          <w:vertAlign w:val="superscript"/>
        </w:rPr>
        <w:t>2</w:t>
      </w:r>
      <w:r w:rsidR="00716545" w:rsidRPr="00D91094">
        <w:rPr>
          <w:rFonts w:ascii="Times New Roman" w:hAnsi="Times New Roman" w:cs="Times New Roman"/>
        </w:rPr>
        <w:t>) (lásd 4.5 és 5.1 pont) ellenjavallt;</w:t>
      </w:r>
    </w:p>
    <w:p w14:paraId="14F72BC6" w14:textId="5FC11A00"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o</w:t>
      </w:r>
      <w:r w:rsidR="00716545" w:rsidRPr="00D91094">
        <w:rPr>
          <w:rFonts w:ascii="Times New Roman" w:hAnsi="Times New Roman" w:cs="Times New Roman"/>
        </w:rPr>
        <w:t>lyan extracorporalis kezelés, amelynek során a vér negatív töltésű felülettel érintkezik (lásd 4.5 pont);</w:t>
      </w:r>
    </w:p>
    <w:p w14:paraId="695703F3" w14:textId="0E0F543C"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b</w:t>
      </w:r>
      <w:r w:rsidR="00716545" w:rsidRPr="00D91094">
        <w:rPr>
          <w:rFonts w:ascii="Times New Roman" w:hAnsi="Times New Roman" w:cs="Times New Roman"/>
        </w:rPr>
        <w:t>ilaterális veseartéria-stenosis, vagy az egyetlen működő veséhez vezető artéria stenosisa (lásd 4.4 pont);</w:t>
      </w:r>
    </w:p>
    <w:p w14:paraId="4A3F63E2" w14:textId="7D1F3A4A"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s</w:t>
      </w:r>
      <w:r w:rsidR="00716545" w:rsidRPr="00D91094">
        <w:rPr>
          <w:rFonts w:ascii="Times New Roman" w:hAnsi="Times New Roman" w:cs="Times New Roman"/>
        </w:rPr>
        <w:t>úlyos vesekárosodás (ha a kreatinin-clearance &lt; </w:t>
      </w:r>
      <w:r w:rsidR="00716545" w:rsidRPr="009436A9">
        <w:rPr>
          <w:rFonts w:ascii="Times New Roman" w:hAnsi="Times New Roman" w:cs="Times New Roman"/>
        </w:rPr>
        <w:t>30 ml/min</w:t>
      </w:r>
      <w:r w:rsidR="00716545" w:rsidRPr="00D91094">
        <w:rPr>
          <w:rFonts w:ascii="Times New Roman" w:hAnsi="Times New Roman" w:cs="Times New Roman"/>
        </w:rPr>
        <w:t>);</w:t>
      </w:r>
    </w:p>
    <w:p w14:paraId="7CE7B070" w14:textId="71953DCC" w:rsidR="00716545" w:rsidRPr="00D91094" w:rsidRDefault="00715ACA" w:rsidP="00716545">
      <w:pPr>
        <w:widowControl w:val="0"/>
        <w:numPr>
          <w:ilvl w:val="0"/>
          <w:numId w:val="3"/>
        </w:numPr>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 xml:space="preserve">özepesen </w:t>
      </w:r>
      <w:bookmarkStart w:id="1" w:name="_Hlk101274029"/>
      <w:r w:rsidR="00716545" w:rsidRPr="00D91094">
        <w:rPr>
          <w:rFonts w:ascii="Times New Roman" w:hAnsi="Times New Roman" w:cs="Times New Roman"/>
        </w:rPr>
        <w:t>súlyos vesekárosodás (ha a kreatinin-clearance &lt; </w:t>
      </w:r>
      <w:r w:rsidR="00716545" w:rsidRPr="009436A9">
        <w:rPr>
          <w:rFonts w:ascii="Times New Roman" w:hAnsi="Times New Roman" w:cs="Times New Roman"/>
        </w:rPr>
        <w:t>60 ml/min</w:t>
      </w:r>
      <w:r w:rsidR="00716545" w:rsidRPr="00D91094">
        <w:rPr>
          <w:rFonts w:ascii="Times New Roman" w:hAnsi="Times New Roman" w:cs="Times New Roman"/>
        </w:rPr>
        <w:t xml:space="preserve">) </w:t>
      </w:r>
      <w:bookmarkEnd w:id="1"/>
      <w:r w:rsidR="00716545" w:rsidRPr="00D91094">
        <w:rPr>
          <w:rFonts w:ascii="Times New Roman" w:hAnsi="Times New Roman" w:cs="Times New Roman"/>
        </w:rPr>
        <w:t>a 8 mg</w:t>
      </w:r>
      <w:r w:rsidRPr="00715ACA">
        <w:rPr>
          <w:rFonts w:ascii="Times New Roman" w:hAnsi="Times New Roman" w:cs="Times New Roman"/>
        </w:rPr>
        <w:t xml:space="preserve"> </w:t>
      </w:r>
      <w:r w:rsidRPr="00D91094">
        <w:rPr>
          <w:rFonts w:ascii="Times New Roman" w:hAnsi="Times New Roman" w:cs="Times New Roman"/>
        </w:rPr>
        <w:t>perindopril</w:t>
      </w:r>
      <w:r>
        <w:rPr>
          <w:rFonts w:ascii="Times New Roman" w:hAnsi="Times New Roman" w:cs="Times New Roman"/>
        </w:rPr>
        <w:t>t és</w:t>
      </w:r>
      <w:r w:rsidRPr="00D91094">
        <w:rPr>
          <w:rFonts w:ascii="Times New Roman" w:hAnsi="Times New Roman" w:cs="Times New Roman"/>
        </w:rPr>
        <w:t xml:space="preserve"> </w:t>
      </w:r>
      <w:r w:rsidR="00716545" w:rsidRPr="00D91094">
        <w:rPr>
          <w:rFonts w:ascii="Times New Roman" w:hAnsi="Times New Roman" w:cs="Times New Roman"/>
        </w:rPr>
        <w:t xml:space="preserve">2,5 mg </w:t>
      </w:r>
      <w:r w:rsidRPr="00D91094">
        <w:rPr>
          <w:rFonts w:ascii="Times New Roman" w:hAnsi="Times New Roman" w:cs="Times New Roman"/>
        </w:rPr>
        <w:t xml:space="preserve">indapamidot </w:t>
      </w:r>
      <w:r>
        <w:rPr>
          <w:rFonts w:ascii="Times New Roman" w:hAnsi="Times New Roman" w:cs="Times New Roman"/>
        </w:rPr>
        <w:t xml:space="preserve">tartalmazó </w:t>
      </w:r>
      <w:r w:rsidR="00716545" w:rsidRPr="00D91094">
        <w:rPr>
          <w:rFonts w:ascii="Times New Roman" w:hAnsi="Times New Roman" w:cs="Times New Roman"/>
        </w:rPr>
        <w:t xml:space="preserve">Vidonorm Kombi </w:t>
      </w:r>
      <w:r>
        <w:rPr>
          <w:rFonts w:ascii="Times New Roman" w:hAnsi="Times New Roman" w:cs="Times New Roman"/>
        </w:rPr>
        <w:t xml:space="preserve">esetén </w:t>
      </w:r>
      <w:r w:rsidR="00716545" w:rsidRPr="00D91094">
        <w:rPr>
          <w:rFonts w:ascii="Times New Roman" w:hAnsi="Times New Roman" w:cs="Times New Roman"/>
        </w:rPr>
        <w:t>(például a Vidonorm Kombi 8 mg/2</w:t>
      </w:r>
      <w:r>
        <w:rPr>
          <w:rFonts w:ascii="Times New Roman" w:hAnsi="Times New Roman" w:cs="Times New Roman"/>
        </w:rPr>
        <w:t>,</w:t>
      </w:r>
      <w:r w:rsidR="00716545" w:rsidRPr="00D91094">
        <w:rPr>
          <w:rFonts w:ascii="Times New Roman" w:hAnsi="Times New Roman" w:cs="Times New Roman"/>
        </w:rPr>
        <w:t>5 mg/5 mg és 8 mg/2</w:t>
      </w:r>
      <w:r>
        <w:rPr>
          <w:rFonts w:ascii="Times New Roman" w:hAnsi="Times New Roman" w:cs="Times New Roman"/>
        </w:rPr>
        <w:t>,</w:t>
      </w:r>
      <w:r w:rsidR="00716545" w:rsidRPr="00D91094">
        <w:rPr>
          <w:rFonts w:ascii="Times New Roman" w:hAnsi="Times New Roman" w:cs="Times New Roman"/>
        </w:rPr>
        <w:t>5 mg/10 mg);</w:t>
      </w:r>
    </w:p>
    <w:p w14:paraId="5F68A2A2" w14:textId="0570AAE8" w:rsidR="00716545" w:rsidRPr="00D91094" w:rsidRDefault="00716545" w:rsidP="00716545">
      <w:pPr>
        <w:widowControl w:val="0"/>
        <w:tabs>
          <w:tab w:val="left" w:pos="567"/>
        </w:tabs>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h</w:t>
      </w:r>
      <w:r w:rsidRPr="00D91094">
        <w:rPr>
          <w:rFonts w:ascii="Times New Roman" w:hAnsi="Times New Roman" w:cs="Times New Roman"/>
        </w:rPr>
        <w:t>epaticus encephalopathia;</w:t>
      </w:r>
    </w:p>
    <w:p w14:paraId="4C341B0F" w14:textId="4E593A0E" w:rsidR="00716545" w:rsidRPr="00D91094" w:rsidRDefault="00716545" w:rsidP="00716545">
      <w:pPr>
        <w:widowControl w:val="0"/>
        <w:tabs>
          <w:tab w:val="left" w:pos="567"/>
        </w:tabs>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s</w:t>
      </w:r>
      <w:r w:rsidRPr="00D91094">
        <w:rPr>
          <w:rFonts w:ascii="Times New Roman" w:hAnsi="Times New Roman" w:cs="Times New Roman"/>
        </w:rPr>
        <w:t>úlyos májkárosodás;</w:t>
      </w:r>
    </w:p>
    <w:p w14:paraId="05FEF21C" w14:textId="501518A1" w:rsidR="00716545" w:rsidRPr="00D91094" w:rsidRDefault="00716545" w:rsidP="00716545">
      <w:pPr>
        <w:widowControl w:val="0"/>
        <w:tabs>
          <w:tab w:val="left" w:pos="567"/>
        </w:tabs>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h</w:t>
      </w:r>
      <w:r w:rsidRPr="00D91094">
        <w:rPr>
          <w:rFonts w:ascii="Times New Roman" w:hAnsi="Times New Roman" w:cs="Times New Roman"/>
        </w:rPr>
        <w:t>ypokalaemia;</w:t>
      </w:r>
    </w:p>
    <w:p w14:paraId="36AC9F9C" w14:textId="05933504" w:rsidR="00716545" w:rsidRPr="00D91094" w:rsidRDefault="00716545" w:rsidP="000931D5">
      <w:pPr>
        <w:widowControl w:val="0"/>
        <w:tabs>
          <w:tab w:val="left" w:pos="567"/>
        </w:tabs>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lastRenderedPageBreak/>
        <w:t>-</w:t>
      </w:r>
      <w:r w:rsidRPr="00D91094">
        <w:rPr>
          <w:rFonts w:ascii="Times New Roman" w:hAnsi="Times New Roman" w:cs="Times New Roman"/>
        </w:rPr>
        <w:tab/>
      </w:r>
      <w:r w:rsidR="00715ACA">
        <w:rPr>
          <w:rFonts w:ascii="Times New Roman" w:hAnsi="Times New Roman" w:cs="Times New Roman"/>
        </w:rPr>
        <w:t>d</w:t>
      </w:r>
      <w:r w:rsidRPr="00D91094">
        <w:rPr>
          <w:rFonts w:ascii="Times New Roman" w:hAnsi="Times New Roman" w:cs="Times New Roman"/>
        </w:rPr>
        <w:t>ializált betegek;</w:t>
      </w:r>
    </w:p>
    <w:p w14:paraId="1773EE87" w14:textId="7FE08DB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k</w:t>
      </w:r>
      <w:r w:rsidRPr="00D91094">
        <w:rPr>
          <w:rFonts w:ascii="Times New Roman" w:hAnsi="Times New Roman" w:cs="Times New Roman"/>
        </w:rPr>
        <w:t>ezeletlen, dekompenzált szívelégtelenség;</w:t>
      </w:r>
    </w:p>
    <w:p w14:paraId="55927620" w14:textId="64A91B8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s</w:t>
      </w:r>
      <w:r w:rsidRPr="00D91094">
        <w:rPr>
          <w:rFonts w:ascii="Times New Roman" w:hAnsi="Times New Roman" w:cs="Times New Roman"/>
        </w:rPr>
        <w:t>úlyos hypotensio;</w:t>
      </w:r>
    </w:p>
    <w:p w14:paraId="6ECA9598" w14:textId="46916ACC"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s</w:t>
      </w:r>
      <w:r w:rsidRPr="00D91094">
        <w:rPr>
          <w:rFonts w:ascii="Times New Roman" w:hAnsi="Times New Roman" w:cs="Times New Roman"/>
        </w:rPr>
        <w:t>okk (a kardiogén sokkot is beleértve);</w:t>
      </w:r>
    </w:p>
    <w:p w14:paraId="6CD9DE9A" w14:textId="53BAF7C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a</w:t>
      </w:r>
      <w:r w:rsidRPr="00D91094">
        <w:rPr>
          <w:rFonts w:ascii="Times New Roman" w:hAnsi="Times New Roman" w:cs="Times New Roman"/>
        </w:rPr>
        <w:t xml:space="preserve"> balkamrai kiáramlási traktus obstrukciója (</w:t>
      </w:r>
      <w:r>
        <w:rPr>
          <w:rFonts w:ascii="Times New Roman" w:hAnsi="Times New Roman" w:cs="Times New Roman"/>
        </w:rPr>
        <w:t>például</w:t>
      </w:r>
      <w:r w:rsidRPr="00D91094">
        <w:rPr>
          <w:rFonts w:ascii="Times New Roman" w:hAnsi="Times New Roman" w:cs="Times New Roman"/>
        </w:rPr>
        <w:t xml:space="preserve"> szignifikáns aortastenosis);</w:t>
      </w:r>
    </w:p>
    <w:p w14:paraId="7D3DB9D8" w14:textId="46BFE402"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715ACA">
        <w:rPr>
          <w:rFonts w:ascii="Times New Roman" w:hAnsi="Times New Roman" w:cs="Times New Roman"/>
        </w:rPr>
        <w:t>a</w:t>
      </w:r>
      <w:r w:rsidRPr="00D91094">
        <w:rPr>
          <w:rFonts w:ascii="Times New Roman" w:hAnsi="Times New Roman" w:cs="Times New Roman"/>
        </w:rPr>
        <w:t>kut myocardialis infarctust követő hemodinamikailag instabil szívelégtelenség.</w:t>
      </w:r>
    </w:p>
    <w:p w14:paraId="440F961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4FCFB1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4.4</w:t>
      </w:r>
      <w:r w:rsidRPr="00D91094">
        <w:rPr>
          <w:rFonts w:ascii="Times New Roman" w:hAnsi="Times New Roman" w:cs="Times New Roman"/>
          <w:b/>
          <w:bCs/>
        </w:rPr>
        <w:tab/>
        <w:t>Különleges figyelmeztetések és az alkalmazással kapcsolatos óvintézkedések</w:t>
      </w:r>
    </w:p>
    <w:p w14:paraId="1839974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46DEE5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Minden egyes komponensre vonatkozó figyelmeztetés, ami alább fel van sorolva, vonatkozik a Vidonorm Kombi fix kombinációra is.</w:t>
      </w:r>
    </w:p>
    <w:p w14:paraId="385D4E2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E8B2F9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Figyelmeztetések</w:t>
      </w:r>
    </w:p>
    <w:p w14:paraId="6CAE7BE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 renin-angiotenzin-aldoszteron rendszer (RAAS) kettős blokádja</w:t>
      </w:r>
    </w:p>
    <w:p w14:paraId="7CD3BC5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Bizonyíték van rá, hogy az ACE-gátlók, angiotenzin II-receptor-blokkolók vagy az aliszkirén egyidejű alkalmazása fokozza a hypotonia, hyperkalaemia és csökkent veseműködés kockázatát (beleértve az akut veseelégtelenséget is). Ezért a RAAS ACE-gátlók, angiotenzin II-receptor-blokkolók vagy aliszkirén kombinált alkalmazásával történő kettős blokádja nem javasolt (lásd 4.5 és 5.1 pont).</w:t>
      </w:r>
    </w:p>
    <w:p w14:paraId="61EDE9D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Ha a kettősblokád-kezelést abszolút szükségesnek ítélik, az csak szakorvos felügyeletével, a vesefunkció, az elektrolitszintek és a vérnyomás gyakori és szoros ellenőrzése mellett történhet.</w:t>
      </w:r>
    </w:p>
    <w:p w14:paraId="7F31B86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Az ACE-gátlók és angiotenzin II-receptor-blokkolók nem alkalmazhatók egyidejűleg diabeteses nephropathiában szenvedő betegeknél.</w:t>
      </w:r>
    </w:p>
    <w:p w14:paraId="317BF73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BC81B5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Lítium</w:t>
      </w:r>
    </w:p>
    <w:p w14:paraId="46CE16C6" w14:textId="77777777" w:rsidR="00716545"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Lítium, valamint perindopril és indapamid kombinációjának együttes alkalmazása általában nem javasolt (lásd 4.5 pont).</w:t>
      </w:r>
    </w:p>
    <w:p w14:paraId="6B4C8411" w14:textId="77777777" w:rsidR="0090637D" w:rsidRDefault="0090637D" w:rsidP="00716545">
      <w:pPr>
        <w:widowControl w:val="0"/>
        <w:suppressAutoHyphens/>
        <w:autoSpaceDE w:val="0"/>
        <w:autoSpaceDN w:val="0"/>
        <w:adjustRightInd w:val="0"/>
        <w:spacing w:after="0" w:line="240" w:lineRule="auto"/>
        <w:rPr>
          <w:rFonts w:ascii="Times New Roman" w:hAnsi="Times New Roman" w:cs="Times New Roman"/>
        </w:rPr>
      </w:pPr>
    </w:p>
    <w:p w14:paraId="71736DB8" w14:textId="4A9AF758" w:rsidR="0090637D" w:rsidRPr="000931D5" w:rsidRDefault="0090637D" w:rsidP="0090637D">
      <w:pPr>
        <w:widowControl w:val="0"/>
        <w:suppressAutoHyphens/>
        <w:autoSpaceDE w:val="0"/>
        <w:autoSpaceDN w:val="0"/>
        <w:adjustRightInd w:val="0"/>
        <w:spacing w:after="0" w:line="240" w:lineRule="auto"/>
        <w:rPr>
          <w:rFonts w:ascii="Times New Roman" w:hAnsi="Times New Roman" w:cs="Times New Roman"/>
          <w:i/>
        </w:rPr>
      </w:pPr>
      <w:r w:rsidRPr="000931D5">
        <w:rPr>
          <w:rFonts w:ascii="Times New Roman" w:hAnsi="Times New Roman" w:cs="Times New Roman"/>
          <w:i/>
        </w:rPr>
        <w:t>Káli</w:t>
      </w:r>
      <w:r w:rsidR="00AB7068">
        <w:rPr>
          <w:rFonts w:ascii="Times New Roman" w:hAnsi="Times New Roman" w:cs="Times New Roman"/>
          <w:i/>
        </w:rPr>
        <w:t>u</w:t>
      </w:r>
      <w:r w:rsidRPr="000931D5">
        <w:rPr>
          <w:rFonts w:ascii="Times New Roman" w:hAnsi="Times New Roman" w:cs="Times New Roman"/>
          <w:i/>
        </w:rPr>
        <w:t>mmegtakarító gyógyszerek, káliumpótl</w:t>
      </w:r>
      <w:r w:rsidR="00715ACA">
        <w:rPr>
          <w:rFonts w:ascii="Times New Roman" w:hAnsi="Times New Roman" w:cs="Times New Roman"/>
          <w:i/>
        </w:rPr>
        <w:t>ók</w:t>
      </w:r>
      <w:r w:rsidRPr="000931D5">
        <w:rPr>
          <w:rFonts w:ascii="Times New Roman" w:hAnsi="Times New Roman" w:cs="Times New Roman"/>
          <w:i/>
        </w:rPr>
        <w:t xml:space="preserve"> vagy káliumtartalmú sópótlók</w:t>
      </w:r>
    </w:p>
    <w:p w14:paraId="74451B42" w14:textId="77777777" w:rsidR="0090637D" w:rsidRPr="00D91094" w:rsidRDefault="0090637D" w:rsidP="0090637D">
      <w:pPr>
        <w:widowControl w:val="0"/>
        <w:suppressAutoHyphens/>
        <w:autoSpaceDE w:val="0"/>
        <w:autoSpaceDN w:val="0"/>
        <w:adjustRightInd w:val="0"/>
        <w:spacing w:after="0" w:line="240" w:lineRule="auto"/>
        <w:rPr>
          <w:rFonts w:ascii="Times New Roman" w:hAnsi="Times New Roman" w:cs="Times New Roman"/>
        </w:rPr>
      </w:pPr>
      <w:r w:rsidRPr="0090637D">
        <w:rPr>
          <w:rFonts w:ascii="Times New Roman" w:hAnsi="Times New Roman" w:cs="Times New Roman"/>
        </w:rPr>
        <w:t>A perindopril kombinációja káliummegtakarító gyógyszerekkel, káliumpótlókkal vagy káliumtartalmú sópótlókkal általában nem javasolt (lásd 4.5 pont).</w:t>
      </w:r>
    </w:p>
    <w:p w14:paraId="1A33B71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D0336B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rPr>
        <w:t>Neutropenia/agranulocytosis/thrombocytopenia/anaemia</w:t>
      </w:r>
    </w:p>
    <w:p w14:paraId="0F57942E" w14:textId="1F01825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ACE-gátlókat szedő betegek esetében a következőkről számoltak be: neutropenia/agranulocytosis, thrombopenia és anaemia. Az ép veseműködésű és egyéb komplikáló tényező nélküli betegek esetében ritkán fordul elő neutropenia. A perindopril alkalmazásakor rendkívüli óvatosságra van szükség a következők esetében: kollagén-érbetegségben szenvedők, immunszuppresszív terápiában részesülők, allopurinollal vagy prokainamiddal kezeltek, illetve </w:t>
      </w:r>
      <w:r w:rsidR="00AB7068">
        <w:rPr>
          <w:rFonts w:ascii="Times New Roman" w:hAnsi="Times New Roman" w:cs="Times New Roman"/>
        </w:rPr>
        <w:t>ha ezekből a</w:t>
      </w:r>
      <w:r w:rsidRPr="00D91094">
        <w:rPr>
          <w:rFonts w:ascii="Times New Roman" w:hAnsi="Times New Roman" w:cs="Times New Roman"/>
        </w:rPr>
        <w:t xml:space="preserve"> komplikáló tényezők</w:t>
      </w:r>
      <w:r w:rsidR="00AB7068">
        <w:rPr>
          <w:rFonts w:ascii="Times New Roman" w:hAnsi="Times New Roman" w:cs="Times New Roman"/>
        </w:rPr>
        <w:t>ből több is fennáll</w:t>
      </w:r>
      <w:r w:rsidRPr="00D91094">
        <w:rPr>
          <w:rFonts w:ascii="Times New Roman" w:hAnsi="Times New Roman" w:cs="Times New Roman"/>
        </w:rPr>
        <w:t xml:space="preserve">, különösen, ha már eleve </w:t>
      </w:r>
      <w:r w:rsidR="00375D38">
        <w:rPr>
          <w:rFonts w:ascii="Times New Roman" w:hAnsi="Times New Roman" w:cs="Times New Roman"/>
        </w:rPr>
        <w:t>károsodott</w:t>
      </w:r>
      <w:r w:rsidR="00375D38" w:rsidRPr="00D91094">
        <w:rPr>
          <w:rFonts w:ascii="Times New Roman" w:hAnsi="Times New Roman" w:cs="Times New Roman"/>
        </w:rPr>
        <w:t xml:space="preserve"> </w:t>
      </w:r>
      <w:r w:rsidRPr="00D91094">
        <w:rPr>
          <w:rFonts w:ascii="Times New Roman" w:hAnsi="Times New Roman" w:cs="Times New Roman"/>
        </w:rPr>
        <w:t xml:space="preserve">a veseműködés. E betegek közül némelyeknél súlyos fertőzés alakult ki, amely egyes esetekben nem reagált az antibiotikumokkal végzett intenzív kezelésre. Amennyiben a perindoprilt ilyen betegeknél alkalmazzák, akkor a fehérvérsejtek számának </w:t>
      </w:r>
      <w:r w:rsidR="00375D38">
        <w:rPr>
          <w:rFonts w:ascii="Times New Roman" w:hAnsi="Times New Roman" w:cs="Times New Roman"/>
        </w:rPr>
        <w:t>rendszeres</w:t>
      </w:r>
      <w:r w:rsidR="00375D38" w:rsidRPr="00D91094">
        <w:rPr>
          <w:rFonts w:ascii="Times New Roman" w:hAnsi="Times New Roman" w:cs="Times New Roman"/>
        </w:rPr>
        <w:t xml:space="preserve"> </w:t>
      </w:r>
      <w:r w:rsidRPr="00D91094">
        <w:rPr>
          <w:rFonts w:ascii="Times New Roman" w:hAnsi="Times New Roman" w:cs="Times New Roman"/>
        </w:rPr>
        <w:t xml:space="preserve">ellenőrzése javasolt, és a betegeket </w:t>
      </w:r>
      <w:r w:rsidR="00E56920">
        <w:rPr>
          <w:rFonts w:ascii="Times New Roman" w:hAnsi="Times New Roman" w:cs="Times New Roman"/>
        </w:rPr>
        <w:t>tájékoztatni</w:t>
      </w:r>
      <w:r w:rsidR="00375D38">
        <w:rPr>
          <w:rFonts w:ascii="Times New Roman" w:hAnsi="Times New Roman" w:cs="Times New Roman"/>
        </w:rPr>
        <w:t xml:space="preserve"> kell</w:t>
      </w:r>
      <w:r w:rsidRPr="00D91094">
        <w:rPr>
          <w:rFonts w:ascii="Times New Roman" w:hAnsi="Times New Roman" w:cs="Times New Roman"/>
        </w:rPr>
        <w:t>, hogy jelezzék, ha fertőzésre utaló jelet (</w:t>
      </w:r>
      <w:r>
        <w:rPr>
          <w:rFonts w:ascii="Times New Roman" w:hAnsi="Times New Roman" w:cs="Times New Roman"/>
        </w:rPr>
        <w:t>például</w:t>
      </w:r>
      <w:r w:rsidRPr="00D91094">
        <w:rPr>
          <w:rFonts w:ascii="Times New Roman" w:hAnsi="Times New Roman" w:cs="Times New Roman"/>
        </w:rPr>
        <w:t xml:space="preserve"> torokfájás, láz) tapasztalnak </w:t>
      </w:r>
      <w:r w:rsidRPr="00D91094">
        <w:rPr>
          <w:rFonts w:ascii="Times New Roman" w:hAnsi="Times New Roman" w:cs="Times New Roman"/>
          <w:iCs/>
        </w:rPr>
        <w:t>(lásd 4.5 és 4.8 pont)</w:t>
      </w:r>
      <w:r w:rsidRPr="00D91094">
        <w:rPr>
          <w:rFonts w:ascii="Times New Roman" w:hAnsi="Times New Roman" w:cs="Times New Roman"/>
        </w:rPr>
        <w:t>.</w:t>
      </w:r>
    </w:p>
    <w:p w14:paraId="2DDC5FE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A5928A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iCs/>
        </w:rPr>
      </w:pPr>
      <w:r w:rsidRPr="00D91094">
        <w:rPr>
          <w:rFonts w:ascii="Times New Roman" w:hAnsi="Times New Roman" w:cs="Times New Roman"/>
          <w:bCs/>
          <w:i/>
          <w:iCs/>
        </w:rPr>
        <w:t>Renovascularis hypertonia</w:t>
      </w:r>
    </w:p>
    <w:p w14:paraId="49790D18" w14:textId="46E287A6"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Cs/>
        </w:rPr>
      </w:pPr>
      <w:r w:rsidRPr="00D91094">
        <w:rPr>
          <w:rFonts w:ascii="Times New Roman" w:hAnsi="Times New Roman" w:cs="Times New Roman"/>
          <w:bCs/>
          <w:iCs/>
        </w:rPr>
        <w:t>Fokozott a hypotonia és a veseelégtelenség kockázata a bilaterális veseartéria-stenosisban vagy az egyetlen működő vese artériájának stenosisában szenvedő, ACE-gátlóval kezelt betegeknél (lásd 4.3 pont). A diuretikumokkal végzett kezelés hozzájárulhat az állapot kialakulásához. A vesefunkció elvesztése még az unilaterális veseartéria-stenosisban szenvedő betegeknél is kialakulhat a szérum kreatinin</w:t>
      </w:r>
      <w:r w:rsidR="00AB7068">
        <w:rPr>
          <w:rFonts w:ascii="Times New Roman" w:hAnsi="Times New Roman" w:cs="Times New Roman"/>
          <w:bCs/>
          <w:iCs/>
        </w:rPr>
        <w:t>szintjének</w:t>
      </w:r>
      <w:r w:rsidRPr="00D91094">
        <w:rPr>
          <w:rFonts w:ascii="Times New Roman" w:hAnsi="Times New Roman" w:cs="Times New Roman"/>
          <w:bCs/>
          <w:iCs/>
        </w:rPr>
        <w:t xml:space="preserve"> csupán kismértékű változása mellett.</w:t>
      </w:r>
    </w:p>
    <w:p w14:paraId="43F832C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3BFD23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Hiperszenzitivitás/angiooedema</w:t>
      </w:r>
    </w:p>
    <w:p w14:paraId="10F008A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ACE-gátló gyógyszerekkel – a perindoprilt is beleértve – kezeltek esetében ritkán az arc, a végtagok, az ajkak, a nyelv, a glottis és/vagy a larynx angioneuroticus oedemájáról számoltak be </w:t>
      </w:r>
      <w:r w:rsidRPr="00D91094">
        <w:rPr>
          <w:rFonts w:ascii="Times New Roman" w:hAnsi="Times New Roman" w:cs="Times New Roman"/>
          <w:iCs/>
        </w:rPr>
        <w:t>(lásd 4.8 pont)</w:t>
      </w:r>
      <w:r w:rsidRPr="00D91094">
        <w:rPr>
          <w:rFonts w:ascii="Times New Roman" w:hAnsi="Times New Roman" w:cs="Times New Roman"/>
        </w:rPr>
        <w:t xml:space="preserve">. Ez a kezelés során bármikor felléphet. Ilyen esetekben azonnal abba kell hagyni a perindopril szedését, és megfelelő ellenőrzésre van szükség, hogy biztosítsák a tünetek teljes megszűnését a beteg elbocsátása előtt. Azokban az esetekben, ahol a duzzanat az orcákra és az ajkakra korlátozódott, az állapot rendszerint kezelés nélkül megszűnt, bár antihisztaminok hatásosan </w:t>
      </w:r>
      <w:r w:rsidRPr="00D91094">
        <w:rPr>
          <w:rFonts w:ascii="Times New Roman" w:hAnsi="Times New Roman" w:cs="Times New Roman"/>
        </w:rPr>
        <w:lastRenderedPageBreak/>
        <w:t>enyhítették a tüneteket.</w:t>
      </w:r>
    </w:p>
    <w:p w14:paraId="6388E0DB" w14:textId="17F27CF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gége </w:t>
      </w:r>
      <w:r w:rsidR="00AB7068">
        <w:rPr>
          <w:rFonts w:ascii="Times New Roman" w:hAnsi="Times New Roman" w:cs="Times New Roman"/>
        </w:rPr>
        <w:t>ödémájával</w:t>
      </w:r>
      <w:r w:rsidRPr="00D91094">
        <w:rPr>
          <w:rFonts w:ascii="Times New Roman" w:hAnsi="Times New Roman" w:cs="Times New Roman"/>
        </w:rPr>
        <w:t xml:space="preserve"> járó angioneuroticus oedema végzetes lehet. Ha a nyelv, a hangrés, illetve a gége is érintett, ami könnyen a légutak elzáródásához vezethet, akkor azonnal megfelelő kezelést kell alkalmazni, ami 1:1000 töménységű adrenalin-oldat szubkután adásából (0,3–0,5 ml) és/vagy a légutak átjárhatóságának a biztosításából állhat.</w:t>
      </w:r>
    </w:p>
    <w:p w14:paraId="15272AD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AA4636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Leírták, hogy az ACE-gátlóval kezelt feketebőrű betegek esetében gyakrabban fordul elő angioneuroticus oedema.</w:t>
      </w:r>
    </w:p>
    <w:p w14:paraId="2F8688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71DB9C1" w14:textId="4CB16B32"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Azoknál a betegeknél, akiknek a kórelőzményében ACE-gátló-kezeléstől független angioedema szerepel, az ACE-gátlók szedésekor fokozott az angioneuroticus oedema kialakulásának kockázata (lásd 4.3 pont).</w:t>
      </w:r>
    </w:p>
    <w:p w14:paraId="2A6BFDF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BFA2F2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Angioedema fokozott kockázata áll fenn olyan más gyógyszerekkel történő egyidejű kezeléskor, amelyek önmagukban angioedemát tudnak okozni (lásd 4.3 és 4.5 pont).</w:t>
      </w:r>
    </w:p>
    <w:p w14:paraId="17EF461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1604A7A" w14:textId="7EF2515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ACE-gátlók szakubitril/valzartánnal történő egyidejű alkalmazása ellenjavallt az angiooedema kialakulásának fokozott kockázata miatt. A szakubitril/valzartán-kezelést legkorábban 36 órával a perindopril-terápia utolsó adagját követően szabad elkezdeni. </w:t>
      </w:r>
      <w:r w:rsidR="00E56920" w:rsidRPr="00E56920">
        <w:rPr>
          <w:rFonts w:ascii="Times New Roman" w:hAnsi="Times New Roman" w:cs="Times New Roman"/>
        </w:rPr>
        <w:t>Amennyiben a szakubitril/valzartán-kezelés leállításra kerül,</w:t>
      </w:r>
      <w:r w:rsidR="00715ACA">
        <w:rPr>
          <w:rFonts w:ascii="Times New Roman" w:hAnsi="Times New Roman" w:cs="Times New Roman"/>
        </w:rPr>
        <w:t xml:space="preserve"> </w:t>
      </w:r>
      <w:r w:rsidR="00E56920">
        <w:rPr>
          <w:rFonts w:ascii="Times New Roman" w:hAnsi="Times New Roman" w:cs="Times New Roman"/>
        </w:rPr>
        <w:t>a</w:t>
      </w:r>
      <w:r w:rsidRPr="00D91094">
        <w:rPr>
          <w:rFonts w:ascii="Times New Roman" w:hAnsi="Times New Roman" w:cs="Times New Roman"/>
        </w:rPr>
        <w:t xml:space="preserve"> perindopril</w:t>
      </w:r>
      <w:r w:rsidRPr="00D91094">
        <w:rPr>
          <w:rFonts w:ascii="Times New Roman" w:hAnsi="Times New Roman" w:cs="Times New Roman"/>
        </w:rPr>
        <w:noBreakHyphen/>
        <w:t>kezelést legkorábban 36 órával a szakubitril/valzartán utolsó adagját követően szabad elkezdeni (lásd 4.3 és 4.5 pont).</w:t>
      </w:r>
    </w:p>
    <w:p w14:paraId="761602A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570ED27" w14:textId="5EFD4D0D" w:rsidR="00716545" w:rsidRPr="00C3419E"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715ACA">
        <w:rPr>
          <w:rFonts w:ascii="Times New Roman" w:hAnsi="Times New Roman" w:cs="Times New Roman"/>
        </w:rPr>
        <w:t xml:space="preserve">Az ACE-gátlók </w:t>
      </w:r>
      <w:r w:rsidR="00E56920" w:rsidRPr="000931D5">
        <w:rPr>
          <w:rFonts w:ascii="Times New Roman" w:hAnsi="Times New Roman" w:cs="Times New Roman"/>
        </w:rPr>
        <w:t xml:space="preserve">NEP-gátlókkal (például </w:t>
      </w:r>
      <w:r w:rsidRPr="00715ACA">
        <w:rPr>
          <w:rFonts w:ascii="Times New Roman" w:hAnsi="Times New Roman" w:cs="Times New Roman"/>
        </w:rPr>
        <w:t>racekadotril</w:t>
      </w:r>
      <w:r w:rsidR="00E56920" w:rsidRPr="00715ACA">
        <w:rPr>
          <w:rFonts w:ascii="Times New Roman" w:hAnsi="Times New Roman" w:cs="Times New Roman"/>
        </w:rPr>
        <w:t>)</w:t>
      </w:r>
      <w:r w:rsidRPr="00715ACA">
        <w:rPr>
          <w:rFonts w:ascii="Times New Roman" w:hAnsi="Times New Roman" w:cs="Times New Roman"/>
        </w:rPr>
        <w:t>, mTOR</w:t>
      </w:r>
      <w:r w:rsidRPr="00715ACA">
        <w:rPr>
          <w:rFonts w:ascii="Times New Roman" w:hAnsi="Times New Roman" w:cs="Times New Roman"/>
        </w:rPr>
        <w:noBreakHyphen/>
        <w:t xml:space="preserve">gátlókkal (például szirolimusz, everolimusz, temszirolimusz), és </w:t>
      </w:r>
      <w:r w:rsidR="00E56920" w:rsidRPr="000931D5">
        <w:rPr>
          <w:rFonts w:ascii="Times New Roman" w:hAnsi="Times New Roman" w:cs="Times New Roman"/>
        </w:rPr>
        <w:t xml:space="preserve">gliptinekkel (például linagliptin, szaxagliptin, szitagliptin, </w:t>
      </w:r>
      <w:r w:rsidR="00E56920" w:rsidRPr="00715ACA">
        <w:rPr>
          <w:rFonts w:ascii="Times New Roman" w:hAnsi="Times New Roman" w:cs="Times New Roman"/>
        </w:rPr>
        <w:t xml:space="preserve">vildagliptin) </w:t>
      </w:r>
      <w:r w:rsidRPr="00715ACA">
        <w:rPr>
          <w:rFonts w:ascii="Times New Roman" w:hAnsi="Times New Roman" w:cs="Times New Roman"/>
        </w:rPr>
        <w:t xml:space="preserve">történő egyidejű alkalmazása az angiooedema (például a légutak vagy a nyelv duzzanata légzéskárosodással vagy anélkül) kialakulásának fokozott kockázatához vezethet (lásd 4.5 pont). A racekadotril-, mTOR-gátló- (például szirolimusz, </w:t>
      </w:r>
      <w:r w:rsidRPr="00715ACA">
        <w:rPr>
          <w:rFonts w:ascii="Times New Roman" w:hAnsi="Times New Roman" w:cs="Times New Roman"/>
          <w:iCs/>
        </w:rPr>
        <w:t>everolimusz, temszirolimusz</w:t>
      </w:r>
      <w:r w:rsidRPr="00715ACA">
        <w:rPr>
          <w:rFonts w:ascii="Times New Roman" w:hAnsi="Times New Roman" w:cs="Times New Roman"/>
        </w:rPr>
        <w:t xml:space="preserve">) és </w:t>
      </w:r>
      <w:r w:rsidR="00E56920" w:rsidRPr="000931D5">
        <w:rPr>
          <w:rFonts w:ascii="Times New Roman" w:hAnsi="Times New Roman" w:cs="Times New Roman"/>
        </w:rPr>
        <w:t xml:space="preserve">gliptin- (például linagliptin, szaxagliptin, szitagliptin, </w:t>
      </w:r>
      <w:r w:rsidRPr="00715ACA">
        <w:rPr>
          <w:rFonts w:ascii="Times New Roman" w:hAnsi="Times New Roman" w:cs="Times New Roman"/>
        </w:rPr>
        <w:t>vildagliptin</w:t>
      </w:r>
      <w:r w:rsidR="00E56920" w:rsidRPr="00715ACA">
        <w:rPr>
          <w:rFonts w:ascii="Times New Roman" w:hAnsi="Times New Roman" w:cs="Times New Roman"/>
        </w:rPr>
        <w:t xml:space="preserve">) </w:t>
      </w:r>
      <w:r w:rsidRPr="00715ACA">
        <w:rPr>
          <w:rFonts w:ascii="Times New Roman" w:hAnsi="Times New Roman" w:cs="Times New Roman"/>
        </w:rPr>
        <w:t>kezelés megkezdésekor elővigyázatosság szükséges azoknál a betegeknél, akik már ACE-gátló-kezelésben részesülnek.</w:t>
      </w:r>
    </w:p>
    <w:p w14:paraId="1846D06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FB5D416" w14:textId="012D763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ACE-gátlóval kezelt betegek esetében ritkán intestinalis angiooedemáról számoltak be. Ezek a betegek hasi fájdalommal jelentkeztek (hányinger</w:t>
      </w:r>
      <w:r w:rsidR="00AB7068">
        <w:rPr>
          <w:rFonts w:ascii="Times New Roman" w:hAnsi="Times New Roman" w:cs="Times New Roman"/>
        </w:rPr>
        <w:t>rel</w:t>
      </w:r>
      <w:r w:rsidRPr="00D91094">
        <w:rPr>
          <w:rFonts w:ascii="Times New Roman" w:hAnsi="Times New Roman" w:cs="Times New Roman"/>
        </w:rPr>
        <w:t xml:space="preserve"> és hányás</w:t>
      </w:r>
      <w:r w:rsidR="00AB7068">
        <w:rPr>
          <w:rFonts w:ascii="Times New Roman" w:hAnsi="Times New Roman" w:cs="Times New Roman"/>
        </w:rPr>
        <w:t>sal</w:t>
      </w:r>
      <w:r w:rsidRPr="00D91094">
        <w:rPr>
          <w:rFonts w:ascii="Times New Roman" w:hAnsi="Times New Roman" w:cs="Times New Roman"/>
        </w:rPr>
        <w:t xml:space="preserve"> vagy ezek nélkül); ezt egyes esetekben nem előzte meg az arc </w:t>
      </w:r>
      <w:r w:rsidR="00AB7068">
        <w:rPr>
          <w:rFonts w:ascii="Times New Roman" w:hAnsi="Times New Roman" w:cs="Times New Roman"/>
        </w:rPr>
        <w:t>ödémája</w:t>
      </w:r>
      <w:r w:rsidRPr="00D91094">
        <w:rPr>
          <w:rFonts w:ascii="Times New Roman" w:hAnsi="Times New Roman" w:cs="Times New Roman"/>
        </w:rPr>
        <w:t>, és a C-1-észteráz-szint normális volt. Az angiooedema diagnózisát hasi CT-vel, ultrahanggal vagy műtétkor állapították meg, és a tünetek megszűntek az ACE-gátló</w:t>
      </w:r>
      <w:r w:rsidR="00AB7068">
        <w:rPr>
          <w:rFonts w:ascii="Times New Roman" w:hAnsi="Times New Roman" w:cs="Times New Roman"/>
        </w:rPr>
        <w:t>-kezelés</w:t>
      </w:r>
      <w:r w:rsidRPr="00D91094">
        <w:rPr>
          <w:rFonts w:ascii="Times New Roman" w:hAnsi="Times New Roman" w:cs="Times New Roman"/>
        </w:rPr>
        <w:t xml:space="preserve"> leállítása után. A hasi fájdalommal jelentkező, ACE-gátlót szedő betegek esetében az intestinalis angiooedema lehetőségét is figyelembe kell venni a differenciáldiagnózis során.</w:t>
      </w:r>
    </w:p>
    <w:p w14:paraId="2D96339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645514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Anaphylactoid reakció deszenzibilizálás alatt</w:t>
      </w:r>
    </w:p>
    <w:p w14:paraId="5C4D4BC5" w14:textId="2AC1AAA8"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Rovarmérgek (méhek, darazsak</w:t>
      </w:r>
      <w:r w:rsidR="00715ACA">
        <w:rPr>
          <w:rFonts w:ascii="Times New Roman" w:hAnsi="Times New Roman" w:cs="Times New Roman"/>
        </w:rPr>
        <w:t>,</w:t>
      </w:r>
      <w:r w:rsidR="00715ACA" w:rsidRPr="00715ACA">
        <w:rPr>
          <w:rFonts w:ascii="Times New Roman" w:hAnsi="Times New Roman" w:cs="Times New Roman"/>
        </w:rPr>
        <w:t xml:space="preserve"> </w:t>
      </w:r>
      <w:r w:rsidR="00AB7068">
        <w:rPr>
          <w:rFonts w:ascii="Times New Roman" w:hAnsi="Times New Roman" w:cs="Times New Roman"/>
        </w:rPr>
        <w:t>H</w:t>
      </w:r>
      <w:r w:rsidR="00715ACA" w:rsidRPr="00D91094">
        <w:rPr>
          <w:rFonts w:ascii="Times New Roman" w:hAnsi="Times New Roman" w:cs="Times New Roman"/>
        </w:rPr>
        <w:t>ymenoptera venom</w:t>
      </w:r>
      <w:r w:rsidRPr="00D91094">
        <w:rPr>
          <w:rFonts w:ascii="Times New Roman" w:hAnsi="Times New Roman" w:cs="Times New Roman"/>
        </w:rPr>
        <w:t>) elleni deszenzibilizálás alatti ACE</w:t>
      </w:r>
      <w:r w:rsidRPr="00D91094">
        <w:rPr>
          <w:rFonts w:ascii="Times New Roman" w:hAnsi="Times New Roman" w:cs="Times New Roman"/>
        </w:rPr>
        <w:noBreakHyphen/>
        <w:t>gátló</w:t>
      </w:r>
      <w:r w:rsidRPr="00D91094">
        <w:rPr>
          <w:rFonts w:ascii="Times New Roman" w:hAnsi="Times New Roman" w:cs="Times New Roman"/>
        </w:rPr>
        <w:noBreakHyphen/>
        <w:t>kezeléskor, izolált esetekben ugyan, de életveszélyes elhúzódó anaphylactoid túlérzékenységi reakciókról is beszámoltak. Ezért az ACE-gátlókat deszenzibilizálással kezelt allergiás egyéneknél óvatosan kell alkalmazni, venom immunterápiával kezelt betegekn</w:t>
      </w:r>
      <w:r w:rsidR="00715ACA">
        <w:rPr>
          <w:rFonts w:ascii="Times New Roman" w:hAnsi="Times New Roman" w:cs="Times New Roman"/>
        </w:rPr>
        <w:t>él</w:t>
      </w:r>
      <w:r w:rsidRPr="00D91094">
        <w:rPr>
          <w:rFonts w:ascii="Times New Roman" w:hAnsi="Times New Roman" w:cs="Times New Roman"/>
        </w:rPr>
        <w:t xml:space="preserve"> pedig kerülni kell. Ezek az anaphylactoid reakciók azonban megelőzhetők, ha azoknál a betegeknél, akiknek ACE</w:t>
      </w:r>
      <w:r w:rsidRPr="00D91094">
        <w:rPr>
          <w:rFonts w:ascii="Times New Roman" w:hAnsi="Times New Roman" w:cs="Times New Roman"/>
        </w:rPr>
        <w:noBreakHyphen/>
        <w:t>gátlókra és deszenzibilizálásra egyaránt szükségük van, a deszenzibilizálást megelőzően 24 órával az ACE-gátló adását átmenetileg felfüggesztjük.</w:t>
      </w:r>
    </w:p>
    <w:p w14:paraId="1C60990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0DAD6C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Anaphylactoid reakciók LDL-aferezis alatt</w:t>
      </w:r>
    </w:p>
    <w:p w14:paraId="266DEC67" w14:textId="62BCB7A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Ritkán az ACE-gátlót szedő betegeknél életveszélyes anaphylactoid reakció lépett fel a dextrán</w:t>
      </w:r>
      <w:r w:rsidRPr="00D91094">
        <w:rPr>
          <w:rFonts w:ascii="Times New Roman" w:hAnsi="Times New Roman" w:cs="Times New Roman"/>
        </w:rPr>
        <w:noBreakHyphen/>
        <w:t>szulfáttal végzett LDL-aferezis alatt. Ezek a reakciók elkerülhetők voltak, ha az egyes aferezisek előtt átmenetileg szüneteltették az ACE-gátló-terápiát.</w:t>
      </w:r>
    </w:p>
    <w:p w14:paraId="6213050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EB4E7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rPr>
      </w:pPr>
      <w:r w:rsidRPr="00D91094">
        <w:rPr>
          <w:rFonts w:ascii="Times New Roman" w:hAnsi="Times New Roman" w:cs="Times New Roman"/>
          <w:i/>
        </w:rPr>
        <w:t>Hemodializált betegek</w:t>
      </w:r>
    </w:p>
    <w:p w14:paraId="4D102A0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Anaphylactoid reakciókról számoltak be a nagy átáramlású membránokkal (</w:t>
      </w:r>
      <w:r>
        <w:rPr>
          <w:rFonts w:ascii="Times New Roman" w:hAnsi="Times New Roman" w:cs="Times New Roman"/>
        </w:rPr>
        <w:t>például</w:t>
      </w:r>
      <w:r w:rsidRPr="00D91094">
        <w:rPr>
          <w:rFonts w:ascii="Times New Roman" w:hAnsi="Times New Roman" w:cs="Times New Roman"/>
        </w:rPr>
        <w:t xml:space="preserve"> AN 69) dializált és egyidejűleg ACE-gátlóval kezelt betegek esetében. Az ilyen betegeknél fontolóra kell venni, hogy más típusú membránt vagy más osztályba tartozó vérnyomáscsökkentőt alkalmazzanak.</w:t>
      </w:r>
    </w:p>
    <w:p w14:paraId="0028F54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E56A179" w14:textId="77777777" w:rsidR="00716545" w:rsidRPr="00D91094" w:rsidRDefault="00716545" w:rsidP="00716545">
      <w:pPr>
        <w:keepNext/>
        <w:widowControl w:val="0"/>
        <w:suppressAutoHyphens/>
        <w:autoSpaceDE w:val="0"/>
        <w:autoSpaceDN w:val="0"/>
        <w:adjustRightInd w:val="0"/>
        <w:spacing w:after="0" w:line="240" w:lineRule="auto"/>
        <w:rPr>
          <w:rFonts w:ascii="Times New Roman" w:hAnsi="Times New Roman" w:cs="Times New Roman"/>
          <w:i/>
        </w:rPr>
      </w:pPr>
      <w:r w:rsidRPr="00D91094">
        <w:rPr>
          <w:rFonts w:ascii="Times New Roman" w:hAnsi="Times New Roman" w:cs="Times New Roman"/>
          <w:i/>
        </w:rPr>
        <w:lastRenderedPageBreak/>
        <w:t>Primaer aldosteronismus</w:t>
      </w:r>
    </w:p>
    <w:p w14:paraId="1C7D8264" w14:textId="302766C2"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primaer hyperaldosteronismusban szenvedő betegek általában nem reagálnak a renin-angiotenzin rendszert gátló vérnyomáscsökkentő gyógyszerekre. Ezért a Vidonorm Kombi alkalmazása nem ajánlott ezekn</w:t>
      </w:r>
      <w:r w:rsidR="00715ACA">
        <w:rPr>
          <w:rFonts w:ascii="Times New Roman" w:hAnsi="Times New Roman" w:cs="Times New Roman"/>
        </w:rPr>
        <w:t>él</w:t>
      </w:r>
      <w:r w:rsidRPr="00D91094">
        <w:rPr>
          <w:rFonts w:ascii="Times New Roman" w:hAnsi="Times New Roman" w:cs="Times New Roman"/>
        </w:rPr>
        <w:t xml:space="preserve"> a betegekn</w:t>
      </w:r>
      <w:r w:rsidR="00715ACA">
        <w:rPr>
          <w:rFonts w:ascii="Times New Roman" w:hAnsi="Times New Roman" w:cs="Times New Roman"/>
        </w:rPr>
        <w:t>él</w:t>
      </w:r>
      <w:r w:rsidRPr="00D91094">
        <w:rPr>
          <w:rFonts w:ascii="Times New Roman" w:hAnsi="Times New Roman" w:cs="Times New Roman"/>
        </w:rPr>
        <w:t>.</w:t>
      </w:r>
    </w:p>
    <w:p w14:paraId="15FFF99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817DA3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iCs/>
        </w:rPr>
      </w:pPr>
      <w:r w:rsidRPr="00D91094">
        <w:rPr>
          <w:rFonts w:ascii="Times New Roman" w:hAnsi="Times New Roman" w:cs="Times New Roman"/>
          <w:bCs/>
          <w:i/>
          <w:iCs/>
        </w:rPr>
        <w:t>Terhesség</w:t>
      </w:r>
    </w:p>
    <w:p w14:paraId="661B7C8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ACE-gátlóval történő kezelést terhesség alatt nem szabad elkezdeni.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kezelést kell elkezdeni. (lásd 4.3 és 4.6 pont).</w:t>
      </w:r>
    </w:p>
    <w:p w14:paraId="4785D76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4A594BC" w14:textId="77777777" w:rsidR="00716545" w:rsidRPr="00715ACA" w:rsidRDefault="00716545" w:rsidP="00716545">
      <w:pPr>
        <w:widowControl w:val="0"/>
        <w:suppressAutoHyphens/>
        <w:autoSpaceDE w:val="0"/>
        <w:autoSpaceDN w:val="0"/>
        <w:adjustRightInd w:val="0"/>
        <w:spacing w:after="0" w:line="240" w:lineRule="auto"/>
        <w:rPr>
          <w:rFonts w:ascii="Times New Roman" w:hAnsi="Times New Roman" w:cs="Times New Roman"/>
          <w:i/>
        </w:rPr>
      </w:pPr>
      <w:r w:rsidRPr="00715ACA">
        <w:rPr>
          <w:rFonts w:ascii="Times New Roman" w:hAnsi="Times New Roman" w:cs="Times New Roman"/>
          <w:i/>
        </w:rPr>
        <w:t>Hepaticus encephalopathia</w:t>
      </w:r>
    </w:p>
    <w:p w14:paraId="0F47D5FA" w14:textId="77777777" w:rsidR="00716545" w:rsidRPr="00715ACA"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715ACA">
        <w:rPr>
          <w:rFonts w:ascii="Times New Roman" w:hAnsi="Times New Roman" w:cs="Times New Roman"/>
        </w:rPr>
        <w:t>Májműködési zavar esetén a tiazid és a tiazid-származék diuretikumok</w:t>
      </w:r>
      <w:r w:rsidR="00E56920" w:rsidRPr="00715ACA">
        <w:rPr>
          <w:rFonts w:ascii="Times New Roman" w:hAnsi="Times New Roman" w:cs="Times New Roman"/>
        </w:rPr>
        <w:t>,</w:t>
      </w:r>
      <w:r w:rsidR="00E56920" w:rsidRPr="000931D5">
        <w:rPr>
          <w:rFonts w:ascii="Times New Roman" w:hAnsi="Times New Roman" w:cs="Times New Roman"/>
        </w:rPr>
        <w:t xml:space="preserve"> különösen az elektrolit</w:t>
      </w:r>
      <w:r w:rsidR="00E56920" w:rsidRPr="000931D5">
        <w:rPr>
          <w:rFonts w:ascii="Times New Roman" w:hAnsi="Times New Roman" w:cs="Times New Roman"/>
        </w:rPr>
        <w:noBreakHyphen/>
        <w:t>háztartás zavarának egyidejű fennállásakor</w:t>
      </w:r>
      <w:r w:rsidR="00715ACA">
        <w:rPr>
          <w:rFonts w:ascii="Times New Roman" w:hAnsi="Times New Roman" w:cs="Times New Roman"/>
        </w:rPr>
        <w:t>,</w:t>
      </w:r>
      <w:r w:rsidRPr="00715ACA">
        <w:rPr>
          <w:rFonts w:ascii="Times New Roman" w:hAnsi="Times New Roman" w:cs="Times New Roman"/>
        </w:rPr>
        <w:t xml:space="preserve"> hepaticus encephalopathiát okozhatnak. Amennyiben ez jelentkezik, a diuretikum alkalmazását azonnal abba kell hagyni.</w:t>
      </w:r>
    </w:p>
    <w:p w14:paraId="51E89E07" w14:textId="77777777" w:rsidR="00716545" w:rsidRPr="00715ACA"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40353F3" w14:textId="77777777" w:rsidR="00716545" w:rsidRPr="00715ACA"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715ACA">
        <w:rPr>
          <w:rFonts w:ascii="Times New Roman" w:hAnsi="Times New Roman" w:cs="Times New Roman"/>
          <w:i/>
          <w:iCs/>
        </w:rPr>
        <w:t>Choroidealis effusio, akut myopia és szekunder, zárt zugú glaucoma</w:t>
      </w:r>
    </w:p>
    <w:p w14:paraId="6EB87035" w14:textId="31FA82B4" w:rsidR="00716545" w:rsidRPr="00715ACA" w:rsidRDefault="00716545" w:rsidP="000931D5">
      <w:pPr>
        <w:pStyle w:val="Jegyzetszveg"/>
        <w:spacing w:after="0"/>
        <w:rPr>
          <w:rFonts w:ascii="Times New Roman" w:hAnsi="Times New Roman" w:cs="Times New Roman"/>
        </w:rPr>
      </w:pPr>
      <w:r w:rsidRPr="00715ACA">
        <w:rPr>
          <w:rFonts w:ascii="Times New Roman" w:hAnsi="Times New Roman" w:cs="Times New Roman"/>
          <w:sz w:val="22"/>
          <w:szCs w:val="22"/>
        </w:rPr>
        <w:t xml:space="preserve">A szulfonamidok vagy szulfonamid-származékok, </w:t>
      </w:r>
      <w:bookmarkStart w:id="2" w:name="_Hlk37834135"/>
      <w:r w:rsidRPr="00715ACA">
        <w:rPr>
          <w:rFonts w:ascii="Times New Roman" w:hAnsi="Times New Roman" w:cs="Times New Roman"/>
          <w:sz w:val="22"/>
          <w:szCs w:val="22"/>
        </w:rPr>
        <w:t>idioszinkráziás reakciót válthatnak ki, amely látótérkieséssel járó choroidealis effusiót,</w:t>
      </w:r>
      <w:bookmarkEnd w:id="2"/>
      <w:r w:rsidRPr="00715ACA">
        <w:rPr>
          <w:rFonts w:ascii="Times New Roman" w:hAnsi="Times New Roman" w:cs="Times New Roman"/>
          <w:sz w:val="22"/>
          <w:szCs w:val="22"/>
        </w:rPr>
        <w:t xml:space="preserve"> átmeneti myopiát és akut zárt zugú glaucomát eredményezhet. </w:t>
      </w:r>
      <w:r w:rsidR="000045B6" w:rsidRPr="000931D5">
        <w:rPr>
          <w:rFonts w:ascii="Times New Roman" w:hAnsi="Times New Roman" w:cs="Times New Roman"/>
          <w:sz w:val="22"/>
          <w:szCs w:val="22"/>
        </w:rPr>
        <w:t xml:space="preserve">A tünetek közé tartozik a látásélesség-csökkenés vagy a szemfájdalom akut megjelenése, amelyek jellemző módon a kezelés megkezdése után órákon-heteken belül jelentkeznek. </w:t>
      </w:r>
      <w:r w:rsidRPr="00715ACA">
        <w:rPr>
          <w:rFonts w:ascii="Times New Roman" w:hAnsi="Times New Roman" w:cs="Times New Roman"/>
          <w:sz w:val="22"/>
          <w:szCs w:val="22"/>
        </w:rPr>
        <w:t xml:space="preserve">A kezeletlen zárt zugú glaucoma tartós látásvesztéshez vezethet. Az elsődleges kezelés a gyógyszer alkalmazásának azonnali megszakítása. Azonnali </w:t>
      </w:r>
      <w:r w:rsidR="000045B6" w:rsidRPr="00715ACA">
        <w:rPr>
          <w:rFonts w:ascii="Times New Roman" w:hAnsi="Times New Roman" w:cs="Times New Roman"/>
          <w:sz w:val="22"/>
          <w:szCs w:val="22"/>
        </w:rPr>
        <w:t xml:space="preserve">gyógyszeres </w:t>
      </w:r>
      <w:r w:rsidRPr="00715ACA">
        <w:rPr>
          <w:rFonts w:ascii="Times New Roman" w:hAnsi="Times New Roman" w:cs="Times New Roman"/>
          <w:sz w:val="22"/>
          <w:szCs w:val="22"/>
        </w:rPr>
        <w:t xml:space="preserve">vagy sebészi kezelésre lehet szükség, ha az intraocularis nyomás </w:t>
      </w:r>
      <w:r w:rsidR="00715ACA">
        <w:rPr>
          <w:rFonts w:ascii="Times New Roman" w:hAnsi="Times New Roman" w:cs="Times New Roman"/>
          <w:sz w:val="22"/>
          <w:szCs w:val="22"/>
        </w:rPr>
        <w:t>kontrollálatlan</w:t>
      </w:r>
      <w:r w:rsidR="00715ACA" w:rsidRPr="00715ACA">
        <w:rPr>
          <w:rFonts w:ascii="Times New Roman" w:hAnsi="Times New Roman" w:cs="Times New Roman"/>
          <w:sz w:val="22"/>
          <w:szCs w:val="22"/>
        </w:rPr>
        <w:t xml:space="preserve"> </w:t>
      </w:r>
      <w:r w:rsidRPr="00715ACA">
        <w:rPr>
          <w:rFonts w:ascii="Times New Roman" w:hAnsi="Times New Roman" w:cs="Times New Roman"/>
          <w:sz w:val="22"/>
          <w:szCs w:val="22"/>
        </w:rPr>
        <w:t>marad. Az akut zárt zugú glaucoma kialakulásának rizikófaktorai közé tartozhat a kórtörténetben előforduló szulfonamid- vagy penicillinallergia.</w:t>
      </w:r>
    </w:p>
    <w:p w14:paraId="34B5A6C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7CBEE2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rPr>
      </w:pPr>
      <w:r w:rsidRPr="00D91094">
        <w:rPr>
          <w:rFonts w:ascii="Times New Roman" w:hAnsi="Times New Roman" w:cs="Times New Roman"/>
          <w:i/>
        </w:rPr>
        <w:t>Fényérzékenység</w:t>
      </w:r>
    </w:p>
    <w:p w14:paraId="257BD0B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tiazidok és a rokonvegyület tiazid-diuretikumok kapcsán fényérzékenységi reakciók eseteiről számoltak be (lásd 4.8 pont). Amennyiben a kezelés alatt fényérzékenységi reakció fordul elő, ajánlatos leállítani a kezelést. Ha szükségesnek ítélik meg a kezelés újrakezdését, akkor az exponált területek védelme javasolt a napsugárzás, illetve mesterséges UVA-sugárzás ellen.</w:t>
      </w:r>
    </w:p>
    <w:p w14:paraId="1A02DD1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8AEDCB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Az alkalmazással kapcsolatos óvintézkedések</w:t>
      </w:r>
    </w:p>
    <w:p w14:paraId="6756866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D6E746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Vesefunkció</w:t>
      </w:r>
    </w:p>
    <w:p w14:paraId="11759274" w14:textId="4F18D08D"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Súlyos vesekárosodás esetén (ha a kreatinin-clearance &lt;</w:t>
      </w:r>
      <w:r w:rsidRPr="009436A9">
        <w:rPr>
          <w:rFonts w:ascii="Times New Roman" w:hAnsi="Times New Roman" w:cs="Times New Roman"/>
        </w:rPr>
        <w:t>30 ml/min</w:t>
      </w:r>
      <w:r w:rsidRPr="00D91094">
        <w:rPr>
          <w:rFonts w:ascii="Times New Roman" w:hAnsi="Times New Roman" w:cs="Times New Roman"/>
        </w:rPr>
        <w:t xml:space="preserve">,) a </w:t>
      </w:r>
      <w:r w:rsidRPr="00D91094">
        <w:rPr>
          <w:rFonts w:ascii="Times New Roman" w:hAnsi="Times New Roman" w:cs="Times New Roman"/>
          <w:iCs/>
        </w:rPr>
        <w:t xml:space="preserve">perindopril/indapamid kombinációt tartalmazó </w:t>
      </w:r>
      <w:r w:rsidRPr="00D91094">
        <w:rPr>
          <w:rFonts w:ascii="Times New Roman" w:hAnsi="Times New Roman" w:cs="Times New Roman"/>
        </w:rPr>
        <w:t>készítmény alkalmazása ellenjavallt.</w:t>
      </w:r>
    </w:p>
    <w:p w14:paraId="66803498"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Közepesen súlyos vesekárosodás esetén (ha a kreatinin-clearance &lt;</w:t>
      </w:r>
      <w:r w:rsidRPr="009436A9">
        <w:rPr>
          <w:rFonts w:ascii="Times New Roman" w:hAnsi="Times New Roman" w:cs="Times New Roman"/>
        </w:rPr>
        <w:t>60 ml/min,</w:t>
      </w:r>
      <w:r w:rsidRPr="00D91094">
        <w:rPr>
          <w:rFonts w:ascii="Times New Roman" w:hAnsi="Times New Roman" w:cs="Times New Roman"/>
        </w:rPr>
        <w:t xml:space="preserve">) </w:t>
      </w:r>
      <w:r w:rsidR="00BA032E" w:rsidRPr="00D91094">
        <w:rPr>
          <w:rFonts w:ascii="Times New Roman" w:hAnsi="Times New Roman" w:cs="Times New Roman"/>
        </w:rPr>
        <w:t>a 8 mg</w:t>
      </w:r>
      <w:r w:rsidR="00BA032E" w:rsidRPr="00715ACA">
        <w:rPr>
          <w:rFonts w:ascii="Times New Roman" w:hAnsi="Times New Roman" w:cs="Times New Roman"/>
        </w:rPr>
        <w:t xml:space="preserve"> </w:t>
      </w:r>
      <w:r w:rsidR="00BA032E" w:rsidRPr="00D91094">
        <w:rPr>
          <w:rFonts w:ascii="Times New Roman" w:hAnsi="Times New Roman" w:cs="Times New Roman"/>
        </w:rPr>
        <w:t>perindopril</w:t>
      </w:r>
      <w:r w:rsidR="00BA032E">
        <w:rPr>
          <w:rFonts w:ascii="Times New Roman" w:hAnsi="Times New Roman" w:cs="Times New Roman"/>
        </w:rPr>
        <w:t>t és</w:t>
      </w:r>
      <w:r w:rsidR="00BA032E" w:rsidRPr="00D91094">
        <w:rPr>
          <w:rFonts w:ascii="Times New Roman" w:hAnsi="Times New Roman" w:cs="Times New Roman"/>
        </w:rPr>
        <w:t xml:space="preserve"> 2,5 mg indapamidot </w:t>
      </w:r>
      <w:r w:rsidR="00BA032E">
        <w:rPr>
          <w:rFonts w:ascii="Times New Roman" w:hAnsi="Times New Roman" w:cs="Times New Roman"/>
        </w:rPr>
        <w:t xml:space="preserve">tartalmazó </w:t>
      </w:r>
      <w:r w:rsidR="00BA032E" w:rsidRPr="00D91094">
        <w:rPr>
          <w:rFonts w:ascii="Times New Roman" w:hAnsi="Times New Roman" w:cs="Times New Roman"/>
        </w:rPr>
        <w:t xml:space="preserve">Vidonorm Kombi </w:t>
      </w:r>
      <w:r w:rsidRPr="00D91094">
        <w:rPr>
          <w:rFonts w:ascii="Times New Roman" w:hAnsi="Times New Roman" w:cs="Times New Roman"/>
        </w:rPr>
        <w:t xml:space="preserve">ellenjavallt (például a Vidonorm Kombi </w:t>
      </w:r>
      <w:r w:rsidRPr="00D91094">
        <w:rPr>
          <w:rFonts w:ascii="Times New Roman" w:hAnsi="Times New Roman" w:cs="Times New Roman"/>
          <w:bCs/>
        </w:rPr>
        <w:t>8 mg/2</w:t>
      </w:r>
      <w:r w:rsidR="00BA032E">
        <w:rPr>
          <w:rFonts w:ascii="Times New Roman" w:hAnsi="Times New Roman" w:cs="Times New Roman"/>
          <w:bCs/>
        </w:rPr>
        <w:t>,</w:t>
      </w:r>
      <w:r w:rsidRPr="00D91094">
        <w:rPr>
          <w:rFonts w:ascii="Times New Roman" w:hAnsi="Times New Roman" w:cs="Times New Roman"/>
          <w:bCs/>
        </w:rPr>
        <w:t>5 mg/5 mg és a Vidonorm Kombi</w:t>
      </w:r>
      <w:r w:rsidRPr="00D91094">
        <w:rPr>
          <w:rFonts w:ascii="Times New Roman" w:hAnsi="Times New Roman" w:cs="Times New Roman"/>
          <w:b/>
          <w:bCs/>
        </w:rPr>
        <w:t xml:space="preserve"> </w:t>
      </w:r>
      <w:r w:rsidR="00BA032E">
        <w:rPr>
          <w:rFonts w:ascii="Times New Roman" w:hAnsi="Times New Roman" w:cs="Times New Roman"/>
          <w:bCs/>
        </w:rPr>
        <w:t>8 mg/2,</w:t>
      </w:r>
      <w:r w:rsidRPr="00D91094">
        <w:rPr>
          <w:rFonts w:ascii="Times New Roman" w:hAnsi="Times New Roman" w:cs="Times New Roman"/>
          <w:bCs/>
        </w:rPr>
        <w:t xml:space="preserve">5 mg/10 mg hatáserősségű </w:t>
      </w:r>
      <w:r w:rsidRPr="00D91094">
        <w:rPr>
          <w:rFonts w:ascii="Times New Roman" w:hAnsi="Times New Roman" w:cs="Times New Roman"/>
        </w:rPr>
        <w:t>készítmények).</w:t>
      </w:r>
    </w:p>
    <w:p w14:paraId="5F6E9DDC" w14:textId="21524CD8"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Azon hypertoniás betegek esetében, akiknek korábban nem volt vesebetegségük, de vesefunkciós értékeik veseműködési zavar kialakulására utalnak, a kezelést le kell állítani és kisebb dózissal vagy csak az egyik komponenssel lehet újrakezdeni.</w:t>
      </w:r>
    </w:p>
    <w:p w14:paraId="31AAD751" w14:textId="4DA965C0" w:rsidR="00716545" w:rsidRPr="00D91094" w:rsidRDefault="00716545" w:rsidP="00716545">
      <w:pPr>
        <w:widowControl w:val="0"/>
        <w:suppressAutoHyphens/>
        <w:autoSpaceDE w:val="0"/>
        <w:autoSpaceDN w:val="0"/>
        <w:adjustRightInd w:val="0"/>
        <w:spacing w:after="0" w:line="240" w:lineRule="auto"/>
        <w:ind w:left="567"/>
        <w:rPr>
          <w:rFonts w:ascii="Times New Roman" w:hAnsi="Times New Roman" w:cs="Times New Roman"/>
        </w:rPr>
      </w:pPr>
      <w:r w:rsidRPr="00D91094">
        <w:rPr>
          <w:rFonts w:ascii="Times New Roman" w:hAnsi="Times New Roman" w:cs="Times New Roman"/>
        </w:rPr>
        <w:t>Ezeknél a betegeknél kétheti kezelés után, majd a már beállított kezelés mellett kéthavonta rendszeresen ellenőrizni kell a szérum</w:t>
      </w:r>
      <w:r w:rsidR="00AB7068">
        <w:rPr>
          <w:rFonts w:ascii="Times New Roman" w:hAnsi="Times New Roman" w:cs="Times New Roman"/>
        </w:rPr>
        <w:t xml:space="preserve"> </w:t>
      </w:r>
      <w:r w:rsidRPr="00D91094">
        <w:rPr>
          <w:rFonts w:ascii="Times New Roman" w:hAnsi="Times New Roman" w:cs="Times New Roman"/>
        </w:rPr>
        <w:t>kreatinin- és a kálium-értékét. Veseelégtelenséget főként súlyos szívelégtelenség vagy háttérben meghúzódó veseelégtelenség, például arteria renalis stenosis esetén tapasztaltak.</w:t>
      </w:r>
    </w:p>
    <w:p w14:paraId="7CB9E144" w14:textId="5E28F8AF" w:rsidR="00377D52" w:rsidRPr="00D91094" w:rsidRDefault="00716545" w:rsidP="00716545">
      <w:pPr>
        <w:widowControl w:val="0"/>
        <w:suppressAutoHyphens/>
        <w:autoSpaceDE w:val="0"/>
        <w:autoSpaceDN w:val="0"/>
        <w:adjustRightInd w:val="0"/>
        <w:spacing w:after="0" w:line="240" w:lineRule="auto"/>
        <w:ind w:left="567" w:hanging="709"/>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készítmény alkalmazása kétoldali arteria renalis stenosis vagy szoliter vese esetén általában nem javasolt.</w:t>
      </w:r>
    </w:p>
    <w:p w14:paraId="2E524003" w14:textId="042B3301"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AB7068">
        <w:rPr>
          <w:rFonts w:ascii="Times New Roman" w:hAnsi="Times New Roman" w:cs="Times New Roman"/>
        </w:rPr>
        <w:t>-</w:t>
      </w:r>
      <w:r w:rsidRPr="00AB7068">
        <w:rPr>
          <w:rFonts w:ascii="Times New Roman" w:hAnsi="Times New Roman" w:cs="Times New Roman"/>
        </w:rPr>
        <w:tab/>
        <w:t xml:space="preserve">A tiazid- és </w:t>
      </w:r>
      <w:r w:rsidRPr="00563DDB">
        <w:rPr>
          <w:rFonts w:ascii="Times New Roman" w:hAnsi="Times New Roman" w:cs="Times New Roman"/>
        </w:rPr>
        <w:t>rokon diuretikumok csak akkor fejtik ki teljes hatásukat, ha a vesefunkció normális</w:t>
      </w:r>
      <w:r w:rsidRPr="00D91094">
        <w:rPr>
          <w:rFonts w:ascii="Times New Roman" w:hAnsi="Times New Roman" w:cs="Times New Roman"/>
        </w:rPr>
        <w:t xml:space="preserve"> vagy csak minimálisan </w:t>
      </w:r>
      <w:r w:rsidR="00BA032E">
        <w:rPr>
          <w:rFonts w:ascii="Times New Roman" w:hAnsi="Times New Roman" w:cs="Times New Roman"/>
        </w:rPr>
        <w:t>károsodott</w:t>
      </w:r>
      <w:r w:rsidR="00BA032E" w:rsidRPr="00D91094">
        <w:rPr>
          <w:rFonts w:ascii="Times New Roman" w:hAnsi="Times New Roman" w:cs="Times New Roman"/>
        </w:rPr>
        <w:t xml:space="preserve"> </w:t>
      </w:r>
      <w:r w:rsidRPr="00D91094">
        <w:rPr>
          <w:rFonts w:ascii="Times New Roman" w:hAnsi="Times New Roman" w:cs="Times New Roman"/>
        </w:rPr>
        <w:t>(ha a szérum kreatininszint</w:t>
      </w:r>
      <w:r w:rsidR="00BA032E">
        <w:rPr>
          <w:rFonts w:ascii="Times New Roman" w:hAnsi="Times New Roman" w:cs="Times New Roman"/>
        </w:rPr>
        <w:t>je</w:t>
      </w:r>
      <w:r w:rsidRPr="00D91094">
        <w:rPr>
          <w:rFonts w:ascii="Times New Roman" w:hAnsi="Times New Roman" w:cs="Times New Roman"/>
        </w:rPr>
        <w:t xml:space="preserve"> 25 mg/l, azaz 220 mikromol/</w:t>
      </w:r>
      <w:r w:rsidR="00BA032E">
        <w:rPr>
          <w:rFonts w:ascii="Times New Roman" w:hAnsi="Times New Roman" w:cs="Times New Roman"/>
        </w:rPr>
        <w:t>l</w:t>
      </w:r>
      <w:r w:rsidRPr="00D91094">
        <w:rPr>
          <w:rFonts w:ascii="Times New Roman" w:hAnsi="Times New Roman" w:cs="Times New Roman"/>
        </w:rPr>
        <w:t xml:space="preserve"> alatti felnőttek esetében).</w:t>
      </w:r>
    </w:p>
    <w:p w14:paraId="246E7016" w14:textId="0FD65BD0"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i/>
        </w:rPr>
      </w:pPr>
      <w:r w:rsidRPr="00D91094">
        <w:rPr>
          <w:rFonts w:ascii="Times New Roman" w:hAnsi="Times New Roman" w:cs="Times New Roman"/>
        </w:rPr>
        <w:t>-</w:t>
      </w:r>
      <w:r w:rsidRPr="00D91094">
        <w:rPr>
          <w:rFonts w:ascii="Times New Roman" w:hAnsi="Times New Roman" w:cs="Times New Roman"/>
        </w:rPr>
        <w:tab/>
        <w:t>Időskorban a szérum kreatininértéke</w:t>
      </w:r>
      <w:r w:rsidR="00563DDB">
        <w:rPr>
          <w:rFonts w:ascii="Times New Roman" w:hAnsi="Times New Roman" w:cs="Times New Roman"/>
        </w:rPr>
        <w:t>i</w:t>
      </w:r>
      <w:r w:rsidRPr="00D91094">
        <w:rPr>
          <w:rFonts w:ascii="Times New Roman" w:hAnsi="Times New Roman" w:cs="Times New Roman"/>
        </w:rPr>
        <w:t>t a kor, a testtömeg és a nem függvényében korrigálni kell, figyelembe véve a beteg nemét, életkorát, testtömegét a</w:t>
      </w:r>
      <w:r w:rsidRPr="00D91094">
        <w:rPr>
          <w:rFonts w:ascii="Times New Roman" w:hAnsi="Times New Roman" w:cs="Times New Roman"/>
          <w:i/>
        </w:rPr>
        <w:t xml:space="preserve"> Cockcroft-képlet </w:t>
      </w:r>
      <w:r w:rsidRPr="00D91094">
        <w:rPr>
          <w:rFonts w:ascii="Times New Roman" w:hAnsi="Times New Roman" w:cs="Times New Roman"/>
        </w:rPr>
        <w:t>szerint:</w:t>
      </w:r>
    </w:p>
    <w:p w14:paraId="3BCEC0E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5CC2223" w14:textId="77777777" w:rsidR="00716545" w:rsidRPr="00D91094" w:rsidRDefault="00716545" w:rsidP="00716545">
      <w:pPr>
        <w:widowControl w:val="0"/>
        <w:suppressAutoHyphens/>
        <w:autoSpaceDE w:val="0"/>
        <w:autoSpaceDN w:val="0"/>
        <w:adjustRightInd w:val="0"/>
        <w:spacing w:after="0" w:line="240" w:lineRule="auto"/>
        <w:ind w:left="708" w:firstLine="708"/>
        <w:rPr>
          <w:rFonts w:ascii="Times New Roman" w:hAnsi="Times New Roman" w:cs="Times New Roman"/>
        </w:rPr>
      </w:pPr>
      <w:r w:rsidRPr="00D91094">
        <w:rPr>
          <w:rFonts w:ascii="Times New Roman" w:hAnsi="Times New Roman" w:cs="Times New Roman"/>
        </w:rPr>
        <w:lastRenderedPageBreak/>
        <w:t>Cl</w:t>
      </w:r>
      <w:r w:rsidRPr="00D91094">
        <w:rPr>
          <w:rFonts w:ascii="Times New Roman" w:hAnsi="Times New Roman" w:cs="Times New Roman"/>
          <w:vertAlign w:val="subscript"/>
        </w:rPr>
        <w:t>kr</w:t>
      </w:r>
      <w:r w:rsidRPr="00D91094">
        <w:rPr>
          <w:rFonts w:ascii="Times New Roman" w:hAnsi="Times New Roman" w:cs="Times New Roman"/>
        </w:rPr>
        <w:t xml:space="preserve"> = (140-életkor) × testtömeg/0,814 × plazma kreatinin</w:t>
      </w:r>
      <w:r w:rsidR="00BA032E">
        <w:rPr>
          <w:rFonts w:ascii="Times New Roman" w:hAnsi="Times New Roman" w:cs="Times New Roman"/>
        </w:rPr>
        <w:t>szintje</w:t>
      </w:r>
    </w:p>
    <w:p w14:paraId="03464A9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AA9683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ahol az</w:t>
      </w:r>
      <w:r w:rsidRPr="00D91094">
        <w:rPr>
          <w:rFonts w:ascii="Times New Roman" w:hAnsi="Times New Roman" w:cs="Times New Roman"/>
        </w:rPr>
        <w:tab/>
        <w:t>életkor években,</w:t>
      </w:r>
    </w:p>
    <w:p w14:paraId="100EDCA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b/>
      </w:r>
      <w:r w:rsidRPr="00D91094">
        <w:rPr>
          <w:rFonts w:ascii="Times New Roman" w:hAnsi="Times New Roman" w:cs="Times New Roman"/>
        </w:rPr>
        <w:tab/>
        <w:t>testtömeg kg-ban,</w:t>
      </w:r>
    </w:p>
    <w:p w14:paraId="2533834E" w14:textId="2D8CFCE0"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b/>
      </w:r>
      <w:r w:rsidRPr="00D91094">
        <w:rPr>
          <w:rFonts w:ascii="Times New Roman" w:hAnsi="Times New Roman" w:cs="Times New Roman"/>
        </w:rPr>
        <w:tab/>
        <w:t>plazma kreatininszint</w:t>
      </w:r>
      <w:r w:rsidR="00BA032E">
        <w:rPr>
          <w:rFonts w:ascii="Times New Roman" w:hAnsi="Times New Roman" w:cs="Times New Roman"/>
        </w:rPr>
        <w:t>je</w:t>
      </w:r>
      <w:r w:rsidRPr="00D91094">
        <w:rPr>
          <w:rFonts w:ascii="Times New Roman" w:hAnsi="Times New Roman" w:cs="Times New Roman"/>
        </w:rPr>
        <w:t xml:space="preserve"> mikromol/l-ben van kifejezve.</w:t>
      </w:r>
    </w:p>
    <w:p w14:paraId="4441074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DBFF9C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képlet idős felnőtt férfire vonatkozik, nők esetében az eredményt 0,85-tel meg kell szorozni.</w:t>
      </w:r>
    </w:p>
    <w:p w14:paraId="18DDB4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C50A353"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diuretikus kezelés elkezdése víz- és nátriumvesztést okoz, ami másodlagos hypovolaemiához és a glomerulus filtráció csökkenéséhez vezet. Ennek következtében emelkedik a vér karbamid- és kreatininszintje. Ez az átmeneti vesefunkció-zavar normális veseműködésű betegek esetén nem jár következményekkel, de a fennálló vesekárosodást súlyosbíthatja.</w:t>
      </w:r>
    </w:p>
    <w:p w14:paraId="0C9669C4" w14:textId="3B24BB14"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Az amlodipint ilyen betegeknél a szokásos d</w:t>
      </w:r>
      <w:r w:rsidR="00BA032E">
        <w:rPr>
          <w:rFonts w:ascii="Times New Roman" w:hAnsi="Times New Roman" w:cs="Times New Roman"/>
        </w:rPr>
        <w:t>ózis</w:t>
      </w:r>
      <w:r w:rsidRPr="00D91094">
        <w:rPr>
          <w:rFonts w:ascii="Times New Roman" w:hAnsi="Times New Roman" w:cs="Times New Roman"/>
        </w:rPr>
        <w:t>ban lehet alkalmazni. Az amlodipin plazmakoncentrációjának változása nem függ össze a vesekárosodás mértékével.</w:t>
      </w:r>
    </w:p>
    <w:p w14:paraId="01644A0A"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Az amlodipin nem dializálható.</w:t>
      </w:r>
    </w:p>
    <w:p w14:paraId="7F79203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4D511B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Hypotonia, víz- és elektrolithiány</w:t>
      </w:r>
    </w:p>
    <w:p w14:paraId="5D150F37" w14:textId="5ACF3DEC"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Nátriumhiányos betegekn</w:t>
      </w:r>
      <w:r w:rsidR="00BA032E">
        <w:rPr>
          <w:rFonts w:ascii="Times New Roman" w:hAnsi="Times New Roman" w:cs="Times New Roman"/>
        </w:rPr>
        <w:t>él</w:t>
      </w:r>
      <w:r w:rsidRPr="00D91094">
        <w:rPr>
          <w:rFonts w:ascii="Times New Roman" w:hAnsi="Times New Roman" w:cs="Times New Roman"/>
        </w:rPr>
        <w:t xml:space="preserve"> (főként arteria renalis stenosis esetén) hirtelen vérnyomásesés léphet fel. Ezért szisztematikus vizsgálatokkal kell figyelni a folyadék- és elektrolithiány klinikai jeleit, ami előfordulhat időközben fellépő hasmenés vagy hányás esetén. Az ilyen betegekn</w:t>
      </w:r>
      <w:r w:rsidR="00BA032E">
        <w:rPr>
          <w:rFonts w:ascii="Times New Roman" w:hAnsi="Times New Roman" w:cs="Times New Roman"/>
        </w:rPr>
        <w:t>él</w:t>
      </w:r>
      <w:r w:rsidRPr="00D91094">
        <w:rPr>
          <w:rFonts w:ascii="Times New Roman" w:hAnsi="Times New Roman" w:cs="Times New Roman"/>
        </w:rPr>
        <w:t xml:space="preserve"> rendszeresen ellenőrizni kell a plazma elektrolitszinteket.</w:t>
      </w:r>
    </w:p>
    <w:p w14:paraId="0BF58F3E"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Kifejezett hypotonia szükségessé teheti izotóniás sóoldat intravénás infúziójának alkalmazását.</w:t>
      </w:r>
    </w:p>
    <w:p w14:paraId="66850454"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Átmeneti hypotonia nem zárja ki a kezelés folytatását. Volumenpótlás és a megfelelő vérnyomás elérése után a kezelés kisebb dózissal vagy csak az egyik összetevővel folytatható.</w:t>
      </w:r>
    </w:p>
    <w:p w14:paraId="1803FD4F" w14:textId="753D05CD"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renin-angiotenzin-aldoszteron rendszer jelentősen stimulált állapotát figyelték meg kifejezett só- és/vagy folyadékhiány esetén (</w:t>
      </w:r>
      <w:r>
        <w:rPr>
          <w:rFonts w:ascii="Times New Roman" w:hAnsi="Times New Roman" w:cs="Times New Roman"/>
        </w:rPr>
        <w:t>például</w:t>
      </w:r>
      <w:r w:rsidRPr="00D91094">
        <w:rPr>
          <w:rFonts w:ascii="Times New Roman" w:hAnsi="Times New Roman" w:cs="Times New Roman"/>
        </w:rPr>
        <w:t xml:space="preserve"> szigorú só</w:t>
      </w:r>
      <w:r w:rsidR="00BA032E">
        <w:rPr>
          <w:rFonts w:ascii="Times New Roman" w:hAnsi="Times New Roman" w:cs="Times New Roman"/>
        </w:rPr>
        <w:t>szegény</w:t>
      </w:r>
      <w:r w:rsidRPr="00D91094">
        <w:rPr>
          <w:rFonts w:ascii="Times New Roman" w:hAnsi="Times New Roman" w:cs="Times New Roman"/>
        </w:rPr>
        <w:t xml:space="preserve"> diéta, elhúzódó diuretikum-kezelés következtében), kezdetben alacsony vérnyomású betegeknél, arteria renalis stenosis fennállása esetén, pangásos szívelégtelenség, valamint </w:t>
      </w:r>
      <w:r w:rsidR="00BA032E">
        <w:rPr>
          <w:rFonts w:ascii="Times New Roman" w:hAnsi="Times New Roman" w:cs="Times New Roman"/>
        </w:rPr>
        <w:t>o</w:t>
      </w:r>
      <w:r w:rsidRPr="00D91094">
        <w:rPr>
          <w:rFonts w:ascii="Times New Roman" w:hAnsi="Times New Roman" w:cs="Times New Roman"/>
        </w:rPr>
        <w:t>edemával, ascites-szel járó cirrhosis hepatis esetén.</w:t>
      </w:r>
    </w:p>
    <w:p w14:paraId="6C197DAA" w14:textId="148E5E06"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Ezen esetekben ACE-gátlók alkalmazásakor – főleg az első dózis után, illetve a kezelés első két hetében – hirtelen vérnyomásesés, és/vagy plazma kreatininszint</w:t>
      </w:r>
      <w:r w:rsidR="00BA032E">
        <w:rPr>
          <w:rFonts w:ascii="Times New Roman" w:hAnsi="Times New Roman" w:cs="Times New Roman"/>
        </w:rPr>
        <w:t xml:space="preserve">jének </w:t>
      </w:r>
      <w:r w:rsidRPr="00D91094">
        <w:rPr>
          <w:rFonts w:ascii="Times New Roman" w:hAnsi="Times New Roman" w:cs="Times New Roman"/>
        </w:rPr>
        <w:t>emelkedés</w:t>
      </w:r>
      <w:r w:rsidR="00BA032E">
        <w:rPr>
          <w:rFonts w:ascii="Times New Roman" w:hAnsi="Times New Roman" w:cs="Times New Roman"/>
        </w:rPr>
        <w:t>e</w:t>
      </w:r>
      <w:r w:rsidRPr="00D91094">
        <w:rPr>
          <w:rFonts w:ascii="Times New Roman" w:hAnsi="Times New Roman" w:cs="Times New Roman"/>
        </w:rPr>
        <w:t xml:space="preserve">, azaz funkcionális veseelégtelenség léphet fel. Alkalmanként a veseelégtelenség jelentkezhet hirtelen és kialakulhat később is. Ilyen esetekben a perindopril-kezelést </w:t>
      </w:r>
      <w:r w:rsidR="00BA032E">
        <w:rPr>
          <w:rFonts w:ascii="Times New Roman" w:hAnsi="Times New Roman" w:cs="Times New Roman"/>
        </w:rPr>
        <w:t>kis</w:t>
      </w:r>
      <w:r w:rsidR="00BA032E" w:rsidRPr="00D91094">
        <w:rPr>
          <w:rFonts w:ascii="Times New Roman" w:hAnsi="Times New Roman" w:cs="Times New Roman"/>
        </w:rPr>
        <w:t xml:space="preserve"> </w:t>
      </w:r>
      <w:r w:rsidRPr="00D91094">
        <w:rPr>
          <w:rFonts w:ascii="Times New Roman" w:hAnsi="Times New Roman" w:cs="Times New Roman"/>
        </w:rPr>
        <w:t>dózissal célszerű kezdeni és a d</w:t>
      </w:r>
      <w:r w:rsidR="00BA032E">
        <w:rPr>
          <w:rFonts w:ascii="Times New Roman" w:hAnsi="Times New Roman" w:cs="Times New Roman"/>
        </w:rPr>
        <w:t>ózis</w:t>
      </w:r>
      <w:r w:rsidRPr="00D91094">
        <w:rPr>
          <w:rFonts w:ascii="Times New Roman" w:hAnsi="Times New Roman" w:cs="Times New Roman"/>
        </w:rPr>
        <w:t>t fokozatosan kell emelni.</w:t>
      </w:r>
      <w:r w:rsidR="00923C9B" w:rsidRPr="00923C9B">
        <w:t xml:space="preserve"> </w:t>
      </w:r>
      <w:r w:rsidR="00923C9B" w:rsidRPr="00923C9B">
        <w:rPr>
          <w:rFonts w:ascii="Times New Roman" w:hAnsi="Times New Roman" w:cs="Times New Roman"/>
        </w:rPr>
        <w:t>Ischaemiás szívbetegségben vagy agyi keringési elégtelenségben szenvedő betegek esetében egy túlzott vérnyomásesés myocardialis infarctust vagy cerebrovaszkuláris történést eredményezhet.</w:t>
      </w:r>
    </w:p>
    <w:p w14:paraId="28F6C4EA" w14:textId="56A3CE90"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iCs/>
        </w:rPr>
      </w:pPr>
      <w:r w:rsidRPr="00D91094">
        <w:rPr>
          <w:rFonts w:ascii="Times New Roman" w:hAnsi="Times New Roman" w:cs="Times New Roman"/>
        </w:rPr>
        <w:t>-</w:t>
      </w:r>
      <w:r w:rsidRPr="00D91094">
        <w:rPr>
          <w:rFonts w:ascii="Times New Roman" w:hAnsi="Times New Roman" w:cs="Times New Roman"/>
        </w:rPr>
        <w:tab/>
        <w:t>A nátriumszintet a kezelés megkezdése előtt, majd ezt követően rendszeres időközö</w:t>
      </w:r>
      <w:r w:rsidR="00BA032E">
        <w:rPr>
          <w:rFonts w:ascii="Times New Roman" w:hAnsi="Times New Roman" w:cs="Times New Roman"/>
        </w:rPr>
        <w:t>n</w:t>
      </w:r>
      <w:r w:rsidRPr="00D91094">
        <w:rPr>
          <w:rFonts w:ascii="Times New Roman" w:hAnsi="Times New Roman" w:cs="Times New Roman"/>
        </w:rPr>
        <w:t>k</w:t>
      </w:r>
      <w:r w:rsidR="00BA032E">
        <w:rPr>
          <w:rFonts w:ascii="Times New Roman" w:hAnsi="Times New Roman" w:cs="Times New Roman"/>
        </w:rPr>
        <w:t>ént</w:t>
      </w:r>
      <w:r w:rsidRPr="00D91094">
        <w:rPr>
          <w:rFonts w:ascii="Times New Roman" w:hAnsi="Times New Roman" w:cs="Times New Roman"/>
        </w:rPr>
        <w:t xml:space="preserve"> is mérni kell. A szérum nátriumszintjének csökkenése kezdetben tünetmentes lehet, ezért a rendszeres ellenőrzés alapvetően szükséges. Idős vagy májcirrózisban szenvedő beteg esetében még gyakrabban kell ellenőrizni a szérum nátriumszint</w:t>
      </w:r>
      <w:r w:rsidR="00BA032E">
        <w:rPr>
          <w:rFonts w:ascii="Times New Roman" w:hAnsi="Times New Roman" w:cs="Times New Roman"/>
        </w:rPr>
        <w:t>jé</w:t>
      </w:r>
      <w:r w:rsidRPr="00D91094">
        <w:rPr>
          <w:rFonts w:ascii="Times New Roman" w:hAnsi="Times New Roman" w:cs="Times New Roman"/>
        </w:rPr>
        <w:t xml:space="preserve">t (lásd 4.8 és 4.9 pont). </w:t>
      </w:r>
      <w:r w:rsidRPr="00D91094">
        <w:rPr>
          <w:rFonts w:ascii="Times New Roman" w:hAnsi="Times New Roman" w:cs="Times New Roman"/>
          <w:iCs/>
        </w:rPr>
        <w:t>Bármilyen diuretikus kezelés okozhat hyponatraemiát, ami olykor nagyon súlyos következményekkel járhat. A hyponatraemia és a hypovolaemia dehidrációt és orthostaticus hypotoniát eredményezhet.</w:t>
      </w:r>
    </w:p>
    <w:p w14:paraId="1DED1D0D"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iCs/>
        </w:rPr>
      </w:pPr>
      <w:r w:rsidRPr="00D91094">
        <w:rPr>
          <w:rFonts w:ascii="Times New Roman" w:hAnsi="Times New Roman" w:cs="Times New Roman"/>
          <w:iCs/>
        </w:rPr>
        <w:t>-</w:t>
      </w:r>
      <w:r w:rsidRPr="00D91094">
        <w:rPr>
          <w:rFonts w:ascii="Times New Roman" w:hAnsi="Times New Roman" w:cs="Times New Roman"/>
          <w:iCs/>
        </w:rPr>
        <w:tab/>
        <w:t>A kísérő kloridion-vesztés kompenzatórikus</w:t>
      </w:r>
      <w:r w:rsidRPr="00D91094">
        <w:rPr>
          <w:rFonts w:ascii="Times New Roman" w:hAnsi="Times New Roman" w:cs="Times New Roman"/>
        </w:rPr>
        <w:t xml:space="preserve"> </w:t>
      </w:r>
      <w:r w:rsidRPr="00D91094">
        <w:rPr>
          <w:rFonts w:ascii="Times New Roman" w:hAnsi="Times New Roman" w:cs="Times New Roman"/>
          <w:iCs/>
        </w:rPr>
        <w:t>metabolikus alkalózishoz vezethet, azonban ennek előfordulása és mértéke csekély.</w:t>
      </w:r>
    </w:p>
    <w:p w14:paraId="2C803F9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F150CE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Káliumszint</w:t>
      </w:r>
    </w:p>
    <w:p w14:paraId="759BD8F8" w14:textId="53E6E011"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 xml:space="preserve">A perindopril és az indapamid kombinációja nem gátolja meg a kezdeti hypokalaemia kialakulását, ami főleg diabeteses és veseelégtelenségben szenvedő betegeknél fordulhat elő. Így </w:t>
      </w:r>
      <w:r w:rsidR="00BA032E">
        <w:rPr>
          <w:rFonts w:ascii="Times New Roman" w:hAnsi="Times New Roman" w:cs="Times New Roman"/>
        </w:rPr>
        <w:t>–</w:t>
      </w:r>
      <w:r w:rsidRPr="00D91094">
        <w:rPr>
          <w:rFonts w:ascii="Times New Roman" w:hAnsi="Times New Roman" w:cs="Times New Roman"/>
        </w:rPr>
        <w:t xml:space="preserve"> mint minden egyéb diuretikummal kombinált antihipertenzívum alkalmazásakor </w:t>
      </w:r>
      <w:r w:rsidR="00BA032E">
        <w:rPr>
          <w:rFonts w:ascii="Times New Roman" w:hAnsi="Times New Roman" w:cs="Times New Roman"/>
        </w:rPr>
        <w:t>–</w:t>
      </w:r>
      <w:r w:rsidRPr="00D91094">
        <w:rPr>
          <w:rFonts w:ascii="Times New Roman" w:hAnsi="Times New Roman" w:cs="Times New Roman"/>
        </w:rPr>
        <w:t xml:space="preserve"> a szérum káliumértékét rendszeresen ellenőrizni kell.</w:t>
      </w:r>
    </w:p>
    <w:p w14:paraId="7B709A37" w14:textId="66573E94" w:rsidR="0090637D" w:rsidRPr="00304F8F" w:rsidRDefault="00716545" w:rsidP="000931D5">
      <w:pPr>
        <w:widowControl w:val="0"/>
        <w:suppressAutoHyphens/>
        <w:autoSpaceDE w:val="0"/>
        <w:autoSpaceDN w:val="0"/>
        <w:adjustRightInd w:val="0"/>
        <w:spacing w:after="0" w:line="240" w:lineRule="auto"/>
        <w:ind w:left="567" w:hanging="567"/>
        <w:rPr>
          <w:rFonts w:ascii="Times New Roman" w:hAnsi="Times New Roman" w:cs="Times New Roman"/>
        </w:rPr>
      </w:pPr>
      <w:r w:rsidRPr="00BA032E">
        <w:rPr>
          <w:rFonts w:ascii="Times New Roman" w:hAnsi="Times New Roman" w:cs="Times New Roman"/>
        </w:rPr>
        <w:t>-</w:t>
      </w:r>
      <w:r w:rsidRPr="00BA032E">
        <w:rPr>
          <w:rFonts w:ascii="Times New Roman" w:hAnsi="Times New Roman" w:cs="Times New Roman"/>
        </w:rPr>
        <w:tab/>
      </w:r>
      <w:r w:rsidR="0090637D" w:rsidRPr="00BA032E">
        <w:rPr>
          <w:rFonts w:ascii="Times New Roman" w:hAnsi="Times New Roman" w:cs="Times New Roman"/>
        </w:rPr>
        <w:t>A szérum káliumszint</w:t>
      </w:r>
      <w:r w:rsidR="00563DDB">
        <w:rPr>
          <w:rFonts w:ascii="Times New Roman" w:hAnsi="Times New Roman" w:cs="Times New Roman"/>
        </w:rPr>
        <w:t>jének</w:t>
      </w:r>
      <w:r w:rsidR="0090637D" w:rsidRPr="00BA032E">
        <w:rPr>
          <w:rFonts w:ascii="Times New Roman" w:hAnsi="Times New Roman" w:cs="Times New Roman"/>
        </w:rPr>
        <w:t xml:space="preserve"> emelkedését észlelték ACE-gátlóval (köztük perindoprillel) kezelt néhány betegnél. Az ACE-gátlók az aldoszteron-felszabadulás gátlása révén hyperkalaemiát okozhatnak. Ez a hatás normál vesefunkciójú betegeknél általában nem jelentős. A hyperkalaemia kialakulása szempontjából rizikófaktornak tekinthető: a veseelégtelenség, a vesefunkció romlása, az életkor (&gt; 70 év), diabetes mellitus, interkurrens események, különösképpen a dehidráció, akut kardiális dekompenzáció, metabolikus acidózis, valamint </w:t>
      </w:r>
      <w:r w:rsidR="0090637D" w:rsidRPr="00BA032E">
        <w:rPr>
          <w:rFonts w:ascii="Times New Roman" w:hAnsi="Times New Roman" w:cs="Times New Roman"/>
        </w:rPr>
        <w:lastRenderedPageBreak/>
        <w:t xml:space="preserve">káliummegtakarító diuretikumok (például spironolakton, eplerenon, triamteren vagy amilorid), káliumpótló gyógyszerek, vagy káliumtartalmú sópótlók és egyéb, káliumszint-emelkedést előidéző gyógyszerek (például heparin, ko-trimoxazol, más néven trimetoprim/szulfametoxazol) és különösképpen az aldoszteron-antagonisták, illetve az angiotenzin-receptor-blokkolók egyidejű alkalmazása. Káliumpótló szerek, káliummegtakarító diuretikumok vagy káliumtartalmú sópótlók </w:t>
      </w:r>
      <w:r w:rsidR="00304F8F">
        <w:rPr>
          <w:rFonts w:ascii="Times New Roman" w:hAnsi="Times New Roman" w:cs="Times New Roman"/>
        </w:rPr>
        <w:t>alkalmazás</w:t>
      </w:r>
      <w:r w:rsidR="0090637D" w:rsidRPr="00BA032E">
        <w:rPr>
          <w:rFonts w:ascii="Times New Roman" w:hAnsi="Times New Roman" w:cs="Times New Roman"/>
        </w:rPr>
        <w:t>a – különösen károsodott vesefunkciójú betegeknél – a szérum káliumszint</w:t>
      </w:r>
      <w:r w:rsidR="00304F8F">
        <w:rPr>
          <w:rFonts w:ascii="Times New Roman" w:hAnsi="Times New Roman" w:cs="Times New Roman"/>
        </w:rPr>
        <w:t>jének</w:t>
      </w:r>
      <w:r w:rsidR="0090637D" w:rsidRPr="00BA032E">
        <w:rPr>
          <w:rFonts w:ascii="Times New Roman" w:hAnsi="Times New Roman" w:cs="Times New Roman"/>
        </w:rPr>
        <w:t xml:space="preserve"> jel</w:t>
      </w:r>
      <w:r w:rsidR="0090637D" w:rsidRPr="00304F8F">
        <w:rPr>
          <w:rFonts w:ascii="Times New Roman" w:hAnsi="Times New Roman" w:cs="Times New Roman"/>
        </w:rPr>
        <w:t>entős emelkedéséhez vezethet. A hyperkalaemia súlyos, néha végzetes arrhythmiákat okozhat. A káliummegtakarító diuretikumokat és az angiotenzin-receptor-blokkolókat elővigyázatossággal kell alkalmazni ACE-gátlókat szedő betegeknél, a szérumkáliumszint és a vesefunkció ellenőrzése mellett. Amennyiben bármely fentebb említett gyógyszer együttes alkalmazása szükségessé</w:t>
      </w:r>
      <w:r w:rsidR="00563DDB" w:rsidRPr="00563DDB">
        <w:rPr>
          <w:rFonts w:ascii="Times New Roman" w:hAnsi="Times New Roman" w:cs="Times New Roman"/>
        </w:rPr>
        <w:t xml:space="preserve"> </w:t>
      </w:r>
      <w:r w:rsidR="00563DDB" w:rsidRPr="00304F8F">
        <w:rPr>
          <w:rFonts w:ascii="Times New Roman" w:hAnsi="Times New Roman" w:cs="Times New Roman"/>
        </w:rPr>
        <w:t>válik</w:t>
      </w:r>
      <w:r w:rsidR="0090637D" w:rsidRPr="00304F8F">
        <w:rPr>
          <w:rFonts w:ascii="Times New Roman" w:hAnsi="Times New Roman" w:cs="Times New Roman"/>
        </w:rPr>
        <w:t>, elővigyázatosság és a szérum káliumszint</w:t>
      </w:r>
      <w:r w:rsidR="00304F8F">
        <w:rPr>
          <w:rFonts w:ascii="Times New Roman" w:hAnsi="Times New Roman" w:cs="Times New Roman"/>
        </w:rPr>
        <w:t>jének</w:t>
      </w:r>
      <w:r w:rsidR="0090637D" w:rsidRPr="00304F8F">
        <w:rPr>
          <w:rFonts w:ascii="Times New Roman" w:hAnsi="Times New Roman" w:cs="Times New Roman"/>
        </w:rPr>
        <w:t xml:space="preserve"> gyakori ellenőrzése szükséges (lásd 4.5. pont).</w:t>
      </w:r>
    </w:p>
    <w:p w14:paraId="7B8351B6" w14:textId="36A9E5D8"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hypokalaemiához vezető káliumszint-csökkenés a tiazid- és rokon vegyületeinek fő kockázata.</w:t>
      </w:r>
      <w:r w:rsidR="005B50E4" w:rsidRPr="005B50E4">
        <w:rPr>
          <w:rFonts w:ascii="Times New Roman" w:hAnsi="Times New Roman" w:cs="Times New Roman"/>
        </w:rPr>
        <w:t xml:space="preserve"> A hypokalaemia izomproblémákat okozhat. Rhabdomyolysis eseteiről számoltak be, főként súlyos hypokalaemiával összefüggésben.</w:t>
      </w:r>
    </w:p>
    <w:p w14:paraId="77E2A2AF"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hypokalaemia (&lt;3,4 mmol/l) kialakulását meg kell előzni bizonyos magas rizikójú betegcsoportok, mint például idősek és/vagy alultápláltak esetében, függetlenül attól, hogy a betegek más gyógyszereket is szednek-e, asciteses és ödémás cirrhosisos betegek, a szívkoszorúér-betegek és a szívelégtelenségben szenvedők esetében.</w:t>
      </w:r>
    </w:p>
    <w:p w14:paraId="4C87FF3F"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Ilyen esetekben a hypokalaemia fokozza a digitálisz-készítmények cardiotoxicitását és az arrhythmiák előfordulását.</w:t>
      </w:r>
    </w:p>
    <w:p w14:paraId="1857EE7A" w14:textId="2EE3650A"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 megnyúlt QT-intervallum, akár congenitalis, akár iatrogen eredetű, szintén ritmuszavarra hajlamosít. A hypokalaemia is, a bradycardia is hajlamosít a súlyos, esetenként fatális arrhythmia (</w:t>
      </w:r>
      <w:r>
        <w:rPr>
          <w:rFonts w:ascii="Times New Roman" w:hAnsi="Times New Roman" w:cs="Times New Roman"/>
        </w:rPr>
        <w:t>például</w:t>
      </w:r>
      <w:r w:rsidRPr="00D91094">
        <w:rPr>
          <w:rFonts w:ascii="Times New Roman" w:hAnsi="Times New Roman" w:cs="Times New Roman"/>
        </w:rPr>
        <w:t xml:space="preserve"> </w:t>
      </w:r>
      <w:r w:rsidR="00304F8F">
        <w:rPr>
          <w:rFonts w:ascii="Times New Roman" w:hAnsi="Times New Roman" w:cs="Times New Roman"/>
          <w:i/>
        </w:rPr>
        <w:t>t</w:t>
      </w:r>
      <w:r w:rsidRPr="00D91094">
        <w:rPr>
          <w:rFonts w:ascii="Times New Roman" w:hAnsi="Times New Roman" w:cs="Times New Roman"/>
          <w:i/>
        </w:rPr>
        <w:t>orsade de pointes</w:t>
      </w:r>
      <w:r w:rsidRPr="00D91094">
        <w:rPr>
          <w:rFonts w:ascii="Times New Roman" w:hAnsi="Times New Roman" w:cs="Times New Roman"/>
        </w:rPr>
        <w:t>) kialakulására.</w:t>
      </w:r>
    </w:p>
    <w:p w14:paraId="006488F4" w14:textId="2F032696" w:rsidR="00716545" w:rsidRPr="00D91094" w:rsidRDefault="00716545" w:rsidP="00716545">
      <w:pPr>
        <w:widowControl w:val="0"/>
        <w:suppressAutoHyphens/>
        <w:autoSpaceDE w:val="0"/>
        <w:autoSpaceDN w:val="0"/>
        <w:adjustRightInd w:val="0"/>
        <w:spacing w:after="0" w:line="240" w:lineRule="auto"/>
        <w:ind w:left="567" w:hanging="709"/>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r>
      <w:r w:rsidR="005B50E4" w:rsidRPr="005B50E4">
        <w:rPr>
          <w:rFonts w:ascii="Times New Roman" w:hAnsi="Times New Roman" w:cs="Times New Roman"/>
        </w:rPr>
        <w:t>Minden fent említett esetben</w:t>
      </w:r>
      <w:r w:rsidRPr="00D91094">
        <w:rPr>
          <w:rFonts w:ascii="Times New Roman" w:hAnsi="Times New Roman" w:cs="Times New Roman"/>
        </w:rPr>
        <w:t xml:space="preserve"> jóval gyakrabban kell ellenőrizni a szérumkáliumszintet. A szérum káliumszintjét először a kezelés elkezdése utáni első héten kell ellenőrizni, és az esetleges </w:t>
      </w:r>
      <w:r w:rsidRPr="00563DDB">
        <w:rPr>
          <w:rFonts w:ascii="Times New Roman" w:hAnsi="Times New Roman" w:cs="Times New Roman"/>
        </w:rPr>
        <w:t>alacsony káliumszintet korrigálni kell.</w:t>
      </w:r>
      <w:r w:rsidR="005B50E4" w:rsidRPr="00563DDB">
        <w:t xml:space="preserve"> </w:t>
      </w:r>
      <w:r w:rsidR="005B50E4" w:rsidRPr="00563DDB">
        <w:rPr>
          <w:rFonts w:ascii="Times New Roman" w:hAnsi="Times New Roman" w:cs="Times New Roman"/>
        </w:rPr>
        <w:t>Az alacsony szérum</w:t>
      </w:r>
      <w:r w:rsidR="00563DDB">
        <w:rPr>
          <w:rFonts w:ascii="Times New Roman" w:hAnsi="Times New Roman" w:cs="Times New Roman"/>
        </w:rPr>
        <w:t>-</w:t>
      </w:r>
      <w:r w:rsidR="005B50E4" w:rsidRPr="00563DDB">
        <w:rPr>
          <w:rFonts w:ascii="Times New Roman" w:hAnsi="Times New Roman" w:cs="Times New Roman"/>
        </w:rPr>
        <w:t>magnéziumkoncentrációval összefüggő hypokalaemia kezelésre rezisztens lehet, ha a szérum magnéziumszint</w:t>
      </w:r>
      <w:r w:rsidR="00563DDB">
        <w:rPr>
          <w:rFonts w:ascii="Times New Roman" w:hAnsi="Times New Roman" w:cs="Times New Roman"/>
        </w:rPr>
        <w:t>jé</w:t>
      </w:r>
      <w:r w:rsidR="005B50E4" w:rsidRPr="00563DDB">
        <w:rPr>
          <w:rFonts w:ascii="Times New Roman" w:hAnsi="Times New Roman" w:cs="Times New Roman"/>
        </w:rPr>
        <w:t>t nem korrigálják.</w:t>
      </w:r>
    </w:p>
    <w:p w14:paraId="4650BDDF" w14:textId="77777777" w:rsidR="004E3C21" w:rsidRPr="004E3C21" w:rsidRDefault="004E3C21" w:rsidP="004E3C21">
      <w:pPr>
        <w:widowControl w:val="0"/>
        <w:suppressAutoHyphens/>
        <w:autoSpaceDE w:val="0"/>
        <w:autoSpaceDN w:val="0"/>
        <w:adjustRightInd w:val="0"/>
        <w:spacing w:after="0" w:line="240" w:lineRule="auto"/>
        <w:rPr>
          <w:rFonts w:ascii="Times New Roman" w:hAnsi="Times New Roman" w:cs="Times New Roman"/>
        </w:rPr>
      </w:pPr>
    </w:p>
    <w:p w14:paraId="2290DC52" w14:textId="1A402B65" w:rsidR="004E3C21" w:rsidRPr="00A44036" w:rsidRDefault="004E3C21" w:rsidP="004E3C21">
      <w:pPr>
        <w:widowControl w:val="0"/>
        <w:suppressAutoHyphens/>
        <w:autoSpaceDE w:val="0"/>
        <w:autoSpaceDN w:val="0"/>
        <w:adjustRightInd w:val="0"/>
        <w:spacing w:after="0" w:line="240" w:lineRule="auto"/>
        <w:rPr>
          <w:rFonts w:ascii="Times New Roman" w:hAnsi="Times New Roman" w:cs="Times New Roman"/>
        </w:rPr>
      </w:pPr>
      <w:r w:rsidRPr="00A44036">
        <w:rPr>
          <w:rFonts w:ascii="Times New Roman" w:hAnsi="Times New Roman" w:cs="Times New Roman"/>
          <w:i/>
          <w:iCs/>
        </w:rPr>
        <w:t>Magnéziumszint</w:t>
      </w:r>
    </w:p>
    <w:p w14:paraId="5C5BAD73" w14:textId="148CD0B3" w:rsidR="00774F52" w:rsidRDefault="00774F52" w:rsidP="00716545">
      <w:pPr>
        <w:widowControl w:val="0"/>
        <w:suppressAutoHyphens/>
        <w:autoSpaceDE w:val="0"/>
        <w:autoSpaceDN w:val="0"/>
        <w:adjustRightInd w:val="0"/>
        <w:spacing w:after="0" w:line="240" w:lineRule="auto"/>
        <w:rPr>
          <w:rFonts w:ascii="Times New Roman" w:hAnsi="Times New Roman" w:cs="Times New Roman"/>
        </w:rPr>
      </w:pPr>
      <w:r w:rsidRPr="00A44036">
        <w:rPr>
          <w:rFonts w:ascii="Times New Roman" w:hAnsi="Times New Roman" w:cs="Times New Roman"/>
        </w:rPr>
        <w:t>A tiazidok és a velük rokon diuretikumok – többek között az indapamid – bizonyítottan fokozzák a magnézium kiválasztását a vizelettel, ami hypomagnesaemiát okozhat (lásd 4.5 és 4.8 pont).</w:t>
      </w:r>
    </w:p>
    <w:p w14:paraId="31DE3555" w14:textId="77777777" w:rsidR="00774F52" w:rsidRPr="00D91094" w:rsidRDefault="00774F52" w:rsidP="00716545">
      <w:pPr>
        <w:widowControl w:val="0"/>
        <w:suppressAutoHyphens/>
        <w:autoSpaceDE w:val="0"/>
        <w:autoSpaceDN w:val="0"/>
        <w:adjustRightInd w:val="0"/>
        <w:spacing w:after="0" w:line="240" w:lineRule="auto"/>
        <w:rPr>
          <w:rFonts w:ascii="Times New Roman" w:hAnsi="Times New Roman" w:cs="Times New Roman"/>
        </w:rPr>
      </w:pPr>
    </w:p>
    <w:p w14:paraId="274BB1A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Kalciumszint</w:t>
      </w:r>
    </w:p>
    <w:p w14:paraId="1DEA2670" w14:textId="26EC1D2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Tiazid</w:t>
      </w:r>
      <w:r w:rsidR="00304F8F">
        <w:rPr>
          <w:rFonts w:ascii="Times New Roman" w:hAnsi="Times New Roman" w:cs="Times New Roman"/>
        </w:rPr>
        <w:t>-</w:t>
      </w:r>
      <w:r w:rsidRPr="00D91094">
        <w:rPr>
          <w:rFonts w:ascii="Times New Roman" w:hAnsi="Times New Roman" w:cs="Times New Roman"/>
        </w:rPr>
        <w:t xml:space="preserve"> és rokon diuretikumok csökkenthetik a kalcium vizelettel történő kiválasztását, emiatt a plazma kalciumszintje enyhén és átmenetileg emelkedhet. Kifejezett hypercalcaemia fel nem ismert hyperparathyreosis következménye is lehet. A kezelést a mellékpajzsmirigy-funkció kivizsgálásáig fel kell függeszteni.</w:t>
      </w:r>
    </w:p>
    <w:p w14:paraId="3AD14BF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A5BFBD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rPr>
      </w:pPr>
      <w:r w:rsidRPr="00D91094">
        <w:rPr>
          <w:rFonts w:ascii="Times New Roman" w:hAnsi="Times New Roman" w:cs="Times New Roman"/>
          <w:i/>
        </w:rPr>
        <w:t>Húgysav</w:t>
      </w:r>
    </w:p>
    <w:p w14:paraId="05D8B73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Indapamiddal kezelt hyperuricaemiás betegek esetében fokozódhat a köszvényes rohamra való hajlam.</w:t>
      </w:r>
    </w:p>
    <w:p w14:paraId="65FA034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35CF1D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Renovascularis hypertonia</w:t>
      </w:r>
    </w:p>
    <w:p w14:paraId="5FB6BBA4" w14:textId="4804B828"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renovascularis hypertonia kezelését a revascularisatio jelenti. Mindazonáltal az ACE-gátlók kedvező hatást fejthetnek ki a műtétre váró renovascularis hypertoniában szenvedő betegnél, illetve azoknál is, akiknél a műtét nem kivitelezhető.</w:t>
      </w:r>
    </w:p>
    <w:p w14:paraId="00496A0F" w14:textId="06AD9A42"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Ismert vagy feltételezett veseartéria-stenosis esetén a kezelést kórházban kell megkezdeni </w:t>
      </w:r>
      <w:r w:rsidR="00304F8F">
        <w:rPr>
          <w:rFonts w:ascii="Times New Roman" w:hAnsi="Times New Roman" w:cs="Times New Roman"/>
        </w:rPr>
        <w:t>kis</w:t>
      </w:r>
      <w:r w:rsidRPr="00D91094">
        <w:rPr>
          <w:rFonts w:ascii="Times New Roman" w:hAnsi="Times New Roman" w:cs="Times New Roman"/>
        </w:rPr>
        <w:t xml:space="preserve"> dózissal, és a vesefunkciót és a káliumszintet monitorozni kell, mivel néhány betegnél funkcionális veseelégtelenség alakult ki, amit a kezelés leállítása visszafordított.</w:t>
      </w:r>
      <w:r w:rsidR="00DC3E6E" w:rsidRPr="00DC3E6E">
        <w:t xml:space="preserve"> </w:t>
      </w:r>
      <w:r w:rsidR="00DC3E6E" w:rsidRPr="00DC3E6E">
        <w:rPr>
          <w:rFonts w:ascii="Times New Roman" w:hAnsi="Times New Roman" w:cs="Times New Roman"/>
        </w:rPr>
        <w:t>A 8</w:t>
      </w:r>
      <w:r w:rsidR="00304F8F">
        <w:rPr>
          <w:rFonts w:ascii="Times New Roman" w:hAnsi="Times New Roman" w:cs="Times New Roman"/>
        </w:rPr>
        <w:t> </w:t>
      </w:r>
      <w:r w:rsidR="00DC3E6E" w:rsidRPr="00DC3E6E">
        <w:rPr>
          <w:rFonts w:ascii="Times New Roman" w:hAnsi="Times New Roman" w:cs="Times New Roman"/>
        </w:rPr>
        <w:t>mg/2,5</w:t>
      </w:r>
      <w:r w:rsidR="00304F8F">
        <w:rPr>
          <w:rFonts w:ascii="Times New Roman" w:hAnsi="Times New Roman" w:cs="Times New Roman"/>
        </w:rPr>
        <w:t> </w:t>
      </w:r>
      <w:r w:rsidR="00DC3E6E" w:rsidRPr="00DC3E6E">
        <w:rPr>
          <w:rFonts w:ascii="Times New Roman" w:hAnsi="Times New Roman" w:cs="Times New Roman"/>
        </w:rPr>
        <w:t>mg</w:t>
      </w:r>
      <w:r w:rsidR="00DC3E6E">
        <w:rPr>
          <w:rFonts w:ascii="Times New Roman" w:hAnsi="Times New Roman" w:cs="Times New Roman"/>
        </w:rPr>
        <w:t>/</w:t>
      </w:r>
      <w:r w:rsidR="00DC3E6E" w:rsidRPr="00DC3E6E">
        <w:rPr>
          <w:rFonts w:ascii="Times New Roman" w:hAnsi="Times New Roman" w:cs="Times New Roman"/>
        </w:rPr>
        <w:t xml:space="preserve"> </w:t>
      </w:r>
      <w:r w:rsidR="00DC3E6E">
        <w:rPr>
          <w:rFonts w:ascii="Times New Roman" w:hAnsi="Times New Roman" w:cs="Times New Roman"/>
        </w:rPr>
        <w:t>5</w:t>
      </w:r>
      <w:r w:rsidR="00304F8F">
        <w:rPr>
          <w:rFonts w:ascii="Times New Roman" w:hAnsi="Times New Roman" w:cs="Times New Roman"/>
        </w:rPr>
        <w:t> </w:t>
      </w:r>
      <w:r w:rsidR="00DC3E6E">
        <w:rPr>
          <w:rFonts w:ascii="Times New Roman" w:hAnsi="Times New Roman" w:cs="Times New Roman"/>
        </w:rPr>
        <w:t>mg</w:t>
      </w:r>
      <w:r w:rsidR="00DC3E6E" w:rsidRPr="00DC3E6E">
        <w:rPr>
          <w:rFonts w:ascii="Times New Roman" w:hAnsi="Times New Roman" w:cs="Times New Roman"/>
        </w:rPr>
        <w:t xml:space="preserve"> és 8</w:t>
      </w:r>
      <w:r w:rsidR="00304F8F">
        <w:rPr>
          <w:rFonts w:ascii="Times New Roman" w:hAnsi="Times New Roman" w:cs="Times New Roman"/>
        </w:rPr>
        <w:t> </w:t>
      </w:r>
      <w:r w:rsidR="00DC3E6E" w:rsidRPr="00DC3E6E">
        <w:rPr>
          <w:rFonts w:ascii="Times New Roman" w:hAnsi="Times New Roman" w:cs="Times New Roman"/>
        </w:rPr>
        <w:t>mg/</w:t>
      </w:r>
      <w:r w:rsidR="00DC3E6E">
        <w:rPr>
          <w:rFonts w:ascii="Times New Roman" w:hAnsi="Times New Roman" w:cs="Times New Roman"/>
        </w:rPr>
        <w:t>2,5</w:t>
      </w:r>
      <w:r w:rsidR="00304F8F">
        <w:rPr>
          <w:rFonts w:ascii="Times New Roman" w:hAnsi="Times New Roman" w:cs="Times New Roman"/>
        </w:rPr>
        <w:t> </w:t>
      </w:r>
      <w:r w:rsidR="00DC3E6E">
        <w:rPr>
          <w:rFonts w:ascii="Times New Roman" w:hAnsi="Times New Roman" w:cs="Times New Roman"/>
        </w:rPr>
        <w:t>mg/</w:t>
      </w:r>
      <w:r w:rsidR="00DC3E6E" w:rsidRPr="00DC3E6E">
        <w:rPr>
          <w:rFonts w:ascii="Times New Roman" w:hAnsi="Times New Roman" w:cs="Times New Roman"/>
        </w:rPr>
        <w:t>10</w:t>
      </w:r>
      <w:r w:rsidR="00304F8F">
        <w:rPr>
          <w:rFonts w:ascii="Times New Roman" w:hAnsi="Times New Roman" w:cs="Times New Roman"/>
        </w:rPr>
        <w:t> </w:t>
      </w:r>
      <w:r w:rsidR="00DC3E6E" w:rsidRPr="00DC3E6E">
        <w:rPr>
          <w:rFonts w:ascii="Times New Roman" w:hAnsi="Times New Roman" w:cs="Times New Roman"/>
        </w:rPr>
        <w:t xml:space="preserve">mg hatáserősségű készítmények nem megfelelőek olyan betegnek, akiknek ismert vagy feltételezett veseartéria-szűkülete van, mivel ezekben az esetekben a kezelést </w:t>
      </w:r>
      <w:r w:rsidR="00DC3E6E">
        <w:rPr>
          <w:rFonts w:ascii="Times New Roman" w:hAnsi="Times New Roman" w:cs="Times New Roman"/>
        </w:rPr>
        <w:t>ezeknél</w:t>
      </w:r>
      <w:r w:rsidR="00DC3E6E" w:rsidRPr="00DC3E6E">
        <w:rPr>
          <w:rFonts w:ascii="Times New Roman" w:hAnsi="Times New Roman" w:cs="Times New Roman"/>
        </w:rPr>
        <w:t xml:space="preserve"> kisebb dózissal kell elkezdeni.</w:t>
      </w:r>
    </w:p>
    <w:p w14:paraId="1B766F0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p>
    <w:p w14:paraId="298D63FD" w14:textId="77777777" w:rsidR="00716545" w:rsidRPr="00D91094" w:rsidRDefault="00716545" w:rsidP="00716545">
      <w:pPr>
        <w:keepNext/>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Atherosclerosis</w:t>
      </w:r>
    </w:p>
    <w:p w14:paraId="3041B4FB" w14:textId="4D03773F"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w:t>
      </w:r>
      <w:r w:rsidRPr="00D91094">
        <w:rPr>
          <w:rFonts w:ascii="Times New Roman" w:hAnsi="Times New Roman" w:cs="Times New Roman"/>
          <w:bCs/>
        </w:rPr>
        <w:t xml:space="preserve"> </w:t>
      </w:r>
      <w:r w:rsidRPr="00D91094">
        <w:rPr>
          <w:rFonts w:ascii="Times New Roman" w:hAnsi="Times New Roman" w:cs="Times New Roman"/>
        </w:rPr>
        <w:t xml:space="preserve">hypotonia </w:t>
      </w:r>
      <w:r w:rsidR="00563DDB">
        <w:rPr>
          <w:rFonts w:ascii="Times New Roman" w:hAnsi="Times New Roman" w:cs="Times New Roman"/>
        </w:rPr>
        <w:t>kockázata</w:t>
      </w:r>
      <w:r w:rsidRPr="00D91094">
        <w:rPr>
          <w:rFonts w:ascii="Times New Roman" w:hAnsi="Times New Roman" w:cs="Times New Roman"/>
        </w:rPr>
        <w:t xml:space="preserve"> minden beteg esetében fennáll, de különös figyelmet kell fordítani ischaemiás szívbetegségben, továbbá agyi keringési zavarban szenvedő betegek esetén; a perindopril-kezelést </w:t>
      </w:r>
      <w:r w:rsidRPr="00D91094">
        <w:rPr>
          <w:rFonts w:ascii="Times New Roman" w:hAnsi="Times New Roman" w:cs="Times New Roman"/>
        </w:rPr>
        <w:lastRenderedPageBreak/>
        <w:t>ezen esetekben kisebb dózissal kell kezdeni.</w:t>
      </w:r>
    </w:p>
    <w:p w14:paraId="63C8D36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A62140B" w14:textId="1902783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Máj</w:t>
      </w:r>
      <w:r w:rsidR="00563DDB">
        <w:rPr>
          <w:rFonts w:ascii="Times New Roman" w:hAnsi="Times New Roman" w:cs="Times New Roman"/>
          <w:i/>
          <w:iCs/>
        </w:rPr>
        <w:t>károsodás, májelégtelenség</w:t>
      </w:r>
    </w:p>
    <w:p w14:paraId="0FA7C1BE"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ACE-gátlók alkalmazása ritkán egy olyan tünetegyüttes kialakulásával járhat együtt, mely cholestaticus sárgasággal kezdődik, és fulmináns májnekrózishoz, ill. (néhány esetben) halálhoz vezet. E tünetegyüttes mechanizmusa nem ismert. Azon ACE-gátlóval kezelt betegek esetén, akiknél sárgaság vagy jelentősebb májenzimszint-emelkedés alakul ki, az ACE-gátló-kezelést le kell állítani, és a betegek állapotváltozását megfelelően követni kell (lásd 4.8 pont).</w:t>
      </w:r>
    </w:p>
    <w:p w14:paraId="31C03E09" w14:textId="6A58C3BC" w:rsidR="00716545"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Májkárosodásban szenvedő betegek esetében az amlodipin felezési ideje meghosszabbodik és az AUC</w:t>
      </w:r>
      <w:r w:rsidRPr="00D91094">
        <w:rPr>
          <w:rFonts w:ascii="Times New Roman" w:hAnsi="Times New Roman" w:cs="Times New Roman"/>
        </w:rPr>
        <w:noBreakHyphen/>
        <w:t>értékek magasabbak; pontos adagolási javaslat nincs. Ezért ezeknek a betegeknek az amlodipin adagolását az alacsonyabb dózistartománnyal kell kezdeni és mind a kezelés elején, mind dózisemelés során fokozott körültekintéssel kell eljárni.</w:t>
      </w:r>
    </w:p>
    <w:p w14:paraId="3718B8F6" w14:textId="6A59E321" w:rsidR="00CE6283" w:rsidRPr="00D91094" w:rsidRDefault="00CE6283" w:rsidP="00716545">
      <w:pPr>
        <w:widowControl w:val="0"/>
        <w:suppressAutoHyphens/>
        <w:autoSpaceDE w:val="0"/>
        <w:autoSpaceDN w:val="0"/>
        <w:adjustRightInd w:val="0"/>
        <w:spacing w:after="0" w:line="240" w:lineRule="auto"/>
        <w:ind w:left="567" w:hanging="567"/>
        <w:rPr>
          <w:rFonts w:ascii="Times New Roman" w:hAnsi="Times New Roman" w:cs="Times New Roman"/>
        </w:rPr>
      </w:pPr>
      <w:r>
        <w:rPr>
          <w:rFonts w:ascii="Times New Roman" w:hAnsi="Times New Roman" w:cs="Times New Roman"/>
        </w:rPr>
        <w:tab/>
      </w:r>
      <w:r w:rsidRPr="00CE6283">
        <w:rPr>
          <w:rFonts w:ascii="Times New Roman" w:hAnsi="Times New Roman" w:cs="Times New Roman"/>
        </w:rPr>
        <w:t xml:space="preserve">A kombinációs készítmény hatását nem vizsgálták májkárosodásban. Figyelembe véve az egyes komponensek hatását, a </w:t>
      </w:r>
      <w:r>
        <w:rPr>
          <w:rFonts w:ascii="Times New Roman" w:hAnsi="Times New Roman" w:cs="Times New Roman"/>
        </w:rPr>
        <w:t>készítmény</w:t>
      </w:r>
      <w:r w:rsidRPr="00CE6283">
        <w:rPr>
          <w:rFonts w:ascii="Times New Roman" w:hAnsi="Times New Roman" w:cs="Times New Roman"/>
        </w:rPr>
        <w:t xml:space="preserve"> ellenjavallt súlyos májkárosodásban, és óvatosan kell eljárni enyhe vagy köz</w:t>
      </w:r>
      <w:r w:rsidR="00304F8F">
        <w:rPr>
          <w:rFonts w:ascii="Times New Roman" w:hAnsi="Times New Roman" w:cs="Times New Roman"/>
        </w:rPr>
        <w:t>e</w:t>
      </w:r>
      <w:r w:rsidRPr="00CE6283">
        <w:rPr>
          <w:rFonts w:ascii="Times New Roman" w:hAnsi="Times New Roman" w:cs="Times New Roman"/>
        </w:rPr>
        <w:t>p</w:t>
      </w:r>
      <w:r w:rsidR="00304F8F">
        <w:rPr>
          <w:rFonts w:ascii="Times New Roman" w:hAnsi="Times New Roman" w:cs="Times New Roman"/>
        </w:rPr>
        <w:t xml:space="preserve">esen </w:t>
      </w:r>
      <w:r w:rsidRPr="00CE6283">
        <w:rPr>
          <w:rFonts w:ascii="Times New Roman" w:hAnsi="Times New Roman" w:cs="Times New Roman"/>
        </w:rPr>
        <w:t>súlyos májkárosodásban szenvedő betegek esetén is.</w:t>
      </w:r>
    </w:p>
    <w:p w14:paraId="4A7C791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43EBC1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
          <w:iCs/>
        </w:rPr>
        <w:t>Szívelégtelenség/súlyos szívelégtelenség</w:t>
      </w:r>
    </w:p>
    <w:p w14:paraId="15C218BF" w14:textId="50C41B9B"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Szívelégtelenségben szenvedő betegeket fokozott óvatossággal kell kezelni. Egy súlyos (NYHA besorolás szerint III. és IV. stádiumú) szívelégtelenségben szenvedő betegek bevonásával végzett hosszú távú</w:t>
      </w:r>
      <w:r w:rsidR="00304F8F">
        <w:rPr>
          <w:rFonts w:ascii="Times New Roman" w:hAnsi="Times New Roman" w:cs="Times New Roman"/>
        </w:rPr>
        <w:t>,</w:t>
      </w:r>
      <w:r w:rsidRPr="00D91094">
        <w:rPr>
          <w:rFonts w:ascii="Times New Roman" w:hAnsi="Times New Roman" w:cs="Times New Roman"/>
        </w:rPr>
        <w:t xml:space="preserve"> placebokontrollos klinikai vizsgálat során nagyobb gyakorisággal jelentették a tüdőödéma előfordulását az amlodipinnel kezelt csoportban a placebocso</w:t>
      </w:r>
      <w:r w:rsidRPr="000045B6">
        <w:rPr>
          <w:rFonts w:ascii="Times New Roman" w:hAnsi="Times New Roman" w:cs="Times New Roman"/>
        </w:rPr>
        <w:t>porthoz képest, ez azonban nem függött össze a szívelégtelenség súlyosbodásával (lásd</w:t>
      </w:r>
      <w:r w:rsidRPr="00D91094">
        <w:rPr>
          <w:rFonts w:ascii="Times New Roman" w:hAnsi="Times New Roman" w:cs="Times New Roman"/>
        </w:rPr>
        <w:t xml:space="preserve"> 5.1 pont). Pangásos szívelégtelenségben szenvedő betegek esetében a kalciumcsatorna-blokkolókat, beleértve az amlodipint</w:t>
      </w:r>
      <w:r w:rsidR="00563DDB">
        <w:rPr>
          <w:rFonts w:ascii="Times New Roman" w:hAnsi="Times New Roman" w:cs="Times New Roman"/>
        </w:rPr>
        <w:t>,</w:t>
      </w:r>
      <w:r w:rsidRPr="00D91094">
        <w:rPr>
          <w:rFonts w:ascii="Times New Roman" w:hAnsi="Times New Roman" w:cs="Times New Roman"/>
        </w:rPr>
        <w:t xml:space="preserve"> fokozott körültekintéssel kell alkalmazni, mert megnövelhetik a jövőbeli cardiovascularis események kockázatát és a mortalitást.</w:t>
      </w:r>
    </w:p>
    <w:p w14:paraId="523C03D2" w14:textId="0E63F582"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rPr>
      </w:pPr>
      <w:r w:rsidRPr="00D91094">
        <w:rPr>
          <w:rFonts w:ascii="Times New Roman" w:hAnsi="Times New Roman" w:cs="Times New Roman"/>
        </w:rPr>
        <w:t>-</w:t>
      </w:r>
      <w:r w:rsidRPr="00D91094">
        <w:rPr>
          <w:rFonts w:ascii="Times New Roman" w:hAnsi="Times New Roman" w:cs="Times New Roman"/>
        </w:rPr>
        <w:tab/>
        <w:t>Súlyos szívelégtelenségben (NYHA IV. stádium) a perindopril</w:t>
      </w:r>
      <w:r w:rsidRPr="00D91094">
        <w:rPr>
          <w:rFonts w:ascii="Times New Roman" w:hAnsi="Times New Roman" w:cs="Times New Roman"/>
        </w:rPr>
        <w:noBreakHyphen/>
        <w:t xml:space="preserve">kezelést orvosi ellenőrzés mellett és </w:t>
      </w:r>
      <w:r w:rsidR="00304F8F">
        <w:rPr>
          <w:rFonts w:ascii="Times New Roman" w:hAnsi="Times New Roman" w:cs="Times New Roman"/>
        </w:rPr>
        <w:t>kis</w:t>
      </w:r>
      <w:r w:rsidR="00304F8F" w:rsidRPr="00D91094">
        <w:rPr>
          <w:rFonts w:ascii="Times New Roman" w:hAnsi="Times New Roman" w:cs="Times New Roman"/>
        </w:rPr>
        <w:t xml:space="preserve"> </w:t>
      </w:r>
      <w:r w:rsidRPr="00D91094">
        <w:rPr>
          <w:rFonts w:ascii="Times New Roman" w:hAnsi="Times New Roman" w:cs="Times New Roman"/>
        </w:rPr>
        <w:t>dózissal kell elkezdeni. Coronaria-</w:t>
      </w:r>
      <w:r w:rsidRPr="00D91094">
        <w:rPr>
          <w:rFonts w:ascii="Times New Roman" w:hAnsi="Times New Roman" w:cs="Times New Roman"/>
          <w:iCs/>
        </w:rPr>
        <w:t>elégtelenségben</w:t>
      </w:r>
      <w:r w:rsidRPr="00D91094">
        <w:rPr>
          <w:rFonts w:ascii="Times New Roman" w:hAnsi="Times New Roman" w:cs="Times New Roman"/>
        </w:rPr>
        <w:t xml:space="preserve"> szenvedő hypertoniás betegek </w:t>
      </w:r>
      <w:r w:rsidRPr="00D91094">
        <w:rPr>
          <w:rFonts w:ascii="Times New Roman" w:hAnsi="Times New Roman" w:cs="Times New Roman"/>
          <w:iCs/>
        </w:rPr>
        <w:t>béta</w:t>
      </w:r>
      <w:r w:rsidRPr="00D91094">
        <w:rPr>
          <w:rFonts w:ascii="Times New Roman" w:hAnsi="Times New Roman" w:cs="Times New Roman"/>
        </w:rPr>
        <w:t xml:space="preserve">-blokkoló-kezelését nem szabad leállítani: az ACE-gátlót a </w:t>
      </w:r>
      <w:r w:rsidRPr="00D91094">
        <w:rPr>
          <w:rFonts w:ascii="Times New Roman" w:hAnsi="Times New Roman" w:cs="Times New Roman"/>
          <w:iCs/>
        </w:rPr>
        <w:t>béta</w:t>
      </w:r>
      <w:r w:rsidRPr="00D91094">
        <w:rPr>
          <w:rFonts w:ascii="Times New Roman" w:hAnsi="Times New Roman" w:cs="Times New Roman"/>
        </w:rPr>
        <w:noBreakHyphen/>
        <w:t>blokkoló mellett kell adni.</w:t>
      </w:r>
    </w:p>
    <w:p w14:paraId="636B5E1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9065BA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Aorta- vagy mitralis stenosis/hypertrophiás cardiomyopathia</w:t>
      </w:r>
    </w:p>
    <w:p w14:paraId="73F7A6D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bal kamrai kiáramlási pálya szűkületével járó állapotokban ACE-gátlókat csak óvatosan szabad alkalmazni.</w:t>
      </w:r>
    </w:p>
    <w:p w14:paraId="7EC9036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095BE7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Hypertoniás krízis</w:t>
      </w:r>
    </w:p>
    <w:p w14:paraId="0BB8F94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Hypertoniás krízisben az amlodipin biztonságosságát és hatásosságát nem állapították meg.</w:t>
      </w:r>
    </w:p>
    <w:p w14:paraId="523F0F8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843760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Cukorbetegek</w:t>
      </w:r>
    </w:p>
    <w:p w14:paraId="2F1329A8" w14:textId="2BCE3AC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Inzulindependens diabetes mellitusban szenvedő betegek esetén (spontán kialakuló hyperkalaemia </w:t>
      </w:r>
      <w:r w:rsidR="00304F8F">
        <w:rPr>
          <w:rFonts w:ascii="Times New Roman" w:hAnsi="Times New Roman" w:cs="Times New Roman"/>
        </w:rPr>
        <w:t>kockázata</w:t>
      </w:r>
      <w:r w:rsidR="00304F8F" w:rsidRPr="00D91094">
        <w:rPr>
          <w:rFonts w:ascii="Times New Roman" w:hAnsi="Times New Roman" w:cs="Times New Roman"/>
        </w:rPr>
        <w:t xml:space="preserve"> </w:t>
      </w:r>
      <w:r w:rsidRPr="00D91094">
        <w:rPr>
          <w:rFonts w:ascii="Times New Roman" w:hAnsi="Times New Roman" w:cs="Times New Roman"/>
        </w:rPr>
        <w:t xml:space="preserve">miatt) a kezelést orvosi ellenőrzés mellett, </w:t>
      </w:r>
      <w:r w:rsidRPr="00D91094">
        <w:rPr>
          <w:rFonts w:ascii="Times New Roman" w:hAnsi="Times New Roman" w:cs="Times New Roman"/>
          <w:iCs/>
        </w:rPr>
        <w:t xml:space="preserve">csökkentett kezdő </w:t>
      </w:r>
      <w:r w:rsidRPr="00D91094">
        <w:rPr>
          <w:rFonts w:ascii="Times New Roman" w:hAnsi="Times New Roman" w:cs="Times New Roman"/>
        </w:rPr>
        <w:t>dózissal kell elkezdeni.</w:t>
      </w:r>
    </w:p>
    <w:p w14:paraId="0D31E056" w14:textId="5E572F4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előzőleg orális antidiabetikumokkal vagy inzulinnal kezelt diabeteses betegek esetében a vércukorszint gondos ellenőrzésére van szükség, főként az ACE-gátlóval vagy indapamidd</w:t>
      </w:r>
      <w:r w:rsidR="00304F8F">
        <w:rPr>
          <w:rFonts w:ascii="Times New Roman" w:hAnsi="Times New Roman" w:cs="Times New Roman"/>
        </w:rPr>
        <w:t>a</w:t>
      </w:r>
      <w:r w:rsidRPr="00D91094">
        <w:rPr>
          <w:rFonts w:ascii="Times New Roman" w:hAnsi="Times New Roman" w:cs="Times New Roman"/>
        </w:rPr>
        <w:t>l végzett kezelés első hónapjában (lásd 4.5 pont).</w:t>
      </w:r>
    </w:p>
    <w:p w14:paraId="4D77EF99" w14:textId="77777777" w:rsidR="00716545" w:rsidRDefault="00CE6283" w:rsidP="00716545">
      <w:pPr>
        <w:widowControl w:val="0"/>
        <w:suppressAutoHyphens/>
        <w:autoSpaceDE w:val="0"/>
        <w:autoSpaceDN w:val="0"/>
        <w:adjustRightInd w:val="0"/>
        <w:spacing w:after="0" w:line="240" w:lineRule="auto"/>
        <w:rPr>
          <w:rFonts w:ascii="Times New Roman" w:hAnsi="Times New Roman" w:cs="Times New Roman"/>
        </w:rPr>
      </w:pPr>
      <w:r w:rsidRPr="00CE6283">
        <w:rPr>
          <w:rFonts w:ascii="Times New Roman" w:hAnsi="Times New Roman" w:cs="Times New Roman"/>
        </w:rPr>
        <w:t>Cukorbetegeknél, különösen alacsony káliumszint esetén, fontos a vércukorszint monitorozása.</w:t>
      </w:r>
    </w:p>
    <w:p w14:paraId="0D2FAECE" w14:textId="77777777" w:rsidR="00CE6283" w:rsidRPr="00D91094" w:rsidRDefault="00CE6283" w:rsidP="00716545">
      <w:pPr>
        <w:widowControl w:val="0"/>
        <w:suppressAutoHyphens/>
        <w:autoSpaceDE w:val="0"/>
        <w:autoSpaceDN w:val="0"/>
        <w:adjustRightInd w:val="0"/>
        <w:spacing w:after="0" w:line="240" w:lineRule="auto"/>
        <w:rPr>
          <w:rFonts w:ascii="Times New Roman" w:hAnsi="Times New Roman" w:cs="Times New Roman"/>
        </w:rPr>
      </w:pPr>
    </w:p>
    <w:p w14:paraId="7951CFB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Etnikai különbségek</w:t>
      </w:r>
    </w:p>
    <w:p w14:paraId="529B09E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többi ACE-gátlóhoz hasonlóan a perindopril is kevésbé hatékonyan csökkenti a feketebőrű betegek vérnyomását, feltehetően azért, mert a feketebőrű magas vérnyomásos populációban </w:t>
      </w:r>
      <w:r w:rsidRPr="00D91094">
        <w:rPr>
          <w:rFonts w:ascii="Times New Roman" w:hAnsi="Times New Roman" w:cs="Times New Roman"/>
          <w:bCs/>
        </w:rPr>
        <w:t>nagyobb az alacsony reninszint előfordulási gyakorisága</w:t>
      </w:r>
      <w:r w:rsidRPr="00D91094">
        <w:rPr>
          <w:rFonts w:ascii="Times New Roman" w:hAnsi="Times New Roman" w:cs="Times New Roman"/>
        </w:rPr>
        <w:t>.</w:t>
      </w:r>
    </w:p>
    <w:p w14:paraId="20D8D6F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9BA891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Sebészeti beavatkozás/anesztézia</w:t>
      </w:r>
    </w:p>
    <w:p w14:paraId="442ABB6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Anesztézia esetén az ACE-gátlók, elsősorban hipotenzív hatású anesztetikumokkal való együttadás esetén, vérnyomásesést okozhatnak.</w:t>
      </w:r>
    </w:p>
    <w:p w14:paraId="3665570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elnyújtott hatású ACE-gátlók, így a perindopril alkalmazását is javasolt a műtét előtt egy nappal felfüggeszteni.</w:t>
      </w:r>
    </w:p>
    <w:p w14:paraId="68C7BEB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1EC6E4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Köhögés</w:t>
      </w:r>
    </w:p>
    <w:p w14:paraId="764EDCE0" w14:textId="5A3DE78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ACE-gátló-kezelés során száraz köhögés jelentkezéséről számoltak be. Jellemzője, hogy </w:t>
      </w:r>
      <w:r w:rsidR="00CE6283" w:rsidRPr="000931D5">
        <w:rPr>
          <w:rFonts w:ascii="Times New Roman" w:hAnsi="Times New Roman" w:cs="Times New Roman"/>
          <w:iCs/>
        </w:rPr>
        <w:lastRenderedPageBreak/>
        <w:t>perzisztáló</w:t>
      </w:r>
      <w:r w:rsidRPr="00304F8F">
        <w:rPr>
          <w:rFonts w:ascii="Times New Roman" w:hAnsi="Times New Roman" w:cs="Times New Roman"/>
        </w:rPr>
        <w:t xml:space="preserve">, de </w:t>
      </w:r>
      <w:r w:rsidR="00CE6283" w:rsidRPr="00304F8F">
        <w:rPr>
          <w:rFonts w:ascii="Times New Roman" w:hAnsi="Times New Roman" w:cs="Times New Roman"/>
        </w:rPr>
        <w:t>a kezelés</w:t>
      </w:r>
      <w:r w:rsidR="00CE6283" w:rsidRPr="003D0D24">
        <w:rPr>
          <w:rFonts w:ascii="Times New Roman" w:hAnsi="Times New Roman" w:cs="Times New Roman"/>
        </w:rPr>
        <w:t xml:space="preserve"> </w:t>
      </w:r>
      <w:r w:rsidRPr="003D0D24">
        <w:rPr>
          <w:rFonts w:ascii="Times New Roman" w:hAnsi="Times New Roman" w:cs="Times New Roman"/>
        </w:rPr>
        <w:t>megszakítását követően megszűnik. Ennek a tünetnek a megjelenésekor</w:t>
      </w:r>
      <w:r w:rsidRPr="00D91094">
        <w:rPr>
          <w:rFonts w:ascii="Times New Roman" w:hAnsi="Times New Roman" w:cs="Times New Roman"/>
        </w:rPr>
        <w:t xml:space="preserve"> iatrogén etiológiára is gondolni kell. Amennyiben további ACE-gátló-kezelés feltétlenül indokolt, mérlegelhető a kezelés folytatása.</w:t>
      </w:r>
    </w:p>
    <w:p w14:paraId="4A7C63B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10AB53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Idősek</w:t>
      </w:r>
    </w:p>
    <w:p w14:paraId="32D6758A" w14:textId="6D8BCEE8"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kezelés megkezdése előtt a vesefunkciót és a káliumszintet ellenőrizni kell. A kezdő d</w:t>
      </w:r>
      <w:r w:rsidR="00304F8F">
        <w:rPr>
          <w:rFonts w:ascii="Times New Roman" w:hAnsi="Times New Roman" w:cs="Times New Roman"/>
        </w:rPr>
        <w:t>ózis</w:t>
      </w:r>
      <w:r w:rsidRPr="00D91094">
        <w:rPr>
          <w:rFonts w:ascii="Times New Roman" w:hAnsi="Times New Roman" w:cs="Times New Roman"/>
        </w:rPr>
        <w:t>t a hirtelen vérnyomásesés elkerülése érdekében a vérnyomásváltozás alapján kell beállítani, különösen a só- és folyadékhiányos betegeknél.</w:t>
      </w:r>
    </w:p>
    <w:p w14:paraId="68680D5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Idős betegek esetében az amlodipin dózisemelésekor fokozott körültekintéssel kell eljárni (lásd 4.2 és 5.2 pont).</w:t>
      </w:r>
    </w:p>
    <w:p w14:paraId="7AD3C2A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8DE6B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Gyermekek és serdülők</w:t>
      </w:r>
    </w:p>
    <w:p w14:paraId="77BD1C4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Vidonorm Kombi hatásosságát és tolerálhatóságát gyermekek és serdülők esetében nem igazolták.</w:t>
      </w:r>
    </w:p>
    <w:p w14:paraId="2CF37C4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3F2B22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Segédanyagok</w:t>
      </w:r>
    </w:p>
    <w:p w14:paraId="60A8D177" w14:textId="278D8D4C"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készítmény kevesebb mint 1 mmol (23 mg) nátriumot tartalmaz tablettánként, azaz gyakorlatilag „nátriummentes”.</w:t>
      </w:r>
    </w:p>
    <w:p w14:paraId="4778998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8A6749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4.5</w:t>
      </w:r>
      <w:r w:rsidRPr="00D91094">
        <w:rPr>
          <w:rFonts w:ascii="Times New Roman" w:hAnsi="Times New Roman" w:cs="Times New Roman"/>
          <w:b/>
          <w:bCs/>
        </w:rPr>
        <w:tab/>
        <w:t>Gyógyszerkölcsönhatások és egyéb interakciók</w:t>
      </w:r>
    </w:p>
    <w:p w14:paraId="24D450B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Cs/>
        </w:rPr>
      </w:pPr>
    </w:p>
    <w:p w14:paraId="0029B12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A klinikai vizsgálati adatok azt mutatták, hogy a renin-angiotenzin-aldoszteron rendszernek (RAAS) ACE-gátlók, angiotenzin II-receptor-blokkolók vagy aliszkirén kombinációjával történő kettős blokádja nagyobb gyakorisággal okoz mellékhatásokat, például hypotoniát, hyperkalaemiát és beszűkült veseműködést (beleértve az akut veseelégtelenséget is), mint a csak egyféle RAAS-ra ható szer alkalmazása (lásd 4.3, 4.4 és 5.1 pont).</w:t>
      </w:r>
    </w:p>
    <w:p w14:paraId="5A7D3CB7" w14:textId="77777777" w:rsidR="00716545"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18F30BF" w14:textId="77777777" w:rsidR="00F12E6E" w:rsidRPr="000931D5" w:rsidRDefault="00F12E6E" w:rsidP="00F12E6E">
      <w:pPr>
        <w:widowControl w:val="0"/>
        <w:suppressAutoHyphens/>
        <w:autoSpaceDE w:val="0"/>
        <w:autoSpaceDN w:val="0"/>
        <w:adjustRightInd w:val="0"/>
        <w:spacing w:after="0" w:line="240" w:lineRule="auto"/>
        <w:rPr>
          <w:rFonts w:ascii="Times New Roman" w:hAnsi="Times New Roman" w:cs="Times New Roman"/>
          <w:u w:val="single"/>
        </w:rPr>
      </w:pPr>
      <w:r w:rsidRPr="000931D5">
        <w:rPr>
          <w:rFonts w:ascii="Times New Roman" w:hAnsi="Times New Roman" w:cs="Times New Roman"/>
          <w:u w:val="single"/>
        </w:rPr>
        <w:t>Az angiooedema kialakulásának kockázatát növelő gyógyszerek:</w:t>
      </w:r>
    </w:p>
    <w:p w14:paraId="3D4DBF57" w14:textId="4D2E7759" w:rsidR="00F12E6E" w:rsidRPr="00F12E6E" w:rsidRDefault="00F12E6E" w:rsidP="00F12E6E">
      <w:pPr>
        <w:widowControl w:val="0"/>
        <w:suppressAutoHyphens/>
        <w:autoSpaceDE w:val="0"/>
        <w:autoSpaceDN w:val="0"/>
        <w:adjustRightInd w:val="0"/>
        <w:spacing w:after="0" w:line="240" w:lineRule="auto"/>
        <w:rPr>
          <w:rFonts w:ascii="Times New Roman" w:hAnsi="Times New Roman" w:cs="Times New Roman"/>
        </w:rPr>
      </w:pPr>
      <w:r w:rsidRPr="00F12E6E">
        <w:rPr>
          <w:rFonts w:ascii="Times New Roman" w:hAnsi="Times New Roman" w:cs="Times New Roman"/>
        </w:rPr>
        <w:t>Az ACE-gátlók egyidejű alkalmazása szakubitril/valzartánnal ellenjavallt az angiooedema kialakulásának fokozott kockázata miatt (lásd 4.3. és 4.4 pont). A szakubitril/valzartán-kezelést tilos elkezdeni a perindopril</w:t>
      </w:r>
      <w:r w:rsidR="00304F8F">
        <w:rPr>
          <w:rFonts w:ascii="Times New Roman" w:hAnsi="Times New Roman" w:cs="Times New Roman"/>
        </w:rPr>
        <w:t>-</w:t>
      </w:r>
      <w:r w:rsidRPr="00F12E6E">
        <w:rPr>
          <w:rFonts w:ascii="Times New Roman" w:hAnsi="Times New Roman" w:cs="Times New Roman"/>
        </w:rPr>
        <w:t>kezelés utolsó adagjának bevételét követő 36 órán belül. A perindopril</w:t>
      </w:r>
      <w:r w:rsidR="00304F8F">
        <w:rPr>
          <w:rFonts w:ascii="Times New Roman" w:hAnsi="Times New Roman" w:cs="Times New Roman"/>
        </w:rPr>
        <w:t>-</w:t>
      </w:r>
      <w:r w:rsidRPr="00F12E6E">
        <w:rPr>
          <w:rFonts w:ascii="Times New Roman" w:hAnsi="Times New Roman" w:cs="Times New Roman"/>
        </w:rPr>
        <w:t>kezelést tilos elkezdeni a szakubitril/valzartán utolsó adagjának bevételét követő 36 órán belül (lásd 4.3 és 4.4 pont).</w:t>
      </w:r>
    </w:p>
    <w:p w14:paraId="6AB25008" w14:textId="77777777" w:rsidR="00F12E6E" w:rsidRDefault="00F12E6E" w:rsidP="00F12E6E">
      <w:pPr>
        <w:widowControl w:val="0"/>
        <w:suppressAutoHyphens/>
        <w:autoSpaceDE w:val="0"/>
        <w:autoSpaceDN w:val="0"/>
        <w:adjustRightInd w:val="0"/>
        <w:spacing w:after="0" w:line="240" w:lineRule="auto"/>
        <w:rPr>
          <w:rFonts w:ascii="Times New Roman" w:hAnsi="Times New Roman" w:cs="Times New Roman"/>
        </w:rPr>
      </w:pPr>
      <w:r w:rsidRPr="00F12E6E">
        <w:rPr>
          <w:rFonts w:ascii="Times New Roman" w:hAnsi="Times New Roman" w:cs="Times New Roman"/>
        </w:rPr>
        <w:t>Az ACE-gátlók egyidejű alkalmazása racekadotrillel, mTOR-gátlókkal (például szirolimusz, everolimusz, temszirolimusz) és gliptinekkel (például linagliptin, szaxagliptin, szitagliptin, vildagliptin) az angiooedema kialakulásának fokozott kockázatához vezethet (lásd 4.4 pont).</w:t>
      </w:r>
    </w:p>
    <w:p w14:paraId="55B54488" w14:textId="77777777" w:rsidR="00F12E6E" w:rsidRPr="00D91094" w:rsidRDefault="00F12E6E" w:rsidP="00F12E6E">
      <w:pPr>
        <w:widowControl w:val="0"/>
        <w:suppressAutoHyphens/>
        <w:autoSpaceDE w:val="0"/>
        <w:autoSpaceDN w:val="0"/>
        <w:adjustRightInd w:val="0"/>
        <w:spacing w:after="0" w:line="240" w:lineRule="auto"/>
        <w:rPr>
          <w:rFonts w:ascii="Times New Roman" w:hAnsi="Times New Roman" w:cs="Times New Roman"/>
        </w:rPr>
      </w:pPr>
    </w:p>
    <w:p w14:paraId="2612F86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Hyperkalaemiát előidéző gyógyszerek</w:t>
      </w:r>
    </w:p>
    <w:p w14:paraId="40CFC5C8" w14:textId="0AA56661" w:rsidR="00F12E6E" w:rsidRPr="00F12E6E" w:rsidRDefault="00F12E6E" w:rsidP="00F12E6E">
      <w:pPr>
        <w:widowControl w:val="0"/>
        <w:suppressAutoHyphens/>
        <w:autoSpaceDE w:val="0"/>
        <w:autoSpaceDN w:val="0"/>
        <w:adjustRightInd w:val="0"/>
        <w:spacing w:after="0" w:line="240" w:lineRule="auto"/>
        <w:rPr>
          <w:rFonts w:ascii="Times New Roman" w:hAnsi="Times New Roman" w:cs="Times New Roman"/>
          <w:bCs/>
          <w:iCs/>
        </w:rPr>
      </w:pPr>
      <w:r w:rsidRPr="00F12E6E">
        <w:rPr>
          <w:rFonts w:ascii="Times New Roman" w:hAnsi="Times New Roman" w:cs="Times New Roman"/>
          <w:bCs/>
          <w:iCs/>
        </w:rPr>
        <w:t xml:space="preserve">Bár a szérumkáliumszint általában a normál tartományban marad, a </w:t>
      </w:r>
      <w:r>
        <w:rPr>
          <w:rFonts w:ascii="Times New Roman" w:hAnsi="Times New Roman" w:cs="Times New Roman"/>
          <w:bCs/>
          <w:iCs/>
        </w:rPr>
        <w:t>Vidonorm Kombi</w:t>
      </w:r>
      <w:r w:rsidR="00304F8F">
        <w:rPr>
          <w:rFonts w:ascii="Times New Roman" w:hAnsi="Times New Roman" w:cs="Times New Roman"/>
          <w:bCs/>
          <w:iCs/>
        </w:rPr>
        <w:t>-</w:t>
      </w:r>
      <w:r>
        <w:rPr>
          <w:rFonts w:ascii="Times New Roman" w:hAnsi="Times New Roman" w:cs="Times New Roman"/>
          <w:bCs/>
          <w:iCs/>
        </w:rPr>
        <w:t>val</w:t>
      </w:r>
      <w:r w:rsidRPr="00F12E6E">
        <w:rPr>
          <w:rFonts w:ascii="Times New Roman" w:hAnsi="Times New Roman" w:cs="Times New Roman"/>
          <w:bCs/>
          <w:iCs/>
        </w:rPr>
        <w:t xml:space="preserve"> kezelt betegek egy részénél hyperkalaemia alakulhat ki. Egyes gyógyszerek vagy terápiás gyógyszercsoportok fokozhatják a hyperkalaemia kialakulását: aliszkirén, káliumtartalmú készítmények, káliummegtakarító diuretikumok (például spironolakton, triamteren vagy amilorid), ACE-gátlók, angiotenzin II-receptor-antagonisták, nem-szteroid gyulladáscsökkentő gyógyszerek (NSAID-ok), heparinok, immunszuppresszív szerek, mint például a ciklosporin vagy takrolimusz, valamint a trimetoprim és a ko-trimoxazol (trimetoprim/szulfametoxazol), mivel a trimetoprim az amiloridhoz hasonlóan káliummegtakarító diuretikumként viselkedik. Ezeknek a gyógyszereknek az együttes alkalmazása fokozza a hyperkalaemia kialakulásának kockázatát.</w:t>
      </w:r>
    </w:p>
    <w:p w14:paraId="7DE35EFF" w14:textId="77777777" w:rsidR="00304F8F" w:rsidRDefault="00F12E6E" w:rsidP="00716545">
      <w:pPr>
        <w:widowControl w:val="0"/>
        <w:suppressAutoHyphens/>
        <w:autoSpaceDE w:val="0"/>
        <w:autoSpaceDN w:val="0"/>
        <w:adjustRightInd w:val="0"/>
        <w:spacing w:after="0" w:line="240" w:lineRule="auto"/>
        <w:rPr>
          <w:rFonts w:ascii="Times New Roman" w:hAnsi="Times New Roman" w:cs="Times New Roman"/>
          <w:bCs/>
          <w:iCs/>
        </w:rPr>
      </w:pPr>
      <w:r w:rsidRPr="00F12E6E">
        <w:rPr>
          <w:rFonts w:ascii="Times New Roman" w:hAnsi="Times New Roman" w:cs="Times New Roman"/>
          <w:bCs/>
          <w:iCs/>
        </w:rPr>
        <w:t xml:space="preserve">Ezért a </w:t>
      </w:r>
      <w:r>
        <w:rPr>
          <w:rFonts w:ascii="Times New Roman" w:hAnsi="Times New Roman" w:cs="Times New Roman"/>
          <w:bCs/>
          <w:iCs/>
        </w:rPr>
        <w:t>Vidonorm Kombi</w:t>
      </w:r>
      <w:r w:rsidRPr="00F12E6E">
        <w:rPr>
          <w:rFonts w:ascii="Times New Roman" w:hAnsi="Times New Roman" w:cs="Times New Roman"/>
          <w:bCs/>
          <w:iCs/>
        </w:rPr>
        <w:t xml:space="preserve"> és a fent említett gyógyszerek együttes alkalmazása nem ajánlott. Amennyiben egyidejű alkalmazásra van szükség, akkor ezeket körültekintően és a szérum káliumszint</w:t>
      </w:r>
      <w:r w:rsidR="00304F8F">
        <w:rPr>
          <w:rFonts w:ascii="Times New Roman" w:hAnsi="Times New Roman" w:cs="Times New Roman"/>
          <w:bCs/>
          <w:iCs/>
        </w:rPr>
        <w:t>jének</w:t>
      </w:r>
      <w:r w:rsidRPr="00F12E6E">
        <w:rPr>
          <w:rFonts w:ascii="Times New Roman" w:hAnsi="Times New Roman" w:cs="Times New Roman"/>
          <w:bCs/>
          <w:iCs/>
        </w:rPr>
        <w:t xml:space="preserve"> gyakori monitorozása mellett kell alkalmazni.</w:t>
      </w:r>
    </w:p>
    <w:p w14:paraId="6C129D4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12958A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Ellenjavallt kombinációk (lásd 4.3 pont)</w:t>
      </w:r>
    </w:p>
    <w:p w14:paraId="4A3AFC2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tbl>
      <w:tblPr>
        <w:tblStyle w:val="Rcsostblzat"/>
        <w:tblW w:w="0" w:type="auto"/>
        <w:tblLook w:val="04A0" w:firstRow="1" w:lastRow="0" w:firstColumn="1" w:lastColumn="0" w:noHBand="0" w:noVBand="1"/>
      </w:tblPr>
      <w:tblGrid>
        <w:gridCol w:w="2282"/>
        <w:gridCol w:w="2049"/>
        <w:gridCol w:w="4729"/>
      </w:tblGrid>
      <w:tr w:rsidR="00716545" w:rsidRPr="00D91094" w14:paraId="3BCBD279" w14:textId="77777777" w:rsidTr="00304F8F">
        <w:tc>
          <w:tcPr>
            <w:tcW w:w="2282" w:type="dxa"/>
          </w:tcPr>
          <w:p w14:paraId="53E90757"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Gyógyszerkomponens</w:t>
            </w:r>
          </w:p>
        </w:tc>
        <w:tc>
          <w:tcPr>
            <w:tcW w:w="2049" w:type="dxa"/>
          </w:tcPr>
          <w:p w14:paraId="2DCB68E7"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Mivel lép kölcsönhatásba</w:t>
            </w:r>
          </w:p>
        </w:tc>
        <w:tc>
          <w:tcPr>
            <w:tcW w:w="4729" w:type="dxa"/>
          </w:tcPr>
          <w:p w14:paraId="6F8426A7"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Az interakció leírása</w:t>
            </w:r>
          </w:p>
        </w:tc>
      </w:tr>
      <w:tr w:rsidR="00716545" w:rsidRPr="00D91094" w14:paraId="16F43627" w14:textId="77777777" w:rsidTr="00304F8F">
        <w:tc>
          <w:tcPr>
            <w:tcW w:w="2282" w:type="dxa"/>
            <w:vMerge w:val="restart"/>
          </w:tcPr>
          <w:p w14:paraId="155644E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2049" w:type="dxa"/>
          </w:tcPr>
          <w:p w14:paraId="299DF656" w14:textId="15BA35A9"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iCs/>
              </w:rPr>
              <w:t>a</w:t>
            </w:r>
            <w:r w:rsidR="00716545" w:rsidRPr="00D91094">
              <w:rPr>
                <w:rFonts w:ascii="Times New Roman" w:hAnsi="Times New Roman" w:cs="Times New Roman"/>
                <w:iCs/>
              </w:rPr>
              <w:t>liszkirén</w:t>
            </w:r>
          </w:p>
        </w:tc>
        <w:tc>
          <w:tcPr>
            <w:tcW w:w="4729" w:type="dxa"/>
          </w:tcPr>
          <w:p w14:paraId="2BFFFF5C"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iCs/>
              </w:rPr>
              <w:t xml:space="preserve">Diabeteses vagy károsodott veseműködésű betegeknél fennáll a hyperkalaemia, a vesefunkció-romlás, és a cardiovascularis </w:t>
            </w:r>
            <w:r w:rsidRPr="00D91094">
              <w:rPr>
                <w:rFonts w:ascii="Times New Roman" w:hAnsi="Times New Roman" w:cs="Times New Roman"/>
                <w:iCs/>
              </w:rPr>
              <w:lastRenderedPageBreak/>
              <w:t>morbiditás kockázata, valamint a halálozási kockázat megemelkedik.</w:t>
            </w:r>
          </w:p>
        </w:tc>
      </w:tr>
      <w:tr w:rsidR="00716545" w:rsidRPr="00D91094" w14:paraId="46D1C010" w14:textId="77777777" w:rsidTr="00304F8F">
        <w:tc>
          <w:tcPr>
            <w:tcW w:w="2282" w:type="dxa"/>
            <w:vMerge/>
          </w:tcPr>
          <w:p w14:paraId="31CE45D1"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049" w:type="dxa"/>
          </w:tcPr>
          <w:p w14:paraId="51593FFC" w14:textId="6976AABB" w:rsidR="00716545" w:rsidRPr="00D91094" w:rsidRDefault="003D0D24" w:rsidP="00501C0F">
            <w:pPr>
              <w:widowControl w:val="0"/>
              <w:suppressAutoHyphens/>
              <w:autoSpaceDE w:val="0"/>
              <w:autoSpaceDN w:val="0"/>
              <w:adjustRightInd w:val="0"/>
              <w:rPr>
                <w:rFonts w:ascii="Times New Roman" w:hAnsi="Times New Roman" w:cs="Times New Roman"/>
              </w:rPr>
            </w:pPr>
            <w:r>
              <w:rPr>
                <w:rFonts w:ascii="Times New Roman" w:hAnsi="Times New Roman" w:cs="Times New Roman"/>
                <w:iCs/>
              </w:rPr>
              <w:t>e</w:t>
            </w:r>
            <w:r w:rsidR="00716545" w:rsidRPr="00D91094">
              <w:rPr>
                <w:rFonts w:ascii="Times New Roman" w:hAnsi="Times New Roman" w:cs="Times New Roman"/>
                <w:iCs/>
              </w:rPr>
              <w:t>xtra</w:t>
            </w:r>
            <w:r w:rsidR="00501C0F">
              <w:rPr>
                <w:rFonts w:ascii="Times New Roman" w:hAnsi="Times New Roman" w:cs="Times New Roman"/>
                <w:iCs/>
              </w:rPr>
              <w:t>k</w:t>
            </w:r>
            <w:r w:rsidR="00716545" w:rsidRPr="00D91094">
              <w:rPr>
                <w:rFonts w:ascii="Times New Roman" w:hAnsi="Times New Roman" w:cs="Times New Roman"/>
                <w:iCs/>
              </w:rPr>
              <w:t>orpor</w:t>
            </w:r>
            <w:r w:rsidR="00501C0F">
              <w:rPr>
                <w:rFonts w:ascii="Times New Roman" w:hAnsi="Times New Roman" w:cs="Times New Roman"/>
                <w:iCs/>
              </w:rPr>
              <w:t>á</w:t>
            </w:r>
            <w:r w:rsidR="00716545" w:rsidRPr="00D91094">
              <w:rPr>
                <w:rFonts w:ascii="Times New Roman" w:hAnsi="Times New Roman" w:cs="Times New Roman"/>
                <w:iCs/>
              </w:rPr>
              <w:t>lis kezelések</w:t>
            </w:r>
          </w:p>
        </w:tc>
        <w:tc>
          <w:tcPr>
            <w:tcW w:w="4729" w:type="dxa"/>
          </w:tcPr>
          <w:p w14:paraId="67F89750"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iCs/>
              </w:rPr>
              <w:t xml:space="preserve">Azoknál az extrakorporális kezeléseknél, amelyek során a vér negatív töltésű felületekkel érintkezik, </w:t>
            </w:r>
            <w:r>
              <w:rPr>
                <w:rFonts w:ascii="Times New Roman" w:hAnsi="Times New Roman" w:cs="Times New Roman"/>
                <w:iCs/>
              </w:rPr>
              <w:t>például</w:t>
            </w:r>
            <w:r w:rsidRPr="00D91094">
              <w:rPr>
                <w:rFonts w:ascii="Times New Roman" w:hAnsi="Times New Roman" w:cs="Times New Roman"/>
                <w:iCs/>
              </w:rPr>
              <w:t xml:space="preserve"> bizonyos nagy átáramlási sebességű (high flux) membránokkal (úgymint poliakril-nitril membránok) végzett dialízis</w:t>
            </w:r>
            <w:r w:rsidR="00F12E6E">
              <w:rPr>
                <w:rFonts w:ascii="Times New Roman" w:hAnsi="Times New Roman" w:cs="Times New Roman"/>
                <w:iCs/>
              </w:rPr>
              <w:t xml:space="preserve"> vagy hemofiltráció</w:t>
            </w:r>
            <w:r w:rsidRPr="00D91094">
              <w:rPr>
                <w:rFonts w:ascii="Times New Roman" w:hAnsi="Times New Roman" w:cs="Times New Roman"/>
                <w:iCs/>
              </w:rPr>
              <w:t>, valamint alacsony denzitású lipoprotein-aferezis során, fokozott a súlyos anaphylactoid reakciók kockázata (lásd 4.3 pont). Amennyiben ilyen kezelések szükségesek, megfontolandó egy másik típusú dializáló membrán vagy egy másik osztályba tartozó antihipertenzív szer alkalmazása.</w:t>
            </w:r>
          </w:p>
        </w:tc>
      </w:tr>
    </w:tbl>
    <w:p w14:paraId="77C2042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u w:val="single"/>
        </w:rPr>
      </w:pPr>
    </w:p>
    <w:p w14:paraId="6925F39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u w:val="single"/>
        </w:rPr>
      </w:pPr>
      <w:r w:rsidRPr="00D91094">
        <w:rPr>
          <w:rFonts w:ascii="Times New Roman" w:hAnsi="Times New Roman" w:cs="Times New Roman"/>
          <w:bCs/>
          <w:iCs/>
          <w:u w:val="single"/>
        </w:rPr>
        <w:t>Nem ajánlott kombinációk</w:t>
      </w:r>
    </w:p>
    <w:p w14:paraId="6FFE639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p>
    <w:tbl>
      <w:tblPr>
        <w:tblStyle w:val="Rcsostblzat"/>
        <w:tblW w:w="9288" w:type="dxa"/>
        <w:tblLayout w:type="fixed"/>
        <w:tblLook w:val="04A0" w:firstRow="1" w:lastRow="0" w:firstColumn="1" w:lastColumn="0" w:noHBand="0" w:noVBand="1"/>
      </w:tblPr>
      <w:tblGrid>
        <w:gridCol w:w="2263"/>
        <w:gridCol w:w="2268"/>
        <w:gridCol w:w="4757"/>
      </w:tblGrid>
      <w:tr w:rsidR="00716545" w:rsidRPr="00D91094" w14:paraId="25EB3B58" w14:textId="77777777" w:rsidTr="000931D5">
        <w:tc>
          <w:tcPr>
            <w:tcW w:w="2263" w:type="dxa"/>
          </w:tcPr>
          <w:p w14:paraId="0D3F3DC6"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Gyógyszerkomponens</w:t>
            </w:r>
          </w:p>
        </w:tc>
        <w:tc>
          <w:tcPr>
            <w:tcW w:w="2268" w:type="dxa"/>
          </w:tcPr>
          <w:p w14:paraId="4E31851C"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Mivel lép kölcsönhatásba</w:t>
            </w:r>
          </w:p>
        </w:tc>
        <w:tc>
          <w:tcPr>
            <w:tcW w:w="4757" w:type="dxa"/>
          </w:tcPr>
          <w:p w14:paraId="5CCC5524"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Az interakció leírása</w:t>
            </w:r>
          </w:p>
        </w:tc>
      </w:tr>
      <w:tr w:rsidR="00716545" w:rsidRPr="00D91094" w14:paraId="23F4D39C" w14:textId="77777777" w:rsidTr="000931D5">
        <w:tc>
          <w:tcPr>
            <w:tcW w:w="2263" w:type="dxa"/>
            <w:vMerge w:val="restart"/>
          </w:tcPr>
          <w:p w14:paraId="4C505CB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2268" w:type="dxa"/>
          </w:tcPr>
          <w:p w14:paraId="42017F5E" w14:textId="4ED88068" w:rsidR="00716545" w:rsidRPr="00D91094" w:rsidRDefault="003D0D24" w:rsidP="00501C0F">
            <w:pPr>
              <w:widowControl w:val="0"/>
              <w:suppressAutoHyphens/>
              <w:autoSpaceDE w:val="0"/>
              <w:autoSpaceDN w:val="0"/>
              <w:adjustRightInd w:val="0"/>
              <w:rPr>
                <w:rFonts w:ascii="Times New Roman" w:hAnsi="Times New Roman" w:cs="Times New Roman"/>
              </w:rPr>
            </w:pPr>
            <w:r>
              <w:rPr>
                <w:rFonts w:ascii="Times New Roman" w:hAnsi="Times New Roman" w:cs="Times New Roman"/>
                <w:iCs/>
              </w:rPr>
              <w:t>a</w:t>
            </w:r>
            <w:r w:rsidR="00716545" w:rsidRPr="00D91094">
              <w:rPr>
                <w:rFonts w:ascii="Times New Roman" w:hAnsi="Times New Roman" w:cs="Times New Roman"/>
                <w:iCs/>
              </w:rPr>
              <w:t>liszkirén</w:t>
            </w:r>
          </w:p>
        </w:tc>
        <w:tc>
          <w:tcPr>
            <w:tcW w:w="4757" w:type="dxa"/>
          </w:tcPr>
          <w:p w14:paraId="4E801D67" w14:textId="62C2E222" w:rsidR="00716545" w:rsidRPr="00D91094" w:rsidRDefault="00EB1E28" w:rsidP="00D2704D">
            <w:pPr>
              <w:widowControl w:val="0"/>
              <w:suppressAutoHyphens/>
              <w:autoSpaceDE w:val="0"/>
              <w:autoSpaceDN w:val="0"/>
              <w:adjustRightInd w:val="0"/>
              <w:rPr>
                <w:rFonts w:ascii="Times New Roman" w:hAnsi="Times New Roman" w:cs="Times New Roman"/>
              </w:rPr>
            </w:pPr>
            <w:r w:rsidRPr="000931D5">
              <w:rPr>
                <w:rFonts w:ascii="Times New Roman" w:hAnsi="Times New Roman" w:cs="Times New Roman"/>
              </w:rPr>
              <w:t>A</w:t>
            </w:r>
            <w:r w:rsidRPr="000931D5">
              <w:rPr>
                <w:rFonts w:ascii="Times New Roman" w:hAnsi="Times New Roman" w:cs="Times New Roman"/>
                <w:bCs/>
              </w:rPr>
              <w:t>zoknál a betegeknél, akik nem szenvednek diabetesben vagy a veseműködésük nem károsodott</w:t>
            </w:r>
            <w:r w:rsidR="00501C0F">
              <w:rPr>
                <w:rFonts w:ascii="Times New Roman" w:hAnsi="Times New Roman" w:cs="Times New Roman"/>
                <w:bCs/>
              </w:rPr>
              <w:t>,</w:t>
            </w:r>
            <w:r w:rsidRPr="003D0D24" w:rsidDel="00EB1E28">
              <w:rPr>
                <w:rFonts w:ascii="Times New Roman" w:hAnsi="Times New Roman" w:cs="Times New Roman"/>
                <w:iCs/>
              </w:rPr>
              <w:t xml:space="preserve"> </w:t>
            </w:r>
            <w:r w:rsidR="00716545" w:rsidRPr="003D0D24">
              <w:rPr>
                <w:rFonts w:ascii="Times New Roman" w:hAnsi="Times New Roman" w:cs="Times New Roman"/>
                <w:iCs/>
              </w:rPr>
              <w:t>is fennáll a hyperkalaemia, a vesefunkció-romlás és a cardiovascularis morbiditás kockázata</w:t>
            </w:r>
            <w:r w:rsidR="00716545" w:rsidRPr="00D91094">
              <w:rPr>
                <w:rFonts w:ascii="Times New Roman" w:hAnsi="Times New Roman" w:cs="Times New Roman"/>
                <w:iCs/>
              </w:rPr>
              <w:t>, valamint a halálozási kockázat megemelkedik (lásd 4.4 pont).</w:t>
            </w:r>
          </w:p>
        </w:tc>
      </w:tr>
      <w:tr w:rsidR="00716545" w:rsidRPr="00D91094" w14:paraId="0C5BC03B" w14:textId="77777777" w:rsidTr="000931D5">
        <w:tc>
          <w:tcPr>
            <w:tcW w:w="2263" w:type="dxa"/>
            <w:vMerge/>
          </w:tcPr>
          <w:p w14:paraId="0266BD53"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268" w:type="dxa"/>
          </w:tcPr>
          <w:p w14:paraId="3A79CEBA"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iCs/>
              </w:rPr>
              <w:t>ACE-gátló és angiotenzin-receptor-blokkoló egyidejű alkalmazása</w:t>
            </w:r>
          </w:p>
        </w:tc>
        <w:tc>
          <w:tcPr>
            <w:tcW w:w="4757" w:type="dxa"/>
          </w:tcPr>
          <w:p w14:paraId="6DFC8A8A" w14:textId="696A0FB6"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iCs/>
              </w:rPr>
              <w:t>Szaki</w:t>
            </w:r>
            <w:r w:rsidR="00716545" w:rsidRPr="00D91094">
              <w:rPr>
                <w:rFonts w:ascii="Times New Roman" w:hAnsi="Times New Roman" w:cs="Times New Roman"/>
                <w:iCs/>
              </w:rPr>
              <w:t>rodalmi forrásból származó jelentések szerint azoknál a betegeknél, akiknél atherosclerosist, szívelégtelenséget vagy szervkárosodással járó diabetest állapítottak meg, egy ACE-gátló és egy angiotenzin</w:t>
            </w:r>
            <w:r w:rsidR="00716545" w:rsidRPr="00D91094">
              <w:rPr>
                <w:rFonts w:ascii="Times New Roman" w:hAnsi="Times New Roman" w:cs="Times New Roman"/>
                <w:iCs/>
              </w:rPr>
              <w:noBreakHyphen/>
              <w:t>receptor</w:t>
            </w:r>
            <w:r w:rsidR="00716545" w:rsidRPr="00D91094">
              <w:rPr>
                <w:rFonts w:ascii="Times New Roman" w:hAnsi="Times New Roman" w:cs="Times New Roman"/>
                <w:iCs/>
              </w:rPr>
              <w:noBreakHyphen/>
              <w:t>blokkoló kombinált alkalmazása fokozza a hypotonia, syncope, hyperkalaemia és csökkent veseműködés (beleértve a veseelégtelenséget is) kockázatát a renin</w:t>
            </w:r>
            <w:r w:rsidR="00716545" w:rsidRPr="00D91094">
              <w:rPr>
                <w:rFonts w:ascii="Times New Roman" w:hAnsi="Times New Roman" w:cs="Times New Roman"/>
                <w:iCs/>
              </w:rPr>
              <w:noBreakHyphen/>
              <w:t>angiotenzin-aldoszteron rendszer gátlására monoterápiát kapó betegekhez viszonyítva. A kettősblokád-kezelés (például ACE-gátló angiotenzin II-receptor-blokkolóval kombinálva) alkalmazását a vesefunkció, a káliumszintek és a vérnyomás szoros ellenőrzése mellett, egyedi megfontolást igénylő esetekre kell korlátozni (lásd 4.4 pont).</w:t>
            </w:r>
          </w:p>
        </w:tc>
      </w:tr>
      <w:tr w:rsidR="00716545" w:rsidRPr="00D91094" w14:paraId="5CC71E93" w14:textId="77777777" w:rsidTr="000931D5">
        <w:tc>
          <w:tcPr>
            <w:tcW w:w="2263" w:type="dxa"/>
            <w:vMerge/>
          </w:tcPr>
          <w:p w14:paraId="36EA40B8"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268" w:type="dxa"/>
          </w:tcPr>
          <w:p w14:paraId="53C1AFE7" w14:textId="24E99F65"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e</w:t>
            </w:r>
            <w:r w:rsidR="00716545" w:rsidRPr="00D91094">
              <w:rPr>
                <w:rFonts w:ascii="Times New Roman" w:hAnsi="Times New Roman" w:cs="Times New Roman"/>
              </w:rPr>
              <w:t>sztramusztin</w:t>
            </w:r>
          </w:p>
        </w:tc>
        <w:tc>
          <w:tcPr>
            <w:tcW w:w="4757" w:type="dxa"/>
          </w:tcPr>
          <w:p w14:paraId="488621AF" w14:textId="00E374D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Egyes mellékhatások, </w:t>
            </w:r>
            <w:r>
              <w:rPr>
                <w:rFonts w:ascii="Times New Roman" w:hAnsi="Times New Roman" w:cs="Times New Roman"/>
              </w:rPr>
              <w:t>például</w:t>
            </w:r>
            <w:r w:rsidRPr="00D91094">
              <w:rPr>
                <w:rFonts w:ascii="Times New Roman" w:hAnsi="Times New Roman" w:cs="Times New Roman"/>
              </w:rPr>
              <w:t xml:space="preserve"> az angiooedema kockázata megemelkedik</w:t>
            </w:r>
            <w:r w:rsidR="00501C0F">
              <w:rPr>
                <w:rFonts w:ascii="Times New Roman" w:hAnsi="Times New Roman" w:cs="Times New Roman"/>
              </w:rPr>
              <w:t>.</w:t>
            </w:r>
          </w:p>
        </w:tc>
      </w:tr>
      <w:tr w:rsidR="00716545" w:rsidRPr="00D91094" w14:paraId="0D725BFB" w14:textId="77777777" w:rsidTr="000931D5">
        <w:tc>
          <w:tcPr>
            <w:tcW w:w="2263" w:type="dxa"/>
            <w:vMerge/>
          </w:tcPr>
          <w:p w14:paraId="5DECCBBC"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268" w:type="dxa"/>
          </w:tcPr>
          <w:p w14:paraId="6050DF6F" w14:textId="3194BD35"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áliummegtakarító diuretikumok (</w:t>
            </w:r>
            <w:r w:rsidR="00716545">
              <w:rPr>
                <w:rFonts w:ascii="Times New Roman" w:hAnsi="Times New Roman" w:cs="Times New Roman"/>
              </w:rPr>
              <w:t>például</w:t>
            </w:r>
            <w:r w:rsidR="00716545" w:rsidRPr="00D91094">
              <w:rPr>
                <w:rFonts w:ascii="Times New Roman" w:hAnsi="Times New Roman" w:cs="Times New Roman"/>
              </w:rPr>
              <w:t xml:space="preserve"> triamteren, amilorid), káliumpótlók vagy káliumtartalmú sópótlók</w:t>
            </w:r>
          </w:p>
        </w:tc>
        <w:tc>
          <w:tcPr>
            <w:tcW w:w="4757" w:type="dxa"/>
          </w:tcPr>
          <w:p w14:paraId="199893FF" w14:textId="72C70BCF" w:rsidR="00716545" w:rsidRPr="003D0D24" w:rsidRDefault="003D0D24" w:rsidP="00501C0F">
            <w:pPr>
              <w:widowControl w:val="0"/>
              <w:suppressAutoHyphens/>
              <w:autoSpaceDE w:val="0"/>
              <w:autoSpaceDN w:val="0"/>
              <w:adjustRightInd w:val="0"/>
              <w:rPr>
                <w:rFonts w:ascii="Times New Roman" w:hAnsi="Times New Roman" w:cs="Times New Roman"/>
              </w:rPr>
            </w:pPr>
            <w:r>
              <w:rPr>
                <w:rFonts w:ascii="Times New Roman" w:hAnsi="Times New Roman" w:cs="Times New Roman"/>
                <w:bCs/>
              </w:rPr>
              <w:t>H</w:t>
            </w:r>
            <w:r w:rsidR="00EB1E28" w:rsidRPr="000931D5">
              <w:rPr>
                <w:rFonts w:ascii="Times New Roman" w:hAnsi="Times New Roman" w:cs="Times New Roman"/>
                <w:bCs/>
              </w:rPr>
              <w:t>yperkalaemia (esetenként halálos), különösen vesekárosodással együtt (addit</w:t>
            </w:r>
            <w:r w:rsidR="003E59F6">
              <w:rPr>
                <w:rFonts w:ascii="Times New Roman" w:hAnsi="Times New Roman" w:cs="Times New Roman"/>
                <w:bCs/>
              </w:rPr>
              <w:t>í</w:t>
            </w:r>
            <w:r w:rsidR="00EB1E28" w:rsidRPr="000931D5">
              <w:rPr>
                <w:rFonts w:ascii="Times New Roman" w:hAnsi="Times New Roman" w:cs="Times New Roman"/>
                <w:bCs/>
              </w:rPr>
              <w:t>v hyperkalaemiás hatások).</w:t>
            </w:r>
            <w:r>
              <w:rPr>
                <w:rFonts w:ascii="Times New Roman" w:hAnsi="Times New Roman" w:cs="Times New Roman"/>
                <w:bCs/>
              </w:rPr>
              <w:t xml:space="preserve"> </w:t>
            </w:r>
            <w:r w:rsidR="00716545" w:rsidRPr="003D0D24">
              <w:rPr>
                <w:rFonts w:ascii="Times New Roman" w:hAnsi="Times New Roman" w:cs="Times New Roman"/>
              </w:rPr>
              <w:t>Emiatt a perindopril együttadása nem ajánlott a</w:t>
            </w:r>
            <w:r w:rsidR="00501C0F">
              <w:rPr>
                <w:rFonts w:ascii="Times New Roman" w:hAnsi="Times New Roman" w:cs="Times New Roman"/>
              </w:rPr>
              <w:t>z</w:t>
            </w:r>
            <w:r w:rsidR="00716545" w:rsidRPr="003D0D24">
              <w:rPr>
                <w:rFonts w:ascii="Times New Roman" w:hAnsi="Times New Roman" w:cs="Times New Roman"/>
              </w:rPr>
              <w:t xml:space="preserve"> említett gyógyszerekkel. </w:t>
            </w:r>
            <w:r w:rsidR="00716545" w:rsidRPr="007076D5">
              <w:rPr>
                <w:rFonts w:ascii="Times New Roman" w:hAnsi="Times New Roman" w:cs="Times New Roman"/>
                <w:bCs/>
              </w:rPr>
              <w:t>Amennyiben együttes adásuk indokolt, ez fokozott óvatossággal és a szérumkáliumszint gyakori ellenőrzése mellett történjen</w:t>
            </w:r>
            <w:r w:rsidR="00716545" w:rsidRPr="007076D5">
              <w:rPr>
                <w:rFonts w:ascii="Times New Roman" w:hAnsi="Times New Roman" w:cs="Times New Roman"/>
              </w:rPr>
              <w:t>. A spironolakton szívelégtelenség esetén történő alkalmazására von</w:t>
            </w:r>
            <w:r w:rsidR="00716545" w:rsidRPr="003D0D24">
              <w:rPr>
                <w:rFonts w:ascii="Times New Roman" w:hAnsi="Times New Roman" w:cs="Times New Roman"/>
              </w:rPr>
              <w:t>atkozóan lásd a „Különleges elővigyázatosságot igénylő kombinációk” szakaszt.</w:t>
            </w:r>
          </w:p>
        </w:tc>
      </w:tr>
      <w:tr w:rsidR="00716545" w:rsidRPr="00D91094" w14:paraId="20F11238" w14:textId="77777777" w:rsidTr="000931D5">
        <w:tc>
          <w:tcPr>
            <w:tcW w:w="2263" w:type="dxa"/>
          </w:tcPr>
          <w:p w14:paraId="773F6474"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p w14:paraId="55FD9FCA"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w:t>
            </w:r>
          </w:p>
        </w:tc>
        <w:tc>
          <w:tcPr>
            <w:tcW w:w="2268" w:type="dxa"/>
          </w:tcPr>
          <w:p w14:paraId="7DE7E6B7" w14:textId="591CF7BD"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l</w:t>
            </w:r>
            <w:r w:rsidR="00716545" w:rsidRPr="00D91094">
              <w:rPr>
                <w:rFonts w:ascii="Times New Roman" w:hAnsi="Times New Roman" w:cs="Times New Roman"/>
              </w:rPr>
              <w:t>ítium</w:t>
            </w:r>
          </w:p>
        </w:tc>
        <w:tc>
          <w:tcPr>
            <w:tcW w:w="4757" w:type="dxa"/>
          </w:tcPr>
          <w:p w14:paraId="448AEE9F"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lítium és ACE-gátlók egyidejű alkalmazása kapcsán reverzibilis lítiumszint</w:t>
            </w:r>
            <w:r w:rsidRPr="00D91094">
              <w:rPr>
                <w:rFonts w:ascii="Times New Roman" w:hAnsi="Times New Roman" w:cs="Times New Roman"/>
              </w:rPr>
              <w:noBreakHyphen/>
              <w:t xml:space="preserve">emelkedésről és </w:t>
            </w:r>
            <w:r w:rsidRPr="00D91094">
              <w:rPr>
                <w:rFonts w:ascii="Times New Roman" w:hAnsi="Times New Roman" w:cs="Times New Roman"/>
              </w:rPr>
              <w:noBreakHyphen/>
              <w:t xml:space="preserve">toxicitásról számoltak be. A perindopril és indapamid kombináció lítiummal történő együttes alkalmazása nem javasolt, azonban, ha ez </w:t>
            </w:r>
            <w:r w:rsidRPr="00D91094">
              <w:rPr>
                <w:rFonts w:ascii="Times New Roman" w:hAnsi="Times New Roman" w:cs="Times New Roman"/>
              </w:rPr>
              <w:lastRenderedPageBreak/>
              <w:t>feltétlenül szükséges, a lítiumszintet szigorúan ellenőrizni kell (lásd 4.4 pont).</w:t>
            </w:r>
          </w:p>
        </w:tc>
      </w:tr>
      <w:tr w:rsidR="00716545" w:rsidRPr="00D91094" w14:paraId="390227D1" w14:textId="77777777" w:rsidTr="000931D5">
        <w:tc>
          <w:tcPr>
            <w:tcW w:w="2263" w:type="dxa"/>
          </w:tcPr>
          <w:p w14:paraId="5B54BA9F"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lastRenderedPageBreak/>
              <w:t>amlodipin</w:t>
            </w:r>
          </w:p>
        </w:tc>
        <w:tc>
          <w:tcPr>
            <w:tcW w:w="2268" w:type="dxa"/>
          </w:tcPr>
          <w:p w14:paraId="5C883C27" w14:textId="4758EB18"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d</w:t>
            </w:r>
            <w:r w:rsidR="00716545" w:rsidRPr="00D91094">
              <w:rPr>
                <w:rFonts w:ascii="Times New Roman" w:hAnsi="Times New Roman" w:cs="Times New Roman"/>
              </w:rPr>
              <w:t>antrolén (infúzió)</w:t>
            </w:r>
          </w:p>
        </w:tc>
        <w:tc>
          <w:tcPr>
            <w:tcW w:w="4757" w:type="dxa"/>
          </w:tcPr>
          <w:p w14:paraId="71788E90" w14:textId="633FAB20" w:rsidR="00716545" w:rsidRPr="00D91094" w:rsidRDefault="00716545" w:rsidP="003D0D2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Állatoknál hyperkalaemiával társult, letális kamrafibrillációt és keringés-összeomlást figyeltek meg verapamil és dantrolén intravénás adagolása után. A hyperkalaemia kockázata miatt a malignus hyperthermiára hajlamos betegek esetében, és a malignus hyperthermia kezelése alatt a kalciumcsatorna-blokkolók </w:t>
            </w:r>
            <w:r w:rsidR="003D0D24">
              <w:rPr>
                <w:rFonts w:ascii="Times New Roman" w:hAnsi="Times New Roman" w:cs="Times New Roman"/>
              </w:rPr>
              <w:t>–</w:t>
            </w:r>
            <w:r w:rsidRPr="00D91094">
              <w:rPr>
                <w:rFonts w:ascii="Times New Roman" w:hAnsi="Times New Roman" w:cs="Times New Roman"/>
              </w:rPr>
              <w:t xml:space="preserve"> mint </w:t>
            </w:r>
            <w:r>
              <w:rPr>
                <w:rFonts w:ascii="Times New Roman" w:hAnsi="Times New Roman" w:cs="Times New Roman"/>
              </w:rPr>
              <w:t>például</w:t>
            </w:r>
            <w:r w:rsidRPr="00D91094">
              <w:rPr>
                <w:rFonts w:ascii="Times New Roman" w:hAnsi="Times New Roman" w:cs="Times New Roman"/>
              </w:rPr>
              <w:t xml:space="preserve"> az amlodipin </w:t>
            </w:r>
            <w:r w:rsidR="003D0D24">
              <w:rPr>
                <w:rFonts w:ascii="Times New Roman" w:hAnsi="Times New Roman" w:cs="Times New Roman"/>
              </w:rPr>
              <w:t>–</w:t>
            </w:r>
            <w:r w:rsidRPr="00D91094">
              <w:rPr>
                <w:rFonts w:ascii="Times New Roman" w:hAnsi="Times New Roman" w:cs="Times New Roman"/>
              </w:rPr>
              <w:t xml:space="preserve"> alkalmazását kerülni kell.</w:t>
            </w:r>
          </w:p>
        </w:tc>
      </w:tr>
      <w:tr w:rsidR="00EB1E28" w:rsidRPr="00D91094" w14:paraId="11622776" w14:textId="77777777" w:rsidTr="000931D5">
        <w:tc>
          <w:tcPr>
            <w:tcW w:w="2263" w:type="dxa"/>
          </w:tcPr>
          <w:p w14:paraId="22BE605C" w14:textId="77777777" w:rsidR="00EB1E28" w:rsidRPr="00D91094" w:rsidRDefault="00EB1E28" w:rsidP="00D2704D">
            <w:pPr>
              <w:widowControl w:val="0"/>
              <w:suppressAutoHyphens/>
              <w:autoSpaceDE w:val="0"/>
              <w:autoSpaceDN w:val="0"/>
              <w:adjustRightInd w:val="0"/>
              <w:rPr>
                <w:rFonts w:ascii="Times New Roman" w:hAnsi="Times New Roman" w:cs="Times New Roman"/>
              </w:rPr>
            </w:pPr>
          </w:p>
        </w:tc>
        <w:tc>
          <w:tcPr>
            <w:tcW w:w="2268" w:type="dxa"/>
          </w:tcPr>
          <w:p w14:paraId="7C835E51" w14:textId="1C94CAD6" w:rsidR="00EB1E28" w:rsidRPr="003D0D2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bCs/>
              </w:rPr>
              <w:t>g</w:t>
            </w:r>
            <w:r w:rsidR="00EB1E28" w:rsidRPr="000931D5">
              <w:rPr>
                <w:rFonts w:ascii="Times New Roman" w:hAnsi="Times New Roman" w:cs="Times New Roman"/>
                <w:bCs/>
              </w:rPr>
              <w:t>répfrút vagy grépfrútlé</w:t>
            </w:r>
          </w:p>
        </w:tc>
        <w:tc>
          <w:tcPr>
            <w:tcW w:w="4757" w:type="dxa"/>
          </w:tcPr>
          <w:p w14:paraId="56C652C5" w14:textId="2BC524AF" w:rsidR="00EB1E28" w:rsidRPr="00D91094" w:rsidRDefault="00EB1E28"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 amlodipin együttadása grépfrúttal vagy grépfrútlével nem javasolt, mert ez néhány betegnél az amlodipin biohasznosulásának növekedéséhez vezethet</w:t>
            </w:r>
            <w:r w:rsidR="00501C0F">
              <w:rPr>
                <w:rFonts w:ascii="Times New Roman" w:hAnsi="Times New Roman" w:cs="Times New Roman"/>
              </w:rPr>
              <w:t>,</w:t>
            </w:r>
            <w:r w:rsidRPr="00D91094">
              <w:rPr>
                <w:rFonts w:ascii="Times New Roman" w:hAnsi="Times New Roman" w:cs="Times New Roman"/>
              </w:rPr>
              <w:t xml:space="preserve"> fokozott vérnyomáscsökkentő hatást eredményezve.</w:t>
            </w:r>
          </w:p>
        </w:tc>
      </w:tr>
    </w:tbl>
    <w:p w14:paraId="7D908FD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DEA166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Különleges elővigyázatosságot igénylő kombinációk</w:t>
      </w:r>
    </w:p>
    <w:p w14:paraId="0869257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tbl>
      <w:tblPr>
        <w:tblStyle w:val="Rcsostblzat"/>
        <w:tblW w:w="9288" w:type="dxa"/>
        <w:tblLayout w:type="fixed"/>
        <w:tblLook w:val="04A0" w:firstRow="1" w:lastRow="0" w:firstColumn="1" w:lastColumn="0" w:noHBand="0" w:noVBand="1"/>
      </w:tblPr>
      <w:tblGrid>
        <w:gridCol w:w="2405"/>
        <w:gridCol w:w="1985"/>
        <w:gridCol w:w="4898"/>
      </w:tblGrid>
      <w:tr w:rsidR="00716545" w:rsidRPr="00D91094" w14:paraId="54CDF24E" w14:textId="77777777" w:rsidTr="000931D5">
        <w:tc>
          <w:tcPr>
            <w:tcW w:w="2405" w:type="dxa"/>
          </w:tcPr>
          <w:p w14:paraId="44CDF4E2"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Gyógyszerkomponens</w:t>
            </w:r>
          </w:p>
        </w:tc>
        <w:tc>
          <w:tcPr>
            <w:tcW w:w="1985" w:type="dxa"/>
          </w:tcPr>
          <w:p w14:paraId="2C38489C"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Mivel lép kölcsönhatásba</w:t>
            </w:r>
          </w:p>
        </w:tc>
        <w:tc>
          <w:tcPr>
            <w:tcW w:w="4898" w:type="dxa"/>
          </w:tcPr>
          <w:p w14:paraId="06465F98"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
              </w:rPr>
              <w:t>Az interakció leírása</w:t>
            </w:r>
          </w:p>
        </w:tc>
      </w:tr>
      <w:tr w:rsidR="00716545" w:rsidRPr="00D91094" w14:paraId="38E93AE8" w14:textId="77777777" w:rsidTr="000931D5">
        <w:tc>
          <w:tcPr>
            <w:tcW w:w="2405" w:type="dxa"/>
            <w:vMerge w:val="restart"/>
          </w:tcPr>
          <w:p w14:paraId="7BD57AFD"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1985" w:type="dxa"/>
          </w:tcPr>
          <w:p w14:paraId="47DC4840" w14:textId="13362FEA" w:rsidR="00716545" w:rsidRPr="00D91094" w:rsidRDefault="003D0D2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a</w:t>
            </w:r>
            <w:r w:rsidR="00716545" w:rsidRPr="00D91094">
              <w:rPr>
                <w:rFonts w:ascii="Times New Roman" w:hAnsi="Times New Roman" w:cs="Times New Roman"/>
              </w:rPr>
              <w:t>ntidiabetikumok (inzulin, orális antidiabetikumok)</w:t>
            </w:r>
          </w:p>
        </w:tc>
        <w:tc>
          <w:tcPr>
            <w:tcW w:w="4898" w:type="dxa"/>
          </w:tcPr>
          <w:p w14:paraId="68CCA154" w14:textId="20D8D204"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Az epidemiológiai vizsgálatok eredményei </w:t>
            </w:r>
            <w:r w:rsidRPr="00D91094">
              <w:rPr>
                <w:rFonts w:ascii="Times New Roman" w:hAnsi="Times New Roman" w:cs="Times New Roman"/>
                <w:bCs/>
              </w:rPr>
              <w:t>arra utalnak</w:t>
            </w:r>
            <w:r w:rsidRPr="00D91094">
              <w:rPr>
                <w:rFonts w:ascii="Times New Roman" w:hAnsi="Times New Roman" w:cs="Times New Roman"/>
              </w:rPr>
              <w:t>, hogy az ACE-gátlók és antidiabetikus készítmények (inzulin, orális antidiabetikumok) együttes alkalmazása a hypogly</w:t>
            </w:r>
            <w:r w:rsidR="003D0D24">
              <w:rPr>
                <w:rFonts w:ascii="Times New Roman" w:hAnsi="Times New Roman" w:cs="Times New Roman"/>
              </w:rPr>
              <w:t>k</w:t>
            </w:r>
            <w:r w:rsidRPr="00D91094">
              <w:rPr>
                <w:rFonts w:ascii="Times New Roman" w:hAnsi="Times New Roman" w:cs="Times New Roman"/>
              </w:rPr>
              <w:t>aemia kockázatával járó</w:t>
            </w:r>
            <w:r w:rsidR="00501C0F">
              <w:rPr>
                <w:rFonts w:ascii="Times New Roman" w:hAnsi="Times New Roman" w:cs="Times New Roman"/>
              </w:rPr>
              <w:t>,</w:t>
            </w:r>
            <w:r w:rsidRPr="00D91094">
              <w:rPr>
                <w:rFonts w:ascii="Times New Roman" w:hAnsi="Times New Roman" w:cs="Times New Roman"/>
              </w:rPr>
              <w:t xml:space="preserve"> fokozott vércukor</w:t>
            </w:r>
            <w:r w:rsidR="00501C0F">
              <w:rPr>
                <w:rFonts w:ascii="Times New Roman" w:hAnsi="Times New Roman" w:cs="Times New Roman"/>
              </w:rPr>
              <w:t>szint-</w:t>
            </w:r>
            <w:r w:rsidRPr="00D91094">
              <w:rPr>
                <w:rFonts w:ascii="Times New Roman" w:hAnsi="Times New Roman" w:cs="Times New Roman"/>
              </w:rPr>
              <w:t>csökkentő hatást idézhet elő.</w:t>
            </w:r>
          </w:p>
          <w:p w14:paraId="0D560ACE"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bCs/>
                <w:iCs/>
              </w:rPr>
              <w:t>Ez a jelenség nagyobb valószínűséggel fordul elő a kombinációs kezelés első heteiben, valamint vesekárosodásban szenvedő betegek esetén</w:t>
            </w:r>
            <w:r w:rsidRPr="00D91094">
              <w:rPr>
                <w:rFonts w:ascii="Times New Roman" w:hAnsi="Times New Roman" w:cs="Times New Roman"/>
              </w:rPr>
              <w:t>.</w:t>
            </w:r>
          </w:p>
        </w:tc>
      </w:tr>
      <w:tr w:rsidR="00716545" w:rsidRPr="00D91094" w14:paraId="71CC31A6" w14:textId="77777777" w:rsidTr="000931D5">
        <w:tc>
          <w:tcPr>
            <w:tcW w:w="2405" w:type="dxa"/>
            <w:vMerge/>
          </w:tcPr>
          <w:p w14:paraId="6685A75A"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30721611" w14:textId="38FDAB29" w:rsidR="00716545" w:rsidRPr="00D91094" w:rsidRDefault="003D0D2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n</w:t>
            </w:r>
            <w:r w:rsidR="00716545" w:rsidRPr="00D91094">
              <w:rPr>
                <w:rFonts w:ascii="Times New Roman" w:hAnsi="Times New Roman" w:cs="Times New Roman"/>
              </w:rPr>
              <w:t>em káliummegtakarító diuretikumok</w:t>
            </w:r>
          </w:p>
        </w:tc>
        <w:tc>
          <w:tcPr>
            <w:tcW w:w="4898" w:type="dxa"/>
          </w:tcPr>
          <w:p w14:paraId="23C55302" w14:textId="769C1736"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Diuretikus terápiában részesülő betegeknél – különösen azoknál, akiknél volumen-és/vagy sóhiányos állapot áll fenn</w:t>
            </w:r>
            <w:r w:rsidR="003D0D24">
              <w:rPr>
                <w:rFonts w:ascii="Times New Roman" w:hAnsi="Times New Roman" w:cs="Times New Roman"/>
              </w:rPr>
              <w:t xml:space="preserve"> </w:t>
            </w:r>
            <w:r w:rsidRPr="00D91094">
              <w:rPr>
                <w:rFonts w:ascii="Times New Roman" w:hAnsi="Times New Roman" w:cs="Times New Roman"/>
              </w:rPr>
              <w:t>– kifejezett vérnyomáscsökkenés tapasztalható</w:t>
            </w:r>
            <w:r w:rsidRPr="00D91094" w:rsidDel="00B522FC">
              <w:rPr>
                <w:rFonts w:ascii="Times New Roman" w:hAnsi="Times New Roman" w:cs="Times New Roman"/>
              </w:rPr>
              <w:t xml:space="preserve"> </w:t>
            </w:r>
            <w:r w:rsidRPr="00D91094">
              <w:rPr>
                <w:rFonts w:ascii="Times New Roman" w:hAnsi="Times New Roman" w:cs="Times New Roman"/>
              </w:rPr>
              <w:t xml:space="preserve">az ACE-gátló-terápia megkezdését követően. A hypotensiv hatás kialakulásának esélyét mérsékelni lehet a diuretikus kezelés felfüggesztésével, a perindopril-kezelés </w:t>
            </w:r>
            <w:r w:rsidR="003D0D24">
              <w:rPr>
                <w:rFonts w:ascii="Times New Roman" w:hAnsi="Times New Roman" w:cs="Times New Roman"/>
              </w:rPr>
              <w:t>kis</w:t>
            </w:r>
            <w:r w:rsidR="003D0D24" w:rsidRPr="00D91094">
              <w:rPr>
                <w:rFonts w:ascii="Times New Roman" w:hAnsi="Times New Roman" w:cs="Times New Roman"/>
              </w:rPr>
              <w:t xml:space="preserve"> </w:t>
            </w:r>
            <w:r w:rsidRPr="00D91094">
              <w:rPr>
                <w:rFonts w:ascii="Times New Roman" w:hAnsi="Times New Roman" w:cs="Times New Roman"/>
              </w:rPr>
              <w:t>és fokozatosan emelkedő dózisokkal történő megkezdése előtt a volumen- vagy sóbevitel fokozásával.</w:t>
            </w:r>
          </w:p>
          <w:p w14:paraId="640E3C7B" w14:textId="28DC71F9"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eastAsia="Times New Roman" w:hAnsi="Times New Roman" w:cs="Times New Roman"/>
                <w:i/>
                <w:lang w:eastAsia="hu-HU"/>
              </w:rPr>
              <w:t xml:space="preserve">Artériás hypertonia esetén, </w:t>
            </w:r>
            <w:r w:rsidRPr="00D91094">
              <w:rPr>
                <w:rFonts w:ascii="Times New Roman" w:eastAsia="Times New Roman" w:hAnsi="Times New Roman" w:cs="Times New Roman"/>
                <w:lang w:eastAsia="hu-HU"/>
              </w:rPr>
              <w:t xml:space="preserve">ha a korábbi diuretikus terápia só- és/vagy volumenhiányos állapotot okozott, vagy a diuretikus kezelést kell felfüggeszteni az ACE-gátló-kezelés megkezdése előtt, ebben az esetben egy nem káliummegtakarító diuretikumot lehet ezután újra alkalmazni, vagy az ACE-gátló-kezelést kell </w:t>
            </w:r>
            <w:r w:rsidR="003D0D24">
              <w:rPr>
                <w:rFonts w:ascii="Times New Roman" w:eastAsia="Times New Roman" w:hAnsi="Times New Roman" w:cs="Times New Roman"/>
                <w:lang w:eastAsia="hu-HU"/>
              </w:rPr>
              <w:t>kis</w:t>
            </w:r>
            <w:r w:rsidR="003D0D24" w:rsidRPr="00D91094">
              <w:rPr>
                <w:rFonts w:ascii="Times New Roman" w:eastAsia="Times New Roman" w:hAnsi="Times New Roman" w:cs="Times New Roman"/>
                <w:lang w:eastAsia="hu-HU"/>
              </w:rPr>
              <w:t xml:space="preserve"> </w:t>
            </w:r>
            <w:r w:rsidRPr="00D91094">
              <w:rPr>
                <w:rFonts w:ascii="Times New Roman" w:eastAsia="Times New Roman" w:hAnsi="Times New Roman" w:cs="Times New Roman"/>
                <w:lang w:eastAsia="hu-HU"/>
              </w:rPr>
              <w:t>dózissal kezdeni és a d</w:t>
            </w:r>
            <w:r w:rsidR="003D0D24">
              <w:rPr>
                <w:rFonts w:ascii="Times New Roman" w:eastAsia="Times New Roman" w:hAnsi="Times New Roman" w:cs="Times New Roman"/>
                <w:lang w:eastAsia="hu-HU"/>
              </w:rPr>
              <w:t>ózis</w:t>
            </w:r>
            <w:r w:rsidRPr="00D91094">
              <w:rPr>
                <w:rFonts w:ascii="Times New Roman" w:eastAsia="Times New Roman" w:hAnsi="Times New Roman" w:cs="Times New Roman"/>
                <w:lang w:eastAsia="hu-HU"/>
              </w:rPr>
              <w:t>t fokozatosan kell emelni.</w:t>
            </w:r>
          </w:p>
          <w:p w14:paraId="113322D6" w14:textId="2C0D1F65" w:rsidR="00716545" w:rsidRPr="00D91094" w:rsidRDefault="00716545" w:rsidP="003D0D24">
            <w:pPr>
              <w:widowControl w:val="0"/>
              <w:suppressAutoHyphens/>
              <w:autoSpaceDE w:val="0"/>
              <w:autoSpaceDN w:val="0"/>
              <w:adjustRightInd w:val="0"/>
              <w:rPr>
                <w:rFonts w:ascii="Times New Roman" w:hAnsi="Times New Roman" w:cs="Times New Roman"/>
                <w:b/>
              </w:rPr>
            </w:pPr>
            <w:r w:rsidRPr="00D91094">
              <w:rPr>
                <w:rFonts w:ascii="Times New Roman" w:eastAsia="Times New Roman" w:hAnsi="Times New Roman" w:cs="Times New Roman"/>
                <w:i/>
                <w:lang w:eastAsia="hu-HU"/>
              </w:rPr>
              <w:t xml:space="preserve">Diuretikumokkal kezelt pangásos szívelégtelenség esetén </w:t>
            </w:r>
            <w:r w:rsidRPr="00D91094">
              <w:rPr>
                <w:rFonts w:ascii="Times New Roman" w:eastAsia="Times New Roman" w:hAnsi="Times New Roman" w:cs="Times New Roman"/>
                <w:lang w:eastAsia="hu-HU"/>
              </w:rPr>
              <w:t xml:space="preserve">az ACE-gátlóval történő kezelést nagyon </w:t>
            </w:r>
            <w:r w:rsidR="003D0D24">
              <w:rPr>
                <w:rFonts w:ascii="Times New Roman" w:eastAsia="Times New Roman" w:hAnsi="Times New Roman" w:cs="Times New Roman"/>
                <w:lang w:eastAsia="hu-HU"/>
              </w:rPr>
              <w:t xml:space="preserve">kis </w:t>
            </w:r>
            <w:r w:rsidRPr="00D91094">
              <w:rPr>
                <w:rFonts w:ascii="Times New Roman" w:eastAsia="Times New Roman" w:hAnsi="Times New Roman" w:cs="Times New Roman"/>
                <w:lang w:eastAsia="hu-HU"/>
              </w:rPr>
              <w:t>dózissal kell elkezdeni, lehetőleg a nem káliummegtakarító diuretikum dózisának csökkentése után. Az ACE-gátlóval történő kezelés első néhány hetében a vesefunkciót (kreatininszintet) minden es</w:t>
            </w:r>
            <w:r w:rsidR="007D5AB1">
              <w:rPr>
                <w:rFonts w:ascii="Times New Roman" w:eastAsia="Times New Roman" w:hAnsi="Times New Roman" w:cs="Times New Roman"/>
                <w:lang w:eastAsia="hu-HU"/>
              </w:rPr>
              <w:t>e</w:t>
            </w:r>
            <w:r w:rsidRPr="00D91094">
              <w:rPr>
                <w:rFonts w:ascii="Times New Roman" w:eastAsia="Times New Roman" w:hAnsi="Times New Roman" w:cs="Times New Roman"/>
                <w:lang w:eastAsia="hu-HU"/>
              </w:rPr>
              <w:t>tben ellenőrizni kell.</w:t>
            </w:r>
          </w:p>
        </w:tc>
      </w:tr>
      <w:tr w:rsidR="00716545" w:rsidRPr="00D91094" w14:paraId="209646D6" w14:textId="77777777" w:rsidTr="000931D5">
        <w:tc>
          <w:tcPr>
            <w:tcW w:w="2405" w:type="dxa"/>
            <w:vMerge/>
          </w:tcPr>
          <w:p w14:paraId="41999934"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3C9728F2" w14:textId="0E7A398A" w:rsidR="00716545" w:rsidRPr="00D91094" w:rsidRDefault="003D0D2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k</w:t>
            </w:r>
            <w:r w:rsidR="00716545" w:rsidRPr="00D91094">
              <w:rPr>
                <w:rFonts w:ascii="Times New Roman" w:hAnsi="Times New Roman" w:cs="Times New Roman"/>
              </w:rPr>
              <w:t xml:space="preserve">áliummegtakarító diuretikumok (eplerenon, </w:t>
            </w:r>
            <w:r w:rsidR="00716545" w:rsidRPr="00D91094">
              <w:rPr>
                <w:rFonts w:ascii="Times New Roman" w:hAnsi="Times New Roman" w:cs="Times New Roman"/>
              </w:rPr>
              <w:lastRenderedPageBreak/>
              <w:t>spironolakton)</w:t>
            </w:r>
          </w:p>
        </w:tc>
        <w:tc>
          <w:tcPr>
            <w:tcW w:w="4898" w:type="dxa"/>
          </w:tcPr>
          <w:p w14:paraId="0E0AA994" w14:textId="0D2EBF68"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lastRenderedPageBreak/>
              <w:t xml:space="preserve">Napi 12,5 mg - 50 mg eplerenon vagy spironolakton </w:t>
            </w:r>
            <w:r w:rsidR="003D0D24">
              <w:rPr>
                <w:rFonts w:ascii="Times New Roman" w:hAnsi="Times New Roman" w:cs="Times New Roman"/>
              </w:rPr>
              <w:t>kis</w:t>
            </w:r>
            <w:r w:rsidR="003D0D24" w:rsidRPr="00D91094">
              <w:rPr>
                <w:rFonts w:ascii="Times New Roman" w:hAnsi="Times New Roman" w:cs="Times New Roman"/>
              </w:rPr>
              <w:t xml:space="preserve"> </w:t>
            </w:r>
            <w:r w:rsidRPr="00D91094">
              <w:rPr>
                <w:rFonts w:ascii="Times New Roman" w:hAnsi="Times New Roman" w:cs="Times New Roman"/>
              </w:rPr>
              <w:t xml:space="preserve">dózisú ACE-gátlókkal: II-IV. stádiumú (NYHA) szívelégtelenség (ejekciós frakció &lt; 40%) kezelése, </w:t>
            </w:r>
            <w:r w:rsidRPr="00D91094">
              <w:rPr>
                <w:rFonts w:ascii="Times New Roman" w:hAnsi="Times New Roman" w:cs="Times New Roman"/>
              </w:rPr>
              <w:lastRenderedPageBreak/>
              <w:t>valamint korábbi ACE-gátló- és kacsdiuretikum-kezelés esetén nő a potenciálisan halálos hyperkalaemia kockázata, különösen a kombinációra vonatkozó ajánlások be nem tartása esetében.</w:t>
            </w:r>
          </w:p>
          <w:p w14:paraId="4A184830"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rPr>
              <w:t>A kombinációs kezelés megkezdése előtt ellenőrizni kell, nem áll-e fenn hyperkalaemia vagy vesekárosodás. A vér kálium- és a kreatininszint</w:t>
            </w:r>
            <w:r w:rsidR="003D0D24">
              <w:rPr>
                <w:rFonts w:ascii="Times New Roman" w:hAnsi="Times New Roman" w:cs="Times New Roman"/>
              </w:rPr>
              <w:t>jének</w:t>
            </w:r>
            <w:r w:rsidRPr="00D91094">
              <w:rPr>
                <w:rFonts w:ascii="Times New Roman" w:hAnsi="Times New Roman" w:cs="Times New Roman"/>
              </w:rPr>
              <w:t xml:space="preserve"> szoros monitorozása javasolt, a kezelés első hónapjában hetente egyszer, ezt követően pedig havonta.</w:t>
            </w:r>
          </w:p>
        </w:tc>
      </w:tr>
      <w:tr w:rsidR="00716545" w:rsidRPr="00D91094" w14:paraId="1FF14FF9" w14:textId="77777777" w:rsidTr="000931D5">
        <w:tc>
          <w:tcPr>
            <w:tcW w:w="2405" w:type="dxa"/>
            <w:vMerge w:val="restart"/>
          </w:tcPr>
          <w:p w14:paraId="40283AB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lastRenderedPageBreak/>
              <w:t>indapamid</w:t>
            </w:r>
          </w:p>
        </w:tc>
        <w:tc>
          <w:tcPr>
            <w:tcW w:w="1985" w:type="dxa"/>
          </w:tcPr>
          <w:p w14:paraId="62613015" w14:textId="5571A909"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i/>
              </w:rPr>
              <w:t>t</w:t>
            </w:r>
            <w:r w:rsidR="00716545" w:rsidRPr="00D91094">
              <w:rPr>
                <w:rFonts w:ascii="Times New Roman" w:hAnsi="Times New Roman" w:cs="Times New Roman"/>
                <w:i/>
              </w:rPr>
              <w:t>orsades de pointes</w:t>
            </w:r>
            <w:r w:rsidR="00716545" w:rsidRPr="00D91094">
              <w:rPr>
                <w:rFonts w:ascii="Times New Roman" w:hAnsi="Times New Roman" w:cs="Times New Roman"/>
              </w:rPr>
              <w:t xml:space="preserve"> típusú ritmuszavart kiváltó gyógyszerek</w:t>
            </w:r>
          </w:p>
        </w:tc>
        <w:tc>
          <w:tcPr>
            <w:tcW w:w="4898" w:type="dxa"/>
          </w:tcPr>
          <w:p w14:paraId="457E78E9" w14:textId="5C3612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 hypokalaemia kockázata miatt az indapamid csak óvatosan adható együtt olyan szerekkel, melyek </w:t>
            </w:r>
            <w:r w:rsidRPr="00D91094">
              <w:rPr>
                <w:rFonts w:ascii="Times New Roman" w:hAnsi="Times New Roman" w:cs="Times New Roman"/>
                <w:i/>
              </w:rPr>
              <w:t>torsades de pointes</w:t>
            </w:r>
            <w:r w:rsidRPr="00D91094">
              <w:rPr>
                <w:rFonts w:ascii="Times New Roman" w:hAnsi="Times New Roman" w:cs="Times New Roman"/>
              </w:rPr>
              <w:t xml:space="preserve"> típusú ritmuszavart válthatnak ki, mint például az IA. típusú antiaritmiás szerek (kinidin, hidrokinidin, dizopiramid), a III. típusú antiaritmiás szerek (amiodaron, dofetilid, ibutilid, bretilium, szotalol); bizonyos neuroleptikumok (klórpromazin, ciamemazin, levomepromazin, tioridazin, trifluoperazin), benzamidok (amiszulprid, szulpirid, szultoprid, tiaprid), butirofenonok (droperidol, haloperidol), egyéb neuroleptikumok (pimozid), továbbá olyan szerek, mint a bepridil, ci</w:t>
            </w:r>
            <w:r w:rsidR="007D5AB1">
              <w:rPr>
                <w:rFonts w:ascii="Times New Roman" w:hAnsi="Times New Roman" w:cs="Times New Roman"/>
              </w:rPr>
              <w:t>s</w:t>
            </w:r>
            <w:r w:rsidRPr="00D91094">
              <w:rPr>
                <w:rFonts w:ascii="Times New Roman" w:hAnsi="Times New Roman" w:cs="Times New Roman"/>
              </w:rPr>
              <w:t xml:space="preserve">zaprid, difemanil, iv. eritromicin, halofantrin, mizolasztin, moxifloxacin, pentamidin, sparfloxacin, iv. vinkamin, metadon, asztemizol, terfenadin. Az alacsony káliumszint megelőzése, szükség szerinti korrigálása és a QT-intervallum rendszeres ellenőrzése javasolt. </w:t>
            </w:r>
          </w:p>
        </w:tc>
      </w:tr>
      <w:tr w:rsidR="00716545" w:rsidRPr="00D91094" w14:paraId="6B2A354F" w14:textId="77777777" w:rsidTr="000931D5">
        <w:tc>
          <w:tcPr>
            <w:tcW w:w="2405" w:type="dxa"/>
            <w:vMerge/>
          </w:tcPr>
          <w:p w14:paraId="0795C852"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1832A27F" w14:textId="251DD9AF"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i</w:t>
            </w:r>
            <w:r w:rsidR="00636A9B" w:rsidRPr="00D91094">
              <w:rPr>
                <w:rFonts w:ascii="Times New Roman" w:hAnsi="Times New Roman" w:cs="Times New Roman"/>
              </w:rPr>
              <w:t>v. amfotericin B, glükokortikoidok és mineralokortikoidok (szisztémás alkalmazás), tetrakozaktid, bélfalizgató hatású hashajtók</w:t>
            </w:r>
          </w:p>
        </w:tc>
        <w:tc>
          <w:tcPr>
            <w:tcW w:w="4898" w:type="dxa"/>
          </w:tcPr>
          <w:p w14:paraId="69909828"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Iv. amfotericin B, glükokortikoidok és mineralokortikoidok (szisztémás alkalmazás), tetrakozaktid, bélfalizgató hatású hashajtók hatására az alacsony káliumszint kockázata fokozódik (additív hatás). Rendszeresen ellenőrizni és szükség esetén korrigálni kell a káliumszintet. Fokozott körültekintés szükséges egyidejű digitálisz-alkalmazás esetén. Nem bélfalizgató hatású hashajtók alkalmazása javasolt.</w:t>
            </w:r>
          </w:p>
        </w:tc>
      </w:tr>
      <w:tr w:rsidR="00716545" w:rsidRPr="00D91094" w14:paraId="5FA71036" w14:textId="77777777" w:rsidTr="000931D5">
        <w:tc>
          <w:tcPr>
            <w:tcW w:w="2405" w:type="dxa"/>
            <w:vMerge/>
          </w:tcPr>
          <w:p w14:paraId="4D4BFE6D"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776C76A2" w14:textId="0534CB6B"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d</w:t>
            </w:r>
            <w:r w:rsidR="00716545" w:rsidRPr="00D91094">
              <w:rPr>
                <w:rFonts w:ascii="Times New Roman" w:hAnsi="Times New Roman" w:cs="Times New Roman"/>
              </w:rPr>
              <w:t>igitálisz készítmények</w:t>
            </w:r>
          </w:p>
        </w:tc>
        <w:tc>
          <w:tcPr>
            <w:tcW w:w="4898" w:type="dxa"/>
          </w:tcPr>
          <w:p w14:paraId="1710194B" w14:textId="50C95733" w:rsidR="00716545" w:rsidRPr="00D91094" w:rsidRDefault="00716545" w:rsidP="00996D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 hypokalaemia </w:t>
            </w:r>
            <w:r w:rsidR="00DB54E2" w:rsidRPr="00996DF4">
              <w:rPr>
                <w:rFonts w:ascii="Times New Roman" w:hAnsi="Times New Roman" w:cs="Times New Roman"/>
              </w:rPr>
              <w:t>és/vagy hypomagnesaemia</w:t>
            </w:r>
            <w:r w:rsidR="00DB54E2" w:rsidRPr="00DB54E2">
              <w:rPr>
                <w:rFonts w:ascii="Times New Roman" w:hAnsi="Times New Roman" w:cs="Times New Roman"/>
                <w:b/>
                <w:bCs/>
              </w:rPr>
              <w:t xml:space="preserve"> </w:t>
            </w:r>
            <w:r w:rsidRPr="00D91094">
              <w:rPr>
                <w:rFonts w:ascii="Times New Roman" w:hAnsi="Times New Roman" w:cs="Times New Roman"/>
              </w:rPr>
              <w:t>hajlamosít a digitálisz-toxicitás kialakulására. Ellenőrizni kell a kálium</w:t>
            </w:r>
            <w:r w:rsidR="00E9752F">
              <w:rPr>
                <w:rFonts w:ascii="Times New Roman" w:hAnsi="Times New Roman" w:cs="Times New Roman"/>
              </w:rPr>
              <w:t xml:space="preserve"> </w:t>
            </w:r>
            <w:r w:rsidR="00E9752F" w:rsidRPr="00996DF4">
              <w:rPr>
                <w:rFonts w:ascii="Times New Roman" w:hAnsi="Times New Roman" w:cs="Times New Roman"/>
              </w:rPr>
              <w:t>és magnézium</w:t>
            </w:r>
            <w:r w:rsidR="00996DF4">
              <w:rPr>
                <w:rFonts w:ascii="Times New Roman" w:hAnsi="Times New Roman" w:cs="Times New Roman"/>
              </w:rPr>
              <w:t xml:space="preserve"> </w:t>
            </w:r>
            <w:r w:rsidR="00E9752F" w:rsidRPr="00996DF4">
              <w:rPr>
                <w:rFonts w:ascii="Times New Roman" w:hAnsi="Times New Roman" w:cs="Times New Roman"/>
              </w:rPr>
              <w:t>szintjét</w:t>
            </w:r>
            <w:r w:rsidRPr="00D91094">
              <w:rPr>
                <w:rFonts w:ascii="Times New Roman" w:hAnsi="Times New Roman" w:cs="Times New Roman"/>
              </w:rPr>
              <w:t>, valamint az EKG-t, és szükség szerint módosítani kell a kezelést.</w:t>
            </w:r>
          </w:p>
        </w:tc>
      </w:tr>
      <w:tr w:rsidR="00716545" w:rsidRPr="00D91094" w14:paraId="76933164" w14:textId="77777777" w:rsidTr="000931D5">
        <w:tc>
          <w:tcPr>
            <w:tcW w:w="2405" w:type="dxa"/>
            <w:vMerge/>
          </w:tcPr>
          <w:p w14:paraId="2725C9C6"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6FBA88D1" w14:textId="57231F6F"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a</w:t>
            </w:r>
            <w:r w:rsidR="00716545" w:rsidRPr="00D91094">
              <w:rPr>
                <w:rFonts w:ascii="Times New Roman" w:hAnsi="Times New Roman" w:cs="Times New Roman"/>
              </w:rPr>
              <w:t>llopurinol</w:t>
            </w:r>
          </w:p>
        </w:tc>
        <w:tc>
          <w:tcPr>
            <w:tcW w:w="4898" w:type="dxa"/>
          </w:tcPr>
          <w:p w14:paraId="621FBC99"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Indapamiddal való együttes alkalmazás növelheti az allopurinol által kiváltott túlérzékenységi reakciók gyakoriságát.</w:t>
            </w:r>
          </w:p>
        </w:tc>
      </w:tr>
      <w:tr w:rsidR="00716545" w:rsidRPr="00D91094" w14:paraId="1694F567" w14:textId="77777777" w:rsidTr="000931D5">
        <w:tc>
          <w:tcPr>
            <w:tcW w:w="2405" w:type="dxa"/>
            <w:vMerge w:val="restart"/>
          </w:tcPr>
          <w:p w14:paraId="07DAB42E"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rPr>
              <w:t>perindopril/indapamid</w:t>
            </w:r>
          </w:p>
        </w:tc>
        <w:tc>
          <w:tcPr>
            <w:tcW w:w="1985" w:type="dxa"/>
          </w:tcPr>
          <w:p w14:paraId="6C3EFD15" w14:textId="7979D257" w:rsidR="00716545"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b</w:t>
            </w:r>
            <w:r w:rsidR="00716545" w:rsidRPr="00D91094">
              <w:rPr>
                <w:rFonts w:ascii="Times New Roman" w:hAnsi="Times New Roman" w:cs="Times New Roman"/>
              </w:rPr>
              <w:t>aklofén</w:t>
            </w:r>
          </w:p>
        </w:tc>
        <w:tc>
          <w:tcPr>
            <w:tcW w:w="4898" w:type="dxa"/>
          </w:tcPr>
          <w:p w14:paraId="47800D8F"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Megnövekedett vérnyomáscsökkentő hatás. A vérnyomást ellenőrizni kell, és a vérnyomáscsökkentő dózisa módosítandó, amennyiben szükséges.</w:t>
            </w:r>
          </w:p>
        </w:tc>
      </w:tr>
      <w:tr w:rsidR="00716545" w:rsidRPr="00D91094" w14:paraId="020E3966" w14:textId="77777777" w:rsidTr="000931D5">
        <w:tc>
          <w:tcPr>
            <w:tcW w:w="2405" w:type="dxa"/>
            <w:vMerge/>
          </w:tcPr>
          <w:p w14:paraId="6B972AB6"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1985" w:type="dxa"/>
          </w:tcPr>
          <w:p w14:paraId="214E6E19" w14:textId="26DABB12" w:rsidR="00716545" w:rsidRPr="00D91094" w:rsidRDefault="003D0D24" w:rsidP="003D0D24">
            <w:pPr>
              <w:widowControl w:val="0"/>
              <w:suppressAutoHyphens/>
              <w:autoSpaceDE w:val="0"/>
              <w:autoSpaceDN w:val="0"/>
              <w:adjustRightInd w:val="0"/>
              <w:rPr>
                <w:rFonts w:ascii="Times New Roman" w:hAnsi="Times New Roman" w:cs="Times New Roman"/>
              </w:rPr>
            </w:pPr>
            <w:r>
              <w:rPr>
                <w:rFonts w:ascii="Times New Roman" w:hAnsi="Times New Roman" w:cs="Times New Roman"/>
              </w:rPr>
              <w:t>n</w:t>
            </w:r>
            <w:r w:rsidR="00716545" w:rsidRPr="00D91094">
              <w:rPr>
                <w:rFonts w:ascii="Times New Roman" w:hAnsi="Times New Roman" w:cs="Times New Roman"/>
              </w:rPr>
              <w:t>em-szteroid gyulladásgátlók (NSAID-ok) (beleértve az acetilszalicilsavat is ≥ 3 g/nap d</w:t>
            </w:r>
            <w:r>
              <w:rPr>
                <w:rFonts w:ascii="Times New Roman" w:hAnsi="Times New Roman" w:cs="Times New Roman"/>
              </w:rPr>
              <w:t>ózis</w:t>
            </w:r>
            <w:r w:rsidR="00716545" w:rsidRPr="00D91094">
              <w:rPr>
                <w:rFonts w:ascii="Times New Roman" w:hAnsi="Times New Roman" w:cs="Times New Roman"/>
              </w:rPr>
              <w:t>ban)</w:t>
            </w:r>
          </w:p>
        </w:tc>
        <w:tc>
          <w:tcPr>
            <w:tcW w:w="4898" w:type="dxa"/>
          </w:tcPr>
          <w:p w14:paraId="58E270CC" w14:textId="3047783B" w:rsidR="00716545" w:rsidRPr="00D91094" w:rsidRDefault="00716545" w:rsidP="00996D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ACE-gátlók és nem-szteroid gyulladásgátló szerek (</w:t>
            </w:r>
            <w:r>
              <w:rPr>
                <w:rFonts w:ascii="Times New Roman" w:hAnsi="Times New Roman" w:cs="Times New Roman"/>
              </w:rPr>
              <w:t>például</w:t>
            </w:r>
            <w:r w:rsidRPr="00D91094">
              <w:rPr>
                <w:rFonts w:ascii="Times New Roman" w:hAnsi="Times New Roman" w:cs="Times New Roman"/>
              </w:rPr>
              <w:t xml:space="preserve"> gyulladásgátló </w:t>
            </w:r>
            <w:r w:rsidR="00996DF4">
              <w:rPr>
                <w:rFonts w:ascii="Times New Roman" w:hAnsi="Times New Roman" w:cs="Times New Roman"/>
              </w:rPr>
              <w:t>dózis</w:t>
            </w:r>
            <w:r w:rsidRPr="00D91094">
              <w:rPr>
                <w:rFonts w:ascii="Times New Roman" w:hAnsi="Times New Roman" w:cs="Times New Roman"/>
              </w:rPr>
              <w:t xml:space="preserve">ban alkalmazott acetilszalicilsav, COX-2-gátlók és nem szelektív NSAID-ok) egyidejű alkalmazása esetén a vérnyomáscsökkentő hatás gyengülhet. ACE-gátlók és NSAID-ok egyidejű alkalmazása fokozhatja a veseműködés romlásának kockázatát, beleértve az akut veseelégtelenség lehetőségét, valamint a </w:t>
            </w:r>
            <w:r w:rsidRPr="00D91094">
              <w:rPr>
                <w:rFonts w:ascii="Times New Roman" w:hAnsi="Times New Roman" w:cs="Times New Roman"/>
              </w:rPr>
              <w:lastRenderedPageBreak/>
              <w:t>szérumkáliumszint emelkedését, különösen fennálló vesefunkció-károsodás esetén. Ez a kombináció időseknél fokozott körültekintéssel alkalmazható. A betegek megfelelő hidráltsági állapotát biztosítani kell, és mérlegelendő a veseműködés ellenőrzése az egyidejű kezelés megkezdése után, majd azt követően rendszeresen.</w:t>
            </w:r>
          </w:p>
        </w:tc>
      </w:tr>
      <w:tr w:rsidR="003D0D24" w:rsidRPr="00D91094" w14:paraId="69D3AE34" w14:textId="77777777" w:rsidTr="000931D5">
        <w:tc>
          <w:tcPr>
            <w:tcW w:w="2405" w:type="dxa"/>
            <w:vMerge w:val="restart"/>
          </w:tcPr>
          <w:p w14:paraId="40F074B3" w14:textId="77777777" w:rsidR="003D0D24" w:rsidRPr="00D91094" w:rsidRDefault="003D0D24" w:rsidP="003D0D2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lastRenderedPageBreak/>
              <w:t>amlodipin</w:t>
            </w:r>
          </w:p>
        </w:tc>
        <w:tc>
          <w:tcPr>
            <w:tcW w:w="1985" w:type="dxa"/>
          </w:tcPr>
          <w:p w14:paraId="63B9D61C" w14:textId="77777777" w:rsidR="003D0D24" w:rsidRPr="00D91094" w:rsidRDefault="003D0D24" w:rsidP="00636A9B">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CYP3A4-induktorok</w:t>
            </w:r>
          </w:p>
        </w:tc>
        <w:tc>
          <w:tcPr>
            <w:tcW w:w="4898" w:type="dxa"/>
          </w:tcPr>
          <w:p w14:paraId="6B57DD44" w14:textId="5EDCA9A0" w:rsidR="003D0D24" w:rsidRPr="00D91094" w:rsidRDefault="003D0D24" w:rsidP="00636A9B">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w:t>
            </w:r>
            <w:r>
              <w:rPr>
                <w:rFonts w:ascii="Times New Roman" w:hAnsi="Times New Roman" w:cs="Times New Roman"/>
              </w:rPr>
              <w:t>például</w:t>
            </w:r>
            <w:r w:rsidRPr="00D91094">
              <w:rPr>
                <w:rFonts w:ascii="Times New Roman" w:hAnsi="Times New Roman" w:cs="Times New Roman"/>
              </w:rPr>
              <w:t xml:space="preserve"> rifampicin, </w:t>
            </w:r>
            <w:r>
              <w:rPr>
                <w:rFonts w:ascii="Times New Roman" w:hAnsi="Times New Roman" w:cs="Times New Roman"/>
              </w:rPr>
              <w:t xml:space="preserve">közönséges </w:t>
            </w:r>
            <w:r w:rsidRPr="00D91094">
              <w:rPr>
                <w:rFonts w:ascii="Times New Roman" w:hAnsi="Times New Roman" w:cs="Times New Roman"/>
              </w:rPr>
              <w:t xml:space="preserve">orbáncfű </w:t>
            </w:r>
            <w:r w:rsidR="00996DF4">
              <w:rPr>
                <w:rFonts w:ascii="Times New Roman" w:hAnsi="Times New Roman" w:cs="Times New Roman"/>
              </w:rPr>
              <w:t>–</w:t>
            </w:r>
            <w:r w:rsidRPr="00D91094">
              <w:rPr>
                <w:rFonts w:ascii="Times New Roman" w:hAnsi="Times New Roman" w:cs="Times New Roman"/>
              </w:rPr>
              <w:t xml:space="preserve"> </w:t>
            </w:r>
            <w:r w:rsidRPr="00D91094">
              <w:rPr>
                <w:rFonts w:ascii="Times New Roman" w:hAnsi="Times New Roman" w:cs="Times New Roman"/>
                <w:i/>
              </w:rPr>
              <w:t>Hypericum perforatum</w:t>
            </w:r>
            <w:r w:rsidRPr="00D91094">
              <w:rPr>
                <w:rFonts w:ascii="Times New Roman" w:hAnsi="Times New Roman" w:cs="Times New Roman"/>
              </w:rPr>
              <w:t>) használata esetén.</w:t>
            </w:r>
          </w:p>
          <w:p w14:paraId="24D06587" w14:textId="6B90BA64" w:rsidR="003D0D24" w:rsidRPr="00D91094" w:rsidRDefault="003D0D24" w:rsidP="00636A9B">
            <w:pPr>
              <w:widowControl w:val="0"/>
              <w:suppressAutoHyphens/>
              <w:autoSpaceDE w:val="0"/>
              <w:autoSpaceDN w:val="0"/>
              <w:adjustRightInd w:val="0"/>
              <w:rPr>
                <w:rFonts w:ascii="Times New Roman" w:hAnsi="Times New Roman" w:cs="Times New Roman"/>
              </w:rPr>
            </w:pPr>
          </w:p>
        </w:tc>
      </w:tr>
      <w:tr w:rsidR="003D0D24" w:rsidRPr="00D91094" w14:paraId="698FD179" w14:textId="77777777" w:rsidTr="000931D5">
        <w:tc>
          <w:tcPr>
            <w:tcW w:w="2405" w:type="dxa"/>
            <w:vMerge/>
          </w:tcPr>
          <w:p w14:paraId="78CEE9A3"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p>
        </w:tc>
        <w:tc>
          <w:tcPr>
            <w:tcW w:w="1985" w:type="dxa"/>
          </w:tcPr>
          <w:p w14:paraId="34E60FDF"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CYP3A4-inhibitorok</w:t>
            </w:r>
          </w:p>
        </w:tc>
        <w:tc>
          <w:tcPr>
            <w:tcW w:w="4898" w:type="dxa"/>
          </w:tcPr>
          <w:p w14:paraId="78FBA903"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 amlodipin erős vagy közepesen erős CYP3A4-inhibitorokkal (proteáz-inhibitorok, antifungális azolok, makrolidok, mint az eritromicin vagy a klaritromicin, verapamil vagy diltiazem) történő egyidejű alkalmazása szignifikánsan megemelheti az amlodipin-expozíciót, ami a hypotonia megnövekedett kockázatát eredményezi. Ezen farmakokinetikai változásoknak idősek esetében van nagyobb klinikai jelentősége. Ezért ellenőrzésre és a dózis módosítására lehet szükség.</w:t>
            </w:r>
          </w:p>
        </w:tc>
      </w:tr>
      <w:tr w:rsidR="003D0D24" w:rsidRPr="00D91094" w14:paraId="0A7D825A" w14:textId="77777777" w:rsidTr="000931D5">
        <w:tc>
          <w:tcPr>
            <w:tcW w:w="2405" w:type="dxa"/>
            <w:vMerge/>
          </w:tcPr>
          <w:p w14:paraId="4D63F2B0"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p>
        </w:tc>
        <w:tc>
          <w:tcPr>
            <w:tcW w:w="1985" w:type="dxa"/>
          </w:tcPr>
          <w:p w14:paraId="0E621AB7" w14:textId="2A4B6FBD" w:rsidR="003D0D24" w:rsidRPr="00D91094" w:rsidRDefault="003D0D2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t</w:t>
            </w:r>
            <w:r w:rsidRPr="00D91094">
              <w:rPr>
                <w:rFonts w:ascii="Times New Roman" w:hAnsi="Times New Roman" w:cs="Times New Roman"/>
              </w:rPr>
              <w:t>akrolimusz</w:t>
            </w:r>
          </w:p>
        </w:tc>
        <w:tc>
          <w:tcPr>
            <w:tcW w:w="4898" w:type="dxa"/>
          </w:tcPr>
          <w:p w14:paraId="64A78A9C"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Amlodipinnel történő együttes alkalmazáskor fennáll a kockázata a takrolimusz megnövekedett vérszintjének. A takrolimusz toxicitásának elkerülése érdekében azoknál a betegeknél, akik a takrolimusszal történő kezeléskor amlodipint kapnak, a takrolimusz vérszintjét monitorozni kell, és ha szükséges, akkor a takrolimusz dózisát módosítani kell.</w:t>
            </w:r>
          </w:p>
        </w:tc>
      </w:tr>
      <w:tr w:rsidR="003D0D24" w:rsidRPr="00D91094" w14:paraId="4E0E63FD" w14:textId="77777777" w:rsidTr="000931D5">
        <w:tc>
          <w:tcPr>
            <w:tcW w:w="2405" w:type="dxa"/>
            <w:vMerge/>
          </w:tcPr>
          <w:p w14:paraId="0BFE7DF5"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p>
        </w:tc>
        <w:tc>
          <w:tcPr>
            <w:tcW w:w="1985" w:type="dxa"/>
          </w:tcPr>
          <w:p w14:paraId="3D32C984" w14:textId="2B0A5E3C" w:rsidR="003D0D24" w:rsidRPr="00D91094" w:rsidRDefault="003D0D24" w:rsidP="00D2704D">
            <w:pPr>
              <w:widowControl w:val="0"/>
              <w:suppressAutoHyphens/>
              <w:autoSpaceDE w:val="0"/>
              <w:autoSpaceDN w:val="0"/>
              <w:adjustRightInd w:val="0"/>
              <w:rPr>
                <w:rFonts w:ascii="Times New Roman" w:hAnsi="Times New Roman" w:cs="Times New Roman"/>
                <w:iCs/>
              </w:rPr>
            </w:pPr>
            <w:r>
              <w:rPr>
                <w:rFonts w:ascii="Times New Roman" w:hAnsi="Times New Roman" w:cs="Times New Roman"/>
                <w:iCs/>
              </w:rPr>
              <w:t>a</w:t>
            </w:r>
            <w:r w:rsidRPr="00D91094">
              <w:rPr>
                <w:rFonts w:ascii="Times New Roman" w:hAnsi="Times New Roman" w:cs="Times New Roman"/>
                <w:iCs/>
              </w:rPr>
              <w:t xml:space="preserve"> rapamicin mechanisztikus célpontjának (mTOR) gátlói</w:t>
            </w:r>
          </w:p>
        </w:tc>
        <w:tc>
          <w:tcPr>
            <w:tcW w:w="4898" w:type="dxa"/>
          </w:tcPr>
          <w:p w14:paraId="6069988E" w14:textId="77777777" w:rsidR="003D0D24" w:rsidRPr="00D91094" w:rsidRDefault="003D0D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 mTOR-gátlók, mint a szirolimusz, a temszirolimusz és az everolimusz CYP3A-szubsztrátok. Az amlodipin gyenge CYP3A-inhibitor. Az amlodipin egyidejű adása mTOR-gátlókkal emelheti az mTOR-gátlók expozícióját.</w:t>
            </w:r>
          </w:p>
        </w:tc>
      </w:tr>
    </w:tbl>
    <w:p w14:paraId="191ECA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D398F0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Óvatosságot igénylő kombinációk</w:t>
      </w:r>
    </w:p>
    <w:p w14:paraId="34314F5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tbl>
      <w:tblPr>
        <w:tblStyle w:val="Rcsostblzat"/>
        <w:tblW w:w="9351" w:type="dxa"/>
        <w:tblLook w:val="04A0" w:firstRow="1" w:lastRow="0" w:firstColumn="1" w:lastColumn="0" w:noHBand="0" w:noVBand="1"/>
      </w:tblPr>
      <w:tblGrid>
        <w:gridCol w:w="2282"/>
        <w:gridCol w:w="2368"/>
        <w:gridCol w:w="4701"/>
      </w:tblGrid>
      <w:tr w:rsidR="00716545" w:rsidRPr="00D91094" w14:paraId="31D864A8" w14:textId="77777777" w:rsidTr="004C51F4">
        <w:tc>
          <w:tcPr>
            <w:tcW w:w="2282" w:type="dxa"/>
          </w:tcPr>
          <w:p w14:paraId="62BCCAB6" w14:textId="77777777" w:rsidR="00716545" w:rsidRPr="00B0234E" w:rsidRDefault="00716545" w:rsidP="00D2704D">
            <w:pPr>
              <w:widowControl w:val="0"/>
              <w:suppressAutoHyphens/>
              <w:autoSpaceDE w:val="0"/>
              <w:autoSpaceDN w:val="0"/>
              <w:adjustRightInd w:val="0"/>
              <w:rPr>
                <w:rFonts w:ascii="Times New Roman" w:hAnsi="Times New Roman" w:cs="Times New Roman"/>
                <w:b/>
              </w:rPr>
            </w:pPr>
            <w:r w:rsidRPr="00B0234E">
              <w:rPr>
                <w:rFonts w:ascii="Times New Roman" w:hAnsi="Times New Roman" w:cs="Times New Roman"/>
                <w:b/>
              </w:rPr>
              <w:t>Gyógyszerkomponens</w:t>
            </w:r>
          </w:p>
        </w:tc>
        <w:tc>
          <w:tcPr>
            <w:tcW w:w="2368" w:type="dxa"/>
          </w:tcPr>
          <w:p w14:paraId="7FB9A4B8" w14:textId="77777777" w:rsidR="00716545" w:rsidRPr="00B0234E" w:rsidRDefault="00716545" w:rsidP="00D2704D">
            <w:pPr>
              <w:widowControl w:val="0"/>
              <w:suppressAutoHyphens/>
              <w:autoSpaceDE w:val="0"/>
              <w:autoSpaceDN w:val="0"/>
              <w:adjustRightInd w:val="0"/>
              <w:rPr>
                <w:rFonts w:ascii="Times New Roman" w:hAnsi="Times New Roman" w:cs="Times New Roman"/>
                <w:b/>
              </w:rPr>
            </w:pPr>
            <w:r w:rsidRPr="00B0234E">
              <w:rPr>
                <w:rFonts w:ascii="Times New Roman" w:hAnsi="Times New Roman" w:cs="Times New Roman"/>
                <w:b/>
              </w:rPr>
              <w:t>Mivel lép kölcsönhatásba</w:t>
            </w:r>
          </w:p>
        </w:tc>
        <w:tc>
          <w:tcPr>
            <w:tcW w:w="4701" w:type="dxa"/>
          </w:tcPr>
          <w:p w14:paraId="0FF129AC"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B0234E">
              <w:rPr>
                <w:rFonts w:ascii="Times New Roman" w:hAnsi="Times New Roman" w:cs="Times New Roman"/>
                <w:b/>
              </w:rPr>
              <w:t>Az interakció leírása</w:t>
            </w:r>
          </w:p>
        </w:tc>
      </w:tr>
      <w:tr w:rsidR="004C51F4" w:rsidRPr="00D91094" w14:paraId="41AEBF94" w14:textId="77777777" w:rsidTr="004C51F4">
        <w:tc>
          <w:tcPr>
            <w:tcW w:w="2282" w:type="dxa"/>
            <w:vMerge w:val="restart"/>
          </w:tcPr>
          <w:p w14:paraId="559A4B36" w14:textId="77777777" w:rsidR="004C51F4" w:rsidRPr="00D91094" w:rsidRDefault="004C51F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2368" w:type="dxa"/>
          </w:tcPr>
          <w:p w14:paraId="1B4429B7" w14:textId="47CDDC98" w:rsidR="004C51F4" w:rsidRPr="00D91094" w:rsidRDefault="004C51F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v</w:t>
            </w:r>
            <w:r w:rsidRPr="00D91094">
              <w:rPr>
                <w:rFonts w:ascii="Times New Roman" w:hAnsi="Times New Roman" w:cs="Times New Roman"/>
              </w:rPr>
              <w:t>érnyomáscsökkentők és értágítók</w:t>
            </w:r>
          </w:p>
        </w:tc>
        <w:tc>
          <w:tcPr>
            <w:tcW w:w="4701" w:type="dxa"/>
          </w:tcPr>
          <w:p w14:paraId="210115D1"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rPr>
              <w:t>E szerek együttes alkalmazása fokozhatja a perindopril vérnyomáscsökkentő hatását. Nitroglicerinnel vagy más nitrátokkal kombinációban alkalmazva vagy egyéb vazodilátorral kombinálva további vérnyomásesés következhet be.</w:t>
            </w:r>
          </w:p>
        </w:tc>
      </w:tr>
      <w:tr w:rsidR="004C51F4" w:rsidRPr="00D91094" w14:paraId="605845C5" w14:textId="77777777" w:rsidTr="004C51F4">
        <w:tc>
          <w:tcPr>
            <w:tcW w:w="2282" w:type="dxa"/>
            <w:vMerge/>
          </w:tcPr>
          <w:p w14:paraId="67F863A2"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p>
        </w:tc>
        <w:tc>
          <w:tcPr>
            <w:tcW w:w="2368" w:type="dxa"/>
          </w:tcPr>
          <w:p w14:paraId="3F133A02" w14:textId="3F9480EB" w:rsidR="004C51F4" w:rsidRPr="00D91094" w:rsidRDefault="004C51F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a</w:t>
            </w:r>
            <w:r w:rsidRPr="00D91094">
              <w:rPr>
                <w:rFonts w:ascii="Times New Roman" w:hAnsi="Times New Roman" w:cs="Times New Roman"/>
              </w:rPr>
              <w:t>llopurinol, citosztatikumok, immunszuppresszív szerek, szisztémás kortikoszteroidok vagy prokainamid</w:t>
            </w:r>
          </w:p>
        </w:tc>
        <w:tc>
          <w:tcPr>
            <w:tcW w:w="4701" w:type="dxa"/>
          </w:tcPr>
          <w:p w14:paraId="5FA537BD"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rPr>
              <w:t>ACE-gátlóval történő együttadásuk növeli a leukopenia kialakulásának valószínűségét (lásd 4.4 pont)</w:t>
            </w:r>
            <w:r>
              <w:rPr>
                <w:rFonts w:ascii="Times New Roman" w:hAnsi="Times New Roman" w:cs="Times New Roman"/>
              </w:rPr>
              <w:t>.</w:t>
            </w:r>
          </w:p>
        </w:tc>
      </w:tr>
      <w:tr w:rsidR="004C51F4" w:rsidRPr="00D91094" w14:paraId="6604EF45" w14:textId="77777777" w:rsidTr="004C51F4">
        <w:tc>
          <w:tcPr>
            <w:tcW w:w="2282" w:type="dxa"/>
            <w:vMerge/>
          </w:tcPr>
          <w:p w14:paraId="357976ED"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p>
        </w:tc>
        <w:tc>
          <w:tcPr>
            <w:tcW w:w="2368" w:type="dxa"/>
          </w:tcPr>
          <w:p w14:paraId="0FD42C34" w14:textId="3F229F12" w:rsidR="004C51F4" w:rsidRPr="00D91094" w:rsidRDefault="004C51F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a</w:t>
            </w:r>
            <w:r w:rsidRPr="00D91094">
              <w:rPr>
                <w:rFonts w:ascii="Times New Roman" w:hAnsi="Times New Roman" w:cs="Times New Roman"/>
              </w:rPr>
              <w:t>nesztetikumok</w:t>
            </w:r>
          </w:p>
        </w:tc>
        <w:tc>
          <w:tcPr>
            <w:tcW w:w="4701" w:type="dxa"/>
          </w:tcPr>
          <w:p w14:paraId="59B09304" w14:textId="2E3D5E5D" w:rsidR="004C51F4" w:rsidRPr="00D91094" w:rsidRDefault="004C51F4" w:rsidP="00D2704D">
            <w:pPr>
              <w:widowControl w:val="0"/>
              <w:suppressAutoHyphens/>
              <w:autoSpaceDE w:val="0"/>
              <w:autoSpaceDN w:val="0"/>
              <w:adjustRightInd w:val="0"/>
              <w:rPr>
                <w:rFonts w:ascii="Times New Roman" w:hAnsi="Times New Roman" w:cs="Times New Roman"/>
                <w:b/>
              </w:rPr>
            </w:pPr>
            <w:r>
              <w:rPr>
                <w:rFonts w:ascii="Times New Roman" w:hAnsi="Times New Roman" w:cs="Times New Roman"/>
              </w:rPr>
              <w:t>A</w:t>
            </w:r>
            <w:r w:rsidRPr="00D91094">
              <w:rPr>
                <w:rFonts w:ascii="Times New Roman" w:hAnsi="Times New Roman" w:cs="Times New Roman"/>
              </w:rPr>
              <w:t xml:space="preserve">z ACE-gátlók bizonyos típusú anesztetikumok </w:t>
            </w:r>
            <w:r w:rsidRPr="00D91094">
              <w:rPr>
                <w:rFonts w:ascii="Times New Roman" w:hAnsi="Times New Roman" w:cs="Times New Roman"/>
              </w:rPr>
              <w:lastRenderedPageBreak/>
              <w:t>vérnyomáscsökkentő hatását fokozhatják (lásd 4.4 pont).</w:t>
            </w:r>
          </w:p>
        </w:tc>
      </w:tr>
      <w:tr w:rsidR="004C51F4" w:rsidRPr="00D91094" w14:paraId="14EA4240" w14:textId="77777777" w:rsidTr="004C51F4">
        <w:tc>
          <w:tcPr>
            <w:tcW w:w="2282" w:type="dxa"/>
            <w:vMerge/>
          </w:tcPr>
          <w:p w14:paraId="665C1CB4"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p>
        </w:tc>
        <w:tc>
          <w:tcPr>
            <w:tcW w:w="2368" w:type="dxa"/>
          </w:tcPr>
          <w:p w14:paraId="76C62225" w14:textId="0359F40D" w:rsidR="004C51F4"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s</w:t>
            </w:r>
            <w:r w:rsidRPr="00D91094">
              <w:rPr>
                <w:rFonts w:ascii="Times New Roman" w:hAnsi="Times New Roman" w:cs="Times New Roman"/>
              </w:rPr>
              <w:t>zimpatomimetikumok</w:t>
            </w:r>
          </w:p>
        </w:tc>
        <w:tc>
          <w:tcPr>
            <w:tcW w:w="4701" w:type="dxa"/>
          </w:tcPr>
          <w:p w14:paraId="2A18CFD7" w14:textId="77777777" w:rsidR="004C51F4" w:rsidRPr="00D91094" w:rsidRDefault="004C51F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szimpatomimetikumok mérsékelhetik az ACE-gátlók vérnyomáscsökkentő hatását.</w:t>
            </w:r>
          </w:p>
        </w:tc>
      </w:tr>
      <w:tr w:rsidR="004C51F4" w:rsidRPr="00D91094" w14:paraId="4DF88CDB" w14:textId="77777777" w:rsidTr="004C51F4">
        <w:tc>
          <w:tcPr>
            <w:tcW w:w="2282" w:type="dxa"/>
            <w:vMerge/>
          </w:tcPr>
          <w:p w14:paraId="79FC4E3D" w14:textId="77777777" w:rsidR="004C51F4" w:rsidRPr="00D91094" w:rsidRDefault="004C51F4" w:rsidP="00D2704D">
            <w:pPr>
              <w:widowControl w:val="0"/>
              <w:suppressAutoHyphens/>
              <w:autoSpaceDE w:val="0"/>
              <w:autoSpaceDN w:val="0"/>
              <w:adjustRightInd w:val="0"/>
              <w:rPr>
                <w:rFonts w:ascii="Times New Roman" w:hAnsi="Times New Roman" w:cs="Times New Roman"/>
                <w:b/>
              </w:rPr>
            </w:pPr>
          </w:p>
        </w:tc>
        <w:tc>
          <w:tcPr>
            <w:tcW w:w="2368" w:type="dxa"/>
          </w:tcPr>
          <w:p w14:paraId="5F5274D1" w14:textId="2CF4372B" w:rsidR="004C51F4"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a</w:t>
            </w:r>
            <w:r w:rsidRPr="00D91094">
              <w:rPr>
                <w:rFonts w:ascii="Times New Roman" w:hAnsi="Times New Roman" w:cs="Times New Roman"/>
              </w:rPr>
              <w:t>rany</w:t>
            </w:r>
          </w:p>
        </w:tc>
        <w:tc>
          <w:tcPr>
            <w:tcW w:w="4701" w:type="dxa"/>
          </w:tcPr>
          <w:p w14:paraId="79585D19" w14:textId="77777777" w:rsidR="004C51F4" w:rsidRPr="00D91094" w:rsidRDefault="004C51F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Azon betegek esetében, akiket injekciós aranykészítményekkel (Na-aurotiomalát) és egyidejűleg ACE-gátlóval – a perindoprilt beleértve – is kezeltek, ritkán nitritoid reakciókról számoltak be (tünetei: az orcák kipirulása, émelygés, hányás, vérnyomásesés).</w:t>
            </w:r>
          </w:p>
        </w:tc>
      </w:tr>
      <w:tr w:rsidR="00716545" w:rsidRPr="00D91094" w14:paraId="610442E1" w14:textId="77777777" w:rsidTr="004C51F4">
        <w:tc>
          <w:tcPr>
            <w:tcW w:w="2282" w:type="dxa"/>
            <w:vMerge w:val="restart"/>
          </w:tcPr>
          <w:p w14:paraId="5340824D"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w:t>
            </w:r>
          </w:p>
        </w:tc>
        <w:tc>
          <w:tcPr>
            <w:tcW w:w="2368" w:type="dxa"/>
          </w:tcPr>
          <w:p w14:paraId="6CD3AE85" w14:textId="2FF5390D"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áliummegtakarító diuretikumok (amilorid, spironolakton, triamteren)</w:t>
            </w:r>
          </w:p>
        </w:tc>
        <w:tc>
          <w:tcPr>
            <w:tcW w:w="4701" w:type="dxa"/>
          </w:tcPr>
          <w:p w14:paraId="0FDB096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Bár néhány betegnél ésszerű kombinációban történő alkalmazása hasznos lehet, hypokalaemia vagy hyperkalaemia (főleg veseelégtelenségben szenvedő vagy diabeteses betegeknél) így is bekövetkezhet. A plazmakáliumszint és az EKG monitorozása szükséges, és amennyiben indokolt, a kezelést felül kell vizsgálni.</w:t>
            </w:r>
          </w:p>
        </w:tc>
      </w:tr>
      <w:tr w:rsidR="00716545" w:rsidRPr="00D91094" w14:paraId="377D8B51" w14:textId="77777777" w:rsidTr="004C51F4">
        <w:tc>
          <w:tcPr>
            <w:tcW w:w="2282" w:type="dxa"/>
            <w:vMerge/>
          </w:tcPr>
          <w:p w14:paraId="7B868DBF"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2368" w:type="dxa"/>
          </w:tcPr>
          <w:p w14:paraId="73F8DAAF" w14:textId="6D9A65B0"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m</w:t>
            </w:r>
            <w:r w:rsidR="00716545" w:rsidRPr="00D91094">
              <w:rPr>
                <w:rFonts w:ascii="Times New Roman" w:hAnsi="Times New Roman" w:cs="Times New Roman"/>
              </w:rPr>
              <w:t>etformin</w:t>
            </w:r>
          </w:p>
        </w:tc>
        <w:tc>
          <w:tcPr>
            <w:tcW w:w="4701" w:type="dxa"/>
          </w:tcPr>
          <w:p w14:paraId="2CEA66FC"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Diuretikum (elsősorban kacsdiuretikum) alkalmazása kapcsán jelentkező funkcionális veseelégtelenség esetén fokozott a metformin okozta laktátacidózis rizikója. A metformin alkalmazása kerülendő, ha a szérum kreatininszintje meghaladja a 15 mg/l-t (135 </w:t>
            </w:r>
            <w:r w:rsidRPr="00D91094">
              <w:rPr>
                <w:rFonts w:ascii="Times New Roman" w:hAnsi="Times New Roman" w:cs="Times New Roman"/>
                <w:iCs/>
              </w:rPr>
              <w:t>mikro</w:t>
            </w:r>
            <w:r w:rsidRPr="00D91094">
              <w:rPr>
                <w:rFonts w:ascii="Times New Roman" w:hAnsi="Times New Roman" w:cs="Times New Roman"/>
              </w:rPr>
              <w:t>mol/l) férfiaknál, ill. 12 mg/l-t (110 </w:t>
            </w:r>
            <w:r w:rsidRPr="00D91094">
              <w:rPr>
                <w:rFonts w:ascii="Times New Roman" w:hAnsi="Times New Roman" w:cs="Times New Roman"/>
                <w:iCs/>
              </w:rPr>
              <w:t>mikro</w:t>
            </w:r>
            <w:r w:rsidRPr="00D91094">
              <w:rPr>
                <w:rFonts w:ascii="Times New Roman" w:hAnsi="Times New Roman" w:cs="Times New Roman"/>
              </w:rPr>
              <w:t>mol/l) nőknél.</w:t>
            </w:r>
          </w:p>
        </w:tc>
      </w:tr>
      <w:tr w:rsidR="00716545" w:rsidRPr="00D91094" w14:paraId="4ED9FD97" w14:textId="77777777" w:rsidTr="004C51F4">
        <w:tc>
          <w:tcPr>
            <w:tcW w:w="2282" w:type="dxa"/>
            <w:vMerge/>
          </w:tcPr>
          <w:p w14:paraId="66567DFC"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2368" w:type="dxa"/>
          </w:tcPr>
          <w:p w14:paraId="1F2C2B67" w14:textId="573BF318"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j</w:t>
            </w:r>
            <w:r w:rsidR="00716545" w:rsidRPr="00D91094">
              <w:rPr>
                <w:rFonts w:ascii="Times New Roman" w:hAnsi="Times New Roman" w:cs="Times New Roman"/>
              </w:rPr>
              <w:t>ódtartalmú kontrasztanyagok</w:t>
            </w:r>
          </w:p>
        </w:tc>
        <w:tc>
          <w:tcPr>
            <w:tcW w:w="4701" w:type="dxa"/>
          </w:tcPr>
          <w:p w14:paraId="7C89D5BF"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Diuretikum okozta dehidráció esetén fokozott az akut veseelégtelenség rizikója, főleg olyankor, ha nagy dózisú, jódtartalmú kontrasztanyagot alkalmaznak. A jódtartalmú készítmény beadása előtt rehidrálás szükséges.</w:t>
            </w:r>
          </w:p>
        </w:tc>
      </w:tr>
      <w:tr w:rsidR="00716545" w:rsidRPr="00D91094" w14:paraId="3716346B" w14:textId="77777777" w:rsidTr="004C51F4">
        <w:tc>
          <w:tcPr>
            <w:tcW w:w="2282" w:type="dxa"/>
            <w:vMerge/>
          </w:tcPr>
          <w:p w14:paraId="1BE277C7"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2368" w:type="dxa"/>
          </w:tcPr>
          <w:p w14:paraId="5A19D2AD" w14:textId="31E9B7C3"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alcium (sók)</w:t>
            </w:r>
          </w:p>
        </w:tc>
        <w:tc>
          <w:tcPr>
            <w:tcW w:w="4701" w:type="dxa"/>
          </w:tcPr>
          <w:p w14:paraId="2BB41855"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vizelettel történő kalcium-kiválasztás csökkenése miatt fokozódik a hypercalcaemia rizikója</w:t>
            </w:r>
            <w:r w:rsidR="004C51F4">
              <w:rPr>
                <w:rFonts w:ascii="Times New Roman" w:hAnsi="Times New Roman" w:cs="Times New Roman"/>
              </w:rPr>
              <w:t>.</w:t>
            </w:r>
          </w:p>
        </w:tc>
      </w:tr>
      <w:tr w:rsidR="00716545" w:rsidRPr="00D91094" w14:paraId="6FAF5066" w14:textId="77777777" w:rsidTr="004C51F4">
        <w:tc>
          <w:tcPr>
            <w:tcW w:w="2282" w:type="dxa"/>
            <w:vMerge/>
          </w:tcPr>
          <w:p w14:paraId="69E5C7E8"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2368" w:type="dxa"/>
          </w:tcPr>
          <w:p w14:paraId="2F3303B9" w14:textId="6E3B77B9"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c</w:t>
            </w:r>
            <w:r w:rsidR="00716545" w:rsidRPr="00D91094">
              <w:rPr>
                <w:rFonts w:ascii="Times New Roman" w:hAnsi="Times New Roman" w:cs="Times New Roman"/>
              </w:rPr>
              <w:t>iklosporin, takrolimusz</w:t>
            </w:r>
          </w:p>
        </w:tc>
        <w:tc>
          <w:tcPr>
            <w:tcW w:w="4701" w:type="dxa"/>
          </w:tcPr>
          <w:p w14:paraId="53228E06" w14:textId="7A6CE3C6" w:rsidR="00716545" w:rsidRPr="00D91094" w:rsidRDefault="00716545" w:rsidP="00996D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szérum</w:t>
            </w:r>
            <w:r w:rsidR="00996DF4">
              <w:rPr>
                <w:rFonts w:ascii="Times New Roman" w:hAnsi="Times New Roman" w:cs="Times New Roman"/>
              </w:rPr>
              <w:t>-</w:t>
            </w:r>
            <w:r w:rsidRPr="00D91094">
              <w:rPr>
                <w:rFonts w:ascii="Times New Roman" w:hAnsi="Times New Roman" w:cs="Times New Roman"/>
              </w:rPr>
              <w:t>kreatininszint emelkedhet a keringő ciklosporinszint változása nélkül, víz-, illetve nátriumdepléció hiányában is.</w:t>
            </w:r>
          </w:p>
        </w:tc>
      </w:tr>
      <w:tr w:rsidR="00716545" w:rsidRPr="00D91094" w14:paraId="125CDD26" w14:textId="77777777" w:rsidTr="004C51F4">
        <w:tc>
          <w:tcPr>
            <w:tcW w:w="2282" w:type="dxa"/>
            <w:vMerge/>
          </w:tcPr>
          <w:p w14:paraId="33AC3930"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p>
        </w:tc>
        <w:tc>
          <w:tcPr>
            <w:tcW w:w="2368" w:type="dxa"/>
          </w:tcPr>
          <w:p w14:paraId="711AC212" w14:textId="3E6B0E9A"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ortikoszteroidok, tetrakozaktid (szisztémás adagolás)</w:t>
            </w:r>
          </w:p>
        </w:tc>
        <w:tc>
          <w:tcPr>
            <w:tcW w:w="4701" w:type="dxa"/>
          </w:tcPr>
          <w:p w14:paraId="2A94325D" w14:textId="2C1C0489"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bCs/>
                <w:iCs/>
              </w:rPr>
              <w:t>C</w:t>
            </w:r>
            <w:r w:rsidRPr="00D91094">
              <w:rPr>
                <w:rFonts w:ascii="Times New Roman" w:hAnsi="Times New Roman" w:cs="Times New Roman"/>
              </w:rPr>
              <w:t>sökken az antihypertensiv hatás (fokozott víz-</w:t>
            </w:r>
            <w:r w:rsidR="004C51F4">
              <w:rPr>
                <w:rFonts w:ascii="Times New Roman" w:hAnsi="Times New Roman" w:cs="Times New Roman"/>
              </w:rPr>
              <w:t xml:space="preserve">és </w:t>
            </w:r>
            <w:r w:rsidRPr="00D91094">
              <w:rPr>
                <w:rFonts w:ascii="Times New Roman" w:hAnsi="Times New Roman" w:cs="Times New Roman"/>
              </w:rPr>
              <w:t>nátriumretenció a kortikoszteroid hatása következtében).</w:t>
            </w:r>
          </w:p>
        </w:tc>
      </w:tr>
      <w:tr w:rsidR="00716545" w:rsidRPr="00D91094" w14:paraId="03C031A1" w14:textId="77777777" w:rsidTr="004C51F4">
        <w:tc>
          <w:tcPr>
            <w:tcW w:w="2282" w:type="dxa"/>
          </w:tcPr>
          <w:p w14:paraId="0F9CB999" w14:textId="77777777" w:rsidR="00716545" w:rsidRPr="00D91094" w:rsidRDefault="00716545" w:rsidP="00D2704D">
            <w:pPr>
              <w:widowControl w:val="0"/>
              <w:suppressAutoHyphens/>
              <w:autoSpaceDE w:val="0"/>
              <w:autoSpaceDN w:val="0"/>
              <w:adjustRightInd w:val="0"/>
              <w:rPr>
                <w:rFonts w:ascii="Times New Roman" w:hAnsi="Times New Roman" w:cs="Times New Roman"/>
                <w:b/>
              </w:rPr>
            </w:pPr>
            <w:r w:rsidRPr="00D91094">
              <w:rPr>
                <w:rFonts w:ascii="Times New Roman" w:hAnsi="Times New Roman" w:cs="Times New Roman"/>
              </w:rPr>
              <w:t>perindopril/indapamid</w:t>
            </w:r>
          </w:p>
        </w:tc>
        <w:tc>
          <w:tcPr>
            <w:tcW w:w="2368" w:type="dxa"/>
          </w:tcPr>
          <w:p w14:paraId="0A88DE4E" w14:textId="49E6C666"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iCs/>
              </w:rPr>
              <w:t>i</w:t>
            </w:r>
            <w:r w:rsidR="00716545" w:rsidRPr="00D91094">
              <w:rPr>
                <w:rFonts w:ascii="Times New Roman" w:hAnsi="Times New Roman" w:cs="Times New Roman"/>
                <w:iCs/>
              </w:rPr>
              <w:t>mipramin-típusú (triciklusos) antidepresszánsok, neuroleptikumok</w:t>
            </w:r>
          </w:p>
        </w:tc>
        <w:tc>
          <w:tcPr>
            <w:tcW w:w="4701" w:type="dxa"/>
          </w:tcPr>
          <w:p w14:paraId="3FC500E5" w14:textId="35560D99" w:rsidR="00716545" w:rsidRPr="00D91094" w:rsidRDefault="00716545" w:rsidP="004C51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iCs/>
              </w:rPr>
              <w:t xml:space="preserve">A vérnyomáscsökkentő hatás fokozódik, fennáll az orthostaticus </w:t>
            </w:r>
            <w:r w:rsidRPr="00D91094">
              <w:rPr>
                <w:rFonts w:ascii="Times New Roman" w:hAnsi="Times New Roman" w:cs="Times New Roman"/>
              </w:rPr>
              <w:t>hypotonia</w:t>
            </w:r>
            <w:r w:rsidRPr="00D91094">
              <w:rPr>
                <w:rFonts w:ascii="Times New Roman" w:hAnsi="Times New Roman" w:cs="Times New Roman"/>
                <w:iCs/>
              </w:rPr>
              <w:t xml:space="preserve"> </w:t>
            </w:r>
            <w:r w:rsidR="004C51F4">
              <w:rPr>
                <w:rFonts w:ascii="Times New Roman" w:hAnsi="Times New Roman" w:cs="Times New Roman"/>
                <w:iCs/>
              </w:rPr>
              <w:t>kockázata</w:t>
            </w:r>
            <w:r w:rsidRPr="00D91094">
              <w:rPr>
                <w:rFonts w:ascii="Times New Roman" w:hAnsi="Times New Roman" w:cs="Times New Roman"/>
                <w:iCs/>
              </w:rPr>
              <w:t xml:space="preserve"> (additív hatás).</w:t>
            </w:r>
          </w:p>
        </w:tc>
      </w:tr>
      <w:tr w:rsidR="00716545" w:rsidRPr="00D91094" w14:paraId="6DD49092" w14:textId="77777777" w:rsidTr="004C51F4">
        <w:tc>
          <w:tcPr>
            <w:tcW w:w="2282" w:type="dxa"/>
            <w:vMerge w:val="restart"/>
          </w:tcPr>
          <w:p w14:paraId="7F3C9832" w14:textId="3725508D" w:rsidR="00716545" w:rsidRPr="00D91094" w:rsidRDefault="00863E4A"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amlodipin</w:t>
            </w:r>
          </w:p>
        </w:tc>
        <w:tc>
          <w:tcPr>
            <w:tcW w:w="2368" w:type="dxa"/>
          </w:tcPr>
          <w:p w14:paraId="52A7A488" w14:textId="60A1AE7C" w:rsidR="00716545" w:rsidRPr="00D91094" w:rsidRDefault="004C51F4" w:rsidP="004C51F4">
            <w:pPr>
              <w:widowControl w:val="0"/>
              <w:suppressAutoHyphens/>
              <w:autoSpaceDE w:val="0"/>
              <w:autoSpaceDN w:val="0"/>
              <w:adjustRightInd w:val="0"/>
              <w:rPr>
                <w:rFonts w:ascii="Times New Roman" w:hAnsi="Times New Roman" w:cs="Times New Roman"/>
              </w:rPr>
            </w:pPr>
            <w:r>
              <w:rPr>
                <w:rFonts w:ascii="Times New Roman" w:hAnsi="Times New Roman" w:cs="Times New Roman"/>
              </w:rPr>
              <w:t>e</w:t>
            </w:r>
            <w:r w:rsidR="00716545" w:rsidRPr="00D91094">
              <w:rPr>
                <w:rFonts w:ascii="Times New Roman" w:hAnsi="Times New Roman" w:cs="Times New Roman"/>
              </w:rPr>
              <w:t>gyéb antihypertensiv hatású gyógyszerek</w:t>
            </w:r>
          </w:p>
        </w:tc>
        <w:tc>
          <w:tcPr>
            <w:tcW w:w="4701" w:type="dxa"/>
          </w:tcPr>
          <w:p w14:paraId="045FE4AE" w14:textId="35AFAF27" w:rsidR="00716545" w:rsidRPr="00D91094" w:rsidRDefault="00716545" w:rsidP="004C51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 amlodipin vérnyomáscsökkentő hatása hozzáadódik az egyéb antihypertensiv hatású gyógyszerek vérnyomáscsökkentő hatásához</w:t>
            </w:r>
            <w:r w:rsidR="004C51F4">
              <w:rPr>
                <w:rFonts w:ascii="Times New Roman" w:hAnsi="Times New Roman" w:cs="Times New Roman"/>
              </w:rPr>
              <w:t>.</w:t>
            </w:r>
          </w:p>
        </w:tc>
      </w:tr>
      <w:tr w:rsidR="00716545" w:rsidRPr="00D91094" w14:paraId="72983F75" w14:textId="77777777" w:rsidTr="004C51F4">
        <w:tc>
          <w:tcPr>
            <w:tcW w:w="2282" w:type="dxa"/>
            <w:vMerge/>
          </w:tcPr>
          <w:p w14:paraId="0EBB1512"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368" w:type="dxa"/>
          </w:tcPr>
          <w:p w14:paraId="3A2419E6" w14:textId="2FDF386C"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c</w:t>
            </w:r>
            <w:r w:rsidR="00716545" w:rsidRPr="00D91094">
              <w:rPr>
                <w:rFonts w:ascii="Times New Roman" w:hAnsi="Times New Roman" w:cs="Times New Roman"/>
              </w:rPr>
              <w:t>iklosporin</w:t>
            </w:r>
          </w:p>
        </w:tc>
        <w:tc>
          <w:tcPr>
            <w:tcW w:w="4701" w:type="dxa"/>
          </w:tcPr>
          <w:p w14:paraId="1602558A"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Ciklosporinnal és amlodipinnel nem végeztek gyógyszerkölcsönhatási vizsgálatokat egészséges önkéntesek vagy más populációk körében, kivéve a vesetranszplantált betegeket, akiknél a ciklosporin mélyponti koncentrációjának változó növekedését (átlagosan 0–40%) figyelték meg. Amlodipin</w:t>
            </w:r>
            <w:r w:rsidRPr="00D91094">
              <w:rPr>
                <w:rFonts w:ascii="Times New Roman" w:hAnsi="Times New Roman" w:cs="Times New Roman"/>
              </w:rPr>
              <w:noBreakHyphen/>
              <w:t>kezelésben részesülő vesetranszplantált betegek esetében fontolóra kell venni a ciklosporinszintek monitorozását, és szükség esetén csökkenteni kell a ciklosporin dózisát.</w:t>
            </w:r>
          </w:p>
        </w:tc>
      </w:tr>
      <w:tr w:rsidR="00716545" w:rsidRPr="00D91094" w14:paraId="1C8C1E90" w14:textId="77777777" w:rsidTr="004C51F4">
        <w:tc>
          <w:tcPr>
            <w:tcW w:w="2282" w:type="dxa"/>
            <w:vMerge/>
          </w:tcPr>
          <w:p w14:paraId="55C771C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368" w:type="dxa"/>
          </w:tcPr>
          <w:p w14:paraId="5F64A5F3" w14:textId="21844521" w:rsidR="00716545" w:rsidRPr="00D91094" w:rsidRDefault="004C51F4" w:rsidP="00D2704D">
            <w:pPr>
              <w:widowControl w:val="0"/>
              <w:suppressAutoHyphens/>
              <w:autoSpaceDE w:val="0"/>
              <w:autoSpaceDN w:val="0"/>
              <w:adjustRightInd w:val="0"/>
              <w:rPr>
                <w:rFonts w:ascii="Times New Roman" w:hAnsi="Times New Roman" w:cs="Times New Roman"/>
              </w:rPr>
            </w:pPr>
            <w:r>
              <w:rPr>
                <w:rFonts w:ascii="Times New Roman" w:hAnsi="Times New Roman" w:cs="Times New Roman"/>
              </w:rPr>
              <w:t>s</w:t>
            </w:r>
            <w:r w:rsidR="00716545" w:rsidRPr="00D91094">
              <w:rPr>
                <w:rFonts w:ascii="Times New Roman" w:hAnsi="Times New Roman" w:cs="Times New Roman"/>
              </w:rPr>
              <w:t>zimvasztatin</w:t>
            </w:r>
          </w:p>
        </w:tc>
        <w:tc>
          <w:tcPr>
            <w:tcW w:w="4701" w:type="dxa"/>
          </w:tcPr>
          <w:p w14:paraId="333F4022" w14:textId="02048294" w:rsidR="00716545" w:rsidRPr="00D91094" w:rsidRDefault="00716545" w:rsidP="004C51F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10 mg amlodipin többszöri alkalmazása 80 mg szimvasztatin egyidejű szedése mellett 77%-kal emelte a szimvasztatin-expozíciót, az önmagában adagolt szimvasztatinnal összehasonlítva. Ezért az amlodipinnel kezelt betegek napi szimvasztatin d</w:t>
            </w:r>
            <w:r w:rsidR="004C51F4">
              <w:rPr>
                <w:rFonts w:ascii="Times New Roman" w:hAnsi="Times New Roman" w:cs="Times New Roman"/>
              </w:rPr>
              <w:t>ózis</w:t>
            </w:r>
            <w:r w:rsidRPr="00D91094">
              <w:rPr>
                <w:rFonts w:ascii="Times New Roman" w:hAnsi="Times New Roman" w:cs="Times New Roman"/>
              </w:rPr>
              <w:t>át 20 mg-ra kell csökkenteni</w:t>
            </w:r>
            <w:r w:rsidR="004C51F4">
              <w:rPr>
                <w:rFonts w:ascii="Times New Roman" w:hAnsi="Times New Roman" w:cs="Times New Roman"/>
              </w:rPr>
              <w:t>.</w:t>
            </w:r>
          </w:p>
        </w:tc>
      </w:tr>
      <w:tr w:rsidR="00716545" w:rsidRPr="00D91094" w14:paraId="04FE9507" w14:textId="77777777" w:rsidTr="004C51F4">
        <w:tc>
          <w:tcPr>
            <w:tcW w:w="2282" w:type="dxa"/>
            <w:vMerge/>
          </w:tcPr>
          <w:p w14:paraId="467D355B"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2368" w:type="dxa"/>
          </w:tcPr>
          <w:p w14:paraId="4C74C2FE" w14:textId="02121D58" w:rsidR="00716545" w:rsidRPr="00D91094" w:rsidRDefault="004C51F4" w:rsidP="00D2704D">
            <w:pPr>
              <w:widowControl w:val="0"/>
              <w:suppressAutoHyphens/>
              <w:autoSpaceDE w:val="0"/>
              <w:autoSpaceDN w:val="0"/>
              <w:adjustRightInd w:val="0"/>
              <w:rPr>
                <w:rFonts w:ascii="Times New Roman" w:hAnsi="Times New Roman" w:cs="Times New Roman"/>
                <w:iCs/>
              </w:rPr>
            </w:pPr>
            <w:r>
              <w:rPr>
                <w:rFonts w:ascii="Times New Roman" w:hAnsi="Times New Roman" w:cs="Times New Roman"/>
                <w:iCs/>
              </w:rPr>
              <w:t>a</w:t>
            </w:r>
            <w:r w:rsidR="00716545" w:rsidRPr="00D91094">
              <w:rPr>
                <w:rFonts w:ascii="Times New Roman" w:hAnsi="Times New Roman" w:cs="Times New Roman"/>
                <w:iCs/>
              </w:rPr>
              <w:t>torvasztatin, digoxin, warfarin</w:t>
            </w:r>
          </w:p>
        </w:tc>
        <w:tc>
          <w:tcPr>
            <w:tcW w:w="4701" w:type="dxa"/>
          </w:tcPr>
          <w:p w14:paraId="3669696F"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Klinikai kölcsönhatás vizsgálatokban az amlodipin nem befolyásolta az atorvasztatin, a digoxin vagy a warfarin farmakokinetikáját.</w:t>
            </w:r>
          </w:p>
        </w:tc>
      </w:tr>
    </w:tbl>
    <w:p w14:paraId="35A7EEE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684169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4.6</w:t>
      </w:r>
      <w:r w:rsidRPr="00D91094">
        <w:rPr>
          <w:rFonts w:ascii="Times New Roman" w:hAnsi="Times New Roman" w:cs="Times New Roman"/>
          <w:b/>
          <w:bCs/>
        </w:rPr>
        <w:tab/>
        <w:t>Termékenység, terhesség és szoptatás</w:t>
      </w:r>
    </w:p>
    <w:p w14:paraId="1462709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F857E36" w14:textId="0BFC6794"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Vidonorm Kombi alkalmazása a terhesség első trimeszterében nem javasolt, a második és a harmadik trimeszterben pedig ellenjavallt.</w:t>
      </w:r>
    </w:p>
    <w:p w14:paraId="5F47AA0B" w14:textId="61F6D09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4C51F4">
        <w:rPr>
          <w:rFonts w:ascii="Times New Roman" w:hAnsi="Times New Roman" w:cs="Times New Roman"/>
        </w:rPr>
        <w:t xml:space="preserve">A Vidonorm Kombi alkalmazása szoptatás alatt </w:t>
      </w:r>
      <w:r w:rsidR="00050AE4">
        <w:rPr>
          <w:rFonts w:ascii="Times New Roman" w:hAnsi="Times New Roman" w:cs="Times New Roman"/>
        </w:rPr>
        <w:t>nem ajánlott</w:t>
      </w:r>
      <w:r w:rsidRPr="004C51F4">
        <w:rPr>
          <w:rFonts w:ascii="Times New Roman" w:hAnsi="Times New Roman" w:cs="Times New Roman"/>
        </w:rPr>
        <w:t>. Dönteni kell vagy a szoptatás, vagy a</w:t>
      </w:r>
      <w:r w:rsidRPr="00D91094">
        <w:rPr>
          <w:rFonts w:ascii="Times New Roman" w:hAnsi="Times New Roman" w:cs="Times New Roman"/>
        </w:rPr>
        <w:t xml:space="preserve"> Vidonorm Kombi-kezelés felfüggesztéséről, figyelembe véve a kezelés fontosságát az anya számára.</w:t>
      </w:r>
    </w:p>
    <w:p w14:paraId="5B534C5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5A3EE4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Terhesség</w:t>
      </w:r>
    </w:p>
    <w:p w14:paraId="1CFA249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35A912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Perindoprilhez kapcsolódóan</w:t>
      </w:r>
    </w:p>
    <w:p w14:paraId="047FF012" w14:textId="77777777" w:rsidR="00716545" w:rsidRPr="00D91094" w:rsidRDefault="00716545" w:rsidP="000931D5">
      <w:pPr>
        <w:widowControl w:val="0"/>
        <w:pBdr>
          <w:top w:val="single" w:sz="4" w:space="1" w:color="auto"/>
          <w:left w:val="single" w:sz="4" w:space="4" w:color="auto"/>
          <w:bottom w:val="single" w:sz="4" w:space="1" w:color="auto"/>
          <w:right w:val="single" w:sz="4" w:space="4" w:color="auto"/>
        </w:pBd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bCs/>
        </w:rPr>
        <w:t>Az ACE-gátlók alkalmazása a terhesség első trimeszterében</w:t>
      </w:r>
      <w:r w:rsidRPr="00D91094">
        <w:rPr>
          <w:rFonts w:ascii="Times New Roman" w:hAnsi="Times New Roman" w:cs="Times New Roman"/>
          <w:b/>
          <w:bCs/>
        </w:rPr>
        <w:t xml:space="preserve"> </w:t>
      </w:r>
      <w:r w:rsidRPr="00D91094">
        <w:rPr>
          <w:rFonts w:ascii="Times New Roman" w:hAnsi="Times New Roman" w:cs="Times New Roman"/>
        </w:rPr>
        <w:t>nem javasolt</w:t>
      </w:r>
      <w:r w:rsidRPr="00D91094">
        <w:rPr>
          <w:rFonts w:ascii="Times New Roman" w:hAnsi="Times New Roman" w:cs="Times New Roman"/>
          <w:bCs/>
        </w:rPr>
        <w:t xml:space="preserve"> (lásd 4.4 pont).</w:t>
      </w:r>
    </w:p>
    <w:p w14:paraId="3B29A706" w14:textId="77777777" w:rsidR="00716545" w:rsidRDefault="00716545" w:rsidP="000931D5">
      <w:pPr>
        <w:widowControl w:val="0"/>
        <w:pBdr>
          <w:top w:val="single" w:sz="4" w:space="1" w:color="auto"/>
          <w:left w:val="single" w:sz="4" w:space="4" w:color="auto"/>
          <w:bottom w:val="single" w:sz="4" w:space="1" w:color="auto"/>
          <w:right w:val="single" w:sz="4" w:space="4" w:color="auto"/>
        </w:pBdr>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Az ACE-gátlók alkalmazása</w:t>
      </w:r>
      <w:r w:rsidRPr="00D91094">
        <w:rPr>
          <w:rFonts w:ascii="Times New Roman" w:hAnsi="Times New Roman" w:cs="Times New Roman"/>
          <w:b/>
          <w:bCs/>
        </w:rPr>
        <w:t xml:space="preserve"> </w:t>
      </w:r>
      <w:r w:rsidRPr="00D91094">
        <w:rPr>
          <w:rFonts w:ascii="Times New Roman" w:hAnsi="Times New Roman" w:cs="Times New Roman"/>
        </w:rPr>
        <w:t>ellenjavallt</w:t>
      </w:r>
      <w:r w:rsidRPr="00D91094">
        <w:rPr>
          <w:rFonts w:ascii="Times New Roman" w:hAnsi="Times New Roman" w:cs="Times New Roman"/>
          <w:b/>
          <w:bCs/>
        </w:rPr>
        <w:t xml:space="preserve"> </w:t>
      </w:r>
      <w:r w:rsidRPr="00D91094">
        <w:rPr>
          <w:rFonts w:ascii="Times New Roman" w:hAnsi="Times New Roman" w:cs="Times New Roman"/>
          <w:bCs/>
        </w:rPr>
        <w:t>a második és harmadik trimeszterben</w:t>
      </w:r>
      <w:r w:rsidRPr="000931D5">
        <w:rPr>
          <w:rFonts w:ascii="Times New Roman" w:hAnsi="Times New Roman" w:cs="Times New Roman"/>
          <w:bCs/>
        </w:rPr>
        <w:t xml:space="preserve"> </w:t>
      </w:r>
      <w:r w:rsidRPr="00D91094">
        <w:rPr>
          <w:rFonts w:ascii="Times New Roman" w:hAnsi="Times New Roman" w:cs="Times New Roman"/>
          <w:bCs/>
        </w:rPr>
        <w:t>(lásd 4.3 és 4.4 pont).</w:t>
      </w:r>
    </w:p>
    <w:p w14:paraId="47F96BC5" w14:textId="77777777" w:rsidR="004C51F4" w:rsidRPr="00D91094" w:rsidRDefault="004C51F4" w:rsidP="00716545">
      <w:pPr>
        <w:widowControl w:val="0"/>
        <w:suppressAutoHyphens/>
        <w:autoSpaceDE w:val="0"/>
        <w:autoSpaceDN w:val="0"/>
        <w:adjustRightInd w:val="0"/>
        <w:spacing w:after="0" w:line="240" w:lineRule="auto"/>
        <w:rPr>
          <w:rFonts w:ascii="Times New Roman" w:hAnsi="Times New Roman" w:cs="Times New Roman"/>
          <w:bCs/>
        </w:rPr>
      </w:pPr>
    </w:p>
    <w:p w14:paraId="46A82F3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Az ACE-gátlók első trimeszterben történő szedését követő teratogén kockázatra vonatkozó epidemiológiai bizonyíték nem egyértelmű, a kockázat kismértékű növekedése azonban nem zárható ki. Hacsak az ACE-gátlóval történő folyamatos kezelés nem elengedhetetlen, a terhességet tervező betegeket más, olyan antihypertensiv kezelésre kell átállítani, melynek biztonságossága terhességben alátámasztott. Az ACE-gátló szedését azonnal abba kell hagyni, amint terhességet állapítottak meg. Szükség esetén más, megfelelő kezelésre kell átállni.</w:t>
      </w:r>
    </w:p>
    <w:p w14:paraId="3D2767B5" w14:textId="54ACDE69"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Ismert, hogy ACE-gátlók második és harmadik trimeszterben történő szedése embern</w:t>
      </w:r>
      <w:r w:rsidR="004C51F4">
        <w:rPr>
          <w:rFonts w:ascii="Times New Roman" w:hAnsi="Times New Roman" w:cs="Times New Roman"/>
          <w:bCs/>
        </w:rPr>
        <w:t>él</w:t>
      </w:r>
      <w:r w:rsidRPr="00D91094">
        <w:rPr>
          <w:rFonts w:ascii="Times New Roman" w:hAnsi="Times New Roman" w:cs="Times New Roman"/>
          <w:bCs/>
        </w:rPr>
        <w:t xml:space="preserve"> magzatkárosodást (csökkent veseműködés, oligohydramnion, a koponya csontosodásának visszamaradása) és újszülöttkori toxicitást (veseelégtelenség, hypotonia, hyperkalaemia) okoz (lásd 5.3 pont).</w:t>
      </w:r>
    </w:p>
    <w:p w14:paraId="2BC25CBA" w14:textId="06DD4CC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Amennyiben az ACE-gátló szedése a terhesség második vagy harmadik trimeszterében történt, a vese és a koponya ultrahangos ellenőrzése javasolt. Az ACE-gátlót szedő anyák csecsemőit fokozottan meg kell figyelni hypotonia kialakulás</w:t>
      </w:r>
      <w:r w:rsidR="00996DF4">
        <w:rPr>
          <w:rFonts w:ascii="Times New Roman" w:hAnsi="Times New Roman" w:cs="Times New Roman"/>
          <w:bCs/>
        </w:rPr>
        <w:t>ának észlelése érdekében</w:t>
      </w:r>
      <w:r w:rsidRPr="00D91094">
        <w:rPr>
          <w:rFonts w:ascii="Times New Roman" w:hAnsi="Times New Roman" w:cs="Times New Roman"/>
          <w:bCs/>
        </w:rPr>
        <w:t xml:space="preserve"> (lásd 4.3, 4.4 pont).</w:t>
      </w:r>
    </w:p>
    <w:p w14:paraId="5A6C1A7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004051B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iCs/>
        </w:rPr>
      </w:pPr>
      <w:r w:rsidRPr="00D91094">
        <w:rPr>
          <w:rFonts w:ascii="Times New Roman" w:hAnsi="Times New Roman" w:cs="Times New Roman"/>
          <w:bCs/>
          <w:i/>
          <w:iCs/>
        </w:rPr>
        <w:t>Indapamidhoz kapcsolódóan</w:t>
      </w:r>
    </w:p>
    <w:p w14:paraId="3E8B0D47" w14:textId="72D6E73F"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Az indapamid terhes nőknél történő alkalmazása tekintetében nincs, vagy csak korlátozott mennyiségű információ (kevesebb mint 300 terhesség esetében) áll rendelkezésre. A terhesség harmadik trimesztere alatti tartós tiazid-expozíció csökkentheti az anyai plazmavolument és az uteroplacentalis vérellátást, ami foetoplacentalis ischaemiát idézhet elő, ezáltal károsíthatja a magzati fejlődést.</w:t>
      </w:r>
    </w:p>
    <w:p w14:paraId="7789410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Állatkísérletek nem igazoltak direkt vagy indirekt káros hatásokat a reproduktív toxicitás tekintetében (lásd 5.3 pont). Elővigyázatosságból az indapamid alkalmazása terhesség során kerülendő.</w:t>
      </w:r>
    </w:p>
    <w:p w14:paraId="679152E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4D27721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iCs/>
        </w:rPr>
      </w:pPr>
      <w:r w:rsidRPr="00D91094">
        <w:rPr>
          <w:rFonts w:ascii="Times New Roman" w:hAnsi="Times New Roman" w:cs="Times New Roman"/>
          <w:bCs/>
          <w:i/>
          <w:iCs/>
        </w:rPr>
        <w:t>Amlodipinhez kapcsolódóan</w:t>
      </w:r>
    </w:p>
    <w:p w14:paraId="7D51B3D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Terhes nőknél az amlodipin biztonságosságát nem bizonyították.</w:t>
      </w:r>
    </w:p>
    <w:p w14:paraId="426C9811" w14:textId="3972593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 xml:space="preserve">Állatkísérletekben </w:t>
      </w:r>
      <w:r w:rsidR="004C51F4">
        <w:rPr>
          <w:rFonts w:ascii="Times New Roman" w:hAnsi="Times New Roman" w:cs="Times New Roman"/>
          <w:bCs/>
        </w:rPr>
        <w:t>nagy</w:t>
      </w:r>
      <w:r w:rsidR="004C51F4" w:rsidRPr="00D91094">
        <w:rPr>
          <w:rFonts w:ascii="Times New Roman" w:hAnsi="Times New Roman" w:cs="Times New Roman"/>
          <w:bCs/>
        </w:rPr>
        <w:t xml:space="preserve"> </w:t>
      </w:r>
      <w:r w:rsidRPr="00D91094">
        <w:rPr>
          <w:rFonts w:ascii="Times New Roman" w:hAnsi="Times New Roman" w:cs="Times New Roman"/>
          <w:bCs/>
        </w:rPr>
        <w:t>dózisok esetében reprodukciós toxicitást figyeltek meg (lásd 5.3 pont).</w:t>
      </w:r>
    </w:p>
    <w:p w14:paraId="5B12AC1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 készítmény alkalmazása a terhesség ideje alatt csak akkor javasolt, ha nincs biztonságosabb alternatíva, és a betegség önmagában nagyobb kockázatot jelent az anya és a magzat számára.</w:t>
      </w:r>
    </w:p>
    <w:p w14:paraId="766138C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0ACD557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Szoptatás</w:t>
      </w:r>
    </w:p>
    <w:p w14:paraId="025457E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8BBF534" w14:textId="0C9C7FC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Vidonorm Kombi alkalmazása a szoptatás ideje alatt </w:t>
      </w:r>
      <w:r w:rsidR="00B13A8D">
        <w:rPr>
          <w:rFonts w:ascii="Times New Roman" w:hAnsi="Times New Roman" w:cs="Times New Roman"/>
          <w:bCs/>
        </w:rPr>
        <w:t>nem ajánlott.</w:t>
      </w:r>
    </w:p>
    <w:p w14:paraId="5DBABB0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FA53AE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Perindoprilhez kapcsolódóan</w:t>
      </w:r>
    </w:p>
    <w:p w14:paraId="60D0ACF1" w14:textId="6ADF3B40"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Mivel nem áll rendelkezésre adat a perindopril szoptatáskor történő alkalmazására vonatkozóan, a </w:t>
      </w:r>
      <w:r w:rsidRPr="00D91094">
        <w:rPr>
          <w:rFonts w:ascii="Times New Roman" w:hAnsi="Times New Roman" w:cs="Times New Roman"/>
        </w:rPr>
        <w:lastRenderedPageBreak/>
        <w:t>készítmény adása nem javasolt. Szoptatás alatt – különösen az újszülött vagy koraszülött szoptatása esetén – olyan készítményt kell előnyben részesíteni, melynek szoptatására vonatkozó biztonságossági profilja jobban alátámasztott.</w:t>
      </w:r>
    </w:p>
    <w:p w14:paraId="4087864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2A36F469" w14:textId="10F10269"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Indapamidh</w:t>
      </w:r>
      <w:r w:rsidR="004C51F4">
        <w:rPr>
          <w:rFonts w:ascii="Times New Roman" w:hAnsi="Times New Roman" w:cs="Times New Roman"/>
          <w:i/>
          <w:iCs/>
        </w:rPr>
        <w:t>o</w:t>
      </w:r>
      <w:r w:rsidRPr="00D91094">
        <w:rPr>
          <w:rFonts w:ascii="Times New Roman" w:hAnsi="Times New Roman" w:cs="Times New Roman"/>
          <w:i/>
          <w:iCs/>
        </w:rPr>
        <w:t>z kapcsolódóan</w:t>
      </w:r>
    </w:p>
    <w:p w14:paraId="194B36D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indapamid, illetve az indapamid metabolitjainak </w:t>
      </w:r>
      <w:r w:rsidRPr="00D91094">
        <w:rPr>
          <w:rFonts w:ascii="Times New Roman" w:hAnsi="Times New Roman" w:cs="Times New Roman"/>
          <w:iCs/>
        </w:rPr>
        <w:t>anyatejbe</w:t>
      </w:r>
      <w:r w:rsidRPr="00D91094">
        <w:rPr>
          <w:rFonts w:ascii="Times New Roman" w:hAnsi="Times New Roman" w:cs="Times New Roman"/>
        </w:rPr>
        <w:t xml:space="preserve"> történő </w:t>
      </w:r>
      <w:r w:rsidRPr="00D91094">
        <w:rPr>
          <w:rFonts w:ascii="Times New Roman" w:hAnsi="Times New Roman" w:cs="Times New Roman"/>
          <w:iCs/>
        </w:rPr>
        <w:t>kiválasztódásával</w:t>
      </w:r>
      <w:r w:rsidRPr="00D91094">
        <w:rPr>
          <w:rFonts w:ascii="Times New Roman" w:hAnsi="Times New Roman" w:cs="Times New Roman"/>
        </w:rPr>
        <w:t xml:space="preserve"> kapcsolatban </w:t>
      </w:r>
      <w:r w:rsidRPr="00D91094">
        <w:rPr>
          <w:rFonts w:ascii="Times New Roman" w:hAnsi="Times New Roman" w:cs="Times New Roman"/>
          <w:iCs/>
        </w:rPr>
        <w:t>nem áll rendelkezésre elegendő</w:t>
      </w:r>
      <w:r w:rsidRPr="00D91094">
        <w:rPr>
          <w:rFonts w:ascii="Times New Roman" w:hAnsi="Times New Roman" w:cs="Times New Roman"/>
        </w:rPr>
        <w:t xml:space="preserve"> </w:t>
      </w:r>
      <w:r w:rsidRPr="00D91094">
        <w:rPr>
          <w:rFonts w:ascii="Times New Roman" w:hAnsi="Times New Roman" w:cs="Times New Roman"/>
          <w:iCs/>
        </w:rPr>
        <w:t xml:space="preserve">információ. Szulfonamid-származékokkal szembeni túlérzékenység, hypokalaemia is előfordulhat. Az újszülöttre/csecsemőre nézve </w:t>
      </w:r>
      <w:r w:rsidRPr="00D91094">
        <w:rPr>
          <w:rFonts w:ascii="Times New Roman" w:hAnsi="Times New Roman" w:cs="Times New Roman"/>
        </w:rPr>
        <w:t xml:space="preserve">a </w:t>
      </w:r>
      <w:r w:rsidRPr="00D91094">
        <w:rPr>
          <w:rFonts w:ascii="Times New Roman" w:hAnsi="Times New Roman" w:cs="Times New Roman"/>
          <w:iCs/>
        </w:rPr>
        <w:t>kockázatot nem lehet kizárni</w:t>
      </w:r>
      <w:r w:rsidRPr="00D91094">
        <w:rPr>
          <w:rFonts w:ascii="Times New Roman" w:hAnsi="Times New Roman" w:cs="Times New Roman"/>
        </w:rPr>
        <w:t>.</w:t>
      </w:r>
    </w:p>
    <w:p w14:paraId="75838FA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indapamid a tiazid-típusú diuretikumokkal rokon vegyület, melyekről ismert, hogy hatásukra a laktáció csökkenhet vagy megszűnhet.</w:t>
      </w:r>
    </w:p>
    <w:p w14:paraId="532AC053" w14:textId="75B67AC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rPr>
        <w:t xml:space="preserve">Az indapamid szoptatás alatt </w:t>
      </w:r>
      <w:r w:rsidRPr="00D91094">
        <w:rPr>
          <w:rFonts w:ascii="Times New Roman" w:hAnsi="Times New Roman" w:cs="Times New Roman"/>
          <w:bCs/>
        </w:rPr>
        <w:t>.</w:t>
      </w:r>
      <w:r w:rsidR="0065016E">
        <w:rPr>
          <w:rFonts w:ascii="Times New Roman" w:hAnsi="Times New Roman" w:cs="Times New Roman"/>
          <w:bCs/>
        </w:rPr>
        <w:t>nem ajánlott</w:t>
      </w:r>
    </w:p>
    <w:p w14:paraId="2A21151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523293C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iCs/>
        </w:rPr>
      </w:pPr>
      <w:r w:rsidRPr="00D91094">
        <w:rPr>
          <w:rFonts w:ascii="Times New Roman" w:hAnsi="Times New Roman" w:cs="Times New Roman"/>
          <w:bCs/>
          <w:i/>
          <w:iCs/>
        </w:rPr>
        <w:t>Amlodipinhez kapcsolódóan</w:t>
      </w:r>
    </w:p>
    <w:p w14:paraId="795D231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kiválasztódik a humán anyatejbe. Becslések szerint a csecsemő által felvett dózis az anyai dózis 3-7%-os interkvartilis tartományában található, de legfeljebb 15%. Az amlodipin hatásai a csecsemőre nem ismertek.</w:t>
      </w:r>
    </w:p>
    <w:p w14:paraId="05193B9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40F2BA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Termékenység</w:t>
      </w:r>
    </w:p>
    <w:p w14:paraId="450B6B4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22078E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bookmarkStart w:id="3" w:name="_Hlk99551198"/>
      <w:r w:rsidRPr="00D91094">
        <w:rPr>
          <w:rFonts w:ascii="Times New Roman" w:hAnsi="Times New Roman" w:cs="Times New Roman"/>
          <w:i/>
          <w:iCs/>
        </w:rPr>
        <w:t xml:space="preserve">A perindoprilra és indapamidra </w:t>
      </w:r>
      <w:r w:rsidRPr="00D91094">
        <w:rPr>
          <w:rFonts w:ascii="Times New Roman" w:hAnsi="Times New Roman" w:cs="Times New Roman"/>
          <w:bCs/>
          <w:i/>
          <w:iCs/>
        </w:rPr>
        <w:t>vonatkozóan</w:t>
      </w:r>
    </w:p>
    <w:bookmarkEnd w:id="3"/>
    <w:p w14:paraId="12CB59D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Reproduktív toxicitási vizsgálatokban a készítmény nem befolyásolta a termékenységet nőstény és hím patkányok esetén (lásd 5.3 pont). A humán termékenységre gyakorolt hatás nem valószínűsíthető.</w:t>
      </w:r>
    </w:p>
    <w:p w14:paraId="1E43373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3AB3C1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Amlodipinre vonatkozóan</w:t>
      </w:r>
    </w:p>
    <w:p w14:paraId="2B2BF2E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Kalciumcsatorna-blokkolókkal kezelt néhány beteg esetében a spermium feji végének reverzibilis biokémiai változásait figyelték meg. Az amlodipinnek a termékenységre gyakorolt lehetséges hatásáról nincs elegendő klinikai adat. Egy patkánykísérletben a hímeknél a termékenységre gyakorolt nemkívánatos hatást tapasztaltak (lásd 5.3 pont).</w:t>
      </w:r>
    </w:p>
    <w:p w14:paraId="5013420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DD87E14"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b/>
          <w:bCs/>
        </w:rPr>
      </w:pPr>
      <w:r w:rsidRPr="00D91094">
        <w:rPr>
          <w:rFonts w:ascii="Times New Roman" w:hAnsi="Times New Roman" w:cs="Times New Roman"/>
          <w:b/>
          <w:bCs/>
        </w:rPr>
        <w:t>4.7</w:t>
      </w:r>
      <w:r w:rsidRPr="00D91094">
        <w:rPr>
          <w:rFonts w:ascii="Times New Roman" w:hAnsi="Times New Roman" w:cs="Times New Roman"/>
          <w:b/>
          <w:bCs/>
        </w:rPr>
        <w:tab/>
        <w:t>A készítmény hatásai a gépjárművezetéshez és a gépek kezeléséhez szükséges képességekre</w:t>
      </w:r>
    </w:p>
    <w:p w14:paraId="45698AF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7D04634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 xml:space="preserve">A </w:t>
      </w:r>
      <w:bookmarkStart w:id="4" w:name="_Hlk99551014"/>
      <w:r w:rsidRPr="00D91094">
        <w:rPr>
          <w:rFonts w:ascii="Times New Roman" w:hAnsi="Times New Roman" w:cs="Times New Roman"/>
          <w:bCs/>
        </w:rPr>
        <w:t xml:space="preserve">Vidonorm Kombi </w:t>
      </w:r>
      <w:bookmarkEnd w:id="4"/>
      <w:r w:rsidRPr="00D91094">
        <w:rPr>
          <w:rFonts w:ascii="Times New Roman" w:hAnsi="Times New Roman" w:cs="Times New Roman"/>
          <w:bCs/>
        </w:rPr>
        <w:t>közepes mértékben befolyásolja a gépjárművezetéshez és a gépek kezeléséhez szükséges képességeket. Ha a Vidonorm Kombi-t szedő betegek szédüléstől, fejfájástól, fáradtságtól vagy hányingertől szenvednek, reakciókészségük romolhat. Elővigyázatosság javasolt, elsősorban a kezelés elején.</w:t>
      </w:r>
    </w:p>
    <w:p w14:paraId="2C61237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59B289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4.8</w:t>
      </w:r>
      <w:r w:rsidRPr="00D91094">
        <w:rPr>
          <w:rFonts w:ascii="Times New Roman" w:hAnsi="Times New Roman" w:cs="Times New Roman"/>
          <w:b/>
          <w:bCs/>
        </w:rPr>
        <w:tab/>
        <w:t>Nemkívánatos hatások, mellékhatások</w:t>
      </w:r>
    </w:p>
    <w:p w14:paraId="4C70C27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CE1C72C" w14:textId="77777777" w:rsidR="00716545" w:rsidRPr="00D91094" w:rsidRDefault="00716545" w:rsidP="00716545">
      <w:pPr>
        <w:widowControl w:val="0"/>
        <w:suppressAutoHyphens/>
        <w:spacing w:after="0" w:line="240" w:lineRule="auto"/>
        <w:rPr>
          <w:rFonts w:ascii="Times New Roman" w:eastAsia="Times New Roman" w:hAnsi="Times New Roman" w:cs="Times New Roman"/>
          <w:bCs/>
          <w:u w:val="single"/>
          <w:lang w:eastAsia="hu-HU"/>
        </w:rPr>
      </w:pPr>
      <w:r w:rsidRPr="00D91094">
        <w:rPr>
          <w:rFonts w:ascii="Times New Roman" w:eastAsia="Times New Roman" w:hAnsi="Times New Roman" w:cs="Times New Roman"/>
          <w:u w:val="single"/>
          <w:lang w:eastAsia="hu-HU"/>
        </w:rPr>
        <w:t xml:space="preserve">A perindoprilra és indapamidra </w:t>
      </w:r>
      <w:r w:rsidRPr="00D91094">
        <w:rPr>
          <w:rFonts w:ascii="Times New Roman" w:eastAsia="Times New Roman" w:hAnsi="Times New Roman" w:cs="Times New Roman"/>
          <w:bCs/>
          <w:u w:val="single"/>
          <w:lang w:eastAsia="hu-HU"/>
        </w:rPr>
        <w:t>vonatkozóan</w:t>
      </w:r>
    </w:p>
    <w:p w14:paraId="1CA29856"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24BADB4F" w14:textId="77777777" w:rsidR="00716545" w:rsidRPr="00D91094" w:rsidRDefault="00716545" w:rsidP="00716545">
      <w:pPr>
        <w:widowControl w:val="0"/>
        <w:suppressAutoHyphens/>
        <w:spacing w:after="0" w:line="240" w:lineRule="auto"/>
        <w:rPr>
          <w:rFonts w:ascii="Times New Roman" w:eastAsia="Times New Roman" w:hAnsi="Times New Roman" w:cs="Times New Roman"/>
          <w:i/>
          <w:iCs/>
          <w:lang w:eastAsia="hu-HU"/>
        </w:rPr>
      </w:pPr>
      <w:r w:rsidRPr="00D91094">
        <w:rPr>
          <w:rFonts w:ascii="Times New Roman" w:eastAsia="Times New Roman" w:hAnsi="Times New Roman" w:cs="Times New Roman"/>
          <w:i/>
          <w:iCs/>
          <w:lang w:eastAsia="hu-HU"/>
        </w:rPr>
        <w:t>A biztonságossági profil összefoglalása</w:t>
      </w:r>
    </w:p>
    <w:p w14:paraId="2E4DE995" w14:textId="77777777" w:rsidR="009F3A35"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A perindopril a renin-angiotenzin-aldoszteron rendszer gátlása révén csökkenti az indapamid által okozott káliumvesztést.</w:t>
      </w:r>
    </w:p>
    <w:p w14:paraId="2F7C24CA" w14:textId="749221AD"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129070E9"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Észlelt mellékhatások, melyeket a leggyakrabban jelentettek:</w:t>
      </w:r>
    </w:p>
    <w:p w14:paraId="4A485DA1" w14:textId="79726168" w:rsidR="00716545" w:rsidRPr="00D91094" w:rsidRDefault="00716545" w:rsidP="00716545">
      <w:pPr>
        <w:widowControl w:val="0"/>
        <w:suppressAutoHyphens/>
        <w:spacing w:after="0" w:line="240" w:lineRule="auto"/>
        <w:ind w:left="567" w:hanging="567"/>
        <w:rPr>
          <w:rFonts w:ascii="Times New Roman" w:eastAsia="Times New Roman" w:hAnsi="Times New Roman" w:cs="Times New Roman"/>
          <w:lang w:eastAsia="hu-HU"/>
        </w:rPr>
      </w:pPr>
      <w:r w:rsidRPr="00D91094">
        <w:rPr>
          <w:rFonts w:ascii="Times New Roman" w:eastAsia="Times New Roman" w:hAnsi="Times New Roman" w:cs="Times New Roman"/>
          <w:iCs/>
          <w:lang w:eastAsia="hu-HU"/>
        </w:rPr>
        <w:t>-</w:t>
      </w:r>
      <w:r w:rsidRPr="00D91094">
        <w:rPr>
          <w:rFonts w:ascii="Times New Roman" w:eastAsia="Times New Roman" w:hAnsi="Times New Roman" w:cs="Times New Roman"/>
          <w:iCs/>
          <w:lang w:eastAsia="hu-HU"/>
        </w:rPr>
        <w:tab/>
      </w:r>
      <w:r w:rsidRPr="00D91094">
        <w:rPr>
          <w:rFonts w:ascii="Times New Roman" w:eastAsia="Times New Roman" w:hAnsi="Times New Roman" w:cs="Times New Roman"/>
          <w:lang w:eastAsia="hu-HU"/>
        </w:rPr>
        <w:t>a perindoprilra vonatkozóan: szédülés, fejfájás, paraesthesia, dysgeusia, látászavar, vertigo, tinnitus, hypotonia, köhögés, dyspnoe, hasi fájdalom, székrekedés, dyspepsia, hasmenés, hányinger, hányás, viszketés, kiütés, izomgörcsök és asthenia.</w:t>
      </w:r>
    </w:p>
    <w:p w14:paraId="553CD22A" w14:textId="2273CE5E" w:rsidR="00716545" w:rsidRPr="00D91094" w:rsidRDefault="00716545" w:rsidP="00716545">
      <w:pPr>
        <w:widowControl w:val="0"/>
        <w:suppressAutoHyphens/>
        <w:spacing w:after="0" w:line="240" w:lineRule="auto"/>
        <w:ind w:left="567" w:hanging="567"/>
        <w:rPr>
          <w:rFonts w:ascii="Times New Roman" w:eastAsia="Times New Roman" w:hAnsi="Times New Roman" w:cs="Times New Roman"/>
          <w:lang w:eastAsia="hu-HU"/>
        </w:rPr>
      </w:pPr>
      <w:r w:rsidRPr="00D91094">
        <w:rPr>
          <w:rFonts w:ascii="Times New Roman" w:eastAsia="Times New Roman" w:hAnsi="Times New Roman" w:cs="Times New Roman"/>
          <w:iCs/>
          <w:lang w:eastAsia="hu-HU"/>
        </w:rPr>
        <w:t>-</w:t>
      </w:r>
      <w:r w:rsidRPr="00D91094">
        <w:rPr>
          <w:rFonts w:ascii="Times New Roman" w:eastAsia="Times New Roman" w:hAnsi="Times New Roman" w:cs="Times New Roman"/>
          <w:iCs/>
          <w:lang w:eastAsia="hu-HU"/>
        </w:rPr>
        <w:tab/>
      </w:r>
      <w:r w:rsidRPr="00D91094">
        <w:rPr>
          <w:rFonts w:ascii="Times New Roman" w:eastAsia="Times New Roman" w:hAnsi="Times New Roman" w:cs="Times New Roman"/>
          <w:lang w:eastAsia="hu-HU"/>
        </w:rPr>
        <w:t>az indapamidra vonatkozóan:</w:t>
      </w:r>
      <w:r w:rsidRPr="00D91094">
        <w:rPr>
          <w:rFonts w:ascii="Times New Roman" w:eastAsia="Times New Roman" w:hAnsi="Times New Roman" w:cs="Times New Roman"/>
          <w:b/>
          <w:bCs/>
          <w:lang w:eastAsia="hu-HU"/>
        </w:rPr>
        <w:t xml:space="preserve"> </w:t>
      </w:r>
      <w:r w:rsidR="008603E9" w:rsidRPr="009F3A35">
        <w:rPr>
          <w:rFonts w:ascii="Times New Roman" w:eastAsia="Times New Roman" w:hAnsi="Times New Roman" w:cs="Times New Roman"/>
          <w:lang w:eastAsia="hu-HU"/>
        </w:rPr>
        <w:t>hypokalaemia</w:t>
      </w:r>
      <w:r w:rsidR="008603E9">
        <w:rPr>
          <w:rFonts w:ascii="Times New Roman" w:eastAsia="Times New Roman" w:hAnsi="Times New Roman" w:cs="Times New Roman"/>
          <w:lang w:eastAsia="hu-HU"/>
        </w:rPr>
        <w:t>,</w:t>
      </w:r>
      <w:r w:rsidR="008603E9" w:rsidRPr="00D91094">
        <w:rPr>
          <w:rFonts w:ascii="Times New Roman" w:eastAsia="Times New Roman" w:hAnsi="Times New Roman" w:cs="Times New Roman"/>
          <w:lang w:eastAsia="hu-HU"/>
        </w:rPr>
        <w:t xml:space="preserve"> </w:t>
      </w:r>
      <w:r w:rsidRPr="00D91094">
        <w:rPr>
          <w:rFonts w:ascii="Times New Roman" w:eastAsia="Times New Roman" w:hAnsi="Times New Roman" w:cs="Times New Roman"/>
          <w:lang w:eastAsia="hu-HU"/>
        </w:rPr>
        <w:t>főként bőrgyógyászati túlérzékenységi reakciók olyan betegeknél, akik hajlamosak az allergiás és asztmás reakciókra és maculopapulosus kiütésre.</w:t>
      </w:r>
    </w:p>
    <w:p w14:paraId="19576595"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48E0D42E" w14:textId="77777777" w:rsidR="00716545" w:rsidRPr="00D91094" w:rsidRDefault="00716545" w:rsidP="00716545">
      <w:pPr>
        <w:widowControl w:val="0"/>
        <w:suppressAutoHyphens/>
        <w:spacing w:after="0" w:line="240" w:lineRule="auto"/>
        <w:rPr>
          <w:rFonts w:ascii="Times New Roman" w:eastAsia="Times New Roman" w:hAnsi="Times New Roman" w:cs="Times New Roman"/>
          <w:i/>
          <w:iCs/>
          <w:lang w:eastAsia="hu-HU"/>
        </w:rPr>
      </w:pPr>
      <w:r w:rsidRPr="00D91094">
        <w:rPr>
          <w:rFonts w:ascii="Times New Roman" w:eastAsia="Times New Roman" w:hAnsi="Times New Roman" w:cs="Times New Roman"/>
          <w:i/>
          <w:iCs/>
          <w:lang w:eastAsia="hu-HU"/>
        </w:rPr>
        <w:t>A mellékhatások táblázatos felsorolása</w:t>
      </w:r>
    </w:p>
    <w:p w14:paraId="7438B463" w14:textId="340FC845"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A perindopril/indapamid</w:t>
      </w:r>
      <w:r w:rsidR="004C51F4">
        <w:rPr>
          <w:rFonts w:ascii="Times New Roman" w:eastAsia="Times New Roman" w:hAnsi="Times New Roman" w:cs="Times New Roman"/>
          <w:lang w:eastAsia="hu-HU"/>
        </w:rPr>
        <w:t>-</w:t>
      </w:r>
      <w:r w:rsidRPr="00D91094">
        <w:rPr>
          <w:rFonts w:ascii="Times New Roman" w:eastAsia="Times New Roman" w:hAnsi="Times New Roman" w:cs="Times New Roman"/>
          <w:lang w:eastAsia="hu-HU"/>
        </w:rPr>
        <w:t>kezelés során megfigyelt nemkívánatos hatások felsorolása a következő gyakorisági kategóriák szerint történt:</w:t>
      </w:r>
    </w:p>
    <w:p w14:paraId="3E6D2556" w14:textId="1C97077E" w:rsidR="00716545"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 xml:space="preserve">Nagyon gyakori (≥ 1/10); gyakori (≥ 1/100 – &lt; 1/10); nem gyakori (≥ 1/1000 – &lt; 1/100); ritka (≥ 1/10 000 – &lt; 1/1000); nagyon ritka (&lt; 1/10 000); nem ismert (a rendelkezésre álló adatokból </w:t>
      </w:r>
      <w:r w:rsidR="004C51F4">
        <w:rPr>
          <w:rFonts w:ascii="Times New Roman" w:eastAsia="Times New Roman" w:hAnsi="Times New Roman" w:cs="Times New Roman"/>
          <w:lang w:eastAsia="hu-HU"/>
        </w:rPr>
        <w:t xml:space="preserve">a </w:t>
      </w:r>
      <w:r w:rsidR="004C51F4">
        <w:rPr>
          <w:rFonts w:ascii="Times New Roman" w:eastAsia="Times New Roman" w:hAnsi="Times New Roman" w:cs="Times New Roman"/>
          <w:lang w:eastAsia="hu-HU"/>
        </w:rPr>
        <w:lastRenderedPageBreak/>
        <w:t xml:space="preserve">gyakoriság </w:t>
      </w:r>
      <w:r w:rsidRPr="00D91094">
        <w:rPr>
          <w:rFonts w:ascii="Times New Roman" w:eastAsia="Times New Roman" w:hAnsi="Times New Roman" w:cs="Times New Roman"/>
          <w:lang w:eastAsia="hu-HU"/>
        </w:rPr>
        <w:t>nem állapítható meg).</w:t>
      </w:r>
    </w:p>
    <w:p w14:paraId="69073587" w14:textId="77777777" w:rsidR="009F3A35" w:rsidRPr="00D91094" w:rsidRDefault="009F3A35" w:rsidP="00716545">
      <w:pPr>
        <w:widowControl w:val="0"/>
        <w:suppressAutoHyphens/>
        <w:spacing w:after="0" w:line="240" w:lineRule="auto"/>
        <w:rPr>
          <w:rFonts w:ascii="Times New Roman" w:eastAsia="Times New Roman" w:hAnsi="Times New Roman" w:cs="Times New Roman"/>
          <w:lang w:eastAsia="hu-HU"/>
        </w:rPr>
      </w:pP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65"/>
        <w:gridCol w:w="2535"/>
        <w:gridCol w:w="1591"/>
        <w:gridCol w:w="2992"/>
      </w:tblGrid>
      <w:tr w:rsidR="00716545" w:rsidRPr="00810248" w14:paraId="3B037210" w14:textId="77777777" w:rsidTr="000931D5">
        <w:trPr>
          <w:jc w:val="center"/>
        </w:trPr>
        <w:tc>
          <w:tcPr>
            <w:tcW w:w="1965" w:type="dxa"/>
            <w:vMerge w:val="restart"/>
            <w:shd w:val="clear" w:color="auto" w:fill="auto"/>
            <w:vAlign w:val="center"/>
          </w:tcPr>
          <w:p w14:paraId="7C3E395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D91094">
              <w:rPr>
                <w:rFonts w:ascii="Times New Roman" w:eastAsia="Times New Roman" w:hAnsi="Times New Roman" w:cs="Times New Roman"/>
                <w:lang w:eastAsia="hu-HU"/>
              </w:rPr>
              <w:br w:type="page"/>
            </w:r>
            <w:r w:rsidRPr="00810248">
              <w:rPr>
                <w:rFonts w:ascii="Times New Roman" w:eastAsia="Times New Roman" w:hAnsi="Times New Roman" w:cs="Times New Roman"/>
                <w:b/>
                <w:bCs/>
                <w:iCs/>
                <w:lang w:eastAsia="hu-HU"/>
              </w:rPr>
              <w:t>MedDRA</w:t>
            </w:r>
          </w:p>
          <w:p w14:paraId="7A29D9E6" w14:textId="77777777" w:rsidR="00716545" w:rsidRPr="009436A9"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9436A9">
              <w:rPr>
                <w:rFonts w:ascii="Times New Roman" w:eastAsia="Times New Roman" w:hAnsi="Times New Roman" w:cs="Times New Roman"/>
                <w:b/>
                <w:bCs/>
                <w:iCs/>
                <w:lang w:eastAsia="hu-HU"/>
              </w:rPr>
              <w:t>szervrendszer</w:t>
            </w:r>
          </w:p>
        </w:tc>
        <w:tc>
          <w:tcPr>
            <w:tcW w:w="2535" w:type="dxa"/>
            <w:vMerge w:val="restart"/>
            <w:shd w:val="clear" w:color="auto" w:fill="auto"/>
            <w:vAlign w:val="center"/>
          </w:tcPr>
          <w:p w14:paraId="329947F6" w14:textId="77777777" w:rsidR="00716545" w:rsidRPr="009436A9"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9436A9">
              <w:rPr>
                <w:rFonts w:ascii="Times New Roman" w:eastAsia="Times New Roman" w:hAnsi="Times New Roman" w:cs="Times New Roman"/>
                <w:b/>
                <w:bCs/>
                <w:iCs/>
                <w:lang w:eastAsia="hu-HU"/>
              </w:rPr>
              <w:t>Mellékhatás</w:t>
            </w:r>
          </w:p>
        </w:tc>
        <w:tc>
          <w:tcPr>
            <w:tcW w:w="4583" w:type="dxa"/>
            <w:gridSpan w:val="2"/>
            <w:shd w:val="clear" w:color="auto" w:fill="auto"/>
            <w:vAlign w:val="center"/>
          </w:tcPr>
          <w:p w14:paraId="3D6A8880" w14:textId="77777777" w:rsidR="00716545" w:rsidRPr="009436A9"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9436A9">
              <w:rPr>
                <w:rFonts w:ascii="Times New Roman" w:eastAsia="Times New Roman" w:hAnsi="Times New Roman" w:cs="Times New Roman"/>
                <w:b/>
                <w:bCs/>
                <w:iCs/>
                <w:lang w:eastAsia="hu-HU"/>
              </w:rPr>
              <w:t>Gyakoriság</w:t>
            </w:r>
          </w:p>
        </w:tc>
      </w:tr>
      <w:tr w:rsidR="00716545" w:rsidRPr="00810248" w14:paraId="795CDC64" w14:textId="77777777" w:rsidTr="000931D5">
        <w:trPr>
          <w:jc w:val="center"/>
        </w:trPr>
        <w:tc>
          <w:tcPr>
            <w:tcW w:w="1965" w:type="dxa"/>
            <w:vMerge/>
            <w:shd w:val="clear" w:color="auto" w:fill="auto"/>
            <w:vAlign w:val="center"/>
          </w:tcPr>
          <w:p w14:paraId="0E3BA84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vMerge/>
            <w:shd w:val="clear" w:color="auto" w:fill="auto"/>
            <w:vAlign w:val="center"/>
          </w:tcPr>
          <w:p w14:paraId="21B47FA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p>
        </w:tc>
        <w:tc>
          <w:tcPr>
            <w:tcW w:w="1591" w:type="dxa"/>
            <w:shd w:val="clear" w:color="auto" w:fill="auto"/>
            <w:vAlign w:val="center"/>
          </w:tcPr>
          <w:p w14:paraId="249299F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Perindopril</w:t>
            </w:r>
          </w:p>
        </w:tc>
        <w:tc>
          <w:tcPr>
            <w:tcW w:w="2992" w:type="dxa"/>
            <w:vAlign w:val="center"/>
          </w:tcPr>
          <w:p w14:paraId="2729603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Indapamid</w:t>
            </w:r>
          </w:p>
        </w:tc>
      </w:tr>
      <w:tr w:rsidR="00716545" w:rsidRPr="00810248" w14:paraId="2D3A5C8E" w14:textId="77777777" w:rsidTr="000931D5">
        <w:trPr>
          <w:jc w:val="center"/>
        </w:trPr>
        <w:tc>
          <w:tcPr>
            <w:tcW w:w="1965" w:type="dxa"/>
            <w:shd w:val="clear" w:color="auto" w:fill="auto"/>
            <w:vAlign w:val="center"/>
          </w:tcPr>
          <w:p w14:paraId="7A7FF44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Fertőző betegségek és parazitafertőzések</w:t>
            </w:r>
          </w:p>
        </w:tc>
        <w:tc>
          <w:tcPr>
            <w:tcW w:w="2535" w:type="dxa"/>
            <w:shd w:val="clear" w:color="auto" w:fill="auto"/>
            <w:vAlign w:val="center"/>
          </w:tcPr>
          <w:p w14:paraId="19CBC6C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Rhinitis</w:t>
            </w:r>
          </w:p>
        </w:tc>
        <w:tc>
          <w:tcPr>
            <w:tcW w:w="1591" w:type="dxa"/>
            <w:shd w:val="clear" w:color="auto" w:fill="auto"/>
            <w:vAlign w:val="center"/>
          </w:tcPr>
          <w:p w14:paraId="3995789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363F15F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Cs/>
                <w:iCs/>
                <w:lang w:eastAsia="hu-HU"/>
              </w:rPr>
              <w:t>-</w:t>
            </w:r>
          </w:p>
        </w:tc>
      </w:tr>
      <w:tr w:rsidR="00716545" w:rsidRPr="00810248" w14:paraId="6557B2A5" w14:textId="77777777" w:rsidTr="000931D5">
        <w:trPr>
          <w:jc w:val="center"/>
        </w:trPr>
        <w:tc>
          <w:tcPr>
            <w:tcW w:w="1965" w:type="dxa"/>
            <w:vMerge w:val="restart"/>
            <w:shd w:val="clear" w:color="auto" w:fill="auto"/>
            <w:vAlign w:val="center"/>
          </w:tcPr>
          <w:p w14:paraId="32FD736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Vérképzőszervi és nyirokrendszeri betegségek és tünetek</w:t>
            </w:r>
          </w:p>
        </w:tc>
        <w:tc>
          <w:tcPr>
            <w:tcW w:w="2535" w:type="dxa"/>
            <w:shd w:val="clear" w:color="auto" w:fill="auto"/>
            <w:vAlign w:val="center"/>
          </w:tcPr>
          <w:p w14:paraId="4041ED2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Eosinophilia</w:t>
            </w:r>
          </w:p>
        </w:tc>
        <w:tc>
          <w:tcPr>
            <w:tcW w:w="1591" w:type="dxa"/>
            <w:shd w:val="clear" w:color="auto" w:fill="auto"/>
            <w:vAlign w:val="center"/>
          </w:tcPr>
          <w:p w14:paraId="3C33886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2004705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4BF2C5B6" w14:textId="77777777" w:rsidTr="000931D5">
        <w:trPr>
          <w:jc w:val="center"/>
        </w:trPr>
        <w:tc>
          <w:tcPr>
            <w:tcW w:w="1965" w:type="dxa"/>
            <w:vMerge/>
            <w:shd w:val="clear" w:color="auto" w:fill="auto"/>
            <w:vAlign w:val="center"/>
          </w:tcPr>
          <w:p w14:paraId="706D3E6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9FEF24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Agranulocytosis (lásd 4.4 pont)</w:t>
            </w:r>
          </w:p>
        </w:tc>
        <w:tc>
          <w:tcPr>
            <w:tcW w:w="1591" w:type="dxa"/>
            <w:shd w:val="clear" w:color="auto" w:fill="auto"/>
            <w:vAlign w:val="center"/>
          </w:tcPr>
          <w:p w14:paraId="34A2062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46D3F1D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2AB9FCFC" w14:textId="77777777" w:rsidTr="000931D5">
        <w:trPr>
          <w:jc w:val="center"/>
        </w:trPr>
        <w:tc>
          <w:tcPr>
            <w:tcW w:w="1965" w:type="dxa"/>
            <w:vMerge/>
            <w:shd w:val="clear" w:color="auto" w:fill="auto"/>
            <w:vAlign w:val="center"/>
          </w:tcPr>
          <w:p w14:paraId="3B97BED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78040C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Aplasticus anaemia</w:t>
            </w:r>
          </w:p>
        </w:tc>
        <w:tc>
          <w:tcPr>
            <w:tcW w:w="1591" w:type="dxa"/>
            <w:shd w:val="clear" w:color="auto" w:fill="auto"/>
            <w:vAlign w:val="center"/>
          </w:tcPr>
          <w:p w14:paraId="1E40E40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3A780DE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215EF843" w14:textId="77777777" w:rsidTr="000931D5">
        <w:trPr>
          <w:jc w:val="center"/>
        </w:trPr>
        <w:tc>
          <w:tcPr>
            <w:tcW w:w="1965" w:type="dxa"/>
            <w:vMerge/>
            <w:shd w:val="clear" w:color="auto" w:fill="auto"/>
            <w:vAlign w:val="center"/>
          </w:tcPr>
          <w:p w14:paraId="3C2B0D8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AB23CB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Pancytopenia</w:t>
            </w:r>
          </w:p>
        </w:tc>
        <w:tc>
          <w:tcPr>
            <w:tcW w:w="1591" w:type="dxa"/>
            <w:shd w:val="clear" w:color="auto" w:fill="auto"/>
            <w:vAlign w:val="center"/>
          </w:tcPr>
          <w:p w14:paraId="02D1434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310ED71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63C27771" w14:textId="77777777" w:rsidTr="000931D5">
        <w:trPr>
          <w:jc w:val="center"/>
        </w:trPr>
        <w:tc>
          <w:tcPr>
            <w:tcW w:w="1965" w:type="dxa"/>
            <w:vMerge/>
            <w:shd w:val="clear" w:color="auto" w:fill="auto"/>
            <w:vAlign w:val="center"/>
          </w:tcPr>
          <w:p w14:paraId="5366D77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B64C1C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Leukopenia</w:t>
            </w:r>
          </w:p>
        </w:tc>
        <w:tc>
          <w:tcPr>
            <w:tcW w:w="1591" w:type="dxa"/>
            <w:shd w:val="clear" w:color="auto" w:fill="auto"/>
            <w:vAlign w:val="center"/>
          </w:tcPr>
          <w:p w14:paraId="5369D49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1E0C952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20E76630" w14:textId="77777777" w:rsidTr="000931D5">
        <w:trPr>
          <w:jc w:val="center"/>
        </w:trPr>
        <w:tc>
          <w:tcPr>
            <w:tcW w:w="1965" w:type="dxa"/>
            <w:vMerge/>
            <w:shd w:val="clear" w:color="auto" w:fill="auto"/>
            <w:vAlign w:val="center"/>
          </w:tcPr>
          <w:p w14:paraId="366D236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3F53D0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Neutropenia (lásd 4.4 pont)</w:t>
            </w:r>
          </w:p>
        </w:tc>
        <w:tc>
          <w:tcPr>
            <w:tcW w:w="1591" w:type="dxa"/>
            <w:shd w:val="clear" w:color="auto" w:fill="auto"/>
            <w:vAlign w:val="center"/>
          </w:tcPr>
          <w:p w14:paraId="423412D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62C4546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4DEBDF27" w14:textId="77777777" w:rsidTr="000931D5">
        <w:trPr>
          <w:jc w:val="center"/>
        </w:trPr>
        <w:tc>
          <w:tcPr>
            <w:tcW w:w="1965" w:type="dxa"/>
            <w:vMerge/>
            <w:shd w:val="clear" w:color="auto" w:fill="auto"/>
            <w:vAlign w:val="center"/>
          </w:tcPr>
          <w:p w14:paraId="684806B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E35AA8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 xml:space="preserve">Haemolyticus anaemia </w:t>
            </w:r>
          </w:p>
        </w:tc>
        <w:tc>
          <w:tcPr>
            <w:tcW w:w="1591" w:type="dxa"/>
            <w:shd w:val="clear" w:color="auto" w:fill="auto"/>
            <w:vAlign w:val="center"/>
          </w:tcPr>
          <w:p w14:paraId="5BDC3BB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2AEC7FB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73FA2854" w14:textId="77777777" w:rsidTr="000931D5">
        <w:trPr>
          <w:jc w:val="center"/>
        </w:trPr>
        <w:tc>
          <w:tcPr>
            <w:tcW w:w="1965" w:type="dxa"/>
            <w:vMerge/>
            <w:shd w:val="clear" w:color="auto" w:fill="auto"/>
            <w:vAlign w:val="center"/>
          </w:tcPr>
          <w:p w14:paraId="6CDCAEE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93009D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Thrombocytopenia (lásd 4.4 pont)</w:t>
            </w:r>
          </w:p>
        </w:tc>
        <w:tc>
          <w:tcPr>
            <w:tcW w:w="1591" w:type="dxa"/>
            <w:shd w:val="clear" w:color="auto" w:fill="auto"/>
            <w:vAlign w:val="center"/>
          </w:tcPr>
          <w:p w14:paraId="72F7A45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2169D41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550E8179" w14:textId="77777777" w:rsidTr="000931D5">
        <w:trPr>
          <w:jc w:val="center"/>
        </w:trPr>
        <w:tc>
          <w:tcPr>
            <w:tcW w:w="1965" w:type="dxa"/>
            <w:shd w:val="clear" w:color="auto" w:fill="auto"/>
            <w:vAlign w:val="center"/>
          </w:tcPr>
          <w:p w14:paraId="5EEA24A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Immunrendszeri betegségek és tünetek</w:t>
            </w:r>
          </w:p>
        </w:tc>
        <w:tc>
          <w:tcPr>
            <w:tcW w:w="2535" w:type="dxa"/>
            <w:shd w:val="clear" w:color="auto" w:fill="auto"/>
            <w:vAlign w:val="center"/>
          </w:tcPr>
          <w:p w14:paraId="578C6073" w14:textId="77777777" w:rsidR="00716545" w:rsidRPr="00810248" w:rsidDel="00EC7DB5"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Túlérzékenység (főként dermatológiai reakciók olyan betegeknél, akik hajlamosak az allergiás és asztmás reakciókra)</w:t>
            </w:r>
          </w:p>
        </w:tc>
        <w:tc>
          <w:tcPr>
            <w:tcW w:w="1591" w:type="dxa"/>
            <w:shd w:val="clear" w:color="auto" w:fill="auto"/>
            <w:vAlign w:val="center"/>
          </w:tcPr>
          <w:p w14:paraId="3F5CF072" w14:textId="77777777" w:rsidR="00716545" w:rsidRPr="00810248" w:rsidDel="00DE426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6B8128FE" w14:textId="77777777" w:rsidR="00716545" w:rsidRPr="00810248" w:rsidDel="00DE426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r>
      <w:tr w:rsidR="00716545" w:rsidRPr="00810248" w14:paraId="1E2279AD" w14:textId="77777777" w:rsidTr="000931D5">
        <w:trPr>
          <w:jc w:val="center"/>
        </w:trPr>
        <w:tc>
          <w:tcPr>
            <w:tcW w:w="1965" w:type="dxa"/>
            <w:shd w:val="clear" w:color="auto" w:fill="auto"/>
          </w:tcPr>
          <w:p w14:paraId="2889D9B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lang w:eastAsia="hu-HU"/>
              </w:rPr>
              <w:t>Endokrin betegségek és tünetek</w:t>
            </w:r>
          </w:p>
        </w:tc>
        <w:tc>
          <w:tcPr>
            <w:tcW w:w="2535" w:type="dxa"/>
            <w:shd w:val="clear" w:color="auto" w:fill="auto"/>
          </w:tcPr>
          <w:p w14:paraId="4B715A3B" w14:textId="5C82D1B6" w:rsidR="00716545" w:rsidRPr="00810248" w:rsidRDefault="00716545" w:rsidP="009436A9">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megfelelő antidiuretikushormon-termelés</w:t>
            </w:r>
            <w:r w:rsidR="009436A9">
              <w:rPr>
                <w:rFonts w:ascii="Times New Roman" w:eastAsia="Times New Roman" w:hAnsi="Times New Roman" w:cs="Times New Roman"/>
                <w:lang w:eastAsia="hu-HU"/>
              </w:rPr>
              <w:t xml:space="preserve"> </w:t>
            </w:r>
            <w:r w:rsidRPr="00810248">
              <w:rPr>
                <w:rFonts w:ascii="Times New Roman" w:eastAsia="Times New Roman" w:hAnsi="Times New Roman" w:cs="Times New Roman"/>
                <w:lang w:eastAsia="hu-HU"/>
              </w:rPr>
              <w:t>szindróma (SIADH)</w:t>
            </w:r>
          </w:p>
        </w:tc>
        <w:tc>
          <w:tcPr>
            <w:tcW w:w="1591" w:type="dxa"/>
            <w:shd w:val="clear" w:color="auto" w:fill="auto"/>
            <w:vAlign w:val="center"/>
          </w:tcPr>
          <w:p w14:paraId="569F57BC" w14:textId="77777777" w:rsidR="00716545" w:rsidRPr="009436A9" w:rsidRDefault="00716545" w:rsidP="00D2704D">
            <w:pPr>
              <w:widowControl w:val="0"/>
              <w:suppressAutoHyphens/>
              <w:spacing w:after="0" w:line="240" w:lineRule="auto"/>
              <w:rPr>
                <w:rFonts w:ascii="Times New Roman" w:eastAsia="Times New Roman" w:hAnsi="Times New Roman" w:cs="Times New Roman"/>
                <w:bCs/>
                <w:iCs/>
                <w:lang w:eastAsia="hu-HU"/>
              </w:rPr>
            </w:pPr>
            <w:r w:rsidRPr="009436A9">
              <w:rPr>
                <w:rFonts w:ascii="Times New Roman" w:eastAsia="Times New Roman" w:hAnsi="Times New Roman" w:cs="Times New Roman"/>
                <w:lang w:eastAsia="hu-HU"/>
              </w:rPr>
              <w:t>Ritka</w:t>
            </w:r>
          </w:p>
        </w:tc>
        <w:tc>
          <w:tcPr>
            <w:tcW w:w="2992" w:type="dxa"/>
            <w:vAlign w:val="center"/>
          </w:tcPr>
          <w:p w14:paraId="39F59A05" w14:textId="77777777" w:rsidR="00716545" w:rsidRPr="009436A9" w:rsidRDefault="00716545" w:rsidP="00D2704D">
            <w:pPr>
              <w:widowControl w:val="0"/>
              <w:suppressAutoHyphens/>
              <w:spacing w:after="0" w:line="240" w:lineRule="auto"/>
              <w:rPr>
                <w:rFonts w:ascii="Times New Roman" w:eastAsia="Times New Roman" w:hAnsi="Times New Roman" w:cs="Times New Roman"/>
                <w:bCs/>
                <w:iCs/>
                <w:lang w:eastAsia="hu-HU"/>
              </w:rPr>
            </w:pPr>
            <w:r w:rsidRPr="009436A9">
              <w:rPr>
                <w:rFonts w:ascii="Times New Roman" w:eastAsia="Times New Roman" w:hAnsi="Times New Roman" w:cs="Times New Roman"/>
                <w:lang w:eastAsia="hu-HU"/>
              </w:rPr>
              <w:t>-</w:t>
            </w:r>
          </w:p>
        </w:tc>
      </w:tr>
      <w:tr w:rsidR="00607B43" w:rsidRPr="00810248" w14:paraId="5637E5FD" w14:textId="77777777" w:rsidTr="000931D5">
        <w:trPr>
          <w:jc w:val="center"/>
        </w:trPr>
        <w:tc>
          <w:tcPr>
            <w:tcW w:w="1965" w:type="dxa"/>
            <w:vMerge w:val="restart"/>
            <w:shd w:val="clear" w:color="auto" w:fill="auto"/>
            <w:vAlign w:val="center"/>
          </w:tcPr>
          <w:p w14:paraId="2BA29CBE"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Anyagcsere- és táplálkozási betegségek és tünetek</w:t>
            </w:r>
          </w:p>
        </w:tc>
        <w:tc>
          <w:tcPr>
            <w:tcW w:w="2535" w:type="dxa"/>
            <w:shd w:val="clear" w:color="auto" w:fill="auto"/>
            <w:vAlign w:val="center"/>
          </w:tcPr>
          <w:p w14:paraId="1863F606" w14:textId="21B41A5F" w:rsidR="00607B43" w:rsidRPr="00810248" w:rsidRDefault="00607B43" w:rsidP="00D2704D">
            <w:pPr>
              <w:widowControl w:val="0"/>
              <w:suppressAutoHyphens/>
              <w:spacing w:after="0" w:line="240" w:lineRule="auto"/>
              <w:rPr>
                <w:rFonts w:ascii="Times New Roman" w:eastAsia="Times New Roman" w:hAnsi="Times New Roman" w:cs="Times New Roman"/>
                <w:iCs/>
                <w:lang w:eastAsia="hu-HU"/>
              </w:rPr>
            </w:pPr>
            <w:r w:rsidRPr="00810248">
              <w:rPr>
                <w:rFonts w:ascii="Times New Roman" w:eastAsia="Times New Roman" w:hAnsi="Times New Roman" w:cs="Times New Roman"/>
                <w:bCs/>
                <w:iCs/>
                <w:lang w:eastAsia="hu-HU"/>
              </w:rPr>
              <w:t>Hypogly</w:t>
            </w:r>
            <w:r w:rsidR="004E711B" w:rsidRPr="00810248">
              <w:rPr>
                <w:rFonts w:ascii="Times New Roman" w:eastAsia="Times New Roman" w:hAnsi="Times New Roman" w:cs="Times New Roman"/>
                <w:bCs/>
                <w:iCs/>
                <w:lang w:eastAsia="hu-HU"/>
              </w:rPr>
              <w:t>k</w:t>
            </w:r>
            <w:r w:rsidRPr="00810248">
              <w:rPr>
                <w:rFonts w:ascii="Times New Roman" w:eastAsia="Times New Roman" w:hAnsi="Times New Roman" w:cs="Times New Roman"/>
                <w:bCs/>
                <w:iCs/>
                <w:lang w:eastAsia="hu-HU"/>
              </w:rPr>
              <w:t>aemia (lásd 4.4 és 4.5 pont)</w:t>
            </w:r>
          </w:p>
        </w:tc>
        <w:tc>
          <w:tcPr>
            <w:tcW w:w="1591" w:type="dxa"/>
            <w:shd w:val="clear" w:color="auto" w:fill="auto"/>
            <w:vAlign w:val="center"/>
          </w:tcPr>
          <w:p w14:paraId="4DE20538"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2EF024B"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607B43" w:rsidRPr="00810248" w14:paraId="543D4802" w14:textId="77777777" w:rsidTr="000931D5">
        <w:trPr>
          <w:jc w:val="center"/>
        </w:trPr>
        <w:tc>
          <w:tcPr>
            <w:tcW w:w="1965" w:type="dxa"/>
            <w:vMerge/>
            <w:shd w:val="clear" w:color="auto" w:fill="auto"/>
            <w:vAlign w:val="center"/>
          </w:tcPr>
          <w:p w14:paraId="397F06BC"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9321C62" w14:textId="77777777" w:rsidR="00607B43" w:rsidRPr="00810248" w:rsidRDefault="00607B43"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Hyperkalaemia, a kezelés leállítását követően reverzibilis (lásd 4.4 pont)</w:t>
            </w:r>
          </w:p>
        </w:tc>
        <w:tc>
          <w:tcPr>
            <w:tcW w:w="1591" w:type="dxa"/>
            <w:shd w:val="clear" w:color="auto" w:fill="auto"/>
            <w:vAlign w:val="center"/>
          </w:tcPr>
          <w:p w14:paraId="7277BD61"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6A93403"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607B43" w:rsidRPr="00810248" w14:paraId="1B613FC4" w14:textId="77777777" w:rsidTr="000931D5">
        <w:trPr>
          <w:jc w:val="center"/>
        </w:trPr>
        <w:tc>
          <w:tcPr>
            <w:tcW w:w="1965" w:type="dxa"/>
            <w:vMerge/>
            <w:shd w:val="clear" w:color="auto" w:fill="auto"/>
            <w:vAlign w:val="center"/>
          </w:tcPr>
          <w:p w14:paraId="4E004460"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B4BF3EF"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 xml:space="preserve">Hyponatraemia (lásd 4.4 pont) </w:t>
            </w:r>
          </w:p>
        </w:tc>
        <w:tc>
          <w:tcPr>
            <w:tcW w:w="1591" w:type="dxa"/>
            <w:shd w:val="clear" w:color="auto" w:fill="auto"/>
            <w:vAlign w:val="center"/>
          </w:tcPr>
          <w:p w14:paraId="2BDA0898"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668870EE" w14:textId="48CAA4AA" w:rsidR="00607B43" w:rsidRPr="009436A9" w:rsidRDefault="00C63457" w:rsidP="00D2704D">
            <w:pPr>
              <w:widowControl w:val="0"/>
              <w:suppressAutoHyphens/>
              <w:spacing w:after="0" w:line="240" w:lineRule="auto"/>
              <w:rPr>
                <w:rFonts w:ascii="Times New Roman" w:eastAsia="Times New Roman" w:hAnsi="Times New Roman" w:cs="Times New Roman"/>
                <w:bCs/>
                <w:iCs/>
                <w:lang w:eastAsia="hu-HU"/>
              </w:rPr>
            </w:pPr>
            <w:r w:rsidRPr="000931D5">
              <w:rPr>
                <w:rFonts w:ascii="Times New Roman" w:eastAsia="Times New Roman" w:hAnsi="Times New Roman" w:cs="Times New Roman"/>
                <w:bCs/>
                <w:iCs/>
                <w:lang w:eastAsia="hu-HU"/>
              </w:rPr>
              <w:t>Nem g</w:t>
            </w:r>
            <w:r w:rsidR="00607B43" w:rsidRPr="00810248">
              <w:rPr>
                <w:rFonts w:ascii="Times New Roman" w:eastAsia="Times New Roman" w:hAnsi="Times New Roman" w:cs="Times New Roman"/>
                <w:bCs/>
                <w:iCs/>
                <w:lang w:eastAsia="hu-HU"/>
              </w:rPr>
              <w:t>yakori</w:t>
            </w:r>
          </w:p>
        </w:tc>
      </w:tr>
      <w:tr w:rsidR="00607B43" w:rsidRPr="00810248" w14:paraId="53C2BCC2" w14:textId="77777777" w:rsidTr="000931D5">
        <w:trPr>
          <w:jc w:val="center"/>
        </w:trPr>
        <w:tc>
          <w:tcPr>
            <w:tcW w:w="1965" w:type="dxa"/>
            <w:vMerge/>
            <w:shd w:val="clear" w:color="auto" w:fill="auto"/>
            <w:vAlign w:val="center"/>
          </w:tcPr>
          <w:p w14:paraId="7CD80BDB"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74BBF9B"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Hypercalcaemia</w:t>
            </w:r>
          </w:p>
        </w:tc>
        <w:tc>
          <w:tcPr>
            <w:tcW w:w="1591" w:type="dxa"/>
            <w:shd w:val="clear" w:color="auto" w:fill="auto"/>
            <w:vAlign w:val="center"/>
          </w:tcPr>
          <w:p w14:paraId="00025848"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750173C2" w14:textId="77777777"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607B43" w:rsidRPr="00810248" w14:paraId="42ECE46A" w14:textId="77777777" w:rsidTr="000931D5">
        <w:trPr>
          <w:trHeight w:val="677"/>
          <w:jc w:val="center"/>
        </w:trPr>
        <w:tc>
          <w:tcPr>
            <w:tcW w:w="1965" w:type="dxa"/>
            <w:vMerge/>
            <w:shd w:val="clear" w:color="auto" w:fill="auto"/>
            <w:vAlign w:val="center"/>
          </w:tcPr>
          <w:p w14:paraId="70D039A9"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F410AC4" w14:textId="211BF8AF" w:rsidR="00607B43" w:rsidRPr="00810248" w:rsidRDefault="00100D7E"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 xml:space="preserve">Hypokalaemia </w:t>
            </w:r>
            <w:r w:rsidR="00607B43" w:rsidRPr="00810248">
              <w:rPr>
                <w:rFonts w:ascii="Times New Roman" w:eastAsia="Times New Roman" w:hAnsi="Times New Roman" w:cs="Times New Roman"/>
                <w:lang w:eastAsia="hu-HU"/>
              </w:rPr>
              <w:t>(lásd 4.4 pont)</w:t>
            </w:r>
          </w:p>
        </w:tc>
        <w:tc>
          <w:tcPr>
            <w:tcW w:w="1591" w:type="dxa"/>
            <w:shd w:val="clear" w:color="auto" w:fill="auto"/>
            <w:vAlign w:val="center"/>
          </w:tcPr>
          <w:p w14:paraId="7D470380" w14:textId="1891C1DE" w:rsidR="00607B43" w:rsidRPr="00810248" w:rsidRDefault="00753D52"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shd w:val="clear" w:color="auto" w:fill="auto"/>
            <w:vAlign w:val="center"/>
          </w:tcPr>
          <w:p w14:paraId="285E40E9" w14:textId="49200CC4" w:rsidR="00607B43" w:rsidRPr="00810248" w:rsidRDefault="00607B43"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r>
      <w:tr w:rsidR="00607B43" w:rsidRPr="00810248" w14:paraId="391D59E6" w14:textId="77777777" w:rsidTr="000931D5">
        <w:trPr>
          <w:trHeight w:val="479"/>
          <w:jc w:val="center"/>
        </w:trPr>
        <w:tc>
          <w:tcPr>
            <w:tcW w:w="1965" w:type="dxa"/>
            <w:vMerge/>
            <w:shd w:val="clear" w:color="auto" w:fill="auto"/>
            <w:vAlign w:val="center"/>
          </w:tcPr>
          <w:p w14:paraId="1A4E6203"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C12C7C2" w14:textId="64677BC1" w:rsidR="00607B43" w:rsidRPr="00810248" w:rsidRDefault="00363966"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Hypochloraemia</w:t>
            </w:r>
          </w:p>
        </w:tc>
        <w:tc>
          <w:tcPr>
            <w:tcW w:w="1591" w:type="dxa"/>
            <w:shd w:val="clear" w:color="auto" w:fill="auto"/>
            <w:vAlign w:val="center"/>
          </w:tcPr>
          <w:p w14:paraId="07863FF0" w14:textId="710396D1" w:rsidR="00607B43" w:rsidRPr="00810248" w:rsidRDefault="00363966"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shd w:val="clear" w:color="auto" w:fill="auto"/>
            <w:vAlign w:val="center"/>
          </w:tcPr>
          <w:p w14:paraId="444F813A" w14:textId="54712D03" w:rsidR="00607B43" w:rsidRPr="000931D5" w:rsidDel="004833D3" w:rsidRDefault="00363966"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607B43" w:rsidRPr="00810248" w14:paraId="46B63AE8" w14:textId="77777777" w:rsidTr="000931D5">
        <w:trPr>
          <w:trHeight w:val="429"/>
          <w:jc w:val="center"/>
        </w:trPr>
        <w:tc>
          <w:tcPr>
            <w:tcW w:w="1965" w:type="dxa"/>
            <w:vMerge/>
            <w:shd w:val="clear" w:color="auto" w:fill="auto"/>
            <w:vAlign w:val="center"/>
          </w:tcPr>
          <w:p w14:paraId="02A9C2BD" w14:textId="77777777" w:rsidR="00607B43" w:rsidRPr="00810248" w:rsidRDefault="00607B43"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5A08FF3" w14:textId="6D96A812" w:rsidR="00607B43" w:rsidRPr="00810248" w:rsidRDefault="00363966" w:rsidP="003E5818">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Hypomagnesaemia</w:t>
            </w:r>
          </w:p>
        </w:tc>
        <w:tc>
          <w:tcPr>
            <w:tcW w:w="1591" w:type="dxa"/>
            <w:shd w:val="clear" w:color="auto" w:fill="auto"/>
            <w:vAlign w:val="center"/>
          </w:tcPr>
          <w:p w14:paraId="3BBF2C19" w14:textId="49AD8407" w:rsidR="00607B43" w:rsidRPr="00810248" w:rsidRDefault="00753D52"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shd w:val="clear" w:color="auto" w:fill="auto"/>
            <w:vAlign w:val="center"/>
          </w:tcPr>
          <w:p w14:paraId="300B9094" w14:textId="58834F08" w:rsidR="00607B43" w:rsidRPr="000931D5" w:rsidDel="004833D3" w:rsidRDefault="00363966"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5F644FD8" w14:textId="77777777" w:rsidTr="000931D5">
        <w:trPr>
          <w:jc w:val="center"/>
        </w:trPr>
        <w:tc>
          <w:tcPr>
            <w:tcW w:w="1965" w:type="dxa"/>
            <w:vMerge w:val="restart"/>
            <w:shd w:val="clear" w:color="auto" w:fill="auto"/>
            <w:vAlign w:val="center"/>
          </w:tcPr>
          <w:p w14:paraId="1503921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Pszichiátriai betegségek</w:t>
            </w:r>
          </w:p>
        </w:tc>
        <w:tc>
          <w:tcPr>
            <w:tcW w:w="2535" w:type="dxa"/>
            <w:shd w:val="clear" w:color="auto" w:fill="auto"/>
            <w:vAlign w:val="center"/>
          </w:tcPr>
          <w:p w14:paraId="4507950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Hangulatváltozás</w:t>
            </w:r>
          </w:p>
        </w:tc>
        <w:tc>
          <w:tcPr>
            <w:tcW w:w="1591" w:type="dxa"/>
            <w:shd w:val="clear" w:color="auto" w:fill="auto"/>
            <w:vAlign w:val="center"/>
          </w:tcPr>
          <w:p w14:paraId="4EED1B3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93ACA0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C24B5CF" w14:textId="77777777" w:rsidTr="000931D5">
        <w:trPr>
          <w:jc w:val="center"/>
        </w:trPr>
        <w:tc>
          <w:tcPr>
            <w:tcW w:w="1965" w:type="dxa"/>
            <w:vMerge/>
            <w:shd w:val="clear" w:color="auto" w:fill="auto"/>
            <w:vAlign w:val="center"/>
          </w:tcPr>
          <w:p w14:paraId="2657F66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794743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 xml:space="preserve">Alvászavar </w:t>
            </w:r>
          </w:p>
        </w:tc>
        <w:tc>
          <w:tcPr>
            <w:tcW w:w="1591" w:type="dxa"/>
            <w:shd w:val="clear" w:color="auto" w:fill="auto"/>
            <w:vAlign w:val="center"/>
          </w:tcPr>
          <w:p w14:paraId="353BD8B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53F5EA2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047A589D" w14:textId="77777777" w:rsidTr="000931D5">
        <w:trPr>
          <w:jc w:val="center"/>
        </w:trPr>
        <w:tc>
          <w:tcPr>
            <w:tcW w:w="1965" w:type="dxa"/>
            <w:vMerge/>
            <w:shd w:val="clear" w:color="auto" w:fill="auto"/>
          </w:tcPr>
          <w:p w14:paraId="475F7F4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tcPr>
          <w:p w14:paraId="35A349D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Depresszió</w:t>
            </w:r>
          </w:p>
        </w:tc>
        <w:tc>
          <w:tcPr>
            <w:tcW w:w="1591" w:type="dxa"/>
            <w:shd w:val="clear" w:color="auto" w:fill="auto"/>
            <w:vAlign w:val="center"/>
          </w:tcPr>
          <w:p w14:paraId="5453D48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Nem gyakori</w:t>
            </w:r>
          </w:p>
        </w:tc>
        <w:tc>
          <w:tcPr>
            <w:tcW w:w="2992" w:type="dxa"/>
          </w:tcPr>
          <w:p w14:paraId="2F0C433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w:t>
            </w:r>
          </w:p>
        </w:tc>
      </w:tr>
      <w:tr w:rsidR="00716545" w:rsidRPr="00810248" w14:paraId="3A8F5DCE" w14:textId="77777777" w:rsidTr="000931D5">
        <w:trPr>
          <w:jc w:val="center"/>
        </w:trPr>
        <w:tc>
          <w:tcPr>
            <w:tcW w:w="1965" w:type="dxa"/>
            <w:vMerge/>
            <w:shd w:val="clear" w:color="auto" w:fill="auto"/>
            <w:vAlign w:val="center"/>
          </w:tcPr>
          <w:p w14:paraId="64A64025"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8F7C5B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Zavartság</w:t>
            </w:r>
          </w:p>
        </w:tc>
        <w:tc>
          <w:tcPr>
            <w:tcW w:w="1591" w:type="dxa"/>
            <w:shd w:val="clear" w:color="auto" w:fill="auto"/>
            <w:vAlign w:val="center"/>
          </w:tcPr>
          <w:p w14:paraId="346934D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431C951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867253E" w14:textId="77777777" w:rsidTr="000931D5">
        <w:trPr>
          <w:jc w:val="center"/>
        </w:trPr>
        <w:tc>
          <w:tcPr>
            <w:tcW w:w="1965" w:type="dxa"/>
            <w:vMerge w:val="restart"/>
            <w:shd w:val="clear" w:color="auto" w:fill="auto"/>
            <w:vAlign w:val="center"/>
          </w:tcPr>
          <w:p w14:paraId="290E7D4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Idegrendszeri betegségek és tünetek</w:t>
            </w:r>
          </w:p>
        </w:tc>
        <w:tc>
          <w:tcPr>
            <w:tcW w:w="2535" w:type="dxa"/>
            <w:shd w:val="clear" w:color="auto" w:fill="auto"/>
            <w:vAlign w:val="center"/>
          </w:tcPr>
          <w:p w14:paraId="2BE8032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Szédülés</w:t>
            </w:r>
          </w:p>
        </w:tc>
        <w:tc>
          <w:tcPr>
            <w:tcW w:w="1591" w:type="dxa"/>
            <w:shd w:val="clear" w:color="auto" w:fill="auto"/>
            <w:vAlign w:val="center"/>
          </w:tcPr>
          <w:p w14:paraId="7ECDAF2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33C5700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51F8115" w14:textId="77777777" w:rsidTr="000931D5">
        <w:trPr>
          <w:jc w:val="center"/>
        </w:trPr>
        <w:tc>
          <w:tcPr>
            <w:tcW w:w="1965" w:type="dxa"/>
            <w:vMerge/>
            <w:shd w:val="clear" w:color="auto" w:fill="auto"/>
            <w:vAlign w:val="center"/>
          </w:tcPr>
          <w:p w14:paraId="680C828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2F962E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Fejfájás</w:t>
            </w:r>
          </w:p>
        </w:tc>
        <w:tc>
          <w:tcPr>
            <w:tcW w:w="1591" w:type="dxa"/>
            <w:shd w:val="clear" w:color="auto" w:fill="auto"/>
            <w:vAlign w:val="center"/>
          </w:tcPr>
          <w:p w14:paraId="7454A95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6EF12B8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41371A09" w14:textId="77777777" w:rsidTr="000931D5">
        <w:trPr>
          <w:jc w:val="center"/>
        </w:trPr>
        <w:tc>
          <w:tcPr>
            <w:tcW w:w="1965" w:type="dxa"/>
            <w:vMerge/>
            <w:shd w:val="clear" w:color="auto" w:fill="auto"/>
            <w:vAlign w:val="center"/>
          </w:tcPr>
          <w:p w14:paraId="14A7CE8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4AB115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Paraesthesia</w:t>
            </w:r>
          </w:p>
        </w:tc>
        <w:tc>
          <w:tcPr>
            <w:tcW w:w="1591" w:type="dxa"/>
            <w:shd w:val="clear" w:color="auto" w:fill="auto"/>
            <w:vAlign w:val="center"/>
          </w:tcPr>
          <w:p w14:paraId="31C44F6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5328043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5AB814BC" w14:textId="77777777" w:rsidTr="000931D5">
        <w:trPr>
          <w:jc w:val="center"/>
        </w:trPr>
        <w:tc>
          <w:tcPr>
            <w:tcW w:w="1965" w:type="dxa"/>
            <w:vMerge/>
            <w:shd w:val="clear" w:color="auto" w:fill="auto"/>
            <w:vAlign w:val="center"/>
          </w:tcPr>
          <w:p w14:paraId="79EE937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09D733C" w14:textId="77777777" w:rsidR="00716545" w:rsidRPr="00810248" w:rsidDel="000C4DA2"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 xml:space="preserve">Dysgeusia </w:t>
            </w:r>
          </w:p>
        </w:tc>
        <w:tc>
          <w:tcPr>
            <w:tcW w:w="1591" w:type="dxa"/>
            <w:shd w:val="clear" w:color="auto" w:fill="auto"/>
            <w:vAlign w:val="center"/>
          </w:tcPr>
          <w:p w14:paraId="435AA7A1" w14:textId="77777777" w:rsidR="00716545" w:rsidRPr="00810248" w:rsidDel="000C4DA2"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07DD955F" w14:textId="77777777" w:rsidR="00716545" w:rsidRPr="00810248" w:rsidDel="00577CBA"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32C8C8C" w14:textId="77777777" w:rsidTr="000931D5">
        <w:trPr>
          <w:jc w:val="center"/>
        </w:trPr>
        <w:tc>
          <w:tcPr>
            <w:tcW w:w="1965" w:type="dxa"/>
            <w:vMerge/>
            <w:shd w:val="clear" w:color="auto" w:fill="auto"/>
            <w:vAlign w:val="center"/>
          </w:tcPr>
          <w:p w14:paraId="6300451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C685B0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Somnolentia</w:t>
            </w:r>
          </w:p>
        </w:tc>
        <w:tc>
          <w:tcPr>
            <w:tcW w:w="1591" w:type="dxa"/>
            <w:shd w:val="clear" w:color="auto" w:fill="auto"/>
            <w:vAlign w:val="center"/>
          </w:tcPr>
          <w:p w14:paraId="6A79E2A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60FA08B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66CE1C1D" w14:textId="77777777" w:rsidTr="000931D5">
        <w:trPr>
          <w:jc w:val="center"/>
        </w:trPr>
        <w:tc>
          <w:tcPr>
            <w:tcW w:w="1965" w:type="dxa"/>
            <w:vMerge/>
            <w:shd w:val="clear" w:color="auto" w:fill="auto"/>
            <w:vAlign w:val="center"/>
          </w:tcPr>
          <w:p w14:paraId="0F18C8A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4D76B64"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Syncope</w:t>
            </w:r>
          </w:p>
        </w:tc>
        <w:tc>
          <w:tcPr>
            <w:tcW w:w="1591" w:type="dxa"/>
            <w:shd w:val="clear" w:color="auto" w:fill="auto"/>
            <w:vAlign w:val="center"/>
          </w:tcPr>
          <w:p w14:paraId="173FAD4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00E831E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12C05109" w14:textId="77777777" w:rsidTr="000931D5">
        <w:trPr>
          <w:jc w:val="center"/>
        </w:trPr>
        <w:tc>
          <w:tcPr>
            <w:tcW w:w="1965" w:type="dxa"/>
            <w:vMerge/>
            <w:shd w:val="clear" w:color="auto" w:fill="auto"/>
            <w:vAlign w:val="center"/>
          </w:tcPr>
          <w:p w14:paraId="0C19782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8233986"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Stroke, feltehetően a túlzott hypotonia következtében a nagy kockázatú betegeknél (lásd 4.4 pont)</w:t>
            </w:r>
          </w:p>
        </w:tc>
        <w:tc>
          <w:tcPr>
            <w:tcW w:w="1591" w:type="dxa"/>
            <w:shd w:val="clear" w:color="auto" w:fill="auto"/>
            <w:vAlign w:val="center"/>
          </w:tcPr>
          <w:p w14:paraId="0A629CD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0428228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81757F0" w14:textId="77777777" w:rsidTr="000931D5">
        <w:trPr>
          <w:jc w:val="center"/>
        </w:trPr>
        <w:tc>
          <w:tcPr>
            <w:tcW w:w="1965" w:type="dxa"/>
            <w:vMerge/>
            <w:shd w:val="clear" w:color="auto" w:fill="auto"/>
            <w:vAlign w:val="center"/>
          </w:tcPr>
          <w:p w14:paraId="76F1732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7DB717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 xml:space="preserve">A hepaticus </w:t>
            </w:r>
            <w:r w:rsidRPr="00810248">
              <w:rPr>
                <w:rFonts w:ascii="Times New Roman" w:eastAsia="Times New Roman" w:hAnsi="Times New Roman" w:cs="Times New Roman"/>
                <w:lang w:eastAsia="hu-HU"/>
              </w:rPr>
              <w:lastRenderedPageBreak/>
              <w:t>encephalopathia kialakulásának lehetősége májelégtelenség esetén (lásd 4.3 és 4.4 pont)</w:t>
            </w:r>
          </w:p>
        </w:tc>
        <w:tc>
          <w:tcPr>
            <w:tcW w:w="1591" w:type="dxa"/>
            <w:shd w:val="clear" w:color="auto" w:fill="auto"/>
            <w:vAlign w:val="center"/>
          </w:tcPr>
          <w:p w14:paraId="289BC09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lastRenderedPageBreak/>
              <w:t>-</w:t>
            </w:r>
          </w:p>
        </w:tc>
        <w:tc>
          <w:tcPr>
            <w:tcW w:w="2992" w:type="dxa"/>
            <w:vAlign w:val="center"/>
          </w:tcPr>
          <w:p w14:paraId="7A39023A" w14:textId="47BAB7D2"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00436686" w14:textId="77777777" w:rsidTr="000931D5">
        <w:trPr>
          <w:jc w:val="center"/>
        </w:trPr>
        <w:tc>
          <w:tcPr>
            <w:tcW w:w="1965" w:type="dxa"/>
            <w:vMerge w:val="restart"/>
            <w:shd w:val="clear" w:color="auto" w:fill="auto"/>
            <w:vAlign w:val="center"/>
          </w:tcPr>
          <w:p w14:paraId="32958F8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Szembetegségek és szemészeti tünetek</w:t>
            </w:r>
          </w:p>
        </w:tc>
        <w:tc>
          <w:tcPr>
            <w:tcW w:w="2535" w:type="dxa"/>
            <w:shd w:val="clear" w:color="auto" w:fill="auto"/>
            <w:vAlign w:val="center"/>
          </w:tcPr>
          <w:p w14:paraId="2EB09CF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Látászavar</w:t>
            </w:r>
          </w:p>
        </w:tc>
        <w:tc>
          <w:tcPr>
            <w:tcW w:w="1591" w:type="dxa"/>
            <w:shd w:val="clear" w:color="auto" w:fill="auto"/>
            <w:vAlign w:val="center"/>
          </w:tcPr>
          <w:p w14:paraId="4883796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76D5B9B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112BD4FC" w14:textId="77777777" w:rsidTr="000931D5">
        <w:trPr>
          <w:jc w:val="center"/>
        </w:trPr>
        <w:tc>
          <w:tcPr>
            <w:tcW w:w="1965" w:type="dxa"/>
            <w:vMerge/>
            <w:shd w:val="clear" w:color="auto" w:fill="auto"/>
            <w:vAlign w:val="center"/>
          </w:tcPr>
          <w:p w14:paraId="34C0D4A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4AB10CA" w14:textId="77777777" w:rsidR="00716545" w:rsidRPr="00810248" w:rsidDel="00F62B25"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Myopia (lásd 4.4 pont)</w:t>
            </w:r>
          </w:p>
        </w:tc>
        <w:tc>
          <w:tcPr>
            <w:tcW w:w="1591" w:type="dxa"/>
            <w:shd w:val="clear" w:color="auto" w:fill="auto"/>
            <w:vAlign w:val="center"/>
          </w:tcPr>
          <w:p w14:paraId="11B002D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286A4D7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27BC5DF0" w14:textId="77777777" w:rsidTr="000931D5">
        <w:trPr>
          <w:jc w:val="center"/>
        </w:trPr>
        <w:tc>
          <w:tcPr>
            <w:tcW w:w="1965" w:type="dxa"/>
            <w:vMerge/>
            <w:shd w:val="clear" w:color="auto" w:fill="auto"/>
            <w:vAlign w:val="center"/>
          </w:tcPr>
          <w:p w14:paraId="599684D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E72F5E8" w14:textId="77777777" w:rsidR="00716545" w:rsidRPr="00810248" w:rsidDel="00F62B25"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Homályos látás</w:t>
            </w:r>
          </w:p>
        </w:tc>
        <w:tc>
          <w:tcPr>
            <w:tcW w:w="1591" w:type="dxa"/>
            <w:shd w:val="clear" w:color="auto" w:fill="auto"/>
            <w:vAlign w:val="center"/>
          </w:tcPr>
          <w:p w14:paraId="1B50C24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04395D4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0497651A" w14:textId="77777777" w:rsidTr="000931D5">
        <w:trPr>
          <w:jc w:val="center"/>
        </w:trPr>
        <w:tc>
          <w:tcPr>
            <w:tcW w:w="1965" w:type="dxa"/>
            <w:vMerge/>
            <w:shd w:val="clear" w:color="auto" w:fill="auto"/>
            <w:vAlign w:val="center"/>
          </w:tcPr>
          <w:p w14:paraId="006C7E4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D36401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Choroidealis effusio</w:t>
            </w:r>
          </w:p>
        </w:tc>
        <w:tc>
          <w:tcPr>
            <w:tcW w:w="1591" w:type="dxa"/>
            <w:shd w:val="clear" w:color="auto" w:fill="auto"/>
            <w:vAlign w:val="center"/>
          </w:tcPr>
          <w:p w14:paraId="05449BD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341AD62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4CE001D3" w14:textId="77777777" w:rsidTr="000931D5">
        <w:trPr>
          <w:jc w:val="center"/>
        </w:trPr>
        <w:tc>
          <w:tcPr>
            <w:tcW w:w="1965" w:type="dxa"/>
            <w:vMerge w:val="restart"/>
            <w:shd w:val="clear" w:color="auto" w:fill="auto"/>
            <w:vAlign w:val="center"/>
          </w:tcPr>
          <w:p w14:paraId="3F0E4760"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Fül és az egyensúly-érzékelő szerv betegségei és tünetei</w:t>
            </w:r>
          </w:p>
        </w:tc>
        <w:tc>
          <w:tcPr>
            <w:tcW w:w="2535" w:type="dxa"/>
            <w:shd w:val="clear" w:color="auto" w:fill="auto"/>
            <w:vAlign w:val="center"/>
          </w:tcPr>
          <w:p w14:paraId="21D4F8C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Vertigo</w:t>
            </w:r>
          </w:p>
        </w:tc>
        <w:tc>
          <w:tcPr>
            <w:tcW w:w="1591" w:type="dxa"/>
            <w:shd w:val="clear" w:color="auto" w:fill="auto"/>
            <w:vAlign w:val="center"/>
          </w:tcPr>
          <w:p w14:paraId="0259C2E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4896665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4DD1AB07" w14:textId="77777777" w:rsidTr="000931D5">
        <w:trPr>
          <w:jc w:val="center"/>
        </w:trPr>
        <w:tc>
          <w:tcPr>
            <w:tcW w:w="1965" w:type="dxa"/>
            <w:vMerge/>
            <w:shd w:val="clear" w:color="auto" w:fill="auto"/>
            <w:vAlign w:val="center"/>
          </w:tcPr>
          <w:p w14:paraId="48B2E8A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294F35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Tinnitus</w:t>
            </w:r>
          </w:p>
        </w:tc>
        <w:tc>
          <w:tcPr>
            <w:tcW w:w="1591" w:type="dxa"/>
            <w:shd w:val="clear" w:color="auto" w:fill="auto"/>
            <w:vAlign w:val="center"/>
          </w:tcPr>
          <w:p w14:paraId="774816C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23A00AF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F3326BD" w14:textId="77777777" w:rsidTr="000931D5">
        <w:trPr>
          <w:jc w:val="center"/>
        </w:trPr>
        <w:tc>
          <w:tcPr>
            <w:tcW w:w="1965" w:type="dxa"/>
            <w:vMerge w:val="restart"/>
            <w:shd w:val="clear" w:color="auto" w:fill="auto"/>
            <w:vAlign w:val="center"/>
          </w:tcPr>
          <w:p w14:paraId="7F9B0AB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Szívbetegségek és a szívvel kapcsolatos tünetek</w:t>
            </w:r>
          </w:p>
        </w:tc>
        <w:tc>
          <w:tcPr>
            <w:tcW w:w="2535" w:type="dxa"/>
            <w:shd w:val="clear" w:color="auto" w:fill="auto"/>
            <w:vAlign w:val="center"/>
          </w:tcPr>
          <w:p w14:paraId="79F66917" w14:textId="612AC1BD" w:rsidR="00716545" w:rsidRPr="00810248"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Palpitatio</w:t>
            </w:r>
          </w:p>
        </w:tc>
        <w:tc>
          <w:tcPr>
            <w:tcW w:w="1591" w:type="dxa"/>
            <w:shd w:val="clear" w:color="auto" w:fill="auto"/>
            <w:vAlign w:val="center"/>
          </w:tcPr>
          <w:p w14:paraId="7D2A7F2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625C04D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F388B45" w14:textId="77777777" w:rsidTr="000931D5">
        <w:trPr>
          <w:jc w:val="center"/>
        </w:trPr>
        <w:tc>
          <w:tcPr>
            <w:tcW w:w="1965" w:type="dxa"/>
            <w:vMerge/>
            <w:shd w:val="clear" w:color="auto" w:fill="auto"/>
            <w:vAlign w:val="center"/>
          </w:tcPr>
          <w:p w14:paraId="6862110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5350B3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Tachycardia</w:t>
            </w:r>
          </w:p>
        </w:tc>
        <w:tc>
          <w:tcPr>
            <w:tcW w:w="1591" w:type="dxa"/>
            <w:shd w:val="clear" w:color="auto" w:fill="auto"/>
            <w:vAlign w:val="center"/>
          </w:tcPr>
          <w:p w14:paraId="2EFD3C7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 *</w:t>
            </w:r>
          </w:p>
        </w:tc>
        <w:tc>
          <w:tcPr>
            <w:tcW w:w="2992" w:type="dxa"/>
          </w:tcPr>
          <w:p w14:paraId="44056D2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FA11047" w14:textId="77777777" w:rsidTr="000931D5">
        <w:trPr>
          <w:jc w:val="center"/>
        </w:trPr>
        <w:tc>
          <w:tcPr>
            <w:tcW w:w="1965" w:type="dxa"/>
            <w:vMerge/>
            <w:shd w:val="clear" w:color="auto" w:fill="auto"/>
            <w:vAlign w:val="center"/>
          </w:tcPr>
          <w:p w14:paraId="5743885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4D26D3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Angina pectoris (lásd 4.4 pont)</w:t>
            </w:r>
          </w:p>
        </w:tc>
        <w:tc>
          <w:tcPr>
            <w:tcW w:w="1591" w:type="dxa"/>
            <w:shd w:val="clear" w:color="auto" w:fill="auto"/>
            <w:vAlign w:val="center"/>
          </w:tcPr>
          <w:p w14:paraId="27B58BC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7ABF801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2995175" w14:textId="77777777" w:rsidTr="000931D5">
        <w:trPr>
          <w:jc w:val="center"/>
        </w:trPr>
        <w:tc>
          <w:tcPr>
            <w:tcW w:w="1965" w:type="dxa"/>
            <w:vMerge/>
            <w:shd w:val="clear" w:color="auto" w:fill="auto"/>
            <w:vAlign w:val="center"/>
          </w:tcPr>
          <w:p w14:paraId="00FA304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91A443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Arrhythmia (beleértve a bradycardiát, a kamrai tachycardiát és a pitvarfibrillációt)</w:t>
            </w:r>
          </w:p>
        </w:tc>
        <w:tc>
          <w:tcPr>
            <w:tcW w:w="1591" w:type="dxa"/>
            <w:shd w:val="clear" w:color="auto" w:fill="auto"/>
            <w:vAlign w:val="center"/>
          </w:tcPr>
          <w:p w14:paraId="1FB7F5E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6F628BC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5635CD2E" w14:textId="77777777" w:rsidTr="000931D5">
        <w:trPr>
          <w:jc w:val="center"/>
        </w:trPr>
        <w:tc>
          <w:tcPr>
            <w:tcW w:w="1965" w:type="dxa"/>
            <w:vMerge/>
            <w:shd w:val="clear" w:color="auto" w:fill="auto"/>
            <w:vAlign w:val="center"/>
          </w:tcPr>
          <w:p w14:paraId="3ED6D6F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302677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Myocardialis infarctus, feltehetően a túlzott hypotonia következtében a nagy kockázatú betegeknél (lásd 4.4 pont)</w:t>
            </w:r>
          </w:p>
        </w:tc>
        <w:tc>
          <w:tcPr>
            <w:tcW w:w="1591" w:type="dxa"/>
            <w:shd w:val="clear" w:color="auto" w:fill="auto"/>
            <w:vAlign w:val="center"/>
          </w:tcPr>
          <w:p w14:paraId="1E4781D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384BFD0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4794B36" w14:textId="77777777" w:rsidTr="000931D5">
        <w:trPr>
          <w:jc w:val="center"/>
        </w:trPr>
        <w:tc>
          <w:tcPr>
            <w:tcW w:w="1965" w:type="dxa"/>
            <w:vMerge/>
            <w:shd w:val="clear" w:color="auto" w:fill="auto"/>
            <w:vAlign w:val="center"/>
          </w:tcPr>
          <w:p w14:paraId="690D31E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3A41579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i/>
                <w:lang w:eastAsia="hu-HU"/>
              </w:rPr>
              <w:t>Torsades de pointes</w:t>
            </w:r>
            <w:r w:rsidRPr="00810248">
              <w:rPr>
                <w:rFonts w:ascii="Times New Roman" w:eastAsia="Times New Roman" w:hAnsi="Times New Roman" w:cs="Times New Roman"/>
                <w:lang w:eastAsia="hu-HU"/>
              </w:rPr>
              <w:t xml:space="preserve"> (potenciálisan fatális kimenetelű)</w:t>
            </w:r>
            <w:r w:rsidRPr="00810248" w:rsidDel="007673DB">
              <w:rPr>
                <w:rFonts w:ascii="Times New Roman" w:eastAsia="Times New Roman" w:hAnsi="Times New Roman" w:cs="Times New Roman"/>
                <w:lang w:eastAsia="hu-HU"/>
              </w:rPr>
              <w:t xml:space="preserve"> </w:t>
            </w:r>
            <w:r w:rsidRPr="00810248">
              <w:rPr>
                <w:rFonts w:ascii="Times New Roman" w:eastAsia="Times New Roman" w:hAnsi="Times New Roman" w:cs="Times New Roman"/>
                <w:lang w:eastAsia="hu-HU"/>
              </w:rPr>
              <w:t>(lásd 4.4 és 4.5 pont)</w:t>
            </w:r>
          </w:p>
        </w:tc>
        <w:tc>
          <w:tcPr>
            <w:tcW w:w="1591" w:type="dxa"/>
            <w:shd w:val="clear" w:color="auto" w:fill="auto"/>
            <w:vAlign w:val="center"/>
          </w:tcPr>
          <w:p w14:paraId="77CA3DC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24B0FA2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0B5E87DA" w14:textId="77777777" w:rsidTr="000931D5">
        <w:trPr>
          <w:jc w:val="center"/>
        </w:trPr>
        <w:tc>
          <w:tcPr>
            <w:tcW w:w="1965" w:type="dxa"/>
            <w:vMerge w:val="restart"/>
            <w:shd w:val="clear" w:color="auto" w:fill="auto"/>
            <w:vAlign w:val="center"/>
          </w:tcPr>
          <w:p w14:paraId="2C47346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Érbetegségek és tünetek</w:t>
            </w:r>
          </w:p>
        </w:tc>
        <w:tc>
          <w:tcPr>
            <w:tcW w:w="2535" w:type="dxa"/>
            <w:shd w:val="clear" w:color="auto" w:fill="auto"/>
            <w:vAlign w:val="center"/>
          </w:tcPr>
          <w:p w14:paraId="42B3235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Hypotonia (és a hypotoniával összefüggő tünetek) (lásd 4.4 pont)</w:t>
            </w:r>
          </w:p>
        </w:tc>
        <w:tc>
          <w:tcPr>
            <w:tcW w:w="1591" w:type="dxa"/>
            <w:shd w:val="clear" w:color="auto" w:fill="auto"/>
            <w:vAlign w:val="center"/>
          </w:tcPr>
          <w:p w14:paraId="6D5EE5F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c>
          <w:tcPr>
            <w:tcW w:w="2992" w:type="dxa"/>
            <w:vAlign w:val="center"/>
          </w:tcPr>
          <w:p w14:paraId="6CA830A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46F5E547" w14:textId="77777777" w:rsidTr="000931D5">
        <w:trPr>
          <w:jc w:val="center"/>
        </w:trPr>
        <w:tc>
          <w:tcPr>
            <w:tcW w:w="1965" w:type="dxa"/>
            <w:vMerge/>
            <w:shd w:val="clear" w:color="auto" w:fill="auto"/>
            <w:vAlign w:val="center"/>
          </w:tcPr>
          <w:p w14:paraId="448E774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883E59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Vasculitis</w:t>
            </w:r>
          </w:p>
        </w:tc>
        <w:tc>
          <w:tcPr>
            <w:tcW w:w="1591" w:type="dxa"/>
            <w:shd w:val="clear" w:color="auto" w:fill="auto"/>
            <w:vAlign w:val="center"/>
          </w:tcPr>
          <w:p w14:paraId="670CC90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088B0D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52AE438E" w14:textId="77777777" w:rsidTr="000931D5">
        <w:trPr>
          <w:jc w:val="center"/>
        </w:trPr>
        <w:tc>
          <w:tcPr>
            <w:tcW w:w="1965" w:type="dxa"/>
            <w:vMerge/>
            <w:shd w:val="clear" w:color="auto" w:fill="auto"/>
          </w:tcPr>
          <w:p w14:paraId="6269AA4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tcPr>
          <w:p w14:paraId="0AB6960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Kipirulás</w:t>
            </w:r>
          </w:p>
        </w:tc>
        <w:tc>
          <w:tcPr>
            <w:tcW w:w="1591" w:type="dxa"/>
            <w:shd w:val="clear" w:color="auto" w:fill="auto"/>
          </w:tcPr>
          <w:p w14:paraId="19A6466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Ritka</w:t>
            </w:r>
          </w:p>
        </w:tc>
        <w:tc>
          <w:tcPr>
            <w:tcW w:w="2992" w:type="dxa"/>
            <w:vAlign w:val="center"/>
          </w:tcPr>
          <w:p w14:paraId="1AE8090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lang w:eastAsia="hu-HU"/>
              </w:rPr>
              <w:t>-</w:t>
            </w:r>
          </w:p>
        </w:tc>
      </w:tr>
      <w:tr w:rsidR="00716545" w:rsidRPr="00810248" w14:paraId="6B84EE80" w14:textId="77777777" w:rsidTr="000931D5">
        <w:trPr>
          <w:jc w:val="center"/>
        </w:trPr>
        <w:tc>
          <w:tcPr>
            <w:tcW w:w="1965" w:type="dxa"/>
            <w:vMerge/>
            <w:shd w:val="clear" w:color="auto" w:fill="auto"/>
            <w:vAlign w:val="center"/>
          </w:tcPr>
          <w:p w14:paraId="0262706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57F2D1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Raynaud-jelenség</w:t>
            </w:r>
          </w:p>
        </w:tc>
        <w:tc>
          <w:tcPr>
            <w:tcW w:w="1591" w:type="dxa"/>
            <w:shd w:val="clear" w:color="auto" w:fill="auto"/>
            <w:vAlign w:val="center"/>
          </w:tcPr>
          <w:p w14:paraId="4AF2512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c>
          <w:tcPr>
            <w:tcW w:w="2992" w:type="dxa"/>
            <w:vAlign w:val="center"/>
          </w:tcPr>
          <w:p w14:paraId="4D204F09" w14:textId="4936E36F" w:rsidR="00716545" w:rsidRPr="00810248" w:rsidRDefault="00753D52"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6BF72DB" w14:textId="77777777" w:rsidTr="000931D5">
        <w:trPr>
          <w:jc w:val="center"/>
        </w:trPr>
        <w:tc>
          <w:tcPr>
            <w:tcW w:w="1965" w:type="dxa"/>
            <w:vMerge w:val="restart"/>
            <w:shd w:val="clear" w:color="auto" w:fill="auto"/>
            <w:vAlign w:val="center"/>
          </w:tcPr>
          <w:p w14:paraId="65BE835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Légzőrendszeri, mellkasi és mediastinális betegségek és tünetek</w:t>
            </w:r>
          </w:p>
        </w:tc>
        <w:tc>
          <w:tcPr>
            <w:tcW w:w="2535" w:type="dxa"/>
            <w:shd w:val="clear" w:color="auto" w:fill="auto"/>
            <w:vAlign w:val="center"/>
          </w:tcPr>
          <w:p w14:paraId="58C238C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Köhögés (lásd 4.4 pont)</w:t>
            </w:r>
          </w:p>
        </w:tc>
        <w:tc>
          <w:tcPr>
            <w:tcW w:w="1591" w:type="dxa"/>
            <w:shd w:val="clear" w:color="auto" w:fill="auto"/>
            <w:vAlign w:val="center"/>
          </w:tcPr>
          <w:p w14:paraId="2E08709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14D47CA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862FC9B" w14:textId="77777777" w:rsidTr="000931D5">
        <w:trPr>
          <w:jc w:val="center"/>
        </w:trPr>
        <w:tc>
          <w:tcPr>
            <w:tcW w:w="1965" w:type="dxa"/>
            <w:vMerge/>
            <w:shd w:val="clear" w:color="auto" w:fill="auto"/>
            <w:vAlign w:val="center"/>
          </w:tcPr>
          <w:p w14:paraId="69A6010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081DEE8" w14:textId="40575051"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Dyspnoe</w:t>
            </w:r>
          </w:p>
        </w:tc>
        <w:tc>
          <w:tcPr>
            <w:tcW w:w="1591" w:type="dxa"/>
            <w:shd w:val="clear" w:color="auto" w:fill="auto"/>
            <w:vAlign w:val="center"/>
          </w:tcPr>
          <w:p w14:paraId="315125B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11201F7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544162A" w14:textId="77777777" w:rsidTr="000931D5">
        <w:trPr>
          <w:jc w:val="center"/>
        </w:trPr>
        <w:tc>
          <w:tcPr>
            <w:tcW w:w="1965" w:type="dxa"/>
            <w:vMerge/>
            <w:shd w:val="clear" w:color="auto" w:fill="auto"/>
            <w:vAlign w:val="center"/>
          </w:tcPr>
          <w:p w14:paraId="288195E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E5FD53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Bronchospasmus</w:t>
            </w:r>
          </w:p>
        </w:tc>
        <w:tc>
          <w:tcPr>
            <w:tcW w:w="1591" w:type="dxa"/>
            <w:shd w:val="clear" w:color="auto" w:fill="auto"/>
            <w:vAlign w:val="center"/>
          </w:tcPr>
          <w:p w14:paraId="0D82ADB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694E209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34DFA4E" w14:textId="77777777" w:rsidTr="000931D5">
        <w:trPr>
          <w:jc w:val="center"/>
        </w:trPr>
        <w:tc>
          <w:tcPr>
            <w:tcW w:w="1965" w:type="dxa"/>
            <w:vMerge/>
            <w:shd w:val="clear" w:color="auto" w:fill="auto"/>
            <w:vAlign w:val="center"/>
          </w:tcPr>
          <w:p w14:paraId="50135200"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03DB6E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Eosinophiliás pneumonia</w:t>
            </w:r>
          </w:p>
        </w:tc>
        <w:tc>
          <w:tcPr>
            <w:tcW w:w="1591" w:type="dxa"/>
            <w:shd w:val="clear" w:color="auto" w:fill="auto"/>
            <w:vAlign w:val="center"/>
          </w:tcPr>
          <w:p w14:paraId="2A9D5FE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7275FBE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5F3BC5E5" w14:textId="77777777" w:rsidTr="000931D5">
        <w:trPr>
          <w:jc w:val="center"/>
        </w:trPr>
        <w:tc>
          <w:tcPr>
            <w:tcW w:w="1965" w:type="dxa"/>
            <w:vMerge w:val="restart"/>
            <w:shd w:val="clear" w:color="auto" w:fill="auto"/>
            <w:vAlign w:val="center"/>
          </w:tcPr>
          <w:p w14:paraId="5188421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Emésztőrendszeri betegségek és tünetek</w:t>
            </w:r>
          </w:p>
        </w:tc>
        <w:tc>
          <w:tcPr>
            <w:tcW w:w="2535" w:type="dxa"/>
            <w:shd w:val="clear" w:color="auto" w:fill="auto"/>
            <w:vAlign w:val="center"/>
          </w:tcPr>
          <w:p w14:paraId="735CA906"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Hasi fájdalom</w:t>
            </w:r>
          </w:p>
        </w:tc>
        <w:tc>
          <w:tcPr>
            <w:tcW w:w="1591" w:type="dxa"/>
            <w:shd w:val="clear" w:color="auto" w:fill="auto"/>
            <w:vAlign w:val="center"/>
          </w:tcPr>
          <w:p w14:paraId="44CD334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0F3429F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4D67D95C" w14:textId="77777777" w:rsidTr="000931D5">
        <w:trPr>
          <w:jc w:val="center"/>
        </w:trPr>
        <w:tc>
          <w:tcPr>
            <w:tcW w:w="1965" w:type="dxa"/>
            <w:vMerge/>
            <w:shd w:val="clear" w:color="auto" w:fill="auto"/>
            <w:vAlign w:val="center"/>
          </w:tcPr>
          <w:p w14:paraId="1323CD1E"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F80B31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Székrekedés</w:t>
            </w:r>
          </w:p>
        </w:tc>
        <w:tc>
          <w:tcPr>
            <w:tcW w:w="1591" w:type="dxa"/>
            <w:shd w:val="clear" w:color="auto" w:fill="auto"/>
            <w:vAlign w:val="center"/>
          </w:tcPr>
          <w:p w14:paraId="6763663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6B5595F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16F0D859" w14:textId="77777777" w:rsidTr="000931D5">
        <w:trPr>
          <w:jc w:val="center"/>
        </w:trPr>
        <w:tc>
          <w:tcPr>
            <w:tcW w:w="1965" w:type="dxa"/>
            <w:vMerge/>
            <w:shd w:val="clear" w:color="auto" w:fill="auto"/>
            <w:vAlign w:val="center"/>
          </w:tcPr>
          <w:p w14:paraId="240A7F2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1BCE81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Hasmenés</w:t>
            </w:r>
          </w:p>
        </w:tc>
        <w:tc>
          <w:tcPr>
            <w:tcW w:w="1591" w:type="dxa"/>
            <w:shd w:val="clear" w:color="auto" w:fill="auto"/>
            <w:vAlign w:val="center"/>
          </w:tcPr>
          <w:p w14:paraId="07217E6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2AFBBF9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29C15121" w14:textId="77777777" w:rsidTr="000931D5">
        <w:trPr>
          <w:jc w:val="center"/>
        </w:trPr>
        <w:tc>
          <w:tcPr>
            <w:tcW w:w="1965" w:type="dxa"/>
            <w:vMerge/>
            <w:shd w:val="clear" w:color="auto" w:fill="auto"/>
            <w:vAlign w:val="center"/>
          </w:tcPr>
          <w:p w14:paraId="30A88A6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CD3450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Dyspepsia</w:t>
            </w:r>
          </w:p>
        </w:tc>
        <w:tc>
          <w:tcPr>
            <w:tcW w:w="1591" w:type="dxa"/>
            <w:shd w:val="clear" w:color="auto" w:fill="auto"/>
            <w:vAlign w:val="center"/>
          </w:tcPr>
          <w:p w14:paraId="600ADCD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1BC683F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F5A796D" w14:textId="77777777" w:rsidTr="000931D5">
        <w:trPr>
          <w:jc w:val="center"/>
        </w:trPr>
        <w:tc>
          <w:tcPr>
            <w:tcW w:w="1965" w:type="dxa"/>
            <w:vMerge/>
            <w:shd w:val="clear" w:color="auto" w:fill="auto"/>
            <w:vAlign w:val="center"/>
          </w:tcPr>
          <w:p w14:paraId="785233E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49D373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Hányinger</w:t>
            </w:r>
          </w:p>
        </w:tc>
        <w:tc>
          <w:tcPr>
            <w:tcW w:w="1591" w:type="dxa"/>
            <w:shd w:val="clear" w:color="auto" w:fill="auto"/>
            <w:vAlign w:val="center"/>
          </w:tcPr>
          <w:p w14:paraId="1E5C628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593D4A5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33BC8694" w14:textId="77777777" w:rsidTr="000931D5">
        <w:trPr>
          <w:jc w:val="center"/>
        </w:trPr>
        <w:tc>
          <w:tcPr>
            <w:tcW w:w="1965" w:type="dxa"/>
            <w:vMerge/>
            <w:shd w:val="clear" w:color="auto" w:fill="auto"/>
            <w:vAlign w:val="center"/>
          </w:tcPr>
          <w:p w14:paraId="6CF1017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4D14AC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Hányás</w:t>
            </w:r>
          </w:p>
        </w:tc>
        <w:tc>
          <w:tcPr>
            <w:tcW w:w="1591" w:type="dxa"/>
            <w:shd w:val="clear" w:color="auto" w:fill="auto"/>
            <w:vAlign w:val="center"/>
          </w:tcPr>
          <w:p w14:paraId="1C2DADF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1F77030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r>
      <w:tr w:rsidR="00716545" w:rsidRPr="00810248" w14:paraId="3E80EA4C" w14:textId="77777777" w:rsidTr="000931D5">
        <w:trPr>
          <w:jc w:val="center"/>
        </w:trPr>
        <w:tc>
          <w:tcPr>
            <w:tcW w:w="1965" w:type="dxa"/>
            <w:vMerge/>
            <w:shd w:val="clear" w:color="auto" w:fill="auto"/>
            <w:vAlign w:val="center"/>
          </w:tcPr>
          <w:p w14:paraId="62839D7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E3D369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Szájszárazság</w:t>
            </w:r>
          </w:p>
        </w:tc>
        <w:tc>
          <w:tcPr>
            <w:tcW w:w="1591" w:type="dxa"/>
            <w:shd w:val="clear" w:color="auto" w:fill="auto"/>
            <w:vAlign w:val="center"/>
          </w:tcPr>
          <w:p w14:paraId="3D6561C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564FE6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4B971AF3" w14:textId="77777777" w:rsidTr="000931D5">
        <w:trPr>
          <w:jc w:val="center"/>
        </w:trPr>
        <w:tc>
          <w:tcPr>
            <w:tcW w:w="1965" w:type="dxa"/>
            <w:vMerge/>
            <w:shd w:val="clear" w:color="auto" w:fill="auto"/>
            <w:vAlign w:val="center"/>
          </w:tcPr>
          <w:p w14:paraId="72A92BA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EFD129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Pancreatitis</w:t>
            </w:r>
          </w:p>
        </w:tc>
        <w:tc>
          <w:tcPr>
            <w:tcW w:w="1591" w:type="dxa"/>
            <w:shd w:val="clear" w:color="auto" w:fill="auto"/>
            <w:vAlign w:val="center"/>
          </w:tcPr>
          <w:p w14:paraId="2DBF122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16295B0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1D5A7E0F" w14:textId="77777777" w:rsidTr="000931D5">
        <w:trPr>
          <w:jc w:val="center"/>
        </w:trPr>
        <w:tc>
          <w:tcPr>
            <w:tcW w:w="1965" w:type="dxa"/>
            <w:vMerge w:val="restart"/>
            <w:shd w:val="clear" w:color="auto" w:fill="auto"/>
            <w:vAlign w:val="center"/>
          </w:tcPr>
          <w:p w14:paraId="7EF1C79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Máj- és epebetegségek és tünetei</w:t>
            </w:r>
          </w:p>
        </w:tc>
        <w:tc>
          <w:tcPr>
            <w:tcW w:w="2535" w:type="dxa"/>
            <w:shd w:val="clear" w:color="auto" w:fill="auto"/>
            <w:vAlign w:val="center"/>
          </w:tcPr>
          <w:p w14:paraId="1C82307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Hepatitis (lásd 4.4 pont)</w:t>
            </w:r>
          </w:p>
        </w:tc>
        <w:tc>
          <w:tcPr>
            <w:tcW w:w="1591" w:type="dxa"/>
            <w:shd w:val="clear" w:color="auto" w:fill="auto"/>
            <w:vAlign w:val="center"/>
          </w:tcPr>
          <w:p w14:paraId="4989110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2A5F194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342CD905" w14:textId="77777777" w:rsidTr="000931D5">
        <w:trPr>
          <w:jc w:val="center"/>
        </w:trPr>
        <w:tc>
          <w:tcPr>
            <w:tcW w:w="1965" w:type="dxa"/>
            <w:vMerge/>
            <w:shd w:val="clear" w:color="auto" w:fill="auto"/>
            <w:vAlign w:val="center"/>
          </w:tcPr>
          <w:p w14:paraId="33A2CC2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77FEC89" w14:textId="77777777" w:rsidR="00716545" w:rsidRPr="00810248" w:rsidDel="00DE426E"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Kóros májfunkció</w:t>
            </w:r>
          </w:p>
        </w:tc>
        <w:tc>
          <w:tcPr>
            <w:tcW w:w="1591" w:type="dxa"/>
            <w:shd w:val="clear" w:color="auto" w:fill="auto"/>
            <w:vAlign w:val="center"/>
          </w:tcPr>
          <w:p w14:paraId="51A205DB" w14:textId="77777777" w:rsidR="00716545" w:rsidRPr="00810248" w:rsidDel="00DE426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4FC78457" w14:textId="77777777" w:rsidR="00716545" w:rsidRPr="00810248" w:rsidDel="00DE426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6AF97E73" w14:textId="77777777" w:rsidTr="000931D5">
        <w:trPr>
          <w:jc w:val="center"/>
        </w:trPr>
        <w:tc>
          <w:tcPr>
            <w:tcW w:w="1965" w:type="dxa"/>
            <w:vMerge w:val="restart"/>
            <w:shd w:val="clear" w:color="auto" w:fill="auto"/>
            <w:vAlign w:val="center"/>
          </w:tcPr>
          <w:p w14:paraId="378E5F5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A bőr és a bőr alatti szövet betegségei és tünetei</w:t>
            </w:r>
          </w:p>
        </w:tc>
        <w:tc>
          <w:tcPr>
            <w:tcW w:w="2535" w:type="dxa"/>
            <w:shd w:val="clear" w:color="auto" w:fill="auto"/>
            <w:vAlign w:val="center"/>
          </w:tcPr>
          <w:p w14:paraId="6BED8F1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Viszketés</w:t>
            </w:r>
          </w:p>
        </w:tc>
        <w:tc>
          <w:tcPr>
            <w:tcW w:w="1591" w:type="dxa"/>
            <w:shd w:val="clear" w:color="auto" w:fill="auto"/>
            <w:vAlign w:val="center"/>
          </w:tcPr>
          <w:p w14:paraId="1397151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2610BB9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4897843" w14:textId="77777777" w:rsidTr="000931D5">
        <w:trPr>
          <w:jc w:val="center"/>
        </w:trPr>
        <w:tc>
          <w:tcPr>
            <w:tcW w:w="1965" w:type="dxa"/>
            <w:vMerge/>
            <w:shd w:val="clear" w:color="auto" w:fill="auto"/>
            <w:vAlign w:val="center"/>
          </w:tcPr>
          <w:p w14:paraId="0074DF8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EAF876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Kiütés</w:t>
            </w:r>
          </w:p>
        </w:tc>
        <w:tc>
          <w:tcPr>
            <w:tcW w:w="1591" w:type="dxa"/>
            <w:shd w:val="clear" w:color="auto" w:fill="auto"/>
            <w:vAlign w:val="center"/>
          </w:tcPr>
          <w:p w14:paraId="4EEB041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2909B5A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35078B5" w14:textId="77777777" w:rsidTr="000931D5">
        <w:trPr>
          <w:jc w:val="center"/>
        </w:trPr>
        <w:tc>
          <w:tcPr>
            <w:tcW w:w="1965" w:type="dxa"/>
            <w:vMerge/>
            <w:shd w:val="clear" w:color="auto" w:fill="auto"/>
            <w:vAlign w:val="center"/>
          </w:tcPr>
          <w:p w14:paraId="58D7AAE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4C571C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Maculopapulosus kiütés</w:t>
            </w:r>
          </w:p>
        </w:tc>
        <w:tc>
          <w:tcPr>
            <w:tcW w:w="1591" w:type="dxa"/>
            <w:shd w:val="clear" w:color="auto" w:fill="auto"/>
            <w:vAlign w:val="center"/>
          </w:tcPr>
          <w:p w14:paraId="05A9FEA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659A80E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r>
      <w:tr w:rsidR="00716545" w:rsidRPr="00810248" w14:paraId="293D4FB0" w14:textId="77777777" w:rsidTr="000931D5">
        <w:trPr>
          <w:jc w:val="center"/>
        </w:trPr>
        <w:tc>
          <w:tcPr>
            <w:tcW w:w="1965" w:type="dxa"/>
            <w:vMerge/>
            <w:shd w:val="clear" w:color="auto" w:fill="auto"/>
            <w:vAlign w:val="center"/>
          </w:tcPr>
          <w:p w14:paraId="7133A09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4A42C1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Urticaria (lásd 4.4 pont)</w:t>
            </w:r>
          </w:p>
        </w:tc>
        <w:tc>
          <w:tcPr>
            <w:tcW w:w="1591" w:type="dxa"/>
            <w:shd w:val="clear" w:color="auto" w:fill="auto"/>
            <w:vAlign w:val="center"/>
          </w:tcPr>
          <w:p w14:paraId="093CAF4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781DC5E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4C0BD511" w14:textId="77777777" w:rsidTr="000931D5">
        <w:trPr>
          <w:jc w:val="center"/>
        </w:trPr>
        <w:tc>
          <w:tcPr>
            <w:tcW w:w="1965" w:type="dxa"/>
            <w:vMerge/>
            <w:shd w:val="clear" w:color="auto" w:fill="auto"/>
            <w:vAlign w:val="center"/>
          </w:tcPr>
          <w:p w14:paraId="3026CBA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B5FD92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 xml:space="preserve">Angiooedema (lásd </w:t>
            </w:r>
            <w:r w:rsidRPr="00810248">
              <w:rPr>
                <w:rFonts w:ascii="Times New Roman" w:eastAsia="Times New Roman" w:hAnsi="Times New Roman" w:cs="Times New Roman"/>
                <w:lang w:eastAsia="hu-HU"/>
              </w:rPr>
              <w:lastRenderedPageBreak/>
              <w:t>4.4 pont)</w:t>
            </w:r>
          </w:p>
        </w:tc>
        <w:tc>
          <w:tcPr>
            <w:tcW w:w="1591" w:type="dxa"/>
            <w:shd w:val="clear" w:color="auto" w:fill="auto"/>
            <w:vAlign w:val="center"/>
          </w:tcPr>
          <w:p w14:paraId="07198C73"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lastRenderedPageBreak/>
              <w:t>Nem gyakori</w:t>
            </w:r>
          </w:p>
        </w:tc>
        <w:tc>
          <w:tcPr>
            <w:tcW w:w="2992" w:type="dxa"/>
            <w:vAlign w:val="center"/>
          </w:tcPr>
          <w:p w14:paraId="7A2DD9D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7BA4E714" w14:textId="77777777" w:rsidTr="000931D5">
        <w:trPr>
          <w:jc w:val="center"/>
        </w:trPr>
        <w:tc>
          <w:tcPr>
            <w:tcW w:w="1965" w:type="dxa"/>
            <w:vMerge/>
            <w:shd w:val="clear" w:color="auto" w:fill="auto"/>
            <w:vAlign w:val="center"/>
          </w:tcPr>
          <w:p w14:paraId="7CF9C8A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1593F348" w14:textId="77777777" w:rsidR="00716545" w:rsidRPr="00810248" w:rsidDel="000F44AE"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Purpura</w:t>
            </w:r>
          </w:p>
        </w:tc>
        <w:tc>
          <w:tcPr>
            <w:tcW w:w="1591" w:type="dxa"/>
            <w:shd w:val="clear" w:color="auto" w:fill="auto"/>
            <w:vAlign w:val="center"/>
          </w:tcPr>
          <w:p w14:paraId="67E8DC9B" w14:textId="77777777" w:rsidR="00716545" w:rsidRPr="00810248" w:rsidDel="000F44A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6B642323" w14:textId="77777777" w:rsidR="00716545" w:rsidRPr="00810248" w:rsidDel="000F44AE"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r>
      <w:tr w:rsidR="00716545" w:rsidRPr="00810248" w14:paraId="576382D4" w14:textId="77777777" w:rsidTr="000931D5">
        <w:trPr>
          <w:jc w:val="center"/>
        </w:trPr>
        <w:tc>
          <w:tcPr>
            <w:tcW w:w="1965" w:type="dxa"/>
            <w:vMerge/>
            <w:shd w:val="clear" w:color="auto" w:fill="auto"/>
            <w:vAlign w:val="center"/>
          </w:tcPr>
          <w:p w14:paraId="0041E3B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ACA1AF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Hyperhidrosis</w:t>
            </w:r>
          </w:p>
        </w:tc>
        <w:tc>
          <w:tcPr>
            <w:tcW w:w="1591" w:type="dxa"/>
            <w:shd w:val="clear" w:color="auto" w:fill="auto"/>
            <w:vAlign w:val="center"/>
          </w:tcPr>
          <w:p w14:paraId="3679E2CE"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7CFED5F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7095E0AC" w14:textId="77777777" w:rsidTr="000931D5">
        <w:trPr>
          <w:jc w:val="center"/>
        </w:trPr>
        <w:tc>
          <w:tcPr>
            <w:tcW w:w="1965" w:type="dxa"/>
            <w:vMerge/>
            <w:shd w:val="clear" w:color="auto" w:fill="auto"/>
            <w:vAlign w:val="center"/>
          </w:tcPr>
          <w:p w14:paraId="1F9EE30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D7909A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Fényérzékenységi reakciók</w:t>
            </w:r>
          </w:p>
        </w:tc>
        <w:tc>
          <w:tcPr>
            <w:tcW w:w="1591" w:type="dxa"/>
            <w:shd w:val="clear" w:color="auto" w:fill="auto"/>
            <w:vAlign w:val="center"/>
          </w:tcPr>
          <w:p w14:paraId="1773C0F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4EBE2B74"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716545" w:rsidRPr="00810248" w14:paraId="3B7680AC" w14:textId="77777777" w:rsidTr="000931D5">
        <w:trPr>
          <w:jc w:val="center"/>
        </w:trPr>
        <w:tc>
          <w:tcPr>
            <w:tcW w:w="1965" w:type="dxa"/>
            <w:vMerge/>
            <w:shd w:val="clear" w:color="auto" w:fill="auto"/>
            <w:vAlign w:val="center"/>
          </w:tcPr>
          <w:p w14:paraId="40D9170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3553AC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Pemphigoid</w:t>
            </w:r>
          </w:p>
        </w:tc>
        <w:tc>
          <w:tcPr>
            <w:tcW w:w="1591" w:type="dxa"/>
            <w:shd w:val="clear" w:color="auto" w:fill="auto"/>
            <w:vAlign w:val="center"/>
          </w:tcPr>
          <w:p w14:paraId="57BD29A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0EF3D67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0EF694DA" w14:textId="77777777" w:rsidTr="000931D5">
        <w:trPr>
          <w:jc w:val="center"/>
        </w:trPr>
        <w:tc>
          <w:tcPr>
            <w:tcW w:w="1965" w:type="dxa"/>
            <w:vMerge/>
            <w:shd w:val="clear" w:color="auto" w:fill="auto"/>
            <w:vAlign w:val="center"/>
          </w:tcPr>
          <w:p w14:paraId="4C33153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EC274F6"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Psoriasis súlyosbodása</w:t>
            </w:r>
          </w:p>
        </w:tc>
        <w:tc>
          <w:tcPr>
            <w:tcW w:w="1591" w:type="dxa"/>
            <w:shd w:val="clear" w:color="auto" w:fill="auto"/>
            <w:vAlign w:val="center"/>
          </w:tcPr>
          <w:p w14:paraId="650DFD3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c>
          <w:tcPr>
            <w:tcW w:w="2992" w:type="dxa"/>
            <w:vAlign w:val="center"/>
          </w:tcPr>
          <w:p w14:paraId="64B8573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20052EEB" w14:textId="77777777" w:rsidTr="000931D5">
        <w:trPr>
          <w:jc w:val="center"/>
        </w:trPr>
        <w:tc>
          <w:tcPr>
            <w:tcW w:w="1965" w:type="dxa"/>
            <w:vMerge/>
            <w:shd w:val="clear" w:color="auto" w:fill="auto"/>
            <w:vAlign w:val="center"/>
          </w:tcPr>
          <w:p w14:paraId="24B927B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E34897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Erythema multiforme</w:t>
            </w:r>
          </w:p>
        </w:tc>
        <w:tc>
          <w:tcPr>
            <w:tcW w:w="1591" w:type="dxa"/>
            <w:shd w:val="clear" w:color="auto" w:fill="auto"/>
            <w:vAlign w:val="center"/>
          </w:tcPr>
          <w:p w14:paraId="708B789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319E468C"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01DDA1B8" w14:textId="77777777" w:rsidTr="000931D5">
        <w:trPr>
          <w:jc w:val="center"/>
        </w:trPr>
        <w:tc>
          <w:tcPr>
            <w:tcW w:w="1965" w:type="dxa"/>
            <w:vMerge/>
            <w:shd w:val="clear" w:color="auto" w:fill="auto"/>
            <w:vAlign w:val="center"/>
          </w:tcPr>
          <w:p w14:paraId="01E5C0D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623DF4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Toxicus epidermalis necrolysis</w:t>
            </w:r>
          </w:p>
        </w:tc>
        <w:tc>
          <w:tcPr>
            <w:tcW w:w="1591" w:type="dxa"/>
            <w:shd w:val="clear" w:color="auto" w:fill="auto"/>
            <w:vAlign w:val="center"/>
          </w:tcPr>
          <w:p w14:paraId="0939AB9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0477C56D"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77C3317B" w14:textId="77777777" w:rsidTr="000931D5">
        <w:trPr>
          <w:jc w:val="center"/>
        </w:trPr>
        <w:tc>
          <w:tcPr>
            <w:tcW w:w="1965" w:type="dxa"/>
            <w:vMerge/>
            <w:shd w:val="clear" w:color="auto" w:fill="auto"/>
            <w:vAlign w:val="center"/>
          </w:tcPr>
          <w:p w14:paraId="2E91CF6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ACDBDA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Stevens‒Johnson-szindróma</w:t>
            </w:r>
          </w:p>
        </w:tc>
        <w:tc>
          <w:tcPr>
            <w:tcW w:w="1591" w:type="dxa"/>
            <w:shd w:val="clear" w:color="auto" w:fill="auto"/>
            <w:vAlign w:val="center"/>
          </w:tcPr>
          <w:p w14:paraId="31F121A8"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0AA5052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4C51F4" w:rsidRPr="00810248" w14:paraId="32E9FC21" w14:textId="77777777" w:rsidTr="000931D5">
        <w:trPr>
          <w:jc w:val="center"/>
        </w:trPr>
        <w:tc>
          <w:tcPr>
            <w:tcW w:w="1965" w:type="dxa"/>
            <w:vMerge w:val="restart"/>
            <w:shd w:val="clear" w:color="auto" w:fill="auto"/>
            <w:vAlign w:val="center"/>
          </w:tcPr>
          <w:p w14:paraId="164E421C" w14:textId="77777777" w:rsidR="004C51F4" w:rsidRPr="00810248" w:rsidRDefault="004C51F4"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lang w:eastAsia="hu-HU"/>
              </w:rPr>
              <w:t>A csont-izomrendszer és a kötőszövet betegségei és tünetei</w:t>
            </w:r>
          </w:p>
        </w:tc>
        <w:tc>
          <w:tcPr>
            <w:tcW w:w="2535" w:type="dxa"/>
            <w:shd w:val="clear" w:color="auto" w:fill="auto"/>
            <w:vAlign w:val="center"/>
          </w:tcPr>
          <w:p w14:paraId="534ADA8D" w14:textId="77777777" w:rsidR="004C51F4" w:rsidRPr="00810248" w:rsidRDefault="004C51F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Izomgörcsök</w:t>
            </w:r>
          </w:p>
        </w:tc>
        <w:tc>
          <w:tcPr>
            <w:tcW w:w="1591" w:type="dxa"/>
            <w:shd w:val="clear" w:color="auto" w:fill="auto"/>
            <w:vAlign w:val="center"/>
          </w:tcPr>
          <w:p w14:paraId="79AF3DC4"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52E193A5" w14:textId="70B11967" w:rsidR="004C51F4" w:rsidRPr="009436A9" w:rsidRDefault="004C51F4" w:rsidP="00D2704D">
            <w:pPr>
              <w:widowControl w:val="0"/>
              <w:suppressAutoHyphens/>
              <w:spacing w:after="0" w:line="240" w:lineRule="auto"/>
              <w:rPr>
                <w:rFonts w:ascii="Times New Roman" w:eastAsia="Times New Roman" w:hAnsi="Times New Roman" w:cs="Times New Roman"/>
                <w:bCs/>
                <w:iCs/>
                <w:lang w:eastAsia="hu-HU"/>
              </w:rPr>
            </w:pPr>
            <w:r w:rsidRPr="000931D5">
              <w:rPr>
                <w:rFonts w:ascii="Times New Roman" w:hAnsi="Times New Roman" w:cs="Times New Roman"/>
                <w:bCs/>
                <w:iCs/>
              </w:rPr>
              <w:t>Nem ismert</w:t>
            </w:r>
          </w:p>
        </w:tc>
      </w:tr>
      <w:tr w:rsidR="004C51F4" w:rsidRPr="00810248" w14:paraId="2744B48E" w14:textId="77777777" w:rsidTr="000931D5">
        <w:trPr>
          <w:jc w:val="center"/>
        </w:trPr>
        <w:tc>
          <w:tcPr>
            <w:tcW w:w="1965" w:type="dxa"/>
            <w:vMerge/>
            <w:shd w:val="clear" w:color="auto" w:fill="auto"/>
            <w:vAlign w:val="center"/>
          </w:tcPr>
          <w:p w14:paraId="557A5A00" w14:textId="77777777" w:rsidR="004C51F4" w:rsidRPr="00810248" w:rsidRDefault="004C51F4" w:rsidP="00D2704D">
            <w:pPr>
              <w:widowControl w:val="0"/>
              <w:suppressAutoHyphens/>
              <w:spacing w:after="0" w:line="240" w:lineRule="auto"/>
              <w:rPr>
                <w:rFonts w:ascii="Times New Roman" w:eastAsia="Times New Roman" w:hAnsi="Times New Roman" w:cs="Times New Roman"/>
                <w:b/>
                <w:lang w:eastAsia="hu-HU"/>
              </w:rPr>
            </w:pPr>
          </w:p>
        </w:tc>
        <w:tc>
          <w:tcPr>
            <w:tcW w:w="2535" w:type="dxa"/>
            <w:shd w:val="clear" w:color="auto" w:fill="auto"/>
            <w:vAlign w:val="center"/>
          </w:tcPr>
          <w:p w14:paraId="51DB8DF0" w14:textId="77777777" w:rsidR="004C51F4" w:rsidRPr="00810248" w:rsidRDefault="004C51F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Előzetesen fennálló akut disszeminált lupus erythematosus lehetséges súlyosbodása</w:t>
            </w:r>
          </w:p>
        </w:tc>
        <w:tc>
          <w:tcPr>
            <w:tcW w:w="1591" w:type="dxa"/>
            <w:shd w:val="clear" w:color="auto" w:fill="auto"/>
            <w:vAlign w:val="center"/>
          </w:tcPr>
          <w:p w14:paraId="6EE10527"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498FA89F"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ismert</w:t>
            </w:r>
          </w:p>
        </w:tc>
      </w:tr>
      <w:tr w:rsidR="004C51F4" w:rsidRPr="00810248" w14:paraId="406983E3" w14:textId="77777777" w:rsidTr="000931D5">
        <w:trPr>
          <w:jc w:val="center"/>
        </w:trPr>
        <w:tc>
          <w:tcPr>
            <w:tcW w:w="1965" w:type="dxa"/>
            <w:vMerge/>
            <w:shd w:val="clear" w:color="auto" w:fill="auto"/>
            <w:vAlign w:val="center"/>
          </w:tcPr>
          <w:p w14:paraId="11CF686E" w14:textId="77777777" w:rsidR="004C51F4" w:rsidRPr="00810248" w:rsidRDefault="004C51F4"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CE60A51" w14:textId="77777777" w:rsidR="004C51F4" w:rsidRPr="00810248" w:rsidRDefault="004C51F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iCs/>
                <w:lang w:eastAsia="hu-HU"/>
              </w:rPr>
              <w:t>Arthralgia</w:t>
            </w:r>
          </w:p>
        </w:tc>
        <w:tc>
          <w:tcPr>
            <w:tcW w:w="1591" w:type="dxa"/>
            <w:shd w:val="clear" w:color="auto" w:fill="auto"/>
          </w:tcPr>
          <w:p w14:paraId="0026B4C6"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67F1C042"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4C51F4" w:rsidRPr="00810248" w14:paraId="6D759DC2" w14:textId="77777777" w:rsidTr="000931D5">
        <w:trPr>
          <w:jc w:val="center"/>
        </w:trPr>
        <w:tc>
          <w:tcPr>
            <w:tcW w:w="1965" w:type="dxa"/>
            <w:vMerge/>
            <w:shd w:val="clear" w:color="auto" w:fill="auto"/>
            <w:vAlign w:val="center"/>
          </w:tcPr>
          <w:p w14:paraId="2AF57083" w14:textId="77777777" w:rsidR="004C51F4" w:rsidRPr="00810248" w:rsidRDefault="004C51F4"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4EA0B49" w14:textId="77777777" w:rsidR="004C51F4" w:rsidRPr="00810248" w:rsidRDefault="004C51F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iCs/>
                <w:lang w:eastAsia="hu-HU"/>
              </w:rPr>
              <w:t>Myalgia</w:t>
            </w:r>
          </w:p>
        </w:tc>
        <w:tc>
          <w:tcPr>
            <w:tcW w:w="1591" w:type="dxa"/>
            <w:shd w:val="clear" w:color="auto" w:fill="auto"/>
          </w:tcPr>
          <w:p w14:paraId="41BFC41D" w14:textId="77777777" w:rsidR="004C51F4" w:rsidRPr="00810248" w:rsidRDefault="004C51F4"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74D36925" w14:textId="5528666C" w:rsidR="004C51F4" w:rsidRPr="009436A9" w:rsidRDefault="004C51F4" w:rsidP="00D2704D">
            <w:pPr>
              <w:widowControl w:val="0"/>
              <w:suppressAutoHyphens/>
              <w:spacing w:after="0" w:line="240" w:lineRule="auto"/>
              <w:rPr>
                <w:rFonts w:ascii="Times New Roman" w:eastAsia="Times New Roman" w:hAnsi="Times New Roman" w:cs="Times New Roman"/>
                <w:bCs/>
                <w:iCs/>
                <w:lang w:eastAsia="hu-HU"/>
              </w:rPr>
            </w:pPr>
            <w:r w:rsidRPr="000931D5">
              <w:rPr>
                <w:rFonts w:ascii="Times New Roman" w:hAnsi="Times New Roman" w:cs="Times New Roman"/>
                <w:bCs/>
                <w:iCs/>
              </w:rPr>
              <w:t>Nem ismert</w:t>
            </w:r>
          </w:p>
        </w:tc>
      </w:tr>
      <w:tr w:rsidR="003E5818" w:rsidRPr="00810248" w14:paraId="5B72F4FB" w14:textId="77777777" w:rsidTr="000931D5">
        <w:trPr>
          <w:jc w:val="center"/>
        </w:trPr>
        <w:tc>
          <w:tcPr>
            <w:tcW w:w="1965" w:type="dxa"/>
            <w:vMerge/>
            <w:shd w:val="clear" w:color="auto" w:fill="auto"/>
            <w:vAlign w:val="center"/>
          </w:tcPr>
          <w:p w14:paraId="54321C47" w14:textId="77777777" w:rsidR="003E5818" w:rsidRPr="00810248" w:rsidRDefault="003E5818" w:rsidP="00B97E2F">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54EA947" w14:textId="77777777" w:rsidR="003E5818" w:rsidRPr="00810248" w:rsidRDefault="003E5818" w:rsidP="00B97E2F">
            <w:pPr>
              <w:widowControl w:val="0"/>
              <w:suppressAutoHyphens/>
              <w:spacing w:after="0" w:line="240" w:lineRule="auto"/>
              <w:rPr>
                <w:rFonts w:ascii="Times New Roman" w:eastAsia="Times New Roman" w:hAnsi="Times New Roman" w:cs="Times New Roman"/>
                <w:iCs/>
                <w:lang w:eastAsia="hu-HU"/>
              </w:rPr>
            </w:pPr>
            <w:r w:rsidRPr="000931D5">
              <w:rPr>
                <w:rFonts w:ascii="Times New Roman" w:hAnsi="Times New Roman" w:cs="Times New Roman"/>
              </w:rPr>
              <w:t>Izomgyengeség</w:t>
            </w:r>
          </w:p>
        </w:tc>
        <w:tc>
          <w:tcPr>
            <w:tcW w:w="1591" w:type="dxa"/>
            <w:shd w:val="clear" w:color="auto" w:fill="auto"/>
            <w:vAlign w:val="center"/>
          </w:tcPr>
          <w:p w14:paraId="2173B2ED" w14:textId="4AEDEC53" w:rsidR="003E5818" w:rsidRPr="009436A9" w:rsidRDefault="003E5818" w:rsidP="00B97E2F">
            <w:pPr>
              <w:widowControl w:val="0"/>
              <w:suppressAutoHyphens/>
              <w:spacing w:after="0" w:line="240" w:lineRule="auto"/>
              <w:rPr>
                <w:rFonts w:ascii="Times New Roman" w:eastAsia="Times New Roman" w:hAnsi="Times New Roman" w:cs="Times New Roman"/>
                <w:iCs/>
                <w:lang w:eastAsia="hu-HU"/>
              </w:rPr>
            </w:pPr>
            <w:r w:rsidRPr="009436A9">
              <w:rPr>
                <w:rFonts w:ascii="Times New Roman" w:eastAsia="Times New Roman" w:hAnsi="Times New Roman" w:cs="Times New Roman"/>
                <w:iCs/>
                <w:lang w:eastAsia="hu-HU"/>
              </w:rPr>
              <w:t>-</w:t>
            </w:r>
          </w:p>
        </w:tc>
        <w:tc>
          <w:tcPr>
            <w:tcW w:w="2992" w:type="dxa"/>
            <w:shd w:val="clear" w:color="auto" w:fill="auto"/>
            <w:vAlign w:val="center"/>
          </w:tcPr>
          <w:p w14:paraId="21DAA183" w14:textId="170A7653" w:rsidR="003E5818" w:rsidRPr="000931D5" w:rsidRDefault="003E5818" w:rsidP="00B97E2F">
            <w:pPr>
              <w:widowControl w:val="0"/>
              <w:suppressAutoHyphens/>
              <w:spacing w:after="0" w:line="240" w:lineRule="auto"/>
              <w:rPr>
                <w:rFonts w:ascii="Times New Roman" w:hAnsi="Times New Roman" w:cs="Times New Roman"/>
                <w:bCs/>
                <w:iCs/>
              </w:rPr>
            </w:pPr>
            <w:r w:rsidRPr="000931D5">
              <w:rPr>
                <w:rFonts w:ascii="Times New Roman" w:hAnsi="Times New Roman" w:cs="Times New Roman"/>
                <w:bCs/>
                <w:iCs/>
              </w:rPr>
              <w:t>Nem ismert</w:t>
            </w:r>
          </w:p>
        </w:tc>
      </w:tr>
      <w:tr w:rsidR="003E5818" w:rsidRPr="00810248" w14:paraId="3BA0B525" w14:textId="77777777" w:rsidTr="000931D5">
        <w:trPr>
          <w:jc w:val="center"/>
        </w:trPr>
        <w:tc>
          <w:tcPr>
            <w:tcW w:w="1965" w:type="dxa"/>
            <w:vMerge/>
            <w:shd w:val="clear" w:color="auto" w:fill="auto"/>
            <w:vAlign w:val="center"/>
          </w:tcPr>
          <w:p w14:paraId="642D2B94" w14:textId="77777777" w:rsidR="003E5818" w:rsidRPr="00810248" w:rsidRDefault="003E5818" w:rsidP="00B97E2F">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8C10012" w14:textId="77777777" w:rsidR="003E5818" w:rsidRPr="00810248" w:rsidRDefault="003E5818" w:rsidP="00B97E2F">
            <w:pPr>
              <w:widowControl w:val="0"/>
              <w:suppressAutoHyphens/>
              <w:spacing w:after="0" w:line="240" w:lineRule="auto"/>
              <w:rPr>
                <w:rFonts w:ascii="Times New Roman" w:eastAsia="Times New Roman" w:hAnsi="Times New Roman" w:cs="Times New Roman"/>
                <w:iCs/>
                <w:lang w:eastAsia="hu-HU"/>
              </w:rPr>
            </w:pPr>
            <w:r w:rsidRPr="000931D5">
              <w:rPr>
                <w:rFonts w:ascii="Times New Roman" w:hAnsi="Times New Roman" w:cs="Times New Roman"/>
              </w:rPr>
              <w:t>Rhabdomyolysis</w:t>
            </w:r>
          </w:p>
        </w:tc>
        <w:tc>
          <w:tcPr>
            <w:tcW w:w="1591" w:type="dxa"/>
            <w:shd w:val="clear" w:color="auto" w:fill="auto"/>
            <w:vAlign w:val="center"/>
          </w:tcPr>
          <w:p w14:paraId="33EDCA46" w14:textId="0F3C5899" w:rsidR="003E5818" w:rsidRPr="009436A9" w:rsidRDefault="003E5818" w:rsidP="00B97E2F">
            <w:pPr>
              <w:widowControl w:val="0"/>
              <w:suppressAutoHyphens/>
              <w:spacing w:after="0" w:line="240" w:lineRule="auto"/>
              <w:rPr>
                <w:rFonts w:ascii="Times New Roman" w:eastAsia="Times New Roman" w:hAnsi="Times New Roman" w:cs="Times New Roman"/>
                <w:iCs/>
                <w:lang w:eastAsia="hu-HU"/>
              </w:rPr>
            </w:pPr>
            <w:r w:rsidRPr="009436A9">
              <w:rPr>
                <w:rFonts w:ascii="Times New Roman" w:eastAsia="Times New Roman" w:hAnsi="Times New Roman" w:cs="Times New Roman"/>
                <w:iCs/>
                <w:lang w:eastAsia="hu-HU"/>
              </w:rPr>
              <w:t>-</w:t>
            </w:r>
          </w:p>
        </w:tc>
        <w:tc>
          <w:tcPr>
            <w:tcW w:w="2992" w:type="dxa"/>
            <w:shd w:val="clear" w:color="auto" w:fill="auto"/>
            <w:vAlign w:val="center"/>
          </w:tcPr>
          <w:p w14:paraId="6EFEAF87" w14:textId="2E4FD73C" w:rsidR="003E5818" w:rsidRPr="000931D5" w:rsidRDefault="003E5818" w:rsidP="00B97E2F">
            <w:pPr>
              <w:widowControl w:val="0"/>
              <w:suppressAutoHyphens/>
              <w:spacing w:after="0" w:line="240" w:lineRule="auto"/>
              <w:rPr>
                <w:rFonts w:ascii="Times New Roman" w:hAnsi="Times New Roman" w:cs="Times New Roman"/>
                <w:bCs/>
                <w:iCs/>
              </w:rPr>
            </w:pPr>
            <w:r w:rsidRPr="000931D5">
              <w:rPr>
                <w:rFonts w:ascii="Times New Roman" w:hAnsi="Times New Roman" w:cs="Times New Roman"/>
                <w:bCs/>
                <w:iCs/>
              </w:rPr>
              <w:t>Nem ismert</w:t>
            </w:r>
          </w:p>
        </w:tc>
      </w:tr>
      <w:tr w:rsidR="00716545" w:rsidRPr="00810248" w14:paraId="18B19BAD" w14:textId="77777777" w:rsidTr="000931D5">
        <w:trPr>
          <w:jc w:val="center"/>
        </w:trPr>
        <w:tc>
          <w:tcPr>
            <w:tcW w:w="1965" w:type="dxa"/>
            <w:vMerge w:val="restart"/>
            <w:shd w:val="clear" w:color="auto" w:fill="auto"/>
            <w:vAlign w:val="center"/>
          </w:tcPr>
          <w:p w14:paraId="1F5223E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Vese- és húgyúti betegségek és tünetek</w:t>
            </w:r>
          </w:p>
        </w:tc>
        <w:tc>
          <w:tcPr>
            <w:tcW w:w="2535" w:type="dxa"/>
            <w:shd w:val="clear" w:color="auto" w:fill="auto"/>
            <w:vAlign w:val="center"/>
          </w:tcPr>
          <w:p w14:paraId="2D376DF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Veseelégtelenség</w:t>
            </w:r>
          </w:p>
        </w:tc>
        <w:tc>
          <w:tcPr>
            <w:tcW w:w="1591" w:type="dxa"/>
            <w:shd w:val="clear" w:color="auto" w:fill="auto"/>
            <w:vAlign w:val="center"/>
          </w:tcPr>
          <w:p w14:paraId="428286E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shd w:val="clear" w:color="auto" w:fill="auto"/>
            <w:vAlign w:val="center"/>
          </w:tcPr>
          <w:p w14:paraId="247E348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15DAA083" w14:textId="77777777" w:rsidTr="000931D5">
        <w:trPr>
          <w:jc w:val="center"/>
        </w:trPr>
        <w:tc>
          <w:tcPr>
            <w:tcW w:w="1965" w:type="dxa"/>
            <w:vMerge/>
            <w:shd w:val="clear" w:color="auto" w:fill="auto"/>
            <w:vAlign w:val="center"/>
          </w:tcPr>
          <w:p w14:paraId="70ADE8A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AC34055" w14:textId="397EC8FE" w:rsidR="00716545" w:rsidRPr="00810248" w:rsidRDefault="00716545" w:rsidP="00AA474C">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Anuria/</w:t>
            </w:r>
            <w:r w:rsidR="00AA474C" w:rsidRPr="00810248">
              <w:rPr>
                <w:rFonts w:ascii="Times New Roman" w:eastAsia="Times New Roman" w:hAnsi="Times New Roman" w:cs="Times New Roman"/>
                <w:bCs/>
                <w:iCs/>
                <w:lang w:eastAsia="hu-HU"/>
              </w:rPr>
              <w:t>o</w:t>
            </w:r>
            <w:r w:rsidRPr="00810248">
              <w:rPr>
                <w:rFonts w:ascii="Times New Roman" w:eastAsia="Times New Roman" w:hAnsi="Times New Roman" w:cs="Times New Roman"/>
                <w:bCs/>
                <w:iCs/>
                <w:lang w:eastAsia="hu-HU"/>
              </w:rPr>
              <w:t>liguria</w:t>
            </w:r>
          </w:p>
        </w:tc>
        <w:tc>
          <w:tcPr>
            <w:tcW w:w="1591" w:type="dxa"/>
            <w:shd w:val="clear" w:color="auto" w:fill="auto"/>
            <w:vAlign w:val="center"/>
          </w:tcPr>
          <w:p w14:paraId="0F87EBDA"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c>
          <w:tcPr>
            <w:tcW w:w="2992" w:type="dxa"/>
            <w:shd w:val="clear" w:color="auto" w:fill="auto"/>
            <w:vAlign w:val="center"/>
          </w:tcPr>
          <w:p w14:paraId="6C6FBE0B"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p>
        </w:tc>
      </w:tr>
      <w:tr w:rsidR="00716545" w:rsidRPr="00810248" w14:paraId="71C9B9F6" w14:textId="77777777" w:rsidTr="000931D5">
        <w:trPr>
          <w:jc w:val="center"/>
        </w:trPr>
        <w:tc>
          <w:tcPr>
            <w:tcW w:w="1965" w:type="dxa"/>
            <w:vMerge/>
            <w:shd w:val="clear" w:color="auto" w:fill="auto"/>
            <w:vAlign w:val="center"/>
          </w:tcPr>
          <w:p w14:paraId="7F4C867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35CEC0D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Akut veseelégtelenség</w:t>
            </w:r>
          </w:p>
        </w:tc>
        <w:tc>
          <w:tcPr>
            <w:tcW w:w="1591" w:type="dxa"/>
            <w:shd w:val="clear" w:color="auto" w:fill="auto"/>
            <w:vAlign w:val="center"/>
          </w:tcPr>
          <w:p w14:paraId="57C8FB01"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c>
          <w:tcPr>
            <w:tcW w:w="2992" w:type="dxa"/>
            <w:vAlign w:val="center"/>
          </w:tcPr>
          <w:p w14:paraId="54523BB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Nagyon ritka</w:t>
            </w:r>
          </w:p>
        </w:tc>
      </w:tr>
      <w:tr w:rsidR="00716545" w:rsidRPr="00810248" w14:paraId="6EC13E1E" w14:textId="77777777" w:rsidTr="000931D5">
        <w:trPr>
          <w:jc w:val="center"/>
        </w:trPr>
        <w:tc>
          <w:tcPr>
            <w:tcW w:w="1965" w:type="dxa"/>
            <w:shd w:val="clear" w:color="auto" w:fill="auto"/>
            <w:vAlign w:val="center"/>
          </w:tcPr>
          <w:p w14:paraId="62F01471"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A nemi szervekkel és az emlőkkel kapcsolatos betegségek és tünetek</w:t>
            </w:r>
          </w:p>
        </w:tc>
        <w:tc>
          <w:tcPr>
            <w:tcW w:w="2535" w:type="dxa"/>
            <w:shd w:val="clear" w:color="auto" w:fill="auto"/>
            <w:vAlign w:val="center"/>
          </w:tcPr>
          <w:p w14:paraId="2F4D197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Erectilis dysfunctio</w:t>
            </w:r>
          </w:p>
        </w:tc>
        <w:tc>
          <w:tcPr>
            <w:tcW w:w="1591" w:type="dxa"/>
            <w:shd w:val="clear" w:color="auto" w:fill="auto"/>
            <w:vAlign w:val="center"/>
          </w:tcPr>
          <w:p w14:paraId="3BD742C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4C297D85" w14:textId="4FF183CD" w:rsidR="00716545" w:rsidRPr="00810248" w:rsidRDefault="00AC7307"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r>
      <w:tr w:rsidR="00716545" w:rsidRPr="00810248" w14:paraId="47E75E0E" w14:textId="77777777" w:rsidTr="000931D5">
        <w:trPr>
          <w:jc w:val="center"/>
        </w:trPr>
        <w:tc>
          <w:tcPr>
            <w:tcW w:w="1965" w:type="dxa"/>
            <w:vMerge w:val="restart"/>
            <w:shd w:val="clear" w:color="auto" w:fill="auto"/>
            <w:vAlign w:val="center"/>
          </w:tcPr>
          <w:p w14:paraId="0678E6D5"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Általános tünetek, az alkalmazás helyén fellépő reakciók</w:t>
            </w:r>
          </w:p>
        </w:tc>
        <w:tc>
          <w:tcPr>
            <w:tcW w:w="2535" w:type="dxa"/>
            <w:shd w:val="clear" w:color="auto" w:fill="auto"/>
            <w:vAlign w:val="center"/>
          </w:tcPr>
          <w:p w14:paraId="673C3C7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Asthenia</w:t>
            </w:r>
          </w:p>
        </w:tc>
        <w:tc>
          <w:tcPr>
            <w:tcW w:w="1591" w:type="dxa"/>
            <w:shd w:val="clear" w:color="auto" w:fill="auto"/>
            <w:vAlign w:val="center"/>
          </w:tcPr>
          <w:p w14:paraId="0CE7845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Gyakori</w:t>
            </w:r>
          </w:p>
        </w:tc>
        <w:tc>
          <w:tcPr>
            <w:tcW w:w="2992" w:type="dxa"/>
            <w:vAlign w:val="center"/>
          </w:tcPr>
          <w:p w14:paraId="28CC7D15"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0959781B" w14:textId="77777777" w:rsidTr="000931D5">
        <w:trPr>
          <w:jc w:val="center"/>
        </w:trPr>
        <w:tc>
          <w:tcPr>
            <w:tcW w:w="1965" w:type="dxa"/>
            <w:vMerge/>
            <w:shd w:val="clear" w:color="auto" w:fill="auto"/>
            <w:vAlign w:val="center"/>
          </w:tcPr>
          <w:p w14:paraId="1210073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BF2AC4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Mellkasi fájdalom</w:t>
            </w:r>
          </w:p>
        </w:tc>
        <w:tc>
          <w:tcPr>
            <w:tcW w:w="1591" w:type="dxa"/>
            <w:shd w:val="clear" w:color="auto" w:fill="auto"/>
            <w:vAlign w:val="center"/>
          </w:tcPr>
          <w:p w14:paraId="77C879C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60F3F06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0915B835" w14:textId="77777777" w:rsidTr="000931D5">
        <w:trPr>
          <w:jc w:val="center"/>
        </w:trPr>
        <w:tc>
          <w:tcPr>
            <w:tcW w:w="1965" w:type="dxa"/>
            <w:vMerge/>
            <w:shd w:val="clear" w:color="auto" w:fill="auto"/>
            <w:vAlign w:val="center"/>
          </w:tcPr>
          <w:p w14:paraId="4861667F"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BA5E2F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Rossz közérzet</w:t>
            </w:r>
          </w:p>
        </w:tc>
        <w:tc>
          <w:tcPr>
            <w:tcW w:w="1591" w:type="dxa"/>
            <w:shd w:val="clear" w:color="auto" w:fill="auto"/>
          </w:tcPr>
          <w:p w14:paraId="05FFF20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46F39130"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8AA4FB3" w14:textId="77777777" w:rsidTr="000931D5">
        <w:trPr>
          <w:jc w:val="center"/>
        </w:trPr>
        <w:tc>
          <w:tcPr>
            <w:tcW w:w="1965" w:type="dxa"/>
            <w:vMerge/>
            <w:shd w:val="clear" w:color="auto" w:fill="auto"/>
            <w:vAlign w:val="center"/>
          </w:tcPr>
          <w:p w14:paraId="21486D9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72A13DB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Perifériás oedema</w:t>
            </w:r>
          </w:p>
        </w:tc>
        <w:tc>
          <w:tcPr>
            <w:tcW w:w="1591" w:type="dxa"/>
            <w:shd w:val="clear" w:color="auto" w:fill="auto"/>
          </w:tcPr>
          <w:p w14:paraId="2EC9FCC9"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15F37A5F"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3380AC1B" w14:textId="77777777" w:rsidTr="000931D5">
        <w:trPr>
          <w:jc w:val="center"/>
        </w:trPr>
        <w:tc>
          <w:tcPr>
            <w:tcW w:w="1965" w:type="dxa"/>
            <w:vMerge/>
            <w:shd w:val="clear" w:color="auto" w:fill="auto"/>
            <w:vAlign w:val="center"/>
          </w:tcPr>
          <w:p w14:paraId="78C060E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752D78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Láz</w:t>
            </w:r>
          </w:p>
        </w:tc>
        <w:tc>
          <w:tcPr>
            <w:tcW w:w="1591" w:type="dxa"/>
            <w:shd w:val="clear" w:color="auto" w:fill="auto"/>
          </w:tcPr>
          <w:p w14:paraId="102282A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tcPr>
          <w:p w14:paraId="16FAEDC7"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r w:rsidR="00716545" w:rsidRPr="00810248" w14:paraId="460822BB" w14:textId="77777777" w:rsidTr="000931D5">
        <w:trPr>
          <w:jc w:val="center"/>
        </w:trPr>
        <w:tc>
          <w:tcPr>
            <w:tcW w:w="1965" w:type="dxa"/>
            <w:vMerge/>
            <w:shd w:val="clear" w:color="auto" w:fill="auto"/>
            <w:vAlign w:val="center"/>
          </w:tcPr>
          <w:p w14:paraId="6A57663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35F94717" w14:textId="77777777" w:rsidR="00716545" w:rsidRPr="00810248" w:rsidDel="00FA5541"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Fáradékonyság</w:t>
            </w:r>
          </w:p>
        </w:tc>
        <w:tc>
          <w:tcPr>
            <w:tcW w:w="1591" w:type="dxa"/>
            <w:shd w:val="clear" w:color="auto" w:fill="auto"/>
            <w:vAlign w:val="center"/>
          </w:tcPr>
          <w:p w14:paraId="3729018B" w14:textId="77777777" w:rsidR="00716545" w:rsidRPr="00810248" w:rsidDel="00FA5541"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c>
          <w:tcPr>
            <w:tcW w:w="2992" w:type="dxa"/>
            <w:vAlign w:val="center"/>
          </w:tcPr>
          <w:p w14:paraId="3B2CF036"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Ritka</w:t>
            </w:r>
          </w:p>
        </w:tc>
      </w:tr>
      <w:tr w:rsidR="00716545" w:rsidRPr="00810248" w14:paraId="6CC54BBA" w14:textId="77777777" w:rsidTr="000931D5">
        <w:trPr>
          <w:jc w:val="center"/>
        </w:trPr>
        <w:tc>
          <w:tcPr>
            <w:tcW w:w="1965" w:type="dxa"/>
            <w:vMerge w:val="restart"/>
            <w:shd w:val="clear" w:color="auto" w:fill="auto"/>
            <w:vAlign w:val="center"/>
          </w:tcPr>
          <w:p w14:paraId="412934F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Laboratóriumi és egyéb vizsgálatok eredményei</w:t>
            </w:r>
          </w:p>
        </w:tc>
        <w:tc>
          <w:tcPr>
            <w:tcW w:w="2535" w:type="dxa"/>
            <w:shd w:val="clear" w:color="auto" w:fill="auto"/>
            <w:vAlign w:val="center"/>
          </w:tcPr>
          <w:p w14:paraId="64E23AE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karbamidszint</w:t>
            </w:r>
          </w:p>
        </w:tc>
        <w:tc>
          <w:tcPr>
            <w:tcW w:w="1591" w:type="dxa"/>
            <w:shd w:val="clear" w:color="auto" w:fill="auto"/>
            <w:vAlign w:val="center"/>
          </w:tcPr>
          <w:p w14:paraId="55F99E5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643BFF7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w:t>
            </w:r>
          </w:p>
        </w:tc>
      </w:tr>
      <w:tr w:rsidR="00716545" w:rsidRPr="00810248" w14:paraId="6F349C55" w14:textId="77777777" w:rsidTr="000931D5">
        <w:trPr>
          <w:jc w:val="center"/>
        </w:trPr>
        <w:tc>
          <w:tcPr>
            <w:tcW w:w="1965" w:type="dxa"/>
            <w:vMerge/>
            <w:shd w:val="clear" w:color="auto" w:fill="auto"/>
            <w:vAlign w:val="center"/>
          </w:tcPr>
          <w:p w14:paraId="67F71F4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0E7882D9" w14:textId="7F5A2CE8" w:rsidR="00716545" w:rsidRPr="00810248" w:rsidRDefault="00716545" w:rsidP="00AA474C">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szérum</w:t>
            </w:r>
            <w:r w:rsidR="00AA474C" w:rsidRPr="00810248">
              <w:rPr>
                <w:rFonts w:ascii="Times New Roman" w:eastAsia="Times New Roman" w:hAnsi="Times New Roman" w:cs="Times New Roman"/>
                <w:lang w:eastAsia="hu-HU"/>
              </w:rPr>
              <w:t>-</w:t>
            </w:r>
            <w:r w:rsidRPr="00810248">
              <w:rPr>
                <w:rFonts w:ascii="Times New Roman" w:eastAsia="Times New Roman" w:hAnsi="Times New Roman" w:cs="Times New Roman"/>
                <w:lang w:eastAsia="hu-HU"/>
              </w:rPr>
              <w:t>kreatininszint</w:t>
            </w:r>
          </w:p>
        </w:tc>
        <w:tc>
          <w:tcPr>
            <w:tcW w:w="1591" w:type="dxa"/>
            <w:shd w:val="clear" w:color="auto" w:fill="auto"/>
            <w:vAlign w:val="center"/>
          </w:tcPr>
          <w:p w14:paraId="4040895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06E08AA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w:t>
            </w:r>
          </w:p>
        </w:tc>
      </w:tr>
      <w:tr w:rsidR="00716545" w:rsidRPr="00810248" w14:paraId="58189E7B" w14:textId="77777777" w:rsidTr="000931D5">
        <w:trPr>
          <w:jc w:val="center"/>
        </w:trPr>
        <w:tc>
          <w:tcPr>
            <w:tcW w:w="1965" w:type="dxa"/>
            <w:vMerge/>
            <w:shd w:val="clear" w:color="auto" w:fill="auto"/>
            <w:vAlign w:val="center"/>
          </w:tcPr>
          <w:p w14:paraId="505E5D6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4F31B08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bilirubinszint</w:t>
            </w:r>
          </w:p>
        </w:tc>
        <w:tc>
          <w:tcPr>
            <w:tcW w:w="1591" w:type="dxa"/>
            <w:shd w:val="clear" w:color="auto" w:fill="auto"/>
            <w:vAlign w:val="center"/>
          </w:tcPr>
          <w:p w14:paraId="404EE84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Ritka</w:t>
            </w:r>
          </w:p>
        </w:tc>
        <w:tc>
          <w:tcPr>
            <w:tcW w:w="2992" w:type="dxa"/>
            <w:vAlign w:val="center"/>
          </w:tcPr>
          <w:p w14:paraId="2E323B4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w:t>
            </w:r>
          </w:p>
        </w:tc>
      </w:tr>
      <w:tr w:rsidR="00716545" w:rsidRPr="00810248" w14:paraId="39AF6790" w14:textId="77777777" w:rsidTr="000931D5">
        <w:trPr>
          <w:jc w:val="center"/>
        </w:trPr>
        <w:tc>
          <w:tcPr>
            <w:tcW w:w="1965" w:type="dxa"/>
            <w:vMerge/>
            <w:shd w:val="clear" w:color="auto" w:fill="auto"/>
            <w:vAlign w:val="center"/>
          </w:tcPr>
          <w:p w14:paraId="4384BB69"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5616861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májenzimszint</w:t>
            </w:r>
          </w:p>
        </w:tc>
        <w:tc>
          <w:tcPr>
            <w:tcW w:w="1591" w:type="dxa"/>
            <w:shd w:val="clear" w:color="auto" w:fill="auto"/>
            <w:vAlign w:val="center"/>
          </w:tcPr>
          <w:p w14:paraId="3923A74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Ritka</w:t>
            </w:r>
          </w:p>
        </w:tc>
        <w:tc>
          <w:tcPr>
            <w:tcW w:w="2992" w:type="dxa"/>
            <w:vAlign w:val="center"/>
          </w:tcPr>
          <w:p w14:paraId="27D5371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ismert</w:t>
            </w:r>
          </w:p>
        </w:tc>
      </w:tr>
      <w:tr w:rsidR="00716545" w:rsidRPr="00810248" w14:paraId="3F767DF4" w14:textId="77777777" w:rsidTr="000931D5">
        <w:trPr>
          <w:jc w:val="center"/>
        </w:trPr>
        <w:tc>
          <w:tcPr>
            <w:tcW w:w="1965" w:type="dxa"/>
            <w:vMerge/>
            <w:shd w:val="clear" w:color="auto" w:fill="auto"/>
            <w:vAlign w:val="center"/>
          </w:tcPr>
          <w:p w14:paraId="1924E2F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37240DE6" w14:textId="4179AD8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Csökkent hemoglobinszint, csökkent haemato</w:t>
            </w:r>
            <w:r w:rsidR="004C51F4" w:rsidRPr="00810248">
              <w:rPr>
                <w:rFonts w:ascii="Times New Roman" w:eastAsia="Times New Roman" w:hAnsi="Times New Roman" w:cs="Times New Roman"/>
                <w:bCs/>
                <w:iCs/>
                <w:lang w:eastAsia="hu-HU"/>
              </w:rPr>
              <w:t>k</w:t>
            </w:r>
            <w:r w:rsidRPr="00810248">
              <w:rPr>
                <w:rFonts w:ascii="Times New Roman" w:eastAsia="Times New Roman" w:hAnsi="Times New Roman" w:cs="Times New Roman"/>
                <w:bCs/>
                <w:iCs/>
                <w:lang w:eastAsia="hu-HU"/>
              </w:rPr>
              <w:t>rit</w:t>
            </w:r>
            <w:r w:rsidR="004C51F4" w:rsidRPr="00810248">
              <w:rPr>
                <w:rFonts w:ascii="Times New Roman" w:eastAsia="Times New Roman" w:hAnsi="Times New Roman" w:cs="Times New Roman"/>
                <w:bCs/>
                <w:iCs/>
                <w:lang w:eastAsia="hu-HU"/>
              </w:rPr>
              <w:t>érték</w:t>
            </w:r>
            <w:r w:rsidRPr="00810248">
              <w:rPr>
                <w:rFonts w:ascii="Times New Roman" w:eastAsia="Times New Roman" w:hAnsi="Times New Roman" w:cs="Times New Roman"/>
                <w:bCs/>
                <w:iCs/>
                <w:lang w:eastAsia="hu-HU"/>
              </w:rPr>
              <w:t xml:space="preserve"> (lásd 4.4 pont)</w:t>
            </w:r>
          </w:p>
        </w:tc>
        <w:tc>
          <w:tcPr>
            <w:tcW w:w="1591" w:type="dxa"/>
            <w:shd w:val="clear" w:color="auto" w:fill="auto"/>
            <w:vAlign w:val="center"/>
          </w:tcPr>
          <w:p w14:paraId="7D36072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Nagyon ritka</w:t>
            </w:r>
          </w:p>
        </w:tc>
        <w:tc>
          <w:tcPr>
            <w:tcW w:w="2992" w:type="dxa"/>
            <w:vAlign w:val="center"/>
          </w:tcPr>
          <w:p w14:paraId="1CBDFBE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w:t>
            </w:r>
          </w:p>
        </w:tc>
      </w:tr>
      <w:tr w:rsidR="00716545" w:rsidRPr="00810248" w14:paraId="58D869E7" w14:textId="77777777" w:rsidTr="000931D5">
        <w:trPr>
          <w:jc w:val="center"/>
        </w:trPr>
        <w:tc>
          <w:tcPr>
            <w:tcW w:w="1965" w:type="dxa"/>
            <w:vMerge/>
            <w:shd w:val="clear" w:color="auto" w:fill="auto"/>
            <w:vAlign w:val="center"/>
          </w:tcPr>
          <w:p w14:paraId="3FCABEB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003AB2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vércukorszint</w:t>
            </w:r>
            <w:r w:rsidRPr="00810248" w:rsidDel="007F4699">
              <w:rPr>
                <w:rFonts w:ascii="Times New Roman" w:eastAsia="Times New Roman" w:hAnsi="Times New Roman" w:cs="Times New Roman"/>
                <w:lang w:eastAsia="hu-HU"/>
              </w:rPr>
              <w:t xml:space="preserve"> </w:t>
            </w:r>
          </w:p>
        </w:tc>
        <w:tc>
          <w:tcPr>
            <w:tcW w:w="1591" w:type="dxa"/>
            <w:shd w:val="clear" w:color="auto" w:fill="auto"/>
            <w:vAlign w:val="center"/>
          </w:tcPr>
          <w:p w14:paraId="07CAD3B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w:t>
            </w:r>
          </w:p>
        </w:tc>
        <w:tc>
          <w:tcPr>
            <w:tcW w:w="2992" w:type="dxa"/>
            <w:vAlign w:val="center"/>
          </w:tcPr>
          <w:p w14:paraId="0B29ACD7"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ismert</w:t>
            </w:r>
          </w:p>
        </w:tc>
      </w:tr>
      <w:tr w:rsidR="00716545" w:rsidRPr="00810248" w14:paraId="0C252C43" w14:textId="77777777" w:rsidTr="000931D5">
        <w:trPr>
          <w:jc w:val="center"/>
        </w:trPr>
        <w:tc>
          <w:tcPr>
            <w:tcW w:w="1965" w:type="dxa"/>
            <w:vMerge/>
            <w:shd w:val="clear" w:color="auto" w:fill="auto"/>
            <w:vAlign w:val="center"/>
          </w:tcPr>
          <w:p w14:paraId="0163ACC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67E8B47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Emelkedett húgysavszint</w:t>
            </w:r>
            <w:r w:rsidRPr="00810248" w:rsidDel="007F4699">
              <w:rPr>
                <w:rFonts w:ascii="Times New Roman" w:eastAsia="Times New Roman" w:hAnsi="Times New Roman" w:cs="Times New Roman"/>
                <w:lang w:eastAsia="hu-HU"/>
              </w:rPr>
              <w:t xml:space="preserve"> </w:t>
            </w:r>
          </w:p>
        </w:tc>
        <w:tc>
          <w:tcPr>
            <w:tcW w:w="1591" w:type="dxa"/>
            <w:shd w:val="clear" w:color="auto" w:fill="auto"/>
            <w:vAlign w:val="center"/>
          </w:tcPr>
          <w:p w14:paraId="65605FC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w:t>
            </w:r>
          </w:p>
        </w:tc>
        <w:tc>
          <w:tcPr>
            <w:tcW w:w="2992" w:type="dxa"/>
            <w:vAlign w:val="center"/>
          </w:tcPr>
          <w:p w14:paraId="3D47F23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ismert</w:t>
            </w:r>
          </w:p>
        </w:tc>
      </w:tr>
      <w:tr w:rsidR="00716545" w:rsidRPr="00810248" w14:paraId="09CED4C7" w14:textId="77777777" w:rsidTr="000931D5">
        <w:trPr>
          <w:jc w:val="center"/>
        </w:trPr>
        <w:tc>
          <w:tcPr>
            <w:tcW w:w="1965" w:type="dxa"/>
            <w:vMerge/>
            <w:shd w:val="clear" w:color="auto" w:fill="auto"/>
            <w:vAlign w:val="center"/>
          </w:tcPr>
          <w:p w14:paraId="091FC3D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p>
        </w:tc>
        <w:tc>
          <w:tcPr>
            <w:tcW w:w="2535" w:type="dxa"/>
            <w:shd w:val="clear" w:color="auto" w:fill="auto"/>
            <w:vAlign w:val="center"/>
          </w:tcPr>
          <w:p w14:paraId="22A9874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QT-megnyúlás az EKG-n (lásd 4.4 és 4.5 pont)</w:t>
            </w:r>
          </w:p>
        </w:tc>
        <w:tc>
          <w:tcPr>
            <w:tcW w:w="1591" w:type="dxa"/>
            <w:shd w:val="clear" w:color="auto" w:fill="auto"/>
            <w:vAlign w:val="center"/>
          </w:tcPr>
          <w:p w14:paraId="5CB72C5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w:t>
            </w:r>
          </w:p>
        </w:tc>
        <w:tc>
          <w:tcPr>
            <w:tcW w:w="2992" w:type="dxa"/>
            <w:vAlign w:val="center"/>
          </w:tcPr>
          <w:p w14:paraId="7A2C1FD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bCs/>
                <w:iCs/>
                <w:lang w:eastAsia="hu-HU"/>
              </w:rPr>
              <w:t>Nem ismert</w:t>
            </w:r>
          </w:p>
        </w:tc>
      </w:tr>
      <w:tr w:rsidR="00716545" w:rsidRPr="00D91094" w14:paraId="265906F4" w14:textId="77777777" w:rsidTr="000931D5">
        <w:trPr>
          <w:jc w:val="center"/>
        </w:trPr>
        <w:tc>
          <w:tcPr>
            <w:tcW w:w="1965" w:type="dxa"/>
            <w:shd w:val="clear" w:color="auto" w:fill="auto"/>
            <w:vAlign w:val="center"/>
          </w:tcPr>
          <w:p w14:paraId="5EC57D0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bCs/>
                <w:iCs/>
                <w:lang w:eastAsia="hu-HU"/>
              </w:rPr>
            </w:pPr>
            <w:r w:rsidRPr="00810248">
              <w:rPr>
                <w:rFonts w:ascii="Times New Roman" w:eastAsia="Times New Roman" w:hAnsi="Times New Roman" w:cs="Times New Roman"/>
                <w:b/>
                <w:bCs/>
                <w:iCs/>
                <w:lang w:eastAsia="hu-HU"/>
              </w:rPr>
              <w:t>Sérülés, mérgezés és a beavatkozással kapcsolatos szövődmények</w:t>
            </w:r>
          </w:p>
        </w:tc>
        <w:tc>
          <w:tcPr>
            <w:tcW w:w="2535" w:type="dxa"/>
            <w:shd w:val="clear" w:color="auto" w:fill="auto"/>
            <w:vAlign w:val="center"/>
          </w:tcPr>
          <w:p w14:paraId="595A723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Elesés</w:t>
            </w:r>
          </w:p>
        </w:tc>
        <w:tc>
          <w:tcPr>
            <w:tcW w:w="1591" w:type="dxa"/>
            <w:shd w:val="clear" w:color="auto" w:fill="auto"/>
            <w:vAlign w:val="center"/>
          </w:tcPr>
          <w:p w14:paraId="7DDCD822" w14:textId="77777777" w:rsidR="00716545" w:rsidRPr="00810248"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Nem gyakori*</w:t>
            </w:r>
          </w:p>
        </w:tc>
        <w:tc>
          <w:tcPr>
            <w:tcW w:w="2992" w:type="dxa"/>
            <w:vAlign w:val="center"/>
          </w:tcPr>
          <w:p w14:paraId="1C5C91FB" w14:textId="77777777" w:rsidR="00716545" w:rsidRPr="00D91094" w:rsidRDefault="00716545" w:rsidP="00D2704D">
            <w:pPr>
              <w:widowControl w:val="0"/>
              <w:suppressAutoHyphens/>
              <w:spacing w:after="0" w:line="240" w:lineRule="auto"/>
              <w:rPr>
                <w:rFonts w:ascii="Times New Roman" w:eastAsia="Times New Roman" w:hAnsi="Times New Roman" w:cs="Times New Roman"/>
                <w:bCs/>
                <w:iCs/>
                <w:lang w:eastAsia="hu-HU"/>
              </w:rPr>
            </w:pPr>
            <w:r w:rsidRPr="00810248">
              <w:rPr>
                <w:rFonts w:ascii="Times New Roman" w:eastAsia="Times New Roman" w:hAnsi="Times New Roman" w:cs="Times New Roman"/>
                <w:bCs/>
                <w:iCs/>
                <w:lang w:eastAsia="hu-HU"/>
              </w:rPr>
              <w:t>-</w:t>
            </w:r>
          </w:p>
        </w:tc>
      </w:tr>
    </w:tbl>
    <w:p w14:paraId="406C7E08" w14:textId="77777777" w:rsidR="00716545" w:rsidRPr="00D91094" w:rsidRDefault="00716545" w:rsidP="00716545">
      <w:pPr>
        <w:widowControl w:val="0"/>
        <w:numPr>
          <w:ilvl w:val="0"/>
          <w:numId w:val="5"/>
        </w:numPr>
        <w:suppressAutoHyphens/>
        <w:spacing w:after="0" w:line="240" w:lineRule="auto"/>
        <w:ind w:left="567" w:hanging="567"/>
        <w:rPr>
          <w:rFonts w:ascii="Times New Roman" w:eastAsia="Times New Roman" w:hAnsi="Times New Roman" w:cs="Times New Roman"/>
          <w:i/>
          <w:lang w:eastAsia="hu-HU"/>
        </w:rPr>
      </w:pPr>
      <w:r w:rsidRPr="00D91094">
        <w:rPr>
          <w:rFonts w:ascii="Times New Roman" w:eastAsia="Times New Roman" w:hAnsi="Times New Roman" w:cs="Times New Roman"/>
          <w:i/>
          <w:lang w:eastAsia="hu-HU"/>
        </w:rPr>
        <w:t>A gyakoriságok a spontán jelentésekben azonosított mellékhatásokra vonatkozó klinikai vizsgálatok alapján lettek kalkulálva.</w:t>
      </w:r>
    </w:p>
    <w:p w14:paraId="1D2BC603" w14:textId="004B6723" w:rsidR="00716545" w:rsidRDefault="00716545" w:rsidP="00716545">
      <w:pPr>
        <w:widowControl w:val="0"/>
        <w:suppressAutoHyphens/>
        <w:spacing w:after="0" w:line="240" w:lineRule="auto"/>
        <w:rPr>
          <w:rFonts w:ascii="Times New Roman" w:eastAsia="Times New Roman" w:hAnsi="Times New Roman" w:cs="Times New Roman"/>
          <w:lang w:eastAsia="hu-HU"/>
        </w:rPr>
      </w:pPr>
    </w:p>
    <w:p w14:paraId="67C04C08" w14:textId="2568EEBC" w:rsidR="004E6918" w:rsidRPr="009335F4" w:rsidRDefault="00C53755" w:rsidP="00716545">
      <w:pPr>
        <w:widowControl w:val="0"/>
        <w:suppressAutoHyphens/>
        <w:spacing w:after="0" w:line="240" w:lineRule="auto"/>
        <w:rPr>
          <w:rFonts w:ascii="Times New Roman" w:eastAsia="Times New Roman" w:hAnsi="Times New Roman" w:cs="Times New Roman"/>
          <w:u w:val="single"/>
          <w:lang w:eastAsia="hu-HU"/>
        </w:rPr>
      </w:pPr>
      <w:r w:rsidRPr="009335F4">
        <w:rPr>
          <w:rFonts w:ascii="Times New Roman" w:eastAsia="Times New Roman" w:hAnsi="Times New Roman" w:cs="Times New Roman"/>
          <w:u w:val="single"/>
          <w:lang w:eastAsia="hu-HU"/>
        </w:rPr>
        <w:t>Az indapamidra vonatkozóan</w:t>
      </w:r>
    </w:p>
    <w:p w14:paraId="382DB413" w14:textId="77777777" w:rsidR="00C53755" w:rsidRPr="009335F4" w:rsidRDefault="00C53755" w:rsidP="00C53755">
      <w:pPr>
        <w:widowControl w:val="0"/>
        <w:suppressAutoHyphens/>
        <w:spacing w:after="0" w:line="240" w:lineRule="auto"/>
        <w:rPr>
          <w:rFonts w:ascii="Times New Roman" w:eastAsia="Times New Roman" w:hAnsi="Times New Roman" w:cs="Times New Roman"/>
          <w:lang w:eastAsia="hu-HU"/>
        </w:rPr>
      </w:pPr>
      <w:r w:rsidRPr="009335F4">
        <w:rPr>
          <w:rFonts w:ascii="Times New Roman" w:eastAsia="Times New Roman" w:hAnsi="Times New Roman" w:cs="Times New Roman"/>
          <w:lang w:eastAsia="hu-HU"/>
        </w:rPr>
        <w:t>Egyes kiválasztott mellékhatások leírása</w:t>
      </w:r>
    </w:p>
    <w:p w14:paraId="4C620728" w14:textId="0BBE608C" w:rsidR="00C53755" w:rsidRPr="009335F4" w:rsidRDefault="00C53755" w:rsidP="00C53755">
      <w:pPr>
        <w:widowControl w:val="0"/>
        <w:suppressAutoHyphens/>
        <w:spacing w:after="0" w:line="240" w:lineRule="auto"/>
        <w:rPr>
          <w:rFonts w:ascii="Times New Roman" w:eastAsia="Times New Roman" w:hAnsi="Times New Roman" w:cs="Times New Roman"/>
          <w:lang w:eastAsia="hu-HU"/>
        </w:rPr>
      </w:pPr>
      <w:r w:rsidRPr="009335F4">
        <w:rPr>
          <w:rFonts w:ascii="Times New Roman" w:eastAsia="Times New Roman" w:hAnsi="Times New Roman" w:cs="Times New Roman"/>
          <w:lang w:eastAsia="hu-HU"/>
        </w:rPr>
        <w:t xml:space="preserve">Az 1,5 mg-os és 2,5 mg-os indapamid-adagot összehasonlító II. és III. fázisú vizsgálatok során a </w:t>
      </w:r>
      <w:r w:rsidRPr="009335F4">
        <w:rPr>
          <w:rFonts w:ascii="Times New Roman" w:eastAsia="Times New Roman" w:hAnsi="Times New Roman" w:cs="Times New Roman"/>
          <w:lang w:eastAsia="hu-HU"/>
        </w:rPr>
        <w:lastRenderedPageBreak/>
        <w:t>plazma káliumszintjének elemzése az indapamid dózisfüggő hatását mutatta ki:</w:t>
      </w:r>
    </w:p>
    <w:p w14:paraId="67B96398" w14:textId="7402E796" w:rsidR="00C53755" w:rsidRPr="000931D5" w:rsidRDefault="00C53755" w:rsidP="000931D5">
      <w:pPr>
        <w:pStyle w:val="Listaszerbekezds"/>
        <w:widowControl w:val="0"/>
        <w:numPr>
          <w:ilvl w:val="0"/>
          <w:numId w:val="13"/>
        </w:numPr>
        <w:suppressAutoHyphens/>
        <w:spacing w:after="0" w:line="240" w:lineRule="auto"/>
        <w:ind w:left="567" w:hanging="567"/>
        <w:rPr>
          <w:rFonts w:ascii="Times New Roman" w:eastAsia="Times New Roman" w:hAnsi="Times New Roman" w:cs="Times New Roman"/>
          <w:lang w:eastAsia="hu-HU"/>
        </w:rPr>
      </w:pPr>
      <w:r w:rsidRPr="000931D5">
        <w:rPr>
          <w:rFonts w:ascii="Times New Roman" w:eastAsia="Times New Roman" w:hAnsi="Times New Roman" w:cs="Times New Roman"/>
          <w:lang w:eastAsia="hu-HU"/>
        </w:rPr>
        <w:t>1,5 mg dózisú indapamid: A klinikai vizsgálatok alatt 4-6 hetes kezelés után hypokalaemiát (káliumszint &lt;3,4 mmol/l) a betegek 10%-ánál észleltek, illetve &lt;3,2 mmol/l értéket a betegek 4%-ánál. 12 hetes kezelés után a kálium plazmaszintjének átlagos csökkenése 0,23 mmol/l volt.</w:t>
      </w:r>
    </w:p>
    <w:p w14:paraId="459B7013" w14:textId="2E7B53A3" w:rsidR="00C53755" w:rsidRDefault="00C53755" w:rsidP="000931D5">
      <w:pPr>
        <w:pStyle w:val="Listaszerbekezds"/>
        <w:widowControl w:val="0"/>
        <w:numPr>
          <w:ilvl w:val="0"/>
          <w:numId w:val="13"/>
        </w:numPr>
        <w:suppressAutoHyphens/>
        <w:spacing w:after="0" w:line="240" w:lineRule="auto"/>
        <w:ind w:left="567" w:hanging="567"/>
        <w:rPr>
          <w:rFonts w:ascii="Times New Roman" w:eastAsia="Times New Roman" w:hAnsi="Times New Roman" w:cs="Times New Roman"/>
          <w:lang w:eastAsia="hu-HU"/>
        </w:rPr>
      </w:pPr>
      <w:r w:rsidRPr="009335F4">
        <w:rPr>
          <w:rFonts w:ascii="Times New Roman" w:eastAsia="Times New Roman" w:hAnsi="Times New Roman" w:cs="Times New Roman"/>
          <w:lang w:eastAsia="hu-HU"/>
        </w:rPr>
        <w:t>2,5 mg dózisú indapamid: A klinikai vizsgálatok alatt 4-6 hetes kezelés után hypokalaemiát (káliumszint &lt;3,4 mmol/l) a betegek 25%-ánál észleltek, illetve &lt;3,2 mmol/l értéket a betegek 10%-ánál. 12 hetes kezelés után a kálium plazmaszintjének átlagos csökkenése 0,41 mmol/l volt</w:t>
      </w:r>
    </w:p>
    <w:p w14:paraId="283D3AC6" w14:textId="77777777" w:rsidR="004E6918" w:rsidRPr="00D91094" w:rsidRDefault="004E6918" w:rsidP="00716545">
      <w:pPr>
        <w:widowControl w:val="0"/>
        <w:suppressAutoHyphens/>
        <w:spacing w:after="0" w:line="240" w:lineRule="auto"/>
        <w:rPr>
          <w:rFonts w:ascii="Times New Roman" w:eastAsia="Times New Roman" w:hAnsi="Times New Roman" w:cs="Times New Roman"/>
          <w:lang w:eastAsia="hu-HU"/>
        </w:rPr>
      </w:pPr>
    </w:p>
    <w:p w14:paraId="3358110C" w14:textId="77777777" w:rsidR="00716545" w:rsidRPr="00D91094" w:rsidRDefault="00716545" w:rsidP="00716545">
      <w:pPr>
        <w:widowControl w:val="0"/>
        <w:suppressAutoHyphens/>
        <w:spacing w:after="0" w:line="240" w:lineRule="auto"/>
        <w:rPr>
          <w:rFonts w:ascii="Times New Roman" w:eastAsia="Times New Roman" w:hAnsi="Times New Roman" w:cs="Times New Roman"/>
          <w:u w:val="single"/>
          <w:lang w:eastAsia="hu-HU"/>
        </w:rPr>
      </w:pPr>
      <w:r w:rsidRPr="00D91094">
        <w:rPr>
          <w:rFonts w:ascii="Times New Roman" w:eastAsia="Times New Roman" w:hAnsi="Times New Roman" w:cs="Times New Roman"/>
          <w:u w:val="single"/>
          <w:lang w:eastAsia="hu-HU"/>
        </w:rPr>
        <w:t>Az amlodipinre vonatkozóan</w:t>
      </w:r>
    </w:p>
    <w:p w14:paraId="5492B66D"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1B6D4EDD" w14:textId="77777777" w:rsidR="00716545" w:rsidRPr="00D91094" w:rsidRDefault="00716545" w:rsidP="00716545">
      <w:pPr>
        <w:widowControl w:val="0"/>
        <w:suppressAutoHyphens/>
        <w:spacing w:after="0" w:line="240" w:lineRule="auto"/>
        <w:rPr>
          <w:rFonts w:ascii="Times New Roman" w:eastAsia="Times New Roman" w:hAnsi="Times New Roman" w:cs="Times New Roman"/>
          <w:i/>
          <w:iCs/>
          <w:lang w:eastAsia="hu-HU"/>
        </w:rPr>
      </w:pPr>
      <w:r w:rsidRPr="00D91094">
        <w:rPr>
          <w:rFonts w:ascii="Times New Roman" w:eastAsia="Times New Roman" w:hAnsi="Times New Roman" w:cs="Times New Roman"/>
          <w:i/>
          <w:iCs/>
          <w:lang w:eastAsia="hu-HU"/>
        </w:rPr>
        <w:t>A biztonságossági profil összefoglalása</w:t>
      </w:r>
    </w:p>
    <w:p w14:paraId="4B7730E7"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A kezelés során leggyakrabban jelentett mellékhatások az aluszékonyság, szédülés, fejfájás, palpitatio, arckipirulás, hasi fájdalom, hányinger, bokaduzzanat, oedema és fáradékonyság voltak.</w:t>
      </w:r>
    </w:p>
    <w:p w14:paraId="369BE5BC"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15C932A5" w14:textId="77777777" w:rsidR="00716545" w:rsidRPr="00D91094" w:rsidRDefault="00716545" w:rsidP="00716545">
      <w:pPr>
        <w:widowControl w:val="0"/>
        <w:suppressAutoHyphens/>
        <w:spacing w:after="0" w:line="240" w:lineRule="auto"/>
        <w:rPr>
          <w:rFonts w:ascii="Times New Roman" w:eastAsia="Times New Roman" w:hAnsi="Times New Roman" w:cs="Times New Roman"/>
          <w:i/>
          <w:iCs/>
          <w:lang w:eastAsia="hu-HU"/>
        </w:rPr>
      </w:pPr>
      <w:r w:rsidRPr="00D91094">
        <w:rPr>
          <w:rFonts w:ascii="Times New Roman" w:eastAsia="Times New Roman" w:hAnsi="Times New Roman" w:cs="Times New Roman"/>
          <w:i/>
          <w:iCs/>
          <w:lang w:eastAsia="hu-HU"/>
        </w:rPr>
        <w:t>A mellékhatások táblázatos listája</w:t>
      </w:r>
    </w:p>
    <w:p w14:paraId="62A89325"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 xml:space="preserve">Az amlodipinnel végzett kezelés alatt az alábbi mellékhatásokat figyelték meg és jelentették a következő gyakorisági kategóriák szerint: nagyon gyakori (≥ 1/10), gyakori (≥ 1/100 – &lt; 1/10), nem gyakori (≥ 1/1000 – &lt; 1/100), ritka (≥ 1/10 000 – &lt; 1/1000), nagyon ritka (&lt; 1/10 000), nem ismert (a rendelkezésre álló adatokból </w:t>
      </w:r>
      <w:r w:rsidR="00ED3624">
        <w:rPr>
          <w:rFonts w:ascii="Times New Roman" w:eastAsia="Times New Roman" w:hAnsi="Times New Roman" w:cs="Times New Roman"/>
          <w:lang w:eastAsia="hu-HU"/>
        </w:rPr>
        <w:t xml:space="preserve">a gyakoriság </w:t>
      </w:r>
      <w:r w:rsidRPr="00D91094">
        <w:rPr>
          <w:rFonts w:ascii="Times New Roman" w:eastAsia="Times New Roman" w:hAnsi="Times New Roman" w:cs="Times New Roman"/>
          <w:lang w:eastAsia="hu-HU"/>
        </w:rPr>
        <w:t>nem állapítható meg).</w:t>
      </w:r>
    </w:p>
    <w:p w14:paraId="7821DCE9" w14:textId="77777777" w:rsidR="00716545" w:rsidRPr="00D91094" w:rsidRDefault="00716545" w:rsidP="00716545">
      <w:pPr>
        <w:widowControl w:val="0"/>
        <w:suppressAutoHyphens/>
        <w:spacing w:after="0" w:line="240" w:lineRule="auto"/>
        <w:rPr>
          <w:rFonts w:ascii="Times New Roman" w:eastAsia="Times New Roman" w:hAnsi="Times New Roman" w:cs="Times New Roman"/>
          <w:bCs/>
          <w:lang w:eastAsia="hu-HU"/>
        </w:rPr>
      </w:pPr>
    </w:p>
    <w:p w14:paraId="4624DB1E"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A nemkívánatos hatások, mellékhatások minden gyakorisági kategóriában csökkenő súlyossági sorrendben szerepelnek.</w:t>
      </w:r>
    </w:p>
    <w:p w14:paraId="0EF6ED23"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403"/>
        <w:gridCol w:w="3966"/>
        <w:gridCol w:w="2691"/>
      </w:tblGrid>
      <w:tr w:rsidR="00716545" w:rsidRPr="00810248" w14:paraId="1A811D92" w14:textId="77777777" w:rsidTr="00D2704D">
        <w:trPr>
          <w:cantSplit/>
        </w:trPr>
        <w:tc>
          <w:tcPr>
            <w:tcW w:w="1326" w:type="pct"/>
            <w:shd w:val="clear" w:color="auto" w:fill="auto"/>
            <w:vAlign w:val="center"/>
          </w:tcPr>
          <w:p w14:paraId="31F4060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Szervrendszer</w:t>
            </w:r>
          </w:p>
        </w:tc>
        <w:tc>
          <w:tcPr>
            <w:tcW w:w="2189" w:type="pct"/>
            <w:vAlign w:val="center"/>
          </w:tcPr>
          <w:p w14:paraId="7997D165" w14:textId="77777777" w:rsidR="00716545" w:rsidRPr="009436A9" w:rsidRDefault="00716545" w:rsidP="00D2704D">
            <w:pPr>
              <w:widowControl w:val="0"/>
              <w:suppressAutoHyphens/>
              <w:spacing w:after="0" w:line="240" w:lineRule="auto"/>
              <w:rPr>
                <w:rFonts w:ascii="Times New Roman" w:eastAsia="Times New Roman" w:hAnsi="Times New Roman" w:cs="Times New Roman"/>
                <w:b/>
                <w:lang w:eastAsia="hu-HU"/>
              </w:rPr>
            </w:pPr>
            <w:r w:rsidRPr="009436A9">
              <w:rPr>
                <w:rFonts w:ascii="Times New Roman" w:eastAsia="Times New Roman" w:hAnsi="Times New Roman" w:cs="Times New Roman"/>
                <w:b/>
                <w:lang w:eastAsia="hu-HU"/>
              </w:rPr>
              <w:t>Mellékhatások</w:t>
            </w:r>
          </w:p>
        </w:tc>
        <w:tc>
          <w:tcPr>
            <w:tcW w:w="1485" w:type="pct"/>
            <w:shd w:val="clear" w:color="auto" w:fill="auto"/>
            <w:vAlign w:val="center"/>
          </w:tcPr>
          <w:p w14:paraId="5048F8E4" w14:textId="77777777" w:rsidR="00716545" w:rsidRPr="009436A9" w:rsidRDefault="00716545" w:rsidP="00D2704D">
            <w:pPr>
              <w:widowControl w:val="0"/>
              <w:suppressAutoHyphens/>
              <w:spacing w:after="0" w:line="240" w:lineRule="auto"/>
              <w:rPr>
                <w:rFonts w:ascii="Times New Roman" w:eastAsia="Times New Roman" w:hAnsi="Times New Roman" w:cs="Times New Roman"/>
                <w:b/>
                <w:lang w:eastAsia="hu-HU"/>
              </w:rPr>
            </w:pPr>
            <w:r w:rsidRPr="009436A9">
              <w:rPr>
                <w:rFonts w:ascii="Times New Roman" w:eastAsia="Times New Roman" w:hAnsi="Times New Roman" w:cs="Times New Roman"/>
                <w:b/>
                <w:lang w:eastAsia="hu-HU"/>
              </w:rPr>
              <w:t>Gyakoriság</w:t>
            </w:r>
          </w:p>
        </w:tc>
      </w:tr>
      <w:tr w:rsidR="00716545" w:rsidRPr="00810248" w14:paraId="78AF9BBA" w14:textId="77777777" w:rsidTr="00D2704D">
        <w:trPr>
          <w:cantSplit/>
        </w:trPr>
        <w:tc>
          <w:tcPr>
            <w:tcW w:w="1326" w:type="pct"/>
            <w:vAlign w:val="center"/>
          </w:tcPr>
          <w:p w14:paraId="66581C3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i/>
                <w:lang w:eastAsia="hu-HU"/>
              </w:rPr>
            </w:pPr>
            <w:r w:rsidRPr="00810248">
              <w:rPr>
                <w:rFonts w:ascii="Times New Roman" w:eastAsia="Times New Roman" w:hAnsi="Times New Roman" w:cs="Times New Roman"/>
                <w:b/>
                <w:lang w:eastAsia="hu-HU"/>
              </w:rPr>
              <w:t>Vérképzőszervi és nyirokrendszeri betegségek és tünetek</w:t>
            </w:r>
          </w:p>
        </w:tc>
        <w:tc>
          <w:tcPr>
            <w:tcW w:w="2189" w:type="pct"/>
            <w:vAlign w:val="center"/>
          </w:tcPr>
          <w:p w14:paraId="5D4044D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leukocytopenia, thrombocytopenia</w:t>
            </w:r>
          </w:p>
        </w:tc>
        <w:tc>
          <w:tcPr>
            <w:tcW w:w="1485" w:type="pct"/>
            <w:vAlign w:val="center"/>
          </w:tcPr>
          <w:p w14:paraId="059D256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36C8AD53" w14:textId="77777777" w:rsidTr="00D2704D">
        <w:trPr>
          <w:cantSplit/>
        </w:trPr>
        <w:tc>
          <w:tcPr>
            <w:tcW w:w="1326" w:type="pct"/>
            <w:vAlign w:val="center"/>
          </w:tcPr>
          <w:p w14:paraId="03F6363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i/>
                <w:lang w:eastAsia="hu-HU"/>
              </w:rPr>
            </w:pPr>
            <w:r w:rsidRPr="00810248">
              <w:rPr>
                <w:rFonts w:ascii="Times New Roman" w:eastAsia="Times New Roman" w:hAnsi="Times New Roman" w:cs="Times New Roman"/>
                <w:b/>
                <w:lang w:eastAsia="hu-HU"/>
              </w:rPr>
              <w:t>Immunrendszeri betegségek és tünetek</w:t>
            </w:r>
          </w:p>
        </w:tc>
        <w:tc>
          <w:tcPr>
            <w:tcW w:w="2189" w:type="pct"/>
            <w:vAlign w:val="center"/>
          </w:tcPr>
          <w:p w14:paraId="1789C6F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allergiás reakciók</w:t>
            </w:r>
          </w:p>
        </w:tc>
        <w:tc>
          <w:tcPr>
            <w:tcW w:w="1485" w:type="pct"/>
            <w:vAlign w:val="center"/>
          </w:tcPr>
          <w:p w14:paraId="1BA2274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3BCA7D7F" w14:textId="77777777" w:rsidTr="00D2704D">
        <w:trPr>
          <w:cantSplit/>
        </w:trPr>
        <w:tc>
          <w:tcPr>
            <w:tcW w:w="1326" w:type="pct"/>
            <w:vAlign w:val="center"/>
          </w:tcPr>
          <w:p w14:paraId="4BAE124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Anyagcsere- és táplálkozási betegségek és tünetek</w:t>
            </w:r>
          </w:p>
        </w:tc>
        <w:tc>
          <w:tcPr>
            <w:tcW w:w="2189" w:type="pct"/>
            <w:vAlign w:val="center"/>
          </w:tcPr>
          <w:p w14:paraId="700038C8" w14:textId="4C446EA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hypergly</w:t>
            </w:r>
            <w:r w:rsidR="00AA474C" w:rsidRPr="00810248">
              <w:rPr>
                <w:rFonts w:ascii="Times New Roman" w:eastAsia="Times New Roman" w:hAnsi="Times New Roman" w:cs="Times New Roman"/>
                <w:lang w:eastAsia="hu-HU"/>
              </w:rPr>
              <w:t>k</w:t>
            </w:r>
            <w:r w:rsidRPr="00810248">
              <w:rPr>
                <w:rFonts w:ascii="Times New Roman" w:eastAsia="Times New Roman" w:hAnsi="Times New Roman" w:cs="Times New Roman"/>
                <w:lang w:eastAsia="hu-HU"/>
              </w:rPr>
              <w:t>aemia</w:t>
            </w:r>
          </w:p>
        </w:tc>
        <w:tc>
          <w:tcPr>
            <w:tcW w:w="1485" w:type="pct"/>
            <w:vAlign w:val="center"/>
          </w:tcPr>
          <w:p w14:paraId="538F4EA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239F7B21" w14:textId="77777777" w:rsidTr="00D2704D">
        <w:trPr>
          <w:cantSplit/>
        </w:trPr>
        <w:tc>
          <w:tcPr>
            <w:tcW w:w="1326" w:type="pct"/>
            <w:vMerge w:val="restart"/>
            <w:vAlign w:val="center"/>
          </w:tcPr>
          <w:p w14:paraId="623D3685"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Pszichiátriai kórképek</w:t>
            </w:r>
          </w:p>
        </w:tc>
        <w:tc>
          <w:tcPr>
            <w:tcW w:w="2189" w:type="pct"/>
            <w:vAlign w:val="center"/>
          </w:tcPr>
          <w:p w14:paraId="61616DC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depresszió, hangulatváltozások (beleértve a szorongást is), insomnia</w:t>
            </w:r>
          </w:p>
        </w:tc>
        <w:tc>
          <w:tcPr>
            <w:tcW w:w="1485" w:type="pct"/>
            <w:vAlign w:val="center"/>
          </w:tcPr>
          <w:p w14:paraId="71BE110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51AF621C" w14:textId="77777777" w:rsidTr="00D2704D">
        <w:trPr>
          <w:cantSplit/>
        </w:trPr>
        <w:tc>
          <w:tcPr>
            <w:tcW w:w="1326" w:type="pct"/>
            <w:vMerge/>
            <w:vAlign w:val="center"/>
          </w:tcPr>
          <w:p w14:paraId="38436F2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0E0B7CD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zavartság</w:t>
            </w:r>
          </w:p>
        </w:tc>
        <w:tc>
          <w:tcPr>
            <w:tcW w:w="1485" w:type="pct"/>
            <w:vAlign w:val="center"/>
          </w:tcPr>
          <w:p w14:paraId="69C1FA6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Ritka</w:t>
            </w:r>
          </w:p>
        </w:tc>
      </w:tr>
      <w:tr w:rsidR="00716545" w:rsidRPr="00810248" w14:paraId="6AD34CCA" w14:textId="77777777" w:rsidTr="00D2704D">
        <w:trPr>
          <w:cantSplit/>
        </w:trPr>
        <w:tc>
          <w:tcPr>
            <w:tcW w:w="1326" w:type="pct"/>
            <w:vMerge w:val="restart"/>
            <w:vAlign w:val="center"/>
          </w:tcPr>
          <w:p w14:paraId="5053A43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i/>
                <w:lang w:eastAsia="hu-HU"/>
              </w:rPr>
            </w:pPr>
            <w:r w:rsidRPr="00810248">
              <w:rPr>
                <w:rFonts w:ascii="Times New Roman" w:eastAsia="Times New Roman" w:hAnsi="Times New Roman" w:cs="Times New Roman"/>
                <w:b/>
                <w:lang w:eastAsia="hu-HU"/>
              </w:rPr>
              <w:t>Idegrendszeri betegségek és tünetek</w:t>
            </w:r>
          </w:p>
        </w:tc>
        <w:tc>
          <w:tcPr>
            <w:tcW w:w="2189" w:type="pct"/>
            <w:vAlign w:val="center"/>
          </w:tcPr>
          <w:p w14:paraId="33CF95DE" w14:textId="7855DFB8"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somnolentia, szédülés, fejfájás (különösen a kezelés kezdetén)</w:t>
            </w:r>
          </w:p>
        </w:tc>
        <w:tc>
          <w:tcPr>
            <w:tcW w:w="1485" w:type="pct"/>
            <w:vAlign w:val="center"/>
          </w:tcPr>
          <w:p w14:paraId="3DB52ED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2255EC8A" w14:textId="77777777" w:rsidTr="00D2704D">
        <w:trPr>
          <w:cantSplit/>
        </w:trPr>
        <w:tc>
          <w:tcPr>
            <w:tcW w:w="1326" w:type="pct"/>
            <w:vMerge/>
            <w:vAlign w:val="center"/>
          </w:tcPr>
          <w:p w14:paraId="4735DB4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782A9419"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tremor, dysgeusia, syncope, hypaesthesia, paraesthesia</w:t>
            </w:r>
          </w:p>
        </w:tc>
        <w:tc>
          <w:tcPr>
            <w:tcW w:w="1485" w:type="pct"/>
            <w:vAlign w:val="center"/>
          </w:tcPr>
          <w:p w14:paraId="14808AB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0A2AAA11" w14:textId="77777777" w:rsidTr="00D2704D">
        <w:trPr>
          <w:cantSplit/>
        </w:trPr>
        <w:tc>
          <w:tcPr>
            <w:tcW w:w="1326" w:type="pct"/>
            <w:vMerge/>
            <w:vAlign w:val="center"/>
          </w:tcPr>
          <w:p w14:paraId="5560391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677BABE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hypertonia, perifériás neuropathia</w:t>
            </w:r>
          </w:p>
        </w:tc>
        <w:tc>
          <w:tcPr>
            <w:tcW w:w="1485" w:type="pct"/>
            <w:vAlign w:val="center"/>
          </w:tcPr>
          <w:p w14:paraId="0E7DC63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696EA5FB" w14:textId="77777777" w:rsidTr="00D2704D">
        <w:trPr>
          <w:cantSplit/>
        </w:trPr>
        <w:tc>
          <w:tcPr>
            <w:tcW w:w="1326" w:type="pct"/>
            <w:vMerge/>
            <w:vAlign w:val="center"/>
          </w:tcPr>
          <w:p w14:paraId="21CAFF7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03B7D91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extrapyramidalis zavar</w:t>
            </w:r>
          </w:p>
        </w:tc>
        <w:tc>
          <w:tcPr>
            <w:tcW w:w="1485" w:type="pct"/>
            <w:vAlign w:val="center"/>
          </w:tcPr>
          <w:p w14:paraId="3F10252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ismert</w:t>
            </w:r>
          </w:p>
        </w:tc>
      </w:tr>
      <w:tr w:rsidR="00716545" w:rsidRPr="00810248" w14:paraId="56D34256" w14:textId="77777777" w:rsidTr="00D2704D">
        <w:trPr>
          <w:cantSplit/>
        </w:trPr>
        <w:tc>
          <w:tcPr>
            <w:tcW w:w="1326" w:type="pct"/>
            <w:vAlign w:val="center"/>
          </w:tcPr>
          <w:p w14:paraId="54E2735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Szembetegségek és szemészeti tünetek</w:t>
            </w:r>
          </w:p>
        </w:tc>
        <w:tc>
          <w:tcPr>
            <w:tcW w:w="2189" w:type="pct"/>
            <w:vAlign w:val="center"/>
          </w:tcPr>
          <w:p w14:paraId="0E6F8C54"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látászavarok (beleértve a kettőslátást is)</w:t>
            </w:r>
          </w:p>
        </w:tc>
        <w:tc>
          <w:tcPr>
            <w:tcW w:w="1485" w:type="pct"/>
            <w:vAlign w:val="center"/>
          </w:tcPr>
          <w:p w14:paraId="68671D1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6DDB9AC9" w14:textId="77777777" w:rsidTr="00D2704D">
        <w:trPr>
          <w:cantSplit/>
        </w:trPr>
        <w:tc>
          <w:tcPr>
            <w:tcW w:w="1326" w:type="pct"/>
            <w:vAlign w:val="center"/>
          </w:tcPr>
          <w:p w14:paraId="01A4AE5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i/>
                <w:lang w:eastAsia="hu-HU"/>
              </w:rPr>
            </w:pPr>
            <w:r w:rsidRPr="00810248">
              <w:rPr>
                <w:rFonts w:ascii="Times New Roman" w:eastAsia="Times New Roman" w:hAnsi="Times New Roman" w:cs="Times New Roman"/>
                <w:b/>
                <w:lang w:eastAsia="hu-HU"/>
              </w:rPr>
              <w:t>A fül és az egyensúly-érzékelő szerv betegségei és tünetei</w:t>
            </w:r>
          </w:p>
        </w:tc>
        <w:tc>
          <w:tcPr>
            <w:tcW w:w="2189" w:type="pct"/>
            <w:vAlign w:val="center"/>
          </w:tcPr>
          <w:p w14:paraId="25C0216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tinnitus</w:t>
            </w:r>
          </w:p>
        </w:tc>
        <w:tc>
          <w:tcPr>
            <w:tcW w:w="1485" w:type="pct"/>
            <w:vAlign w:val="center"/>
          </w:tcPr>
          <w:p w14:paraId="56CF682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01ECC427" w14:textId="77777777" w:rsidTr="00D2704D">
        <w:trPr>
          <w:cantSplit/>
        </w:trPr>
        <w:tc>
          <w:tcPr>
            <w:tcW w:w="1326" w:type="pct"/>
            <w:vMerge w:val="restart"/>
            <w:vAlign w:val="center"/>
          </w:tcPr>
          <w:p w14:paraId="1CCE07D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Szívbetegségek és a szívvel kapcsolatos tünetek</w:t>
            </w:r>
          </w:p>
        </w:tc>
        <w:tc>
          <w:tcPr>
            <w:tcW w:w="2189" w:type="pct"/>
            <w:vAlign w:val="center"/>
          </w:tcPr>
          <w:p w14:paraId="271039B2"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palpitatio</w:t>
            </w:r>
          </w:p>
        </w:tc>
        <w:tc>
          <w:tcPr>
            <w:tcW w:w="1485" w:type="pct"/>
            <w:vAlign w:val="center"/>
          </w:tcPr>
          <w:p w14:paraId="3482330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5E9CB74C" w14:textId="77777777" w:rsidTr="00D2704D">
        <w:trPr>
          <w:cantSplit/>
        </w:trPr>
        <w:tc>
          <w:tcPr>
            <w:tcW w:w="1326" w:type="pct"/>
            <w:vMerge/>
            <w:vAlign w:val="center"/>
          </w:tcPr>
          <w:p w14:paraId="732DC48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3DD8C636"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arrhythmiák (bradycardia, kamrai tachycardia, pitvarfibrilláció)</w:t>
            </w:r>
          </w:p>
        </w:tc>
        <w:tc>
          <w:tcPr>
            <w:tcW w:w="1485" w:type="pct"/>
            <w:vAlign w:val="center"/>
          </w:tcPr>
          <w:p w14:paraId="4038D052" w14:textId="77777777" w:rsidR="00716545" w:rsidRPr="00810248" w:rsidDel="009A55D2"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0BF1F539" w14:textId="77777777" w:rsidTr="00D2704D">
        <w:trPr>
          <w:cantSplit/>
        </w:trPr>
        <w:tc>
          <w:tcPr>
            <w:tcW w:w="1326" w:type="pct"/>
            <w:vMerge/>
            <w:vAlign w:val="center"/>
          </w:tcPr>
          <w:p w14:paraId="3D30D2D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1514B7E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myocardialis infarctus</w:t>
            </w:r>
          </w:p>
        </w:tc>
        <w:tc>
          <w:tcPr>
            <w:tcW w:w="1485" w:type="pct"/>
            <w:vAlign w:val="center"/>
          </w:tcPr>
          <w:p w14:paraId="56E0DFAE" w14:textId="77777777" w:rsidR="00716545" w:rsidRPr="00810248" w:rsidDel="008B4E2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41E890C6" w14:textId="77777777" w:rsidTr="00D2704D">
        <w:trPr>
          <w:cantSplit/>
        </w:trPr>
        <w:tc>
          <w:tcPr>
            <w:tcW w:w="1326" w:type="pct"/>
            <w:vMerge w:val="restart"/>
            <w:vAlign w:val="center"/>
          </w:tcPr>
          <w:p w14:paraId="5C594B7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Érbetegségek és tünetek</w:t>
            </w:r>
          </w:p>
        </w:tc>
        <w:tc>
          <w:tcPr>
            <w:tcW w:w="2189" w:type="pct"/>
            <w:vAlign w:val="center"/>
          </w:tcPr>
          <w:p w14:paraId="68B12A89" w14:textId="11749AFF"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arckipirulás</w:t>
            </w:r>
          </w:p>
        </w:tc>
        <w:tc>
          <w:tcPr>
            <w:tcW w:w="1485" w:type="pct"/>
            <w:vAlign w:val="center"/>
          </w:tcPr>
          <w:p w14:paraId="6FB9B1D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2C4CA4A7" w14:textId="77777777" w:rsidTr="00D2704D">
        <w:trPr>
          <w:cantSplit/>
        </w:trPr>
        <w:tc>
          <w:tcPr>
            <w:tcW w:w="1326" w:type="pct"/>
            <w:vMerge/>
            <w:vAlign w:val="center"/>
          </w:tcPr>
          <w:p w14:paraId="1206C596"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28D6D42D"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hypotonia</w:t>
            </w:r>
          </w:p>
        </w:tc>
        <w:tc>
          <w:tcPr>
            <w:tcW w:w="1485" w:type="pct"/>
            <w:vAlign w:val="center"/>
          </w:tcPr>
          <w:p w14:paraId="54967D2A" w14:textId="77777777" w:rsidR="00716545" w:rsidRPr="00810248" w:rsidDel="009A55D2"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0ABD9A2E" w14:textId="77777777" w:rsidTr="00D2704D">
        <w:trPr>
          <w:cantSplit/>
        </w:trPr>
        <w:tc>
          <w:tcPr>
            <w:tcW w:w="1326" w:type="pct"/>
            <w:vMerge/>
            <w:vAlign w:val="center"/>
          </w:tcPr>
          <w:p w14:paraId="13555FD4"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4D4A149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vasculitis</w:t>
            </w:r>
          </w:p>
        </w:tc>
        <w:tc>
          <w:tcPr>
            <w:tcW w:w="1485" w:type="pct"/>
            <w:vAlign w:val="center"/>
          </w:tcPr>
          <w:p w14:paraId="2E04D71F" w14:textId="77777777" w:rsidR="00716545" w:rsidRPr="00810248" w:rsidDel="009A55D2"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75006B4A" w14:textId="77777777" w:rsidTr="00D2704D">
        <w:trPr>
          <w:cantSplit/>
        </w:trPr>
        <w:tc>
          <w:tcPr>
            <w:tcW w:w="1326" w:type="pct"/>
            <w:vMerge w:val="restart"/>
            <w:vAlign w:val="center"/>
          </w:tcPr>
          <w:p w14:paraId="26D088F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 xml:space="preserve">Légzőrendszeri, </w:t>
            </w:r>
            <w:r w:rsidRPr="00810248">
              <w:rPr>
                <w:rFonts w:ascii="Times New Roman" w:eastAsia="Times New Roman" w:hAnsi="Times New Roman" w:cs="Times New Roman"/>
                <w:b/>
                <w:lang w:eastAsia="hu-HU"/>
              </w:rPr>
              <w:lastRenderedPageBreak/>
              <w:t>mellkasi és mediastinális betegségek és tünetek</w:t>
            </w:r>
          </w:p>
        </w:tc>
        <w:tc>
          <w:tcPr>
            <w:tcW w:w="2189" w:type="pct"/>
            <w:vAlign w:val="center"/>
          </w:tcPr>
          <w:p w14:paraId="2924272E" w14:textId="416AD392"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lastRenderedPageBreak/>
              <w:t>dyspnoe</w:t>
            </w:r>
          </w:p>
        </w:tc>
        <w:tc>
          <w:tcPr>
            <w:tcW w:w="1485" w:type="pct"/>
            <w:vAlign w:val="center"/>
          </w:tcPr>
          <w:p w14:paraId="6AFFDE4F"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68FBEE76" w14:textId="77777777" w:rsidTr="00D2704D">
        <w:trPr>
          <w:cantSplit/>
        </w:trPr>
        <w:tc>
          <w:tcPr>
            <w:tcW w:w="1326" w:type="pct"/>
            <w:vMerge/>
            <w:vAlign w:val="center"/>
          </w:tcPr>
          <w:p w14:paraId="2C20F9FC"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0822F50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köhögés, rhinitis</w:t>
            </w:r>
          </w:p>
        </w:tc>
        <w:tc>
          <w:tcPr>
            <w:tcW w:w="1485" w:type="pct"/>
            <w:vAlign w:val="center"/>
          </w:tcPr>
          <w:p w14:paraId="401E6455"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6FD9075D" w14:textId="77777777" w:rsidTr="00D2704D">
        <w:trPr>
          <w:cantSplit/>
        </w:trPr>
        <w:tc>
          <w:tcPr>
            <w:tcW w:w="1326" w:type="pct"/>
            <w:vMerge w:val="restart"/>
            <w:vAlign w:val="center"/>
          </w:tcPr>
          <w:p w14:paraId="23F8200D"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Emésztőrendszeri betegségek és tünetek</w:t>
            </w:r>
          </w:p>
        </w:tc>
        <w:tc>
          <w:tcPr>
            <w:tcW w:w="2189" w:type="pct"/>
            <w:vAlign w:val="center"/>
          </w:tcPr>
          <w:p w14:paraId="00F25DE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hasi fájdalom, hányinger, dyspepsia, bélműködési zavarok (hasmenés és székrekedés)</w:t>
            </w:r>
          </w:p>
        </w:tc>
        <w:tc>
          <w:tcPr>
            <w:tcW w:w="1485" w:type="pct"/>
            <w:vAlign w:val="center"/>
          </w:tcPr>
          <w:p w14:paraId="6D083B54" w14:textId="77777777" w:rsidR="00716545" w:rsidRPr="00810248" w:rsidDel="002F35A3"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141F5D3A" w14:textId="77777777" w:rsidTr="00D2704D">
        <w:trPr>
          <w:cantSplit/>
        </w:trPr>
        <w:tc>
          <w:tcPr>
            <w:tcW w:w="1326" w:type="pct"/>
            <w:vMerge/>
            <w:vAlign w:val="center"/>
          </w:tcPr>
          <w:p w14:paraId="73FC7E48"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388587F8"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hányás, szájszárazság</w:t>
            </w:r>
          </w:p>
        </w:tc>
        <w:tc>
          <w:tcPr>
            <w:tcW w:w="1485" w:type="pct"/>
            <w:vAlign w:val="center"/>
          </w:tcPr>
          <w:p w14:paraId="75BDF9A6" w14:textId="77777777" w:rsidR="00716545" w:rsidRPr="00810248" w:rsidDel="002F35A3"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7BDFB350" w14:textId="77777777" w:rsidTr="00D2704D">
        <w:trPr>
          <w:cantSplit/>
        </w:trPr>
        <w:tc>
          <w:tcPr>
            <w:tcW w:w="1326" w:type="pct"/>
            <w:vMerge/>
            <w:vAlign w:val="center"/>
          </w:tcPr>
          <w:p w14:paraId="124840B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78E8046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pancreatitis, gastritis, gingiva hyperplasia</w:t>
            </w:r>
          </w:p>
        </w:tc>
        <w:tc>
          <w:tcPr>
            <w:tcW w:w="1485" w:type="pct"/>
            <w:vAlign w:val="center"/>
          </w:tcPr>
          <w:p w14:paraId="77FE8FCD" w14:textId="77777777" w:rsidR="00716545" w:rsidRPr="00810248" w:rsidDel="002F35A3"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716545" w:rsidRPr="00810248" w14:paraId="59CA9BAA" w14:textId="77777777" w:rsidTr="00D2704D">
        <w:trPr>
          <w:cantSplit/>
        </w:trPr>
        <w:tc>
          <w:tcPr>
            <w:tcW w:w="1326" w:type="pct"/>
            <w:vAlign w:val="center"/>
          </w:tcPr>
          <w:p w14:paraId="4FEF106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Máj- és epebetegségek, illetve tünetek</w:t>
            </w:r>
          </w:p>
        </w:tc>
        <w:tc>
          <w:tcPr>
            <w:tcW w:w="2189" w:type="pct"/>
            <w:vAlign w:val="center"/>
          </w:tcPr>
          <w:p w14:paraId="2155218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hepatitis, sárgaság, májenzimszint</w:t>
            </w:r>
            <w:r w:rsidRPr="00810248">
              <w:rPr>
                <w:rFonts w:ascii="Times New Roman" w:eastAsia="Times New Roman" w:hAnsi="Times New Roman" w:cs="Times New Roman"/>
                <w:lang w:eastAsia="hu-HU"/>
              </w:rPr>
              <w:noBreakHyphen/>
              <w:t>emelkedés*</w:t>
            </w:r>
          </w:p>
        </w:tc>
        <w:tc>
          <w:tcPr>
            <w:tcW w:w="1485" w:type="pct"/>
            <w:vAlign w:val="center"/>
          </w:tcPr>
          <w:p w14:paraId="59F2FC6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ED3624" w:rsidRPr="00810248" w14:paraId="2BDCB0AF" w14:textId="77777777" w:rsidTr="00D2704D">
        <w:trPr>
          <w:cantSplit/>
        </w:trPr>
        <w:tc>
          <w:tcPr>
            <w:tcW w:w="1326" w:type="pct"/>
            <w:vMerge w:val="restart"/>
            <w:vAlign w:val="center"/>
          </w:tcPr>
          <w:p w14:paraId="4CC2C031" w14:textId="77777777" w:rsidR="00ED3624" w:rsidRPr="00810248" w:rsidRDefault="00ED3624"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A bőr és a bőr alatti szövet betegségei és tünetei</w:t>
            </w:r>
          </w:p>
        </w:tc>
        <w:tc>
          <w:tcPr>
            <w:tcW w:w="2189" w:type="pct"/>
            <w:vAlign w:val="center"/>
          </w:tcPr>
          <w:p w14:paraId="6654062B" w14:textId="77777777" w:rsidR="00ED3624" w:rsidRPr="00810248"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alopecia, purpura, a bőr elszíneződése, hyperhidrosis, viszketés, bőrkiütés, exanthema, urticaria</w:t>
            </w:r>
          </w:p>
        </w:tc>
        <w:tc>
          <w:tcPr>
            <w:tcW w:w="1485" w:type="pct"/>
            <w:vAlign w:val="center"/>
          </w:tcPr>
          <w:p w14:paraId="407D8ED1" w14:textId="77777777" w:rsidR="00ED3624" w:rsidRPr="00810248" w:rsidDel="00097FF4"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ED3624" w:rsidRPr="00810248" w14:paraId="54C48B95" w14:textId="77777777" w:rsidTr="00D2704D">
        <w:trPr>
          <w:cantSplit/>
        </w:trPr>
        <w:tc>
          <w:tcPr>
            <w:tcW w:w="1326" w:type="pct"/>
            <w:vMerge/>
            <w:vAlign w:val="center"/>
          </w:tcPr>
          <w:p w14:paraId="4C72EB5C" w14:textId="77777777" w:rsidR="00ED3624" w:rsidRPr="00810248" w:rsidRDefault="00ED3624"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6FBC14B1" w14:textId="77777777" w:rsidR="00ED3624" w:rsidRPr="00810248"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angioedema, erythema multiforme, exfoliativ dermatitis, Stevens‒Johnson-szindróma, Quincke-oedema, fényérzékenység</w:t>
            </w:r>
          </w:p>
        </w:tc>
        <w:tc>
          <w:tcPr>
            <w:tcW w:w="1485" w:type="pct"/>
            <w:vAlign w:val="center"/>
          </w:tcPr>
          <w:p w14:paraId="1D72B633" w14:textId="77777777" w:rsidR="00ED3624" w:rsidRPr="00810248" w:rsidDel="00097FF4"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ritka</w:t>
            </w:r>
          </w:p>
        </w:tc>
      </w:tr>
      <w:tr w:rsidR="00ED3624" w:rsidRPr="00810248" w14:paraId="2DC556C9" w14:textId="77777777" w:rsidTr="00D2704D">
        <w:trPr>
          <w:cantSplit/>
        </w:trPr>
        <w:tc>
          <w:tcPr>
            <w:tcW w:w="1326" w:type="pct"/>
            <w:vMerge/>
            <w:vAlign w:val="center"/>
          </w:tcPr>
          <w:p w14:paraId="132BB0CB" w14:textId="77777777" w:rsidR="00ED3624" w:rsidRPr="00810248" w:rsidRDefault="00ED3624"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0E2A112C" w14:textId="77777777" w:rsidR="00ED3624" w:rsidRPr="00810248"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toxikus epidermalis necrolysis</w:t>
            </w:r>
          </w:p>
        </w:tc>
        <w:tc>
          <w:tcPr>
            <w:tcW w:w="1485" w:type="pct"/>
            <w:vAlign w:val="center"/>
          </w:tcPr>
          <w:p w14:paraId="7EE18C03" w14:textId="77777777" w:rsidR="00ED3624" w:rsidRPr="00810248" w:rsidRDefault="00ED3624"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ismert</w:t>
            </w:r>
          </w:p>
        </w:tc>
      </w:tr>
      <w:tr w:rsidR="00716545" w:rsidRPr="00810248" w14:paraId="1251A909" w14:textId="77777777" w:rsidTr="00D2704D">
        <w:trPr>
          <w:cantSplit/>
        </w:trPr>
        <w:tc>
          <w:tcPr>
            <w:tcW w:w="1326" w:type="pct"/>
            <w:vMerge w:val="restart"/>
            <w:vAlign w:val="center"/>
          </w:tcPr>
          <w:p w14:paraId="069F3510"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A csont- és izomrendszer, valamint a kötőszövet betegségei és tünetei</w:t>
            </w:r>
          </w:p>
        </w:tc>
        <w:tc>
          <w:tcPr>
            <w:tcW w:w="2189" w:type="pct"/>
            <w:vAlign w:val="center"/>
          </w:tcPr>
          <w:p w14:paraId="24C36AB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bokaduzzanat, izomgörcsök,</w:t>
            </w:r>
          </w:p>
        </w:tc>
        <w:tc>
          <w:tcPr>
            <w:tcW w:w="1485" w:type="pct"/>
            <w:vAlign w:val="center"/>
          </w:tcPr>
          <w:p w14:paraId="77E11E3B"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27755B4D" w14:textId="77777777" w:rsidTr="00D2704D">
        <w:trPr>
          <w:cantSplit/>
        </w:trPr>
        <w:tc>
          <w:tcPr>
            <w:tcW w:w="1326" w:type="pct"/>
            <w:vMerge/>
            <w:vAlign w:val="center"/>
          </w:tcPr>
          <w:p w14:paraId="61CE6B7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46FD08E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arthralgia, myalgia, hátfájás</w:t>
            </w:r>
          </w:p>
        </w:tc>
        <w:tc>
          <w:tcPr>
            <w:tcW w:w="1485" w:type="pct"/>
            <w:vAlign w:val="center"/>
          </w:tcPr>
          <w:p w14:paraId="744C2005" w14:textId="77777777" w:rsidR="00716545" w:rsidRPr="00810248" w:rsidDel="00097FF4"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6A54B588" w14:textId="77777777" w:rsidTr="00D2704D">
        <w:trPr>
          <w:cantSplit/>
        </w:trPr>
        <w:tc>
          <w:tcPr>
            <w:tcW w:w="1326" w:type="pct"/>
            <w:vAlign w:val="center"/>
          </w:tcPr>
          <w:p w14:paraId="5C3C59A2"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Vese- és húgyúti betegségek és tünetek</w:t>
            </w:r>
          </w:p>
        </w:tc>
        <w:tc>
          <w:tcPr>
            <w:tcW w:w="2189" w:type="pct"/>
            <w:vAlign w:val="center"/>
          </w:tcPr>
          <w:p w14:paraId="124792B1"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vizeletürítési zavarok, nocturia, gyakoribb vizeletürítés</w:t>
            </w:r>
          </w:p>
        </w:tc>
        <w:tc>
          <w:tcPr>
            <w:tcW w:w="1485" w:type="pct"/>
            <w:vAlign w:val="center"/>
          </w:tcPr>
          <w:p w14:paraId="5ED346EC"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45C0D261" w14:textId="77777777" w:rsidTr="00D2704D">
        <w:trPr>
          <w:cantSplit/>
        </w:trPr>
        <w:tc>
          <w:tcPr>
            <w:tcW w:w="1326" w:type="pct"/>
            <w:vAlign w:val="center"/>
          </w:tcPr>
          <w:p w14:paraId="4EC50E87"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A nemi szervekkel és az emlőkkel kapcsolatos betegségek és tünetek</w:t>
            </w:r>
          </w:p>
        </w:tc>
        <w:tc>
          <w:tcPr>
            <w:tcW w:w="2189" w:type="pct"/>
            <w:vAlign w:val="center"/>
          </w:tcPr>
          <w:p w14:paraId="78CB2F00"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impotencia, gynaecomastia</w:t>
            </w:r>
          </w:p>
        </w:tc>
        <w:tc>
          <w:tcPr>
            <w:tcW w:w="1485" w:type="pct"/>
            <w:vAlign w:val="center"/>
          </w:tcPr>
          <w:p w14:paraId="25D70AAA"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810248" w14:paraId="6201F82E" w14:textId="77777777" w:rsidTr="00D2704D">
        <w:trPr>
          <w:cantSplit/>
        </w:trPr>
        <w:tc>
          <w:tcPr>
            <w:tcW w:w="1326" w:type="pct"/>
            <w:vMerge w:val="restart"/>
            <w:vAlign w:val="center"/>
          </w:tcPr>
          <w:p w14:paraId="1153BD0A"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Általános tünetek, az alkalmazás helyén fellépő reakciók</w:t>
            </w:r>
          </w:p>
        </w:tc>
        <w:tc>
          <w:tcPr>
            <w:tcW w:w="2189" w:type="pct"/>
            <w:vAlign w:val="center"/>
          </w:tcPr>
          <w:p w14:paraId="5487EE64"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oedema</w:t>
            </w:r>
          </w:p>
        </w:tc>
        <w:tc>
          <w:tcPr>
            <w:tcW w:w="1485" w:type="pct"/>
            <w:vAlign w:val="center"/>
          </w:tcPr>
          <w:p w14:paraId="7DD15049" w14:textId="77777777" w:rsidR="00716545" w:rsidRPr="00810248" w:rsidDel="00843FF1"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Nagyon gyakori</w:t>
            </w:r>
          </w:p>
        </w:tc>
      </w:tr>
      <w:tr w:rsidR="00716545" w:rsidRPr="00810248" w14:paraId="4D8DC855" w14:textId="77777777" w:rsidTr="00D2704D">
        <w:trPr>
          <w:cantSplit/>
        </w:trPr>
        <w:tc>
          <w:tcPr>
            <w:tcW w:w="1326" w:type="pct"/>
            <w:vMerge/>
            <w:vAlign w:val="center"/>
          </w:tcPr>
          <w:p w14:paraId="009AD9B3"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4F9E6B76"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fáradékonyság, asthenia</w:t>
            </w:r>
          </w:p>
        </w:tc>
        <w:tc>
          <w:tcPr>
            <w:tcW w:w="1485" w:type="pct"/>
            <w:vAlign w:val="center"/>
          </w:tcPr>
          <w:p w14:paraId="0B8D79FE"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Gyakori</w:t>
            </w:r>
          </w:p>
        </w:tc>
      </w:tr>
      <w:tr w:rsidR="00716545" w:rsidRPr="00810248" w14:paraId="510C6033" w14:textId="77777777" w:rsidTr="00D2704D">
        <w:trPr>
          <w:cantSplit/>
        </w:trPr>
        <w:tc>
          <w:tcPr>
            <w:tcW w:w="1326" w:type="pct"/>
            <w:vMerge/>
            <w:vAlign w:val="center"/>
          </w:tcPr>
          <w:p w14:paraId="534B5485"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p>
        </w:tc>
        <w:tc>
          <w:tcPr>
            <w:tcW w:w="2189" w:type="pct"/>
            <w:vAlign w:val="center"/>
          </w:tcPr>
          <w:p w14:paraId="0BF664E3" w14:textId="77777777" w:rsidR="00716545" w:rsidRPr="00810248"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mellkasi fájdalom, fájdalom, rossz közérzet</w:t>
            </w:r>
          </w:p>
        </w:tc>
        <w:tc>
          <w:tcPr>
            <w:tcW w:w="1485" w:type="pct"/>
            <w:vAlign w:val="center"/>
          </w:tcPr>
          <w:p w14:paraId="06890188" w14:textId="77777777" w:rsidR="00716545" w:rsidRPr="00810248" w:rsidDel="00843FF1"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r w:rsidR="00716545" w:rsidRPr="00D91094" w14:paraId="0E48AB20" w14:textId="77777777" w:rsidTr="00D2704D">
        <w:trPr>
          <w:cantSplit/>
        </w:trPr>
        <w:tc>
          <w:tcPr>
            <w:tcW w:w="1326" w:type="pct"/>
            <w:vAlign w:val="center"/>
          </w:tcPr>
          <w:p w14:paraId="62D35B4B" w14:textId="77777777" w:rsidR="00716545" w:rsidRPr="00810248" w:rsidRDefault="00716545" w:rsidP="00D2704D">
            <w:pPr>
              <w:widowControl w:val="0"/>
              <w:suppressAutoHyphens/>
              <w:spacing w:after="0" w:line="240" w:lineRule="auto"/>
              <w:rPr>
                <w:rFonts w:ascii="Times New Roman" w:eastAsia="Times New Roman" w:hAnsi="Times New Roman" w:cs="Times New Roman"/>
                <w:b/>
                <w:lang w:eastAsia="hu-HU"/>
              </w:rPr>
            </w:pPr>
            <w:r w:rsidRPr="00810248">
              <w:rPr>
                <w:rFonts w:ascii="Times New Roman" w:eastAsia="Times New Roman" w:hAnsi="Times New Roman" w:cs="Times New Roman"/>
                <w:b/>
                <w:lang w:eastAsia="hu-HU"/>
              </w:rPr>
              <w:t>Laboratóriumi és egyéb vizsgálatok eredményei</w:t>
            </w:r>
          </w:p>
        </w:tc>
        <w:tc>
          <w:tcPr>
            <w:tcW w:w="2189" w:type="pct"/>
            <w:vAlign w:val="center"/>
          </w:tcPr>
          <w:p w14:paraId="6162331F" w14:textId="3A4364F3" w:rsidR="00716545" w:rsidRPr="00810248" w:rsidRDefault="00716545" w:rsidP="00AA474C">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testtömeg-</w:t>
            </w:r>
            <w:r w:rsidR="00AA474C" w:rsidRPr="00810248">
              <w:rPr>
                <w:rFonts w:ascii="Times New Roman" w:eastAsia="Times New Roman" w:hAnsi="Times New Roman" w:cs="Times New Roman"/>
                <w:lang w:eastAsia="hu-HU"/>
              </w:rPr>
              <w:t>növekedés</w:t>
            </w:r>
            <w:r w:rsidRPr="00810248">
              <w:rPr>
                <w:rFonts w:ascii="Times New Roman" w:eastAsia="Times New Roman" w:hAnsi="Times New Roman" w:cs="Times New Roman"/>
                <w:lang w:eastAsia="hu-HU"/>
              </w:rPr>
              <w:t>, testtömegcsökkenés</w:t>
            </w:r>
          </w:p>
        </w:tc>
        <w:tc>
          <w:tcPr>
            <w:tcW w:w="1485" w:type="pct"/>
            <w:vAlign w:val="center"/>
          </w:tcPr>
          <w:p w14:paraId="0F50152A" w14:textId="77777777" w:rsidR="00716545" w:rsidRPr="00D91094" w:rsidRDefault="00716545" w:rsidP="00D2704D">
            <w:pPr>
              <w:widowControl w:val="0"/>
              <w:suppressAutoHyphens/>
              <w:spacing w:after="0" w:line="240" w:lineRule="auto"/>
              <w:rPr>
                <w:rFonts w:ascii="Times New Roman" w:eastAsia="Times New Roman" w:hAnsi="Times New Roman" w:cs="Times New Roman"/>
                <w:lang w:eastAsia="hu-HU"/>
              </w:rPr>
            </w:pPr>
            <w:r w:rsidRPr="00810248">
              <w:rPr>
                <w:rFonts w:ascii="Times New Roman" w:eastAsia="Times New Roman" w:hAnsi="Times New Roman" w:cs="Times New Roman"/>
                <w:lang w:eastAsia="hu-HU"/>
              </w:rPr>
              <w:t>Nem gyakori</w:t>
            </w:r>
          </w:p>
        </w:tc>
      </w:tr>
    </w:tbl>
    <w:p w14:paraId="14D9AD50"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r w:rsidRPr="00D91094">
        <w:rPr>
          <w:rFonts w:ascii="Times New Roman" w:eastAsia="Times New Roman" w:hAnsi="Times New Roman" w:cs="Times New Roman"/>
          <w:lang w:eastAsia="hu-HU"/>
        </w:rPr>
        <w:t>* az esetek többségében cholestasis-szal</w:t>
      </w:r>
    </w:p>
    <w:p w14:paraId="7DDAA2DC" w14:textId="77777777" w:rsidR="00716545" w:rsidRPr="00D91094" w:rsidRDefault="00716545" w:rsidP="00716545">
      <w:pPr>
        <w:widowControl w:val="0"/>
        <w:suppressAutoHyphens/>
        <w:spacing w:after="0" w:line="240" w:lineRule="auto"/>
        <w:rPr>
          <w:rFonts w:ascii="Times New Roman" w:eastAsia="Times New Roman" w:hAnsi="Times New Roman" w:cs="Times New Roman"/>
          <w:lang w:eastAsia="hu-HU"/>
        </w:rPr>
      </w:pPr>
    </w:p>
    <w:p w14:paraId="47A6D91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Feltételezett mellékhatások bejelentése</w:t>
      </w:r>
    </w:p>
    <w:p w14:paraId="66E33B44" w14:textId="6FC0C39F"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007A0FBC" w:rsidRPr="007A0FBC">
          <w:rPr>
            <w:rStyle w:val="Hiperhivatkozs"/>
            <w:rFonts w:ascii="Times New Roman" w:hAnsi="Times New Roman" w:cs="Times New Roman"/>
            <w:highlight w:val="lightGray"/>
          </w:rPr>
          <w:t>V. függelékben</w:t>
        </w:r>
      </w:hyperlink>
      <w:r w:rsidRPr="00D91094">
        <w:rPr>
          <w:rFonts w:ascii="Times New Roman" w:hAnsi="Times New Roman" w:cs="Times New Roman"/>
          <w:highlight w:val="lightGray"/>
        </w:rPr>
        <w:t xml:space="preserve"> található elérhetőségek valamelyikén keresztül</w:t>
      </w:r>
      <w:r w:rsidRPr="00D91094">
        <w:rPr>
          <w:rFonts w:ascii="Times New Roman" w:hAnsi="Times New Roman" w:cs="Times New Roman"/>
        </w:rPr>
        <w:t>.</w:t>
      </w:r>
    </w:p>
    <w:p w14:paraId="36659FD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3B1791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4.9</w:t>
      </w:r>
      <w:r w:rsidRPr="00D91094">
        <w:rPr>
          <w:rFonts w:ascii="Times New Roman" w:hAnsi="Times New Roman" w:cs="Times New Roman"/>
          <w:b/>
          <w:bCs/>
        </w:rPr>
        <w:tab/>
        <w:t>Túladagolás</w:t>
      </w:r>
    </w:p>
    <w:p w14:paraId="7A7EF82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4024AE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Vidonorm Kombi túladagolásával kapcsolatosan nincs tapasztalat.</w:t>
      </w:r>
    </w:p>
    <w:p w14:paraId="17015BD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A2BFBD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Tünetek</w:t>
      </w:r>
    </w:p>
    <w:p w14:paraId="7468AF8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F21F09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 xml:space="preserve">A perindoprilra és indapamidra </w:t>
      </w:r>
      <w:r w:rsidRPr="00D91094">
        <w:rPr>
          <w:rFonts w:ascii="Times New Roman" w:hAnsi="Times New Roman" w:cs="Times New Roman"/>
          <w:bCs/>
          <w:i/>
          <w:iCs/>
        </w:rPr>
        <w:t>vonatkozóan</w:t>
      </w:r>
    </w:p>
    <w:p w14:paraId="0418572F" w14:textId="5DA1C54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túladagolás legvalószínűbb tünete a hypotonia, jelentkezhet ezen kívül hányinger, hányás, izomgörcsök, szédülés, álmosság, mentális zavartság, oliguria, ami anuriáig súlyosbodhat (hypovolaemia miatt). A só- és vízháztartás zavarai (alacsony szérumnátrium- és -kálium-érték) jelentkezhetnek.</w:t>
      </w:r>
    </w:p>
    <w:p w14:paraId="34D556B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76C0CCE" w14:textId="77777777" w:rsidR="00716545" w:rsidRPr="00D91094" w:rsidRDefault="00716545" w:rsidP="00716545">
      <w:pPr>
        <w:keepNext/>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Az amlodipinre vonatkozóan</w:t>
      </w:r>
    </w:p>
    <w:p w14:paraId="07343DBD" w14:textId="221B3C8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Embern</w:t>
      </w:r>
      <w:r w:rsidR="00ED3624">
        <w:rPr>
          <w:rFonts w:ascii="Times New Roman" w:hAnsi="Times New Roman" w:cs="Times New Roman"/>
          <w:iCs/>
        </w:rPr>
        <w:t>él</w:t>
      </w:r>
      <w:r w:rsidRPr="00D91094">
        <w:rPr>
          <w:rFonts w:ascii="Times New Roman" w:hAnsi="Times New Roman" w:cs="Times New Roman"/>
          <w:iCs/>
        </w:rPr>
        <w:t xml:space="preserve"> a szándékos túladagolással kapcsolatos tapasztalatok korlátozottak.</w:t>
      </w:r>
    </w:p>
    <w:p w14:paraId="7A313BB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rendelkezésre álló adatok arra utalnak, hogy nagymértékű túladagolás fokozott perifériás értágulatot, és valószínűleg reflex tachycardiát okozhat. Kifejezett és feltehetően tartós, szisztémás </w:t>
      </w:r>
      <w:r w:rsidRPr="00D91094">
        <w:rPr>
          <w:rFonts w:ascii="Times New Roman" w:hAnsi="Times New Roman" w:cs="Times New Roman"/>
        </w:rPr>
        <w:lastRenderedPageBreak/>
        <w:t>hypotensióról – beleértve a halálos kimenetelű sokkot is – számoltak be.</w:t>
      </w:r>
    </w:p>
    <w:p w14:paraId="4E91E423" w14:textId="2345DB7C" w:rsidR="00716545" w:rsidRPr="00D91094" w:rsidRDefault="00463C74"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Ritka előfordulási</w:t>
      </w:r>
      <w:r w:rsidR="007A0FBC" w:rsidRPr="007A0FBC">
        <w:rPr>
          <w:rFonts w:ascii="Times New Roman" w:hAnsi="Times New Roman" w:cs="Times New Roman"/>
        </w:rPr>
        <w:t xml:space="preserve"> </w:t>
      </w:r>
      <w:r>
        <w:rPr>
          <w:rFonts w:ascii="Times New Roman" w:hAnsi="Times New Roman" w:cs="Times New Roman"/>
        </w:rPr>
        <w:t xml:space="preserve">gyakorisággal </w:t>
      </w:r>
      <w:r w:rsidR="007A0FBC" w:rsidRPr="007A0FBC">
        <w:rPr>
          <w:rFonts w:ascii="Times New Roman" w:hAnsi="Times New Roman" w:cs="Times New Roman"/>
        </w:rPr>
        <w:t xml:space="preserve">nem kardiogén </w:t>
      </w:r>
      <w:r w:rsidR="000D78D2">
        <w:rPr>
          <w:rFonts w:ascii="Times New Roman" w:hAnsi="Times New Roman" w:cs="Times New Roman"/>
        </w:rPr>
        <w:t xml:space="preserve">eredetű </w:t>
      </w:r>
      <w:r w:rsidR="007A0FBC" w:rsidRPr="007A0FBC">
        <w:rPr>
          <w:rFonts w:ascii="Times New Roman" w:hAnsi="Times New Roman" w:cs="Times New Roman"/>
        </w:rPr>
        <w:t>tüdőödémá</w:t>
      </w:r>
      <w:r w:rsidR="0013323F">
        <w:rPr>
          <w:rFonts w:ascii="Times New Roman" w:hAnsi="Times New Roman" w:cs="Times New Roman"/>
        </w:rPr>
        <w:t>t</w:t>
      </w:r>
      <w:r w:rsidR="007A0FBC" w:rsidRPr="007A0FBC">
        <w:rPr>
          <w:rFonts w:ascii="Times New Roman" w:hAnsi="Times New Roman" w:cs="Times New Roman"/>
        </w:rPr>
        <w:t xml:space="preserve"> </w:t>
      </w:r>
      <w:r w:rsidR="0013323F">
        <w:rPr>
          <w:rFonts w:ascii="Times New Roman" w:hAnsi="Times New Roman" w:cs="Times New Roman"/>
        </w:rPr>
        <w:t xml:space="preserve">jelentettek </w:t>
      </w:r>
      <w:r w:rsidR="00A26FE5">
        <w:rPr>
          <w:rFonts w:ascii="Times New Roman" w:hAnsi="Times New Roman" w:cs="Times New Roman"/>
        </w:rPr>
        <w:t xml:space="preserve">az </w:t>
      </w:r>
      <w:r w:rsidR="007A0FBC" w:rsidRPr="007A0FBC">
        <w:rPr>
          <w:rFonts w:ascii="Times New Roman" w:hAnsi="Times New Roman" w:cs="Times New Roman"/>
        </w:rPr>
        <w:t xml:space="preserve">amlodipin-túladagolás következményeként, amely </w:t>
      </w:r>
      <w:r w:rsidR="00A26FE5">
        <w:rPr>
          <w:rFonts w:ascii="Times New Roman" w:hAnsi="Times New Roman" w:cs="Times New Roman"/>
        </w:rPr>
        <w:t xml:space="preserve">késői kezdettel </w:t>
      </w:r>
      <w:r w:rsidR="007A0FBC" w:rsidRPr="007A0FBC">
        <w:rPr>
          <w:rFonts w:ascii="Times New Roman" w:hAnsi="Times New Roman" w:cs="Times New Roman"/>
        </w:rPr>
        <w:t>(24-48</w:t>
      </w:r>
      <w:r w:rsidR="00A26FE5">
        <w:rPr>
          <w:rFonts w:ascii="Times New Roman" w:hAnsi="Times New Roman" w:cs="Times New Roman"/>
        </w:rPr>
        <w:t> </w:t>
      </w:r>
      <w:r w:rsidR="007A0FBC" w:rsidRPr="007A0FBC">
        <w:rPr>
          <w:rFonts w:ascii="Times New Roman" w:hAnsi="Times New Roman" w:cs="Times New Roman"/>
        </w:rPr>
        <w:t>órával a bevétel után) jelentkezhet</w:t>
      </w:r>
      <w:r w:rsidR="000D78D2">
        <w:rPr>
          <w:rFonts w:ascii="Times New Roman" w:hAnsi="Times New Roman" w:cs="Times New Roman"/>
        </w:rPr>
        <w:t>,</w:t>
      </w:r>
      <w:r w:rsidR="007A0FBC" w:rsidRPr="007A0FBC">
        <w:rPr>
          <w:rFonts w:ascii="Times New Roman" w:hAnsi="Times New Roman" w:cs="Times New Roman"/>
        </w:rPr>
        <w:t xml:space="preserve"> és légzéstámogatást</w:t>
      </w:r>
      <w:r w:rsidR="009974C0">
        <w:rPr>
          <w:rFonts w:ascii="Times New Roman" w:hAnsi="Times New Roman" w:cs="Times New Roman"/>
        </w:rPr>
        <w:t xml:space="preserve"> </w:t>
      </w:r>
      <w:r w:rsidR="00E469EF">
        <w:rPr>
          <w:rFonts w:ascii="Times New Roman" w:hAnsi="Times New Roman" w:cs="Times New Roman"/>
        </w:rPr>
        <w:t>tesz szükségessé</w:t>
      </w:r>
      <w:r w:rsidR="007A0FBC" w:rsidRPr="007A0FBC">
        <w:rPr>
          <w:rFonts w:ascii="Times New Roman" w:hAnsi="Times New Roman" w:cs="Times New Roman"/>
        </w:rPr>
        <w:t xml:space="preserve">. A perfúzió és a perctérfogat fenntartására irányuló korai újraélesztési </w:t>
      </w:r>
      <w:r w:rsidR="009F0C7D">
        <w:rPr>
          <w:rFonts w:ascii="Times New Roman" w:hAnsi="Times New Roman" w:cs="Times New Roman"/>
        </w:rPr>
        <w:t xml:space="preserve">intézkedések </w:t>
      </w:r>
      <w:r w:rsidR="007A0FBC" w:rsidRPr="007A0FBC">
        <w:rPr>
          <w:rFonts w:ascii="Times New Roman" w:hAnsi="Times New Roman" w:cs="Times New Roman"/>
        </w:rPr>
        <w:t>(beleértve a folyadék túlterhelést) kiváltó tényezők lehetnek.</w:t>
      </w:r>
    </w:p>
    <w:p w14:paraId="4DE9E11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06D090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Kezelés</w:t>
      </w:r>
    </w:p>
    <w:p w14:paraId="1200D51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4FBDB5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 xml:space="preserve">A perindoprilra és indapamidra </w:t>
      </w:r>
      <w:r w:rsidRPr="00D91094">
        <w:rPr>
          <w:rFonts w:ascii="Times New Roman" w:hAnsi="Times New Roman" w:cs="Times New Roman"/>
          <w:bCs/>
          <w:i/>
          <w:iCs/>
        </w:rPr>
        <w:t>vonatkozóan</w:t>
      </w:r>
    </w:p>
    <w:p w14:paraId="0D1AD92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Első lépésként gyomormosással, illetve aktív szén adásával gyorsan csökkentjük a további felszívódás mértéket, majd a megfelelő szakintézményben rendezzük a szervezet folyadék- és elektrolitegyensúlyát, amíg az vissza nem tér a normál értékre.</w:t>
      </w:r>
    </w:p>
    <w:p w14:paraId="5A0A3FC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Ha kifejezett hypotonia lép fel, akkor a beteget hanyatt kell fektetni úgy, hogy a feje lejjebb legyen, mint a lába. Szükség esetén izotóniás sóoldat adandó infúzióban vagy egyéb, megfelelő volumenpótlás alkalmazandó.</w:t>
      </w:r>
    </w:p>
    <w:p w14:paraId="563DAA7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perindoprilát, a perindopril aktív formája, dializálható (lásd 5.2 pont).</w:t>
      </w:r>
    </w:p>
    <w:p w14:paraId="16C20DD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D9902A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Az amlodipinre vonatkozóan</w:t>
      </w:r>
    </w:p>
    <w:p w14:paraId="6207F14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 xml:space="preserve">Túladagolás </w:t>
      </w:r>
      <w:r w:rsidRPr="00D91094">
        <w:rPr>
          <w:rFonts w:ascii="Times New Roman" w:hAnsi="Times New Roman" w:cs="Times New Roman"/>
        </w:rPr>
        <w:t xml:space="preserve">esetén klinikailag jelentős hypotonia jelentkezésekor </w:t>
      </w:r>
      <w:r w:rsidRPr="00D91094">
        <w:rPr>
          <w:rFonts w:ascii="Times New Roman" w:hAnsi="Times New Roman" w:cs="Times New Roman"/>
          <w:iCs/>
        </w:rPr>
        <w:t xml:space="preserve">aktív cardiovascularis támogatás, </w:t>
      </w:r>
      <w:r w:rsidRPr="00D91094">
        <w:rPr>
          <w:rFonts w:ascii="Times New Roman" w:hAnsi="Times New Roman" w:cs="Times New Roman"/>
        </w:rPr>
        <w:t>a szívműködés és légzés</w:t>
      </w:r>
      <w:r w:rsidRPr="00D91094">
        <w:rPr>
          <w:rFonts w:ascii="Times New Roman" w:hAnsi="Times New Roman" w:cs="Times New Roman"/>
          <w:iCs/>
        </w:rPr>
        <w:t>funkció gyakori monitorozása,</w:t>
      </w:r>
      <w:r w:rsidRPr="00D91094">
        <w:rPr>
          <w:rFonts w:ascii="Times New Roman" w:hAnsi="Times New Roman" w:cs="Times New Roman"/>
        </w:rPr>
        <w:t xml:space="preserve"> a végtagok magasra </w:t>
      </w:r>
      <w:r w:rsidRPr="00D91094">
        <w:rPr>
          <w:rFonts w:ascii="Times New Roman" w:hAnsi="Times New Roman" w:cs="Times New Roman"/>
          <w:iCs/>
        </w:rPr>
        <w:t xml:space="preserve">polcolása, </w:t>
      </w:r>
      <w:r w:rsidRPr="00D91094">
        <w:rPr>
          <w:rFonts w:ascii="Times New Roman" w:hAnsi="Times New Roman" w:cs="Times New Roman"/>
        </w:rPr>
        <w:t xml:space="preserve">a </w:t>
      </w:r>
      <w:r w:rsidRPr="00D91094">
        <w:rPr>
          <w:rFonts w:ascii="Times New Roman" w:hAnsi="Times New Roman" w:cs="Times New Roman"/>
          <w:iCs/>
        </w:rPr>
        <w:t xml:space="preserve">keringő </w:t>
      </w:r>
      <w:r w:rsidRPr="00D91094">
        <w:rPr>
          <w:rFonts w:ascii="Times New Roman" w:hAnsi="Times New Roman" w:cs="Times New Roman"/>
        </w:rPr>
        <w:t xml:space="preserve">folyadéktérfogat </w:t>
      </w:r>
      <w:r w:rsidRPr="00D91094">
        <w:rPr>
          <w:rFonts w:ascii="Times New Roman" w:hAnsi="Times New Roman" w:cs="Times New Roman"/>
          <w:iCs/>
        </w:rPr>
        <w:t xml:space="preserve">és </w:t>
      </w:r>
      <w:r w:rsidRPr="00D91094">
        <w:rPr>
          <w:rFonts w:ascii="Times New Roman" w:hAnsi="Times New Roman" w:cs="Times New Roman"/>
        </w:rPr>
        <w:t xml:space="preserve">a </w:t>
      </w:r>
      <w:r w:rsidRPr="00D91094">
        <w:rPr>
          <w:rFonts w:ascii="Times New Roman" w:hAnsi="Times New Roman" w:cs="Times New Roman"/>
          <w:iCs/>
        </w:rPr>
        <w:t xml:space="preserve">vizelet </w:t>
      </w:r>
      <w:r w:rsidRPr="00D91094">
        <w:rPr>
          <w:rFonts w:ascii="Times New Roman" w:hAnsi="Times New Roman" w:cs="Times New Roman"/>
        </w:rPr>
        <w:t>mennyiségének ellenőrzése szükséges</w:t>
      </w:r>
      <w:r w:rsidRPr="00D91094">
        <w:rPr>
          <w:rFonts w:ascii="Times New Roman" w:hAnsi="Times New Roman" w:cs="Times New Roman"/>
          <w:iCs/>
        </w:rPr>
        <w:t>.</w:t>
      </w:r>
    </w:p>
    <w:p w14:paraId="65BFE92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Ha alkalmazása nem kontraindikált, az értónus és a vérnyomás normalizálására vazokonstriktor adható. A kalciumcsatorna-blokkoló hatás megszüntetésére intravénás kalcium-glükonát adása hasznos lehet.</w:t>
      </w:r>
    </w:p>
    <w:p w14:paraId="0E5FD45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Esetenként a gyomormosás hasznos lehet. Egészséges önkénteseknél 10 mg amlodipin bevétele után azonnal vagy 2 órán belül adott aktív szén csökkentette az amlodipin felszívódását.</w:t>
      </w:r>
    </w:p>
    <w:p w14:paraId="0D619AF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rPr>
        <w:t>Mivel az amlodipin nagymértékben kötődik plazmafehérjékhez, a dialízis alkalmazása valószínűleg nem jár kedvező hatással.</w:t>
      </w:r>
    </w:p>
    <w:p w14:paraId="7481F62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8CC1D0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981F1C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5.</w:t>
      </w:r>
      <w:r w:rsidRPr="00D91094">
        <w:rPr>
          <w:rFonts w:ascii="Times New Roman" w:hAnsi="Times New Roman" w:cs="Times New Roman"/>
          <w:b/>
          <w:bCs/>
        </w:rPr>
        <w:tab/>
        <w:t>FARMAKOLÓGIAI TULAJDONSÁGOK</w:t>
      </w:r>
    </w:p>
    <w:p w14:paraId="59262D0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89A1A1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5.1</w:t>
      </w:r>
      <w:r w:rsidRPr="00D91094">
        <w:rPr>
          <w:rFonts w:ascii="Times New Roman" w:hAnsi="Times New Roman" w:cs="Times New Roman"/>
          <w:b/>
          <w:bCs/>
        </w:rPr>
        <w:tab/>
        <w:t>Farmakodinámiás tulajdonságok</w:t>
      </w:r>
    </w:p>
    <w:p w14:paraId="3AE6E4A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6DFAD45" w14:textId="33E2CC33" w:rsidR="00716545" w:rsidRPr="00D91094" w:rsidRDefault="00ED3624"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F</w:t>
      </w:r>
      <w:r w:rsidR="00716545" w:rsidRPr="00D91094">
        <w:rPr>
          <w:rFonts w:ascii="Times New Roman" w:hAnsi="Times New Roman" w:cs="Times New Roman"/>
        </w:rPr>
        <w:t xml:space="preserve">armakoterápiás csoport: ACE-gátlók, kombinációk </w:t>
      </w:r>
      <w:r w:rsidR="00AA474C">
        <w:rPr>
          <w:rFonts w:ascii="Times New Roman" w:hAnsi="Times New Roman" w:cs="Times New Roman"/>
        </w:rPr>
        <w:t>–</w:t>
      </w:r>
      <w:r w:rsidR="00716545" w:rsidRPr="00D91094">
        <w:rPr>
          <w:rFonts w:ascii="Times New Roman" w:hAnsi="Times New Roman" w:cs="Times New Roman"/>
        </w:rPr>
        <w:t xml:space="preserve"> ACE-gátlók, k</w:t>
      </w:r>
      <w:r>
        <w:rPr>
          <w:rFonts w:ascii="Times New Roman" w:hAnsi="Times New Roman" w:cs="Times New Roman"/>
        </w:rPr>
        <w:t>a</w:t>
      </w:r>
      <w:r w:rsidR="00716545" w:rsidRPr="00D91094">
        <w:rPr>
          <w:rFonts w:ascii="Times New Roman" w:hAnsi="Times New Roman" w:cs="Times New Roman"/>
        </w:rPr>
        <w:t>lciumcsatorna</w:t>
      </w:r>
      <w:r>
        <w:rPr>
          <w:rFonts w:ascii="Times New Roman" w:hAnsi="Times New Roman" w:cs="Times New Roman"/>
        </w:rPr>
        <w:t>-</w:t>
      </w:r>
      <w:r w:rsidR="00716545" w:rsidRPr="00D91094">
        <w:rPr>
          <w:rFonts w:ascii="Times New Roman" w:hAnsi="Times New Roman" w:cs="Times New Roman"/>
        </w:rPr>
        <w:t xml:space="preserve">blokkolók és diuretikumok, ATC </w:t>
      </w:r>
      <w:r>
        <w:rPr>
          <w:rFonts w:ascii="Times New Roman" w:hAnsi="Times New Roman" w:cs="Times New Roman"/>
        </w:rPr>
        <w:t>kód</w:t>
      </w:r>
      <w:r w:rsidR="00716545" w:rsidRPr="00D91094">
        <w:rPr>
          <w:rFonts w:ascii="Times New Roman" w:hAnsi="Times New Roman" w:cs="Times New Roman"/>
        </w:rPr>
        <w:t>: C09BX01</w:t>
      </w:r>
    </w:p>
    <w:p w14:paraId="0E07038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E1F85F2" w14:textId="3D9B381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 xml:space="preserve">A Vidonorm Kombi három vérnyomáscsökkentő vegyület kombinácjója, melyek </w:t>
      </w:r>
      <w:r w:rsidRPr="00D91094">
        <w:rPr>
          <w:rFonts w:ascii="Times New Roman" w:hAnsi="Times New Roman" w:cs="Times New Roman"/>
        </w:rPr>
        <w:t xml:space="preserve">az </w:t>
      </w:r>
      <w:r w:rsidRPr="00D91094">
        <w:rPr>
          <w:rFonts w:ascii="Times New Roman" w:hAnsi="Times New Roman" w:cs="Times New Roman"/>
          <w:iCs/>
        </w:rPr>
        <w:t>esszenciális hypertoniában szenvedő betegek vérnyomásának kontrol</w:t>
      </w:r>
      <w:r w:rsidR="00ED3624">
        <w:rPr>
          <w:rFonts w:ascii="Times New Roman" w:hAnsi="Times New Roman" w:cs="Times New Roman"/>
          <w:iCs/>
        </w:rPr>
        <w:t>l</w:t>
      </w:r>
      <w:r w:rsidRPr="00D91094">
        <w:rPr>
          <w:rFonts w:ascii="Times New Roman" w:hAnsi="Times New Roman" w:cs="Times New Roman"/>
          <w:iCs/>
        </w:rPr>
        <w:t>álására kiegészítő mechanizmussal bírnak: az angiotenzin-konvertáló-enzim</w:t>
      </w:r>
      <w:r w:rsidR="00AA474C">
        <w:rPr>
          <w:rFonts w:ascii="Times New Roman" w:hAnsi="Times New Roman" w:cs="Times New Roman"/>
          <w:iCs/>
        </w:rPr>
        <w:t>-</w:t>
      </w:r>
      <w:r w:rsidRPr="00D91094">
        <w:rPr>
          <w:rFonts w:ascii="Times New Roman" w:hAnsi="Times New Roman" w:cs="Times New Roman"/>
          <w:iCs/>
        </w:rPr>
        <w:t>gátló perindopril, az indapamid klórszulfamoil diuretikum, valamint a kalciumionok áramlását gátló dihidropiridin-csoportba tartozó amlodipin kombinációja.</w:t>
      </w:r>
    </w:p>
    <w:p w14:paraId="5A62735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Ezen három hatóanyag kombinációja additív vérnyomáscsökkentő hatással bír, a vérnyomást nagyobb mértékben csökkenti, mint bármelyik komponens önmagában.</w:t>
      </w:r>
    </w:p>
    <w:p w14:paraId="0DEF0BE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6A83AB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Hatásmechanizmus</w:t>
      </w:r>
    </w:p>
    <w:p w14:paraId="1EE249B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rPr>
      </w:pPr>
    </w:p>
    <w:p w14:paraId="6A33B2C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Perindoprilhez kapcsolódóan</w:t>
      </w:r>
    </w:p>
    <w:p w14:paraId="5C5E2AF9" w14:textId="1EC09DD1"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 az angiotenzinkonvertáló</w:t>
      </w:r>
      <w:r w:rsidR="00ED3624">
        <w:rPr>
          <w:rFonts w:ascii="Times New Roman" w:hAnsi="Times New Roman" w:cs="Times New Roman"/>
        </w:rPr>
        <w:t>-</w:t>
      </w:r>
      <w:r w:rsidRPr="00D91094">
        <w:rPr>
          <w:rFonts w:ascii="Times New Roman" w:hAnsi="Times New Roman" w:cs="Times New Roman"/>
        </w:rPr>
        <w:t>enzim (ACE) inhibitora, amely az ACE-gátlása révén megakadályozza, hogy az angiotenzin I vazokonstriktor hatású angiotenzin II-vé alakuljon át, továbbá csökkenti a mellékvesében az aldoszteron képződését, valamint gátolja a vazodilátor hatású bradikinin lebomlását is inaktív heptapeptidekké.</w:t>
      </w:r>
    </w:p>
    <w:p w14:paraId="23A3728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06D068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Ezáltal:</w:t>
      </w:r>
    </w:p>
    <w:p w14:paraId="01A1057A"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csökken az aldoszteronszekréció,</w:t>
      </w:r>
    </w:p>
    <w:p w14:paraId="195BB9EB"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nő a plazma reninaktivitása, mivel nem érvényesül az aldoszteron révén a negatív feedback hatás,</w:t>
      </w:r>
    </w:p>
    <w:p w14:paraId="6EF8205F" w14:textId="5E7313DF"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csökken a teljes perifériás vaszkuláris rezisztencia, különös tekintettel az izomzat és a vese </w:t>
      </w:r>
      <w:r w:rsidRPr="00D91094">
        <w:rPr>
          <w:rFonts w:ascii="Times New Roman" w:hAnsi="Times New Roman" w:cs="Times New Roman"/>
        </w:rPr>
        <w:lastRenderedPageBreak/>
        <w:t xml:space="preserve">érrendszerére, ellenben </w:t>
      </w:r>
      <w:r w:rsidR="00ED3624">
        <w:rPr>
          <w:rFonts w:ascii="Times New Roman" w:hAnsi="Times New Roman" w:cs="Times New Roman"/>
        </w:rPr>
        <w:t>tartó</w:t>
      </w:r>
      <w:r w:rsidR="00ED3624" w:rsidRPr="00D91094">
        <w:rPr>
          <w:rFonts w:ascii="Times New Roman" w:hAnsi="Times New Roman" w:cs="Times New Roman"/>
        </w:rPr>
        <w:t xml:space="preserve">s </w:t>
      </w:r>
      <w:r w:rsidRPr="00D91094">
        <w:rPr>
          <w:rFonts w:ascii="Times New Roman" w:hAnsi="Times New Roman" w:cs="Times New Roman"/>
        </w:rPr>
        <w:t>kezelés során sem jön létre, só- vagy folyadékretenció és reflex tachycardia.</w:t>
      </w:r>
    </w:p>
    <w:p w14:paraId="3FFEC41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BB5E4C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Antihipertenzív hatását alacsony, ill. normális reninszintű hypertoniában is kifejti. A perindopril aktív metabolitján, a perindopriláton keresztül fejti ki hatását. A többi metabolit inaktív.</w:t>
      </w:r>
    </w:p>
    <w:p w14:paraId="7C15624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B68376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 csökkenti a szív munkáját:</w:t>
      </w:r>
    </w:p>
    <w:p w14:paraId="48223CC4"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vénákra kifejtett értágító hatása révén megváltoztatja a prosztaglandinok metabolizmusát, így csökkenti az előterhelést (preload);</w:t>
      </w:r>
    </w:p>
    <w:p w14:paraId="6481F694"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csökkenti a teljes perifériás ellenállást, így csökkenti az utóterhelést (afterload).</w:t>
      </w:r>
    </w:p>
    <w:p w14:paraId="68DD81A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4C2CC9E" w14:textId="23BA18C4"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Szívelégtelenségben szenvedő betegekn</w:t>
      </w:r>
      <w:r w:rsidR="00ED3624">
        <w:rPr>
          <w:rFonts w:ascii="Times New Roman" w:hAnsi="Times New Roman" w:cs="Times New Roman"/>
        </w:rPr>
        <w:t>él</w:t>
      </w:r>
      <w:r w:rsidRPr="00D91094">
        <w:rPr>
          <w:rFonts w:ascii="Times New Roman" w:hAnsi="Times New Roman" w:cs="Times New Roman"/>
        </w:rPr>
        <w:t xml:space="preserve"> végzett </w:t>
      </w:r>
      <w:r w:rsidR="00ED3624">
        <w:rPr>
          <w:rFonts w:ascii="Times New Roman" w:hAnsi="Times New Roman" w:cs="Times New Roman"/>
        </w:rPr>
        <w:t>vizsgálat</w:t>
      </w:r>
      <w:r w:rsidRPr="00D91094">
        <w:rPr>
          <w:rFonts w:ascii="Times New Roman" w:hAnsi="Times New Roman" w:cs="Times New Roman"/>
        </w:rPr>
        <w:t>ok során a perindopril:</w:t>
      </w:r>
    </w:p>
    <w:p w14:paraId="103075AF" w14:textId="3554DA91"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csökkentette a bal- és jobbkamrai telődési nyomást</w:t>
      </w:r>
      <w:r w:rsidR="00AA474C">
        <w:rPr>
          <w:rFonts w:ascii="Times New Roman" w:hAnsi="Times New Roman" w:cs="Times New Roman"/>
        </w:rPr>
        <w:t>;</w:t>
      </w:r>
    </w:p>
    <w:p w14:paraId="2E1F7B77" w14:textId="1351AB78"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csökkentette a teljes perifériás vascularis rezisztenciát</w:t>
      </w:r>
      <w:r w:rsidR="00AA474C">
        <w:rPr>
          <w:rFonts w:ascii="Times New Roman" w:hAnsi="Times New Roman" w:cs="Times New Roman"/>
        </w:rPr>
        <w:t>;</w:t>
      </w:r>
    </w:p>
    <w:p w14:paraId="08D04340" w14:textId="3F2BD650"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növelte a perctérfogatot és javította a szívindexet</w:t>
      </w:r>
      <w:r w:rsidR="00AA474C">
        <w:rPr>
          <w:rFonts w:ascii="Times New Roman" w:hAnsi="Times New Roman" w:cs="Times New Roman"/>
        </w:rPr>
        <w:t>;</w:t>
      </w:r>
    </w:p>
    <w:p w14:paraId="38B09883"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növelte az izmok regionális vérátáramlását. Javította a betegek fizikai terhelhetőségét.</w:t>
      </w:r>
    </w:p>
    <w:p w14:paraId="69D79E2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FDAF95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Indapamidhoz kapcsolódóan</w:t>
      </w:r>
    </w:p>
    <w:p w14:paraId="5E9D2B4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indapamid indolgyűrűt tartalmazó szulfonamid-származék, farmakológiailag a tiazid diuretikumokkal rokon vegyület. Az indapamid gátolja a nátrium-reabszorpciót a kérgi, dilúciós szegmentumban. Fokozza a nátrium és a klór vizelettel történő kiválasztását, kisebb mértékben a kálium és a magnézium kiválasztását. Növeli a vizelet mennyiségét, ezáltal vérnyomáscsökkentő hatást vált ki.</w:t>
      </w:r>
    </w:p>
    <w:p w14:paraId="4E92B32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p>
    <w:p w14:paraId="6CF020B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Amlodipinre vonatkozóan</w:t>
      </w:r>
    </w:p>
    <w:p w14:paraId="5323A069" w14:textId="0FC98BFD"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a dihidropiridinek csoportjába tartozó, a kalciumionok beáramlását gátló (ún. lassú kalciumcsatorna-blokkoló) és gátolja a kalciumionok beáramlását a sejtmembránon keresztül a szívizomsejtekbe és az erek simaizomsejtjeibe.</w:t>
      </w:r>
    </w:p>
    <w:p w14:paraId="18CDC24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a vérnyomáscsökkentő hatását az erek simaizomzatának direkt relaxálása révén fejti ki. Az amlodipin antianginás hatásának pontos mechanizmusa nem teljesen ismert, de az amlodipin a teljes ischaemiás terhelést a következő két hatása útján csökkenti:</w:t>
      </w:r>
    </w:p>
    <w:p w14:paraId="28A2C10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tágítja a perifériás arteriolákat, és ezáltal csökkenti a teljes perifériás ellenállást (afterload), amivel szemben a szív dolgozik. Mivel a szívritmus nem változik, a szív kisebb terhelése csökkenti a szívizom energiafelhasználását és oxigénigényét.</w:t>
      </w:r>
    </w:p>
    <w:p w14:paraId="06D351C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hatásmechanizmusához valószínűleg hozzátartozik, hogy tágítja a fő koszorúsereket és a coronaria-arteriolákat mind az egészséges, mind az ischaemiás területeken. Az erek dilatációja növeli a szívizomzat oxigénellátását a coronariák spasmusa esetében (Prinzmetal vagy variáns angina).</w:t>
      </w:r>
    </w:p>
    <w:p w14:paraId="73F60AC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1083DF3" w14:textId="77777777" w:rsidR="00716545" w:rsidRPr="00D91094" w:rsidRDefault="00716545" w:rsidP="00716545">
      <w:pPr>
        <w:widowControl w:val="0"/>
        <w:numPr>
          <w:ilvl w:val="8"/>
          <w:numId w:val="4"/>
        </w:numPr>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Farmakodinámiás hatások</w:t>
      </w:r>
    </w:p>
    <w:p w14:paraId="743D5C08" w14:textId="77777777" w:rsidR="00716545" w:rsidRPr="00D91094" w:rsidRDefault="00716545" w:rsidP="00716545">
      <w:pPr>
        <w:widowControl w:val="0"/>
        <w:numPr>
          <w:ilvl w:val="8"/>
          <w:numId w:val="4"/>
        </w:numPr>
        <w:suppressAutoHyphens/>
        <w:autoSpaceDE w:val="0"/>
        <w:autoSpaceDN w:val="0"/>
        <w:adjustRightInd w:val="0"/>
        <w:spacing w:after="0" w:line="240" w:lineRule="auto"/>
        <w:rPr>
          <w:rFonts w:ascii="Times New Roman" w:hAnsi="Times New Roman" w:cs="Times New Roman"/>
          <w:u w:val="single"/>
        </w:rPr>
      </w:pPr>
    </w:p>
    <w:p w14:paraId="7100870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Perindoprilhez kapcsolódóan</w:t>
      </w:r>
    </w:p>
    <w:p w14:paraId="3C4A108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 az enyhe, középsúlyos és súlyos hypertoniában egyaránt hatásos. A szisztolés és a diasztolés vérnyomást egyaránt csökkenti, mind álló, mind fekvő testhelyzetben.</w:t>
      </w:r>
    </w:p>
    <w:p w14:paraId="00681EC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Egyszeri dózis bevétele után a vérnyomáscsökkentés maximuma 4-6 óra múlva jelentkezik és 24 órán át fennáll.</w:t>
      </w:r>
    </w:p>
    <w:p w14:paraId="357159B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elhúzódó ACE-gátlás mértéke 24 óra múlva is igen magas, kb. 80%-os.</w:t>
      </w:r>
    </w:p>
    <w:p w14:paraId="588B7568" w14:textId="420C22F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kezelésre reagáló betegekn</w:t>
      </w:r>
      <w:r w:rsidR="00007289">
        <w:rPr>
          <w:rFonts w:ascii="Times New Roman" w:hAnsi="Times New Roman" w:cs="Times New Roman"/>
        </w:rPr>
        <w:t>él</w:t>
      </w:r>
      <w:r w:rsidRPr="00D91094">
        <w:rPr>
          <w:rFonts w:ascii="Times New Roman" w:hAnsi="Times New Roman" w:cs="Times New Roman"/>
        </w:rPr>
        <w:t xml:space="preserve"> a vérnyomás egy hónap múlva normalizálódik, és tachyphylaxia nem lép fel.</w:t>
      </w:r>
    </w:p>
    <w:p w14:paraId="7923FA4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gyógyszer elhagyása után nincs rebound jelenség.</w:t>
      </w:r>
    </w:p>
    <w:p w14:paraId="7445A4B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 értágító hatású, helyreállítja a nagy artériák elaszticitását, javítja a rezisztenciaerek szöveti elváltozásait, csökkenti a balkamra hypertrophiát.</w:t>
      </w:r>
    </w:p>
    <w:p w14:paraId="2ECE38A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Ha szükséges, tiazid diuretikum hozzáadásával additív szinergista hatás érhető el.</w:t>
      </w:r>
    </w:p>
    <w:p w14:paraId="386170C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ACE-gátló és a tiazid-típusú diuretikum kombinációja csökkenti a diuretikum okozta hypokalaemia kockázatát.</w:t>
      </w:r>
    </w:p>
    <w:p w14:paraId="0D3189D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082ED3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Indapamidhoz kapcsolódóan</w:t>
      </w:r>
    </w:p>
    <w:p w14:paraId="79D3B34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indapamid antihypertensiv hatása monoterápiában 24 órán át fennáll. Ez a hatás már gyenge </w:t>
      </w:r>
      <w:r w:rsidRPr="00D91094">
        <w:rPr>
          <w:rFonts w:ascii="Times New Roman" w:hAnsi="Times New Roman" w:cs="Times New Roman"/>
        </w:rPr>
        <w:lastRenderedPageBreak/>
        <w:t>diuretikus aktivitású dózisok esetén is kimutatható.</w:t>
      </w:r>
    </w:p>
    <w:p w14:paraId="499138C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indapamid antihypertensiv aktivitása összefügg az artériás compliance javulásával, valamint az arteriolák és teljes perifériás rezisztencia csökkenésével.</w:t>
      </w:r>
    </w:p>
    <w:p w14:paraId="633D0F7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indapamid csökkenti a balkamra-hypertrophiát.</w:t>
      </w:r>
    </w:p>
    <w:p w14:paraId="3887909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tiazid és rokon diuretikumoknak egy adott dózis elérésekor terápiás maximuma van, amikor a hatás már nem, de a mellékhatások folyamatosan tovább fokozódnak. Ha a kezelés hatástalan, a dózist nem szabad növelni.</w:t>
      </w:r>
    </w:p>
    <w:p w14:paraId="43C2BF7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Igazolták továbbá, hogy magas vérnyomásban szenvedő betegeknél az indapamid rövid, közepes és hosszú távon:</w:t>
      </w:r>
    </w:p>
    <w:p w14:paraId="2137B3BD"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nem befolyásolja a lipidanyagcserét (trigliceridek, LDL-, és HDL-koleszterinszint);</w:t>
      </w:r>
    </w:p>
    <w:p w14:paraId="70F71108" w14:textId="77777777" w:rsidR="00716545" w:rsidRPr="00D91094" w:rsidRDefault="00716545" w:rsidP="00716545">
      <w:pPr>
        <w:pStyle w:val="Listaszerbekezds"/>
        <w:widowControl w:val="0"/>
        <w:numPr>
          <w:ilvl w:val="0"/>
          <w:numId w:val="3"/>
        </w:numPr>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nincs hatással a szénhidrát-anyagcserére, még a magas vérnyomásban szenvedő cukorbetegek esetében sem.</w:t>
      </w:r>
    </w:p>
    <w:p w14:paraId="515542A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EEB36D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 perindopril/indapamidhoz kapcsolódóan</w:t>
      </w:r>
    </w:p>
    <w:p w14:paraId="30A2DF92" w14:textId="38DBF06D"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Magas vérnyomásban szenvedő betegeknél kortól függetlenül, a</w:t>
      </w:r>
      <w:r w:rsidR="00ED3624">
        <w:rPr>
          <w:rFonts w:ascii="Times New Roman" w:hAnsi="Times New Roman" w:cs="Times New Roman"/>
          <w:iCs/>
        </w:rPr>
        <w:t>z</w:t>
      </w:r>
      <w:r w:rsidRPr="00D91094">
        <w:rPr>
          <w:rFonts w:ascii="Times New Roman" w:hAnsi="Times New Roman" w:cs="Times New Roman"/>
          <w:iCs/>
        </w:rPr>
        <w:t xml:space="preserve"> </w:t>
      </w:r>
      <w:r w:rsidR="00ED3624" w:rsidRPr="00D91094">
        <w:rPr>
          <w:rFonts w:ascii="Times New Roman" w:hAnsi="Times New Roman" w:cs="Times New Roman"/>
          <w:iCs/>
        </w:rPr>
        <w:t xml:space="preserve">5 mg </w:t>
      </w:r>
      <w:r w:rsidRPr="00D91094">
        <w:rPr>
          <w:rFonts w:ascii="Times New Roman" w:hAnsi="Times New Roman" w:cs="Times New Roman"/>
          <w:iCs/>
        </w:rPr>
        <w:t>perindopril</w:t>
      </w:r>
      <w:r w:rsidR="00ED3624">
        <w:rPr>
          <w:rFonts w:ascii="Times New Roman" w:hAnsi="Times New Roman" w:cs="Times New Roman"/>
          <w:iCs/>
        </w:rPr>
        <w:t>-</w:t>
      </w:r>
      <w:r w:rsidRPr="00D91094">
        <w:rPr>
          <w:rFonts w:ascii="Times New Roman" w:hAnsi="Times New Roman" w:cs="Times New Roman"/>
          <w:iCs/>
        </w:rPr>
        <w:t>arginin</w:t>
      </w:r>
      <w:r w:rsidR="00ED3624">
        <w:rPr>
          <w:rFonts w:ascii="Times New Roman" w:hAnsi="Times New Roman" w:cs="Times New Roman"/>
          <w:iCs/>
        </w:rPr>
        <w:t xml:space="preserve"> és </w:t>
      </w:r>
      <w:r w:rsidR="00ED3624" w:rsidRPr="00D91094">
        <w:rPr>
          <w:rFonts w:ascii="Times New Roman" w:hAnsi="Times New Roman" w:cs="Times New Roman"/>
          <w:iCs/>
        </w:rPr>
        <w:t>1</w:t>
      </w:r>
      <w:r w:rsidR="00ED3624">
        <w:rPr>
          <w:rFonts w:ascii="Times New Roman" w:hAnsi="Times New Roman" w:cs="Times New Roman"/>
          <w:iCs/>
        </w:rPr>
        <w:t>,</w:t>
      </w:r>
      <w:r w:rsidR="00ED3624" w:rsidRPr="00D91094">
        <w:rPr>
          <w:rFonts w:ascii="Times New Roman" w:hAnsi="Times New Roman" w:cs="Times New Roman"/>
          <w:iCs/>
        </w:rPr>
        <w:t xml:space="preserve">25 mg </w:t>
      </w:r>
      <w:r w:rsidRPr="00D91094">
        <w:rPr>
          <w:rFonts w:ascii="Times New Roman" w:hAnsi="Times New Roman" w:cs="Times New Roman"/>
          <w:iCs/>
        </w:rPr>
        <w:t xml:space="preserve">indapamid </w:t>
      </w:r>
      <w:r w:rsidR="00ED3624">
        <w:rPr>
          <w:rFonts w:ascii="Times New Roman" w:hAnsi="Times New Roman" w:cs="Times New Roman"/>
          <w:iCs/>
        </w:rPr>
        <w:t>kombináció</w:t>
      </w:r>
      <w:r w:rsidRPr="00D91094">
        <w:rPr>
          <w:rFonts w:ascii="Times New Roman" w:hAnsi="Times New Roman" w:cs="Times New Roman"/>
          <w:iCs/>
        </w:rPr>
        <w:t xml:space="preserve"> dózisfüggő antihypertensiv hatást gyakorol a diastolés és a szisztolés vérnyomásra mind fekvő, mind álló testhelyzetben. A vérnyomáscsökkenést kevesebb mint egy hónap alatt érik el tachyphylaxis nélkül, és a kezelés befejeztével nem lép fel rebound hatás. Klinikai vizsgálatok során a perindopril és az indapamid együtt adásakor fellépő antihypertensív hatás a külön-külön való kezeléshez viszonyítva szinergikus természetű volt.</w:t>
      </w:r>
    </w:p>
    <w:p w14:paraId="7367B03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BE109F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Amlodipinre vonatkozóan</w:t>
      </w:r>
    </w:p>
    <w:p w14:paraId="3347776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iCs/>
        </w:rPr>
        <w:t>Hypertoniás betegek esetén</w:t>
      </w:r>
      <w:r w:rsidRPr="00D91094">
        <w:rPr>
          <w:rFonts w:ascii="Times New Roman" w:hAnsi="Times New Roman" w:cs="Times New Roman"/>
        </w:rPr>
        <w:t xml:space="preserve"> a napi egyszeri adag klinikailag szignifikáns mértékben, 24 órán át csökkenti a vérnyomást mind fekvő, mind álló helyzetben. A hatás lassan alakul ki, ezért akut hypotonia kialakulása az amlodipin alkalmazásakor nem jellemző.</w:t>
      </w:r>
    </w:p>
    <w:p w14:paraId="57BDB42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3B59D1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Klinikai hatásosság és biztonságosság</w:t>
      </w:r>
    </w:p>
    <w:p w14:paraId="0958D33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FAC175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Perindoprilhez kapcsolódóan</w:t>
      </w:r>
    </w:p>
    <w:p w14:paraId="7807173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u w:val="single"/>
        </w:rPr>
      </w:pPr>
      <w:r w:rsidRPr="00D91094">
        <w:rPr>
          <w:rFonts w:ascii="Times New Roman" w:hAnsi="Times New Roman" w:cs="Times New Roman"/>
          <w:i/>
          <w:u w:val="single"/>
        </w:rPr>
        <w:t>A renin-angiotenzin-aldoszteron rendszer (RAAS) kettős blokádja klinikai vizsgálati adatok</w:t>
      </w:r>
    </w:p>
    <w:p w14:paraId="4312EAA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Két nagy, randomizált, kontrollos vizsgálatban [ONTARGET (ONgoing Telmisartan Alone and in combination with Ramipril Global Endpoint Trial) és VA NEPHRON-D (The Veterans Affairs Nephropathy in Diabetes)] vizsgálták az ACE-gátló és angiotenzin II-receptor-blokkoló kombinált alkalmazását.</w:t>
      </w:r>
    </w:p>
    <w:p w14:paraId="47C00552" w14:textId="5B947FC2"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Az ONTARGET vizsgálatot olyan betegekn</w:t>
      </w:r>
      <w:r w:rsidR="00ED3624">
        <w:rPr>
          <w:rFonts w:ascii="Times New Roman" w:hAnsi="Times New Roman" w:cs="Times New Roman"/>
          <w:iCs/>
        </w:rPr>
        <w:t>él</w:t>
      </w:r>
      <w:r w:rsidRPr="00D91094">
        <w:rPr>
          <w:rFonts w:ascii="Times New Roman" w:hAnsi="Times New Roman" w:cs="Times New Roman"/>
          <w:iCs/>
        </w:rPr>
        <w:t xml:space="preserve"> végezték, akiknek a kórtörténetében </w:t>
      </w:r>
      <w:r w:rsidRPr="00D91094">
        <w:rPr>
          <w:rFonts w:ascii="Times New Roman" w:hAnsi="Times New Roman" w:cs="Times New Roman"/>
        </w:rPr>
        <w:t xml:space="preserve">cardiovascularis </w:t>
      </w:r>
      <w:r w:rsidRPr="00D91094">
        <w:rPr>
          <w:rFonts w:ascii="Times New Roman" w:hAnsi="Times New Roman" w:cs="Times New Roman"/>
          <w:iCs/>
        </w:rPr>
        <w:t>vagy cerebrovascularis betegség, vagy szervkárosodással járó 2-es típusú diabetes mellitus szerepelt. A VA NEPHRON-D vizsgálatot 2-es típusú diabetesben és diabeteses nephropathiában szenvedő betegekn</w:t>
      </w:r>
      <w:r w:rsidR="00ED3624">
        <w:rPr>
          <w:rFonts w:ascii="Times New Roman" w:hAnsi="Times New Roman" w:cs="Times New Roman"/>
          <w:iCs/>
        </w:rPr>
        <w:t>él</w:t>
      </w:r>
      <w:r w:rsidRPr="00D91094">
        <w:rPr>
          <w:rFonts w:ascii="Times New Roman" w:hAnsi="Times New Roman" w:cs="Times New Roman"/>
          <w:iCs/>
        </w:rPr>
        <w:t xml:space="preserve"> végezték.</w:t>
      </w:r>
    </w:p>
    <w:p w14:paraId="2C98E4A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 xml:space="preserve">Ezek a vizsgálatok nem mutattak ki szignifikánsan előnyös hatásokat a renalis és/vagy </w:t>
      </w:r>
      <w:r w:rsidRPr="00D91094">
        <w:rPr>
          <w:rFonts w:ascii="Times New Roman" w:hAnsi="Times New Roman" w:cs="Times New Roman"/>
        </w:rPr>
        <w:t xml:space="preserve">cardiovascularis </w:t>
      </w:r>
      <w:r w:rsidRPr="00D91094">
        <w:rPr>
          <w:rFonts w:ascii="Times New Roman" w:hAnsi="Times New Roman" w:cs="Times New Roman"/>
          <w:iCs/>
        </w:rPr>
        <w:t>kimenetel és a mortalitás vonatkozásában, miközben a monoterápia esetén megfigyelthez képest nőtt a hyperkalaemia, akut veseelégtelenség és/vagy hypotonia kockázata.</w:t>
      </w:r>
    </w:p>
    <w:p w14:paraId="008951B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A hasonló farmakodinámiás tulajdonságok alapján ezek az eredmények más ACE-gátlók és angiotenzin II-receptor-blokkolók esetében is relevánsak.</w:t>
      </w:r>
    </w:p>
    <w:p w14:paraId="2F10619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Cs/>
        </w:rPr>
      </w:pPr>
      <w:r w:rsidRPr="00D91094">
        <w:rPr>
          <w:rFonts w:ascii="Times New Roman" w:hAnsi="Times New Roman" w:cs="Times New Roman"/>
          <w:iCs/>
        </w:rPr>
        <w:t>Ezért az ACE-gátlók és angiotenzin II-receptor-blokkolók nem adhatók együtt diabeteses nephropathiában szenvedő betegeknek.</w:t>
      </w:r>
    </w:p>
    <w:p w14:paraId="227C0F8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C6DA70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Cs/>
        </w:rPr>
        <w:t xml:space="preserve">Az ALTITUDE (Aliskiren Trial in Type 2 Diabetes Using Cardiovascular and Renal Disease Endpoints) vizsgálat célja az volt, hogy megállapítsák, előnyös-e a standard ACE-gátló- vagy angiotenzin II-receptor-blokkoló-kezelés kiegészítése aliszkirénnel 2-es típusú diabetesben és krónikus vesebetegségben, illetve </w:t>
      </w:r>
      <w:r w:rsidRPr="00D91094">
        <w:rPr>
          <w:rFonts w:ascii="Times New Roman" w:hAnsi="Times New Roman" w:cs="Times New Roman"/>
        </w:rPr>
        <w:t xml:space="preserve">cardiovascularis </w:t>
      </w:r>
      <w:r w:rsidRPr="00D91094">
        <w:rPr>
          <w:rFonts w:ascii="Times New Roman" w:hAnsi="Times New Roman" w:cs="Times New Roman"/>
          <w:iCs/>
        </w:rPr>
        <w:t xml:space="preserve">betegségben vagy mindkettőben szenvedő betegeknél. A vizsgálatot idő előtt leállították, mert nőtt a mellékhatások kockázata. A </w:t>
      </w:r>
      <w:r w:rsidRPr="00D91094">
        <w:rPr>
          <w:rFonts w:ascii="Times New Roman" w:hAnsi="Times New Roman" w:cs="Times New Roman"/>
        </w:rPr>
        <w:t xml:space="preserve">cardiovascularis </w:t>
      </w:r>
      <w:r w:rsidRPr="00D91094">
        <w:rPr>
          <w:rFonts w:ascii="Times New Roman" w:hAnsi="Times New Roman" w:cs="Times New Roman"/>
          <w:iCs/>
        </w:rPr>
        <w:t>eredetű halál és a stroke szám szerint gyakoribb volt az aliszkirén</w:t>
      </w:r>
      <w:r w:rsidR="00ED3624">
        <w:rPr>
          <w:rFonts w:ascii="Times New Roman" w:hAnsi="Times New Roman" w:cs="Times New Roman"/>
          <w:iCs/>
        </w:rPr>
        <w:t>-</w:t>
      </w:r>
      <w:r w:rsidRPr="00D91094">
        <w:rPr>
          <w:rFonts w:ascii="Times New Roman" w:hAnsi="Times New Roman" w:cs="Times New Roman"/>
          <w:iCs/>
        </w:rPr>
        <w:t>csoportban, mint a placebocsoportban, és a jelentős mellékhatások, illetve súlyos mellékhatások (hyperkalaemia, hypotonia és veseműködési zavar) is gyakoribbak voltak az aliszkirén</w:t>
      </w:r>
      <w:r w:rsidR="00ED3624">
        <w:rPr>
          <w:rFonts w:ascii="Times New Roman" w:hAnsi="Times New Roman" w:cs="Times New Roman"/>
          <w:iCs/>
        </w:rPr>
        <w:t>-</w:t>
      </w:r>
      <w:r w:rsidRPr="00D91094">
        <w:rPr>
          <w:rFonts w:ascii="Times New Roman" w:hAnsi="Times New Roman" w:cs="Times New Roman"/>
          <w:iCs/>
        </w:rPr>
        <w:t>csoportban, mint a placebocsoportban.</w:t>
      </w:r>
    </w:p>
    <w:p w14:paraId="65AE3B2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81F594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 perindopril/indapamidhoz kapcsolódóan</w:t>
      </w:r>
    </w:p>
    <w:p w14:paraId="15B12415" w14:textId="6AF624E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PICXEL egy multicentrikus, randomizált, kettős vak, aktívkontrollos </w:t>
      </w:r>
      <w:r w:rsidR="00ED3624">
        <w:rPr>
          <w:rFonts w:ascii="Times New Roman" w:hAnsi="Times New Roman" w:cs="Times New Roman"/>
        </w:rPr>
        <w:t>vizsgálat</w:t>
      </w:r>
      <w:r w:rsidR="00ED3624" w:rsidRPr="00D91094">
        <w:rPr>
          <w:rFonts w:ascii="Times New Roman" w:hAnsi="Times New Roman" w:cs="Times New Roman"/>
        </w:rPr>
        <w:t xml:space="preserve"> </w:t>
      </w:r>
      <w:r w:rsidRPr="00D91094">
        <w:rPr>
          <w:rFonts w:ascii="Times New Roman" w:hAnsi="Times New Roman" w:cs="Times New Roman"/>
        </w:rPr>
        <w:t xml:space="preserve">volt, melyben a </w:t>
      </w:r>
      <w:r w:rsidRPr="00D91094">
        <w:rPr>
          <w:rFonts w:ascii="Times New Roman" w:hAnsi="Times New Roman" w:cs="Times New Roman"/>
        </w:rPr>
        <w:lastRenderedPageBreak/>
        <w:t>perindopril/indapamid kombináció balkamra-hypertrophiára gyakorolt hatását vizsgálták enalapril</w:t>
      </w:r>
      <w:r w:rsidRPr="00D91094">
        <w:rPr>
          <w:rFonts w:ascii="Times New Roman" w:hAnsi="Times New Roman" w:cs="Times New Roman"/>
        </w:rPr>
        <w:noBreakHyphen/>
        <w:t>monoterápiával szemben, echokardiográfia segítségével.</w:t>
      </w:r>
    </w:p>
    <w:p w14:paraId="47C1F5F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PICXEL vizsgálatban a magas vérnyomásban és balkamra-hypertrophiában szenvedő (definíció szerint a balkamrai tömegindex (LVMI) &gt; 120 g/m²férfiaknál és &gt; 100 g/m² nőknél) betegek 2 mg perindoprilt és 0,625 mg indapamidot vagy 10 mg enalaprilt kaptak naponta egyszer, 1 éven át. Az adagot a vérnyomáskontrolltól függően emelték, a maximális dózis napi egyszer 8 mg perindopril és 2,5 mg indapamid vagy 40 mg enalapril volt. A betegek mindössze 34%-át kezelték változatlanul 2 mg perindopril/0,625 mg indapamid dózissal (ez az arány 20% volt a 10 mg-os enalapril esetén).</w:t>
      </w:r>
    </w:p>
    <w:p w14:paraId="7705273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kezelés végére az LVMI szignifikánsan nagyobb mértékben csökkent a perindopril/indapamid</w:t>
      </w:r>
      <w:r w:rsidRPr="00D91094">
        <w:rPr>
          <w:rFonts w:ascii="Times New Roman" w:hAnsi="Times New Roman" w:cs="Times New Roman"/>
        </w:rPr>
        <w:noBreakHyphen/>
        <w:t>csoportban (-10,1 g/m²), mint az enalapril</w:t>
      </w:r>
      <w:r w:rsidR="00ED3624">
        <w:rPr>
          <w:rFonts w:ascii="Times New Roman" w:hAnsi="Times New Roman" w:cs="Times New Roman"/>
        </w:rPr>
        <w:t>-</w:t>
      </w:r>
      <w:r w:rsidRPr="00D91094">
        <w:rPr>
          <w:rFonts w:ascii="Times New Roman" w:hAnsi="Times New Roman" w:cs="Times New Roman"/>
        </w:rPr>
        <w:t>csoportban (-1,1 g/m²) a teljes randomizált betegpopulációt tekintve. Az LVMI-változás csoportok közötti különbsége -8,3 (95%</w:t>
      </w:r>
      <w:r w:rsidR="00ED3624">
        <w:rPr>
          <w:rFonts w:ascii="Times New Roman" w:hAnsi="Times New Roman" w:cs="Times New Roman"/>
        </w:rPr>
        <w:t>-os</w:t>
      </w:r>
      <w:r w:rsidRPr="00D91094">
        <w:rPr>
          <w:rFonts w:ascii="Times New Roman" w:hAnsi="Times New Roman" w:cs="Times New Roman"/>
        </w:rPr>
        <w:t xml:space="preserve"> CI: -11,5, -5,0; p &lt; 0,0001) volt.</w:t>
      </w:r>
    </w:p>
    <w:p w14:paraId="1BBE752D" w14:textId="4A95CA6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Az LVMI-re kedvezőbb hatást fejtett ki a 8 mg perindopril/2,5 mg indapamid dózis, mint az engedélyezett kombinációkban: </w:t>
      </w:r>
      <w:r w:rsidR="00ED3624" w:rsidRPr="00D91094">
        <w:rPr>
          <w:rFonts w:ascii="Times New Roman" w:hAnsi="Times New Roman" w:cs="Times New Roman"/>
          <w:iCs/>
        </w:rPr>
        <w:t xml:space="preserve">2,5 mg/0,625 mg </w:t>
      </w:r>
      <w:r w:rsidRPr="00D91094">
        <w:rPr>
          <w:rFonts w:ascii="Times New Roman" w:hAnsi="Times New Roman" w:cs="Times New Roman"/>
          <w:iCs/>
        </w:rPr>
        <w:t xml:space="preserve">és </w:t>
      </w:r>
      <w:r w:rsidR="00ED3624" w:rsidRPr="00D91094">
        <w:rPr>
          <w:rFonts w:ascii="Times New Roman" w:hAnsi="Times New Roman" w:cs="Times New Roman"/>
          <w:iCs/>
        </w:rPr>
        <w:t xml:space="preserve">5 mg/1,25 mg </w:t>
      </w:r>
      <w:r w:rsidR="00ED3624">
        <w:rPr>
          <w:rFonts w:ascii="Times New Roman" w:hAnsi="Times New Roman" w:cs="Times New Roman"/>
          <w:iCs/>
        </w:rPr>
        <w:t xml:space="preserve">dózisú </w:t>
      </w:r>
      <w:r w:rsidRPr="00D91094">
        <w:rPr>
          <w:rFonts w:ascii="Times New Roman" w:hAnsi="Times New Roman" w:cs="Times New Roman"/>
          <w:iCs/>
        </w:rPr>
        <w:t>perindopril/indapamid</w:t>
      </w:r>
      <w:r w:rsidRPr="00D91094">
        <w:rPr>
          <w:rFonts w:ascii="Times New Roman" w:hAnsi="Times New Roman" w:cs="Times New Roman"/>
        </w:rPr>
        <w:t>.</w:t>
      </w:r>
    </w:p>
    <w:p w14:paraId="74A1ED2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A randomizált populációban a csoportok közötti, becsült közepes különbség -</w:t>
      </w:r>
      <w:r w:rsidRPr="00D91094">
        <w:rPr>
          <w:rFonts w:ascii="Times New Roman" w:hAnsi="Times New Roman" w:cs="Times New Roman"/>
          <w:bCs/>
          <w:iCs/>
        </w:rPr>
        <w:t>5,8 Hgmm (95%</w:t>
      </w:r>
      <w:r w:rsidR="00ED3624">
        <w:rPr>
          <w:rFonts w:ascii="Times New Roman" w:hAnsi="Times New Roman" w:cs="Times New Roman"/>
          <w:bCs/>
          <w:iCs/>
        </w:rPr>
        <w:t>-os</w:t>
      </w:r>
      <w:r w:rsidRPr="00D91094">
        <w:rPr>
          <w:rFonts w:ascii="Times New Roman" w:hAnsi="Times New Roman" w:cs="Times New Roman"/>
          <w:bCs/>
          <w:iCs/>
        </w:rPr>
        <w:t> CI: </w:t>
      </w:r>
      <w:r w:rsidRPr="00D91094">
        <w:rPr>
          <w:rFonts w:ascii="Times New Roman" w:hAnsi="Times New Roman" w:cs="Times New Roman"/>
          <w:bCs/>
          <w:iCs/>
        </w:rPr>
        <w:noBreakHyphen/>
        <w:t>7,9, -3,7; p &lt; 0,0001) volt a szisztolés vérnyomásértékre, és -2,3 Hgmm (95%</w:t>
      </w:r>
      <w:r w:rsidR="00ED3624">
        <w:rPr>
          <w:rFonts w:ascii="Times New Roman" w:hAnsi="Times New Roman" w:cs="Times New Roman"/>
          <w:bCs/>
          <w:iCs/>
        </w:rPr>
        <w:t>-os</w:t>
      </w:r>
      <w:r w:rsidRPr="00D91094">
        <w:rPr>
          <w:rFonts w:ascii="Times New Roman" w:hAnsi="Times New Roman" w:cs="Times New Roman"/>
          <w:bCs/>
          <w:iCs/>
        </w:rPr>
        <w:t> CI: </w:t>
      </w:r>
      <w:r w:rsidRPr="00D91094">
        <w:rPr>
          <w:rFonts w:ascii="Times New Roman" w:hAnsi="Times New Roman" w:cs="Times New Roman"/>
          <w:bCs/>
          <w:iCs/>
        </w:rPr>
        <w:noBreakHyphen/>
        <w:t>3,6, </w:t>
      </w:r>
      <w:r w:rsidRPr="00D91094">
        <w:rPr>
          <w:rFonts w:ascii="Times New Roman" w:hAnsi="Times New Roman" w:cs="Times New Roman"/>
          <w:bCs/>
          <w:iCs/>
        </w:rPr>
        <w:noBreakHyphen/>
        <w:t>0,9; p = 0,0004) a diasztolés vérnyomásértékre vonatkozóan, a perindopril/indapamid-csoport javára.</w:t>
      </w:r>
    </w:p>
    <w:p w14:paraId="0312E42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6C78C0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i/>
          <w:iCs/>
        </w:rPr>
      </w:pPr>
      <w:r w:rsidRPr="00D91094">
        <w:rPr>
          <w:rFonts w:ascii="Times New Roman" w:hAnsi="Times New Roman" w:cs="Times New Roman"/>
          <w:i/>
          <w:iCs/>
        </w:rPr>
        <w:t>Az amlodipinre vonatkozóan</w:t>
      </w:r>
    </w:p>
    <w:p w14:paraId="3052C20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amlodipin nem hozható összefüggésbe káros metabolikus hatásokkal vagy a plazmalipidek változásával, asthma bronchialéban, diabetes mellitusban és köszvényben szenvedő betegeknek is adható.</w:t>
      </w:r>
    </w:p>
    <w:p w14:paraId="71EB6CB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FB5962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5.2</w:t>
      </w:r>
      <w:r w:rsidRPr="00D91094">
        <w:rPr>
          <w:rFonts w:ascii="Times New Roman" w:hAnsi="Times New Roman" w:cs="Times New Roman"/>
          <w:b/>
          <w:bCs/>
        </w:rPr>
        <w:tab/>
        <w:t>Farmakokinetikai tulajdonságok</w:t>
      </w:r>
    </w:p>
    <w:p w14:paraId="244F5D1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3B246D8" w14:textId="6F8264BF"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külön alkalmazással összehasonlítva a perindopril/indapamid és amlodipin együttes alkalmazásakor a </w:t>
      </w:r>
      <w:r w:rsidR="00ED3624">
        <w:rPr>
          <w:rFonts w:ascii="Times New Roman" w:hAnsi="Times New Roman" w:cs="Times New Roman"/>
        </w:rPr>
        <w:t>három</w:t>
      </w:r>
      <w:r w:rsidRPr="00D91094">
        <w:rPr>
          <w:rFonts w:ascii="Times New Roman" w:hAnsi="Times New Roman" w:cs="Times New Roman"/>
        </w:rPr>
        <w:t xml:space="preserve"> hatóanyag nem befolyásolja egymás farmakokinetikáját.</w:t>
      </w:r>
    </w:p>
    <w:p w14:paraId="3954950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tbl>
      <w:tblPr>
        <w:tblStyle w:val="Rcsostblzat"/>
        <w:tblW w:w="0" w:type="auto"/>
        <w:tblLook w:val="04A0" w:firstRow="1" w:lastRow="0" w:firstColumn="1" w:lastColumn="0" w:noHBand="0" w:noVBand="1"/>
      </w:tblPr>
      <w:tblGrid>
        <w:gridCol w:w="2262"/>
        <w:gridCol w:w="1843"/>
        <w:gridCol w:w="4955"/>
      </w:tblGrid>
      <w:tr w:rsidR="00716545" w:rsidRPr="00D91094" w14:paraId="3BD74468" w14:textId="77777777" w:rsidTr="00ED3624">
        <w:tc>
          <w:tcPr>
            <w:tcW w:w="2262" w:type="dxa"/>
            <w:vMerge w:val="restart"/>
          </w:tcPr>
          <w:p w14:paraId="7CE4F43E"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Felszívódás és biohasznosulás</w:t>
            </w:r>
          </w:p>
        </w:tc>
        <w:tc>
          <w:tcPr>
            <w:tcW w:w="1843" w:type="dxa"/>
          </w:tcPr>
          <w:p w14:paraId="767AE728"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4955" w:type="dxa"/>
          </w:tcPr>
          <w:p w14:paraId="6402D474"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 </w:t>
            </w:r>
            <w:r w:rsidRPr="00D91094">
              <w:rPr>
                <w:rFonts w:ascii="Times New Roman" w:hAnsi="Times New Roman" w:cs="Times New Roman"/>
                <w:i/>
              </w:rPr>
              <w:t>per os</w:t>
            </w:r>
            <w:r w:rsidRPr="00D91094">
              <w:rPr>
                <w:rFonts w:ascii="Times New Roman" w:hAnsi="Times New Roman" w:cs="Times New Roman"/>
              </w:rPr>
              <w:t xml:space="preserve"> alkalmazása esetén gyorsan felszívódik, a csúcskoncentrációt egy órán belül éri el. A perindopril plazmafelezési ideje 1 óra.</w:t>
            </w:r>
          </w:p>
          <w:p w14:paraId="5B9D47C5" w14:textId="134782A8" w:rsidR="00716545" w:rsidRPr="00D91094" w:rsidRDefault="00716545" w:rsidP="00ED362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Az étkezés csökkenti a perindopril perindopriláttá való alakulását és ezáltal a biohasznosulását is, ezért a perindopril-terc-butil-amin </w:t>
            </w:r>
            <w:r w:rsidRPr="00D91094">
              <w:rPr>
                <w:rFonts w:ascii="Times New Roman" w:hAnsi="Times New Roman" w:cs="Times New Roman"/>
                <w:i/>
              </w:rPr>
              <w:t>per os</w:t>
            </w:r>
            <w:r w:rsidRPr="00D91094">
              <w:rPr>
                <w:rFonts w:ascii="Times New Roman" w:hAnsi="Times New Roman" w:cs="Times New Roman"/>
              </w:rPr>
              <w:t xml:space="preserve"> napi d</w:t>
            </w:r>
            <w:r w:rsidR="00ED3624">
              <w:rPr>
                <w:rFonts w:ascii="Times New Roman" w:hAnsi="Times New Roman" w:cs="Times New Roman"/>
              </w:rPr>
              <w:t>ózis</w:t>
            </w:r>
            <w:r w:rsidRPr="00D91094">
              <w:rPr>
                <w:rFonts w:ascii="Times New Roman" w:hAnsi="Times New Roman" w:cs="Times New Roman"/>
              </w:rPr>
              <w:t>át egyszerre, a reggeli étkezés előtt kell bevenni.</w:t>
            </w:r>
          </w:p>
        </w:tc>
      </w:tr>
      <w:tr w:rsidR="00716545" w:rsidRPr="00D91094" w14:paraId="23FF47D3" w14:textId="77777777" w:rsidTr="00ED3624">
        <w:tc>
          <w:tcPr>
            <w:tcW w:w="2262" w:type="dxa"/>
            <w:vMerge/>
          </w:tcPr>
          <w:p w14:paraId="4C681C94"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1843" w:type="dxa"/>
          </w:tcPr>
          <w:p w14:paraId="511D2897"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w:t>
            </w:r>
          </w:p>
        </w:tc>
        <w:tc>
          <w:tcPr>
            <w:tcW w:w="4955" w:type="dxa"/>
          </w:tcPr>
          <w:p w14:paraId="66AB05FD"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Az indapamid </w:t>
            </w:r>
            <w:r w:rsidRPr="00D91094">
              <w:rPr>
                <w:rFonts w:ascii="Times New Roman" w:hAnsi="Times New Roman" w:cs="Times New Roman"/>
                <w:i/>
              </w:rPr>
              <w:t>per os</w:t>
            </w:r>
            <w:r w:rsidRPr="00D91094">
              <w:rPr>
                <w:rFonts w:ascii="Times New Roman" w:hAnsi="Times New Roman" w:cs="Times New Roman"/>
              </w:rPr>
              <w:t xml:space="preserve"> alkalmazásakor gyorsan és teljes mértékben felszívódik az emésztőrendszerből.</w:t>
            </w:r>
          </w:p>
          <w:p w14:paraId="4A11B2A5"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Plazma csúcskoncentrációját kb. 1 órával a készítmény beadása után éri el.</w:t>
            </w:r>
          </w:p>
        </w:tc>
      </w:tr>
      <w:tr w:rsidR="00716545" w:rsidRPr="00D91094" w14:paraId="4D7E0CB3" w14:textId="77777777" w:rsidTr="00ED3624">
        <w:tc>
          <w:tcPr>
            <w:tcW w:w="2262" w:type="dxa"/>
            <w:vMerge/>
          </w:tcPr>
          <w:p w14:paraId="13732200"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1843" w:type="dxa"/>
          </w:tcPr>
          <w:p w14:paraId="42EC2441"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amlodipin</w:t>
            </w:r>
          </w:p>
        </w:tc>
        <w:tc>
          <w:tcPr>
            <w:tcW w:w="4955" w:type="dxa"/>
          </w:tcPr>
          <w:p w14:paraId="7837ABAD" w14:textId="073B511F"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Terápiás d</w:t>
            </w:r>
            <w:r w:rsidR="00ED3624">
              <w:rPr>
                <w:rFonts w:ascii="Times New Roman" w:hAnsi="Times New Roman" w:cs="Times New Roman"/>
              </w:rPr>
              <w:t>ózis</w:t>
            </w:r>
            <w:r w:rsidRPr="00D91094">
              <w:rPr>
                <w:rFonts w:ascii="Times New Roman" w:hAnsi="Times New Roman" w:cs="Times New Roman"/>
              </w:rPr>
              <w:t xml:space="preserve">ok </w:t>
            </w:r>
            <w:r w:rsidRPr="00D91094">
              <w:rPr>
                <w:rFonts w:ascii="Times New Roman" w:hAnsi="Times New Roman" w:cs="Times New Roman"/>
                <w:i/>
              </w:rPr>
              <w:t>per os</w:t>
            </w:r>
            <w:r w:rsidRPr="00D91094">
              <w:rPr>
                <w:rFonts w:ascii="Times New Roman" w:hAnsi="Times New Roman" w:cs="Times New Roman"/>
              </w:rPr>
              <w:t xml:space="preserve"> adását követően az amlodipin jól felszívódik, a plazma csúcskoncentrációk a bevétel után 6–12 órán belül alakulnak ki. Abszolút biohasznosulása 64-80%. </w:t>
            </w:r>
          </w:p>
          <w:p w14:paraId="0AC1F26E"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Az amlodipin biohasznosulása nincs összefüggésben az étkezéssel.</w:t>
            </w:r>
          </w:p>
        </w:tc>
      </w:tr>
      <w:tr w:rsidR="00716545" w:rsidRPr="00D91094" w14:paraId="1FB6FE47" w14:textId="77777777" w:rsidTr="00ED3624">
        <w:tc>
          <w:tcPr>
            <w:tcW w:w="2262" w:type="dxa"/>
            <w:vMerge w:val="restart"/>
          </w:tcPr>
          <w:p w14:paraId="77BA0557"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Eloszlás</w:t>
            </w:r>
          </w:p>
        </w:tc>
        <w:tc>
          <w:tcPr>
            <w:tcW w:w="1843" w:type="dxa"/>
          </w:tcPr>
          <w:p w14:paraId="366BE466"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4955" w:type="dxa"/>
          </w:tcPr>
          <w:p w14:paraId="6425F864" w14:textId="6AAC37EB" w:rsidR="00716545" w:rsidRPr="00D91094" w:rsidRDefault="00716545" w:rsidP="00ED362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szabad perindoprilát eloszlási térfogata hozzávetőleg 0,2 l/ttkg. A perindoprilát 20%-a kötődik plazmafehérjékhez, főként az angiotenzin</w:t>
            </w:r>
            <w:r w:rsidR="00ED3624">
              <w:rPr>
                <w:rFonts w:ascii="Times New Roman" w:hAnsi="Times New Roman" w:cs="Times New Roman"/>
              </w:rPr>
              <w:t>konvertáló-</w:t>
            </w:r>
            <w:r w:rsidRPr="00D91094">
              <w:rPr>
                <w:rFonts w:ascii="Times New Roman" w:hAnsi="Times New Roman" w:cs="Times New Roman"/>
              </w:rPr>
              <w:t>enzimhez, de ez azonban koncentrációfüggő.</w:t>
            </w:r>
          </w:p>
        </w:tc>
      </w:tr>
      <w:tr w:rsidR="00716545" w:rsidRPr="00D91094" w14:paraId="1274ED37" w14:textId="77777777" w:rsidTr="00ED3624">
        <w:tc>
          <w:tcPr>
            <w:tcW w:w="2262" w:type="dxa"/>
            <w:vMerge/>
          </w:tcPr>
          <w:p w14:paraId="4A45BD7D"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1843" w:type="dxa"/>
          </w:tcPr>
          <w:p w14:paraId="70833A20"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w:t>
            </w:r>
          </w:p>
        </w:tc>
        <w:tc>
          <w:tcPr>
            <w:tcW w:w="4955" w:type="dxa"/>
          </w:tcPr>
          <w:p w14:paraId="7559D608"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plazmafehérjékhez való kötődése 79%.</w:t>
            </w:r>
          </w:p>
        </w:tc>
      </w:tr>
      <w:tr w:rsidR="00716545" w:rsidRPr="00D91094" w14:paraId="3AEFFB93" w14:textId="77777777" w:rsidTr="00ED3624">
        <w:tc>
          <w:tcPr>
            <w:tcW w:w="2262" w:type="dxa"/>
            <w:vMerge/>
          </w:tcPr>
          <w:p w14:paraId="2ABD17A5"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p>
        </w:tc>
        <w:tc>
          <w:tcPr>
            <w:tcW w:w="1843" w:type="dxa"/>
          </w:tcPr>
          <w:p w14:paraId="3340E56A"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amlodipin</w:t>
            </w:r>
          </w:p>
        </w:tc>
        <w:tc>
          <w:tcPr>
            <w:tcW w:w="4955" w:type="dxa"/>
          </w:tcPr>
          <w:p w14:paraId="5BADF07E"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 xml:space="preserve">Eloszlási térfogata megközelítőleg 21 l/kg. </w:t>
            </w:r>
            <w:r w:rsidRPr="00D91094">
              <w:rPr>
                <w:rFonts w:ascii="Times New Roman" w:hAnsi="Times New Roman" w:cs="Times New Roman"/>
                <w:i/>
                <w:iCs/>
              </w:rPr>
              <w:t xml:space="preserve">In vitro </w:t>
            </w:r>
            <w:r w:rsidRPr="00D91094">
              <w:rPr>
                <w:rFonts w:ascii="Times New Roman" w:hAnsi="Times New Roman" w:cs="Times New Roman"/>
              </w:rPr>
              <w:t>vizsgálatok szerint a keringő amlodipin 97,5%-a kötődik a plazmafehérjékhez.</w:t>
            </w:r>
          </w:p>
        </w:tc>
      </w:tr>
      <w:tr w:rsidR="00ED3624" w:rsidRPr="00D91094" w14:paraId="49857B7A" w14:textId="77777777" w:rsidTr="00ED3624">
        <w:tc>
          <w:tcPr>
            <w:tcW w:w="2262" w:type="dxa"/>
            <w:vMerge w:val="restart"/>
          </w:tcPr>
          <w:p w14:paraId="2392FC2A" w14:textId="77777777" w:rsidR="00ED3624" w:rsidRPr="00D91094" w:rsidRDefault="00ED3624"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Biotranszformáció és elimináció</w:t>
            </w:r>
          </w:p>
          <w:p w14:paraId="58E08EDA"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p>
        </w:tc>
        <w:tc>
          <w:tcPr>
            <w:tcW w:w="1843" w:type="dxa"/>
          </w:tcPr>
          <w:p w14:paraId="39D538DB"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4955" w:type="dxa"/>
          </w:tcPr>
          <w:p w14:paraId="43F30678" w14:textId="77777777" w:rsidR="00ED3624" w:rsidRPr="00D91094" w:rsidRDefault="00ED3624"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 xml:space="preserve">A perindopril prodrug. A bevett perindopril 27%-a kerül aktív metabolitként, perindoprilátként a szisztémás keringésbe. Az aktív perindopriláton kívül </w:t>
            </w:r>
            <w:r w:rsidRPr="00D91094">
              <w:rPr>
                <w:rFonts w:ascii="Times New Roman" w:hAnsi="Times New Roman" w:cs="Times New Roman"/>
                <w:bCs/>
                <w:iCs/>
              </w:rPr>
              <w:lastRenderedPageBreak/>
              <w:t>még öt inaktív metabolit képződik. A perindoprilát maximális plazmakoncentrációja kb. 3-4 óra.</w:t>
            </w:r>
          </w:p>
          <w:p w14:paraId="5D4C0C6C" w14:textId="0DAC7C3D" w:rsidR="00ED3624" w:rsidRPr="00D91094" w:rsidRDefault="00ED3624" w:rsidP="00ED3624">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perindoprilát a vizelettel ürül ki és a nem kötött frakció eliminációs f</w:t>
            </w:r>
            <w:r>
              <w:rPr>
                <w:rFonts w:ascii="Times New Roman" w:hAnsi="Times New Roman" w:cs="Times New Roman"/>
              </w:rPr>
              <w:t>e</w:t>
            </w:r>
            <w:r w:rsidRPr="00D91094">
              <w:rPr>
                <w:rFonts w:ascii="Times New Roman" w:hAnsi="Times New Roman" w:cs="Times New Roman"/>
              </w:rPr>
              <w:t>l</w:t>
            </w:r>
            <w:r>
              <w:rPr>
                <w:rFonts w:ascii="Times New Roman" w:hAnsi="Times New Roman" w:cs="Times New Roman"/>
              </w:rPr>
              <w:t>ez</w:t>
            </w:r>
            <w:r w:rsidRPr="00D91094">
              <w:rPr>
                <w:rFonts w:ascii="Times New Roman" w:hAnsi="Times New Roman" w:cs="Times New Roman"/>
              </w:rPr>
              <w:t>é</w:t>
            </w:r>
            <w:r>
              <w:rPr>
                <w:rFonts w:ascii="Times New Roman" w:hAnsi="Times New Roman" w:cs="Times New Roman"/>
              </w:rPr>
              <w:t xml:space="preserve">si </w:t>
            </w:r>
            <w:r w:rsidRPr="00D91094">
              <w:rPr>
                <w:rFonts w:ascii="Times New Roman" w:hAnsi="Times New Roman" w:cs="Times New Roman"/>
              </w:rPr>
              <w:t>ideje ideje kb. 17 óra, amely a dinamikus egyensúlyi állapot plazmakoncentráció kb. 4 napon belül való kialakulását eredményezi.</w:t>
            </w:r>
          </w:p>
        </w:tc>
      </w:tr>
      <w:tr w:rsidR="00ED3624" w:rsidRPr="00D91094" w14:paraId="03A2038B" w14:textId="77777777" w:rsidTr="00ED3624">
        <w:tc>
          <w:tcPr>
            <w:tcW w:w="2262" w:type="dxa"/>
            <w:vMerge/>
          </w:tcPr>
          <w:p w14:paraId="20DED4E8"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p>
        </w:tc>
        <w:tc>
          <w:tcPr>
            <w:tcW w:w="1843" w:type="dxa"/>
          </w:tcPr>
          <w:p w14:paraId="1F9A9D1A"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indapamid</w:t>
            </w:r>
          </w:p>
        </w:tc>
        <w:tc>
          <w:tcPr>
            <w:tcW w:w="4955" w:type="dxa"/>
          </w:tcPr>
          <w:p w14:paraId="0989B99A"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Eliminációs felezési ideje 14-24 óra (átlagban 18 óra). Ismételt adagolás esetén sem halmozódik fel a szervezetben. A beadott indapamid mennyisége kb. 70%-ban a vizelettel, 22%-ban a széklettel ürül ki, inaktív metabolitok formájában.</w:t>
            </w:r>
          </w:p>
        </w:tc>
      </w:tr>
      <w:tr w:rsidR="00ED3624" w:rsidRPr="00D91094" w14:paraId="0B0CC91B" w14:textId="77777777" w:rsidTr="00ED3624">
        <w:tc>
          <w:tcPr>
            <w:tcW w:w="2262" w:type="dxa"/>
            <w:vMerge/>
          </w:tcPr>
          <w:p w14:paraId="796EA09E"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p>
        </w:tc>
        <w:tc>
          <w:tcPr>
            <w:tcW w:w="1843" w:type="dxa"/>
          </w:tcPr>
          <w:p w14:paraId="2414C549"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amlodipin</w:t>
            </w:r>
          </w:p>
        </w:tc>
        <w:tc>
          <w:tcPr>
            <w:tcW w:w="4955" w:type="dxa"/>
          </w:tcPr>
          <w:p w14:paraId="4BE14CF9"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májban nagymértékben metabolizálódik inaktív metabolitokká. A változatlan forma 10%-a, az inaktív metabolitok 60%-a a vizelettel választódik ki.</w:t>
            </w:r>
          </w:p>
          <w:p w14:paraId="1D52C2ED" w14:textId="77777777" w:rsidR="00ED3624" w:rsidRPr="00D91094" w:rsidRDefault="00ED3624"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terminális felezési idő 35-50 óra, ez megfelel a napi egyszeri alkalmazásnak.</w:t>
            </w:r>
          </w:p>
        </w:tc>
      </w:tr>
      <w:tr w:rsidR="00716545" w:rsidRPr="00D91094" w14:paraId="264B96BA" w14:textId="77777777" w:rsidTr="00ED3624">
        <w:tc>
          <w:tcPr>
            <w:tcW w:w="2262" w:type="dxa"/>
          </w:tcPr>
          <w:p w14:paraId="048BBD78"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Linearitás/nem linearitás</w:t>
            </w:r>
          </w:p>
        </w:tc>
        <w:tc>
          <w:tcPr>
            <w:tcW w:w="1843" w:type="dxa"/>
          </w:tcPr>
          <w:p w14:paraId="7FF061F5"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perindopril</w:t>
            </w:r>
          </w:p>
        </w:tc>
        <w:tc>
          <w:tcPr>
            <w:tcW w:w="4955" w:type="dxa"/>
          </w:tcPr>
          <w:p w14:paraId="43EAEB24" w14:textId="7777777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A perindopril dózisa és a plazmakoncentráció között lineáris az összefüggés.</w:t>
            </w:r>
          </w:p>
        </w:tc>
      </w:tr>
    </w:tbl>
    <w:p w14:paraId="3CE21E7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9B753E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Cs/>
          <w:u w:val="single"/>
        </w:rPr>
      </w:pPr>
      <w:r w:rsidRPr="00D91094">
        <w:rPr>
          <w:rFonts w:ascii="Times New Roman" w:hAnsi="Times New Roman" w:cs="Times New Roman"/>
          <w:bCs/>
          <w:iCs/>
          <w:u w:val="single"/>
        </w:rPr>
        <w:t>Különleges betegcsoportok</w:t>
      </w:r>
    </w:p>
    <w:p w14:paraId="1919D5B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Cs/>
        </w:rPr>
      </w:pPr>
    </w:p>
    <w:tbl>
      <w:tblPr>
        <w:tblStyle w:val="Rcsostblzat"/>
        <w:tblW w:w="0" w:type="auto"/>
        <w:tblLook w:val="04A0" w:firstRow="1" w:lastRow="0" w:firstColumn="1" w:lastColumn="0" w:noHBand="0" w:noVBand="1"/>
      </w:tblPr>
      <w:tblGrid>
        <w:gridCol w:w="2262"/>
        <w:gridCol w:w="1843"/>
        <w:gridCol w:w="4955"/>
      </w:tblGrid>
      <w:tr w:rsidR="00716545" w:rsidRPr="00D91094" w14:paraId="467ECE11" w14:textId="77777777" w:rsidTr="00D2704D">
        <w:tc>
          <w:tcPr>
            <w:tcW w:w="2263" w:type="dxa"/>
          </w:tcPr>
          <w:p w14:paraId="0F290522" w14:textId="77777777" w:rsidR="00716545" w:rsidRPr="00D91094" w:rsidRDefault="00716545" w:rsidP="00D2704D">
            <w:pPr>
              <w:widowControl w:val="0"/>
              <w:suppressAutoHyphens/>
              <w:autoSpaceDE w:val="0"/>
              <w:autoSpaceDN w:val="0"/>
              <w:adjustRightInd w:val="0"/>
              <w:rPr>
                <w:rFonts w:ascii="Times New Roman" w:hAnsi="Times New Roman" w:cs="Times New Roman"/>
                <w:b/>
                <w:iCs/>
              </w:rPr>
            </w:pPr>
            <w:r w:rsidRPr="00D91094">
              <w:rPr>
                <w:rFonts w:ascii="Times New Roman" w:hAnsi="Times New Roman" w:cs="Times New Roman"/>
                <w:b/>
                <w:iCs/>
              </w:rPr>
              <w:t>Különleges betegcsoport</w:t>
            </w:r>
          </w:p>
        </w:tc>
        <w:tc>
          <w:tcPr>
            <w:tcW w:w="1843" w:type="dxa"/>
          </w:tcPr>
          <w:p w14:paraId="33B6A48C" w14:textId="77777777" w:rsidR="00716545" w:rsidRPr="00D91094" w:rsidRDefault="00716545" w:rsidP="00D2704D">
            <w:pPr>
              <w:widowControl w:val="0"/>
              <w:suppressAutoHyphens/>
              <w:autoSpaceDE w:val="0"/>
              <w:autoSpaceDN w:val="0"/>
              <w:adjustRightInd w:val="0"/>
              <w:rPr>
                <w:rFonts w:ascii="Times New Roman" w:hAnsi="Times New Roman" w:cs="Times New Roman"/>
                <w:b/>
                <w:iCs/>
              </w:rPr>
            </w:pPr>
            <w:r w:rsidRPr="00D91094">
              <w:rPr>
                <w:rFonts w:ascii="Times New Roman" w:hAnsi="Times New Roman" w:cs="Times New Roman"/>
                <w:b/>
                <w:iCs/>
              </w:rPr>
              <w:t>Összetevő</w:t>
            </w:r>
          </w:p>
        </w:tc>
        <w:tc>
          <w:tcPr>
            <w:tcW w:w="4956" w:type="dxa"/>
          </w:tcPr>
          <w:p w14:paraId="00D3555F" w14:textId="77777777" w:rsidR="00716545" w:rsidRPr="00D91094" w:rsidRDefault="00716545" w:rsidP="00D2704D">
            <w:pPr>
              <w:widowControl w:val="0"/>
              <w:suppressAutoHyphens/>
              <w:autoSpaceDE w:val="0"/>
              <w:autoSpaceDN w:val="0"/>
              <w:adjustRightInd w:val="0"/>
              <w:rPr>
                <w:rFonts w:ascii="Times New Roman" w:hAnsi="Times New Roman" w:cs="Times New Roman"/>
                <w:b/>
                <w:iCs/>
              </w:rPr>
            </w:pPr>
            <w:r w:rsidRPr="00D91094">
              <w:rPr>
                <w:rFonts w:ascii="Times New Roman" w:hAnsi="Times New Roman" w:cs="Times New Roman"/>
                <w:b/>
                <w:iCs/>
              </w:rPr>
              <w:t>Farmakokinetikai tulajdonság</w:t>
            </w:r>
          </w:p>
        </w:tc>
      </w:tr>
      <w:tr w:rsidR="00716545" w:rsidRPr="00D91094" w14:paraId="7C3AF8E5" w14:textId="77777777" w:rsidTr="00D2704D">
        <w:tc>
          <w:tcPr>
            <w:tcW w:w="2263" w:type="dxa"/>
            <w:vMerge w:val="restart"/>
          </w:tcPr>
          <w:p w14:paraId="60BA563F" w14:textId="2D26F59F" w:rsidR="00716545" w:rsidRPr="00D91094" w:rsidRDefault="00716545" w:rsidP="00ED3624">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Idősek</w:t>
            </w:r>
          </w:p>
        </w:tc>
        <w:tc>
          <w:tcPr>
            <w:tcW w:w="1843" w:type="dxa"/>
          </w:tcPr>
          <w:p w14:paraId="678B8CD8"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rPr>
              <w:t>perindopril</w:t>
            </w:r>
          </w:p>
        </w:tc>
        <w:tc>
          <w:tcPr>
            <w:tcW w:w="4956" w:type="dxa"/>
          </w:tcPr>
          <w:p w14:paraId="6FA73220"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rPr>
              <w:t>A perindoprilát eliminációja csökkent időseknél, valamint szív- vagy veseelégtelenségben szenvedő betegeknél.</w:t>
            </w:r>
          </w:p>
        </w:tc>
      </w:tr>
      <w:tr w:rsidR="00716545" w:rsidRPr="00D91094" w14:paraId="47EB14AA" w14:textId="77777777" w:rsidTr="00D2704D">
        <w:tc>
          <w:tcPr>
            <w:tcW w:w="2263" w:type="dxa"/>
            <w:vMerge/>
          </w:tcPr>
          <w:p w14:paraId="7D6B7262"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p>
        </w:tc>
        <w:tc>
          <w:tcPr>
            <w:tcW w:w="1843" w:type="dxa"/>
          </w:tcPr>
          <w:p w14:paraId="1E1009EC"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amlodipin</w:t>
            </w:r>
          </w:p>
        </w:tc>
        <w:tc>
          <w:tcPr>
            <w:tcW w:w="4956" w:type="dxa"/>
          </w:tcPr>
          <w:p w14:paraId="685960FF" w14:textId="670CE49D" w:rsidR="00716545" w:rsidRPr="00D91094" w:rsidRDefault="00716545" w:rsidP="00ED3624">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A plazma csúcskoncentráció kialakulásának ideje idős és fiatalabb személyekn</w:t>
            </w:r>
            <w:r w:rsidR="00ED3624">
              <w:rPr>
                <w:rFonts w:ascii="Times New Roman" w:hAnsi="Times New Roman" w:cs="Times New Roman"/>
                <w:bCs/>
                <w:iCs/>
              </w:rPr>
              <w:t>él</w:t>
            </w:r>
            <w:r w:rsidRPr="00D91094">
              <w:rPr>
                <w:rFonts w:ascii="Times New Roman" w:hAnsi="Times New Roman" w:cs="Times New Roman"/>
                <w:bCs/>
                <w:iCs/>
              </w:rPr>
              <w:t xml:space="preserve"> hasonló. Idős betegekn</w:t>
            </w:r>
            <w:r w:rsidR="00ED3624">
              <w:rPr>
                <w:rFonts w:ascii="Times New Roman" w:hAnsi="Times New Roman" w:cs="Times New Roman"/>
                <w:bCs/>
                <w:iCs/>
              </w:rPr>
              <w:t>él</w:t>
            </w:r>
            <w:r w:rsidRPr="00D91094">
              <w:rPr>
                <w:rFonts w:ascii="Times New Roman" w:hAnsi="Times New Roman" w:cs="Times New Roman"/>
                <w:bCs/>
                <w:iCs/>
              </w:rPr>
              <w:t xml:space="preserve"> az amlodipin-clearance valamelyest csökken, az AUC és az eliminációs felezési idő nő. Pangásos szívelégtelenségben az AUC és a felezési idő növekedése a vizsgált korosztálynak megfelelő volt.</w:t>
            </w:r>
          </w:p>
        </w:tc>
      </w:tr>
      <w:tr w:rsidR="00716545" w:rsidRPr="00D91094" w14:paraId="005269EA" w14:textId="77777777" w:rsidTr="00D2704D">
        <w:tc>
          <w:tcPr>
            <w:tcW w:w="2263" w:type="dxa"/>
            <w:vMerge w:val="restart"/>
          </w:tcPr>
          <w:p w14:paraId="2084AB88" w14:textId="77777777" w:rsidR="00716545" w:rsidRPr="00D91094" w:rsidRDefault="00716545" w:rsidP="00D2704D">
            <w:pPr>
              <w:widowControl w:val="0"/>
              <w:suppressAutoHyphens/>
              <w:autoSpaceDE w:val="0"/>
              <w:autoSpaceDN w:val="0"/>
              <w:adjustRightInd w:val="0"/>
              <w:rPr>
                <w:rFonts w:ascii="Times New Roman" w:hAnsi="Times New Roman" w:cs="Times New Roman"/>
                <w:iCs/>
              </w:rPr>
            </w:pPr>
            <w:r w:rsidRPr="00D91094">
              <w:rPr>
                <w:rFonts w:ascii="Times New Roman" w:hAnsi="Times New Roman" w:cs="Times New Roman"/>
                <w:iCs/>
              </w:rPr>
              <w:t>Vesekárosodás</w:t>
            </w:r>
          </w:p>
        </w:tc>
        <w:tc>
          <w:tcPr>
            <w:tcW w:w="1843" w:type="dxa"/>
          </w:tcPr>
          <w:p w14:paraId="1CB537DB"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perindopril</w:t>
            </w:r>
          </w:p>
        </w:tc>
        <w:tc>
          <w:tcPr>
            <w:tcW w:w="4956" w:type="dxa"/>
          </w:tcPr>
          <w:p w14:paraId="6F2C8FEB" w14:textId="35312087" w:rsidR="00716545" w:rsidRPr="00D91094" w:rsidRDefault="00716545" w:rsidP="00D2704D">
            <w:pPr>
              <w:widowControl w:val="0"/>
              <w:suppressAutoHyphens/>
              <w:autoSpaceDE w:val="0"/>
              <w:autoSpaceDN w:val="0"/>
              <w:adjustRightInd w:val="0"/>
              <w:rPr>
                <w:rFonts w:ascii="Times New Roman" w:hAnsi="Times New Roman" w:cs="Times New Roman"/>
              </w:rPr>
            </w:pPr>
            <w:r w:rsidRPr="00D91094">
              <w:rPr>
                <w:rFonts w:ascii="Times New Roman" w:hAnsi="Times New Roman" w:cs="Times New Roman"/>
              </w:rPr>
              <w:t>Veseelégtelenségben javasolt a d</w:t>
            </w:r>
            <w:r w:rsidR="00ED3624">
              <w:rPr>
                <w:rFonts w:ascii="Times New Roman" w:hAnsi="Times New Roman" w:cs="Times New Roman"/>
              </w:rPr>
              <w:t>ózis</w:t>
            </w:r>
            <w:r w:rsidRPr="00D91094">
              <w:rPr>
                <w:rFonts w:ascii="Times New Roman" w:hAnsi="Times New Roman" w:cs="Times New Roman"/>
              </w:rPr>
              <w:t xml:space="preserve"> módosítása a károsodás mértékétől (kreatinin-clearance) függően.</w:t>
            </w:r>
          </w:p>
          <w:p w14:paraId="1B9A0F87"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rPr>
              <w:t>A perindoprilát dialízis-clearance-e 70 ml/perc.</w:t>
            </w:r>
          </w:p>
        </w:tc>
      </w:tr>
      <w:tr w:rsidR="00716545" w:rsidRPr="00D91094" w14:paraId="5C7B6FA6" w14:textId="77777777" w:rsidTr="00D2704D">
        <w:tc>
          <w:tcPr>
            <w:tcW w:w="2263" w:type="dxa"/>
            <w:vMerge/>
          </w:tcPr>
          <w:p w14:paraId="74B5EE80"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p>
        </w:tc>
        <w:tc>
          <w:tcPr>
            <w:tcW w:w="1843" w:type="dxa"/>
          </w:tcPr>
          <w:p w14:paraId="028BA30F"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indapamid</w:t>
            </w:r>
          </w:p>
        </w:tc>
        <w:tc>
          <w:tcPr>
            <w:tcW w:w="4956" w:type="dxa"/>
          </w:tcPr>
          <w:p w14:paraId="41FB305E"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rPr>
              <w:t>Veseelégtelenségben a farmakokinetikai paraméterek nem változtak.</w:t>
            </w:r>
          </w:p>
        </w:tc>
      </w:tr>
      <w:tr w:rsidR="00716545" w:rsidRPr="00D91094" w14:paraId="58A0799E" w14:textId="77777777" w:rsidTr="00D2704D">
        <w:tc>
          <w:tcPr>
            <w:tcW w:w="2263" w:type="dxa"/>
            <w:vMerge w:val="restart"/>
          </w:tcPr>
          <w:p w14:paraId="06771A8F"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Májkárosodás</w:t>
            </w:r>
          </w:p>
        </w:tc>
        <w:tc>
          <w:tcPr>
            <w:tcW w:w="1843" w:type="dxa"/>
          </w:tcPr>
          <w:p w14:paraId="22429EF7"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perindopril</w:t>
            </w:r>
          </w:p>
        </w:tc>
        <w:tc>
          <w:tcPr>
            <w:tcW w:w="4956" w:type="dxa"/>
          </w:tcPr>
          <w:p w14:paraId="70D93A5A"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rPr>
              <w:t>Májcirrózis esetén a perindopril kinetikája megváltozik, a hepaticus clearance a felére csökken. A perindoprilát mennyisége azonban a plazmában nem változik, így dózismódosításra általában nincs szükség (lásd 4.2 és 4.4 pont)</w:t>
            </w:r>
            <w:r w:rsidR="00ED3624">
              <w:rPr>
                <w:rFonts w:ascii="Times New Roman" w:hAnsi="Times New Roman" w:cs="Times New Roman"/>
              </w:rPr>
              <w:t>.</w:t>
            </w:r>
          </w:p>
        </w:tc>
      </w:tr>
      <w:tr w:rsidR="00716545" w:rsidRPr="00D91094" w14:paraId="1D84E5E2" w14:textId="77777777" w:rsidTr="00D2704D">
        <w:tc>
          <w:tcPr>
            <w:tcW w:w="2263" w:type="dxa"/>
            <w:vMerge/>
          </w:tcPr>
          <w:p w14:paraId="1F668408"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p>
        </w:tc>
        <w:tc>
          <w:tcPr>
            <w:tcW w:w="1843" w:type="dxa"/>
          </w:tcPr>
          <w:p w14:paraId="3AE3F462"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amlodipin</w:t>
            </w:r>
          </w:p>
        </w:tc>
        <w:tc>
          <w:tcPr>
            <w:tcW w:w="4956" w:type="dxa"/>
          </w:tcPr>
          <w:p w14:paraId="56232665" w14:textId="77777777" w:rsidR="00716545" w:rsidRPr="00D91094" w:rsidRDefault="00716545" w:rsidP="00D2704D">
            <w:pPr>
              <w:widowControl w:val="0"/>
              <w:suppressAutoHyphens/>
              <w:autoSpaceDE w:val="0"/>
              <w:autoSpaceDN w:val="0"/>
              <w:adjustRightInd w:val="0"/>
              <w:rPr>
                <w:rFonts w:ascii="Times New Roman" w:hAnsi="Times New Roman" w:cs="Times New Roman"/>
                <w:bCs/>
                <w:iCs/>
              </w:rPr>
            </w:pPr>
            <w:r w:rsidRPr="00D91094">
              <w:rPr>
                <w:rFonts w:ascii="Times New Roman" w:hAnsi="Times New Roman" w:cs="Times New Roman"/>
                <w:bCs/>
                <w:iCs/>
              </w:rPr>
              <w:t>Az amlodipin májkárosodásban szenvedő betegeknél történő alkalmazásáról nagyon kevés klinikai adat áll rendelkezésre. Májelégtelenségben szenvedő betegek esetében csökken az amlodipin clearance</w:t>
            </w:r>
            <w:r w:rsidRPr="00D91094">
              <w:rPr>
                <w:rFonts w:ascii="Times New Roman" w:hAnsi="Times New Roman" w:cs="Times New Roman"/>
                <w:bCs/>
                <w:iCs/>
              </w:rPr>
              <w:noBreakHyphen/>
              <w:t>e, ami hosszabb felezési időt és körülbelül 40-60%-kal magasabb AUC</w:t>
            </w:r>
            <w:r w:rsidRPr="00D91094">
              <w:rPr>
                <w:rFonts w:ascii="Times New Roman" w:hAnsi="Times New Roman" w:cs="Times New Roman"/>
                <w:bCs/>
                <w:iCs/>
              </w:rPr>
              <w:noBreakHyphen/>
              <w:t>értéket eredményez.</w:t>
            </w:r>
          </w:p>
        </w:tc>
      </w:tr>
    </w:tbl>
    <w:p w14:paraId="0E73C5E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A7AF3C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5.3</w:t>
      </w:r>
      <w:r w:rsidRPr="00D91094">
        <w:rPr>
          <w:rFonts w:ascii="Times New Roman" w:hAnsi="Times New Roman" w:cs="Times New Roman"/>
          <w:b/>
          <w:bCs/>
        </w:rPr>
        <w:tab/>
        <w:t>A preklinikai biztonságossági vizsgálatok eredményei</w:t>
      </w:r>
    </w:p>
    <w:p w14:paraId="29E5CA4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F8D716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Perindoprilhez kapcsolódóan</w:t>
      </w:r>
    </w:p>
    <w:p w14:paraId="2044B9C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Krónikus </w:t>
      </w:r>
      <w:r w:rsidRPr="00D91094">
        <w:rPr>
          <w:rFonts w:ascii="Times New Roman" w:hAnsi="Times New Roman" w:cs="Times New Roman"/>
          <w:i/>
        </w:rPr>
        <w:t>per os</w:t>
      </w:r>
      <w:r w:rsidRPr="00D91094">
        <w:rPr>
          <w:rFonts w:ascii="Times New Roman" w:hAnsi="Times New Roman" w:cs="Times New Roman"/>
        </w:rPr>
        <w:t xml:space="preserve"> toxicitási vizsgálatokban (patkányokban és majmokban), a célszerv a vese volt, amelyben reverzibilis károsodást okozott.</w:t>
      </w:r>
    </w:p>
    <w:p w14:paraId="079747F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i/>
        </w:rPr>
        <w:t>In vitro</w:t>
      </w:r>
      <w:r w:rsidRPr="00D91094">
        <w:rPr>
          <w:rFonts w:ascii="Times New Roman" w:hAnsi="Times New Roman" w:cs="Times New Roman"/>
        </w:rPr>
        <w:t xml:space="preserve"> és </w:t>
      </w:r>
      <w:r w:rsidRPr="00D91094">
        <w:rPr>
          <w:rFonts w:ascii="Times New Roman" w:hAnsi="Times New Roman" w:cs="Times New Roman"/>
          <w:i/>
        </w:rPr>
        <w:t>in vivo</w:t>
      </w:r>
      <w:r w:rsidRPr="00D91094">
        <w:rPr>
          <w:rFonts w:ascii="Times New Roman" w:hAnsi="Times New Roman" w:cs="Times New Roman"/>
        </w:rPr>
        <w:t xml:space="preserve"> vizsgálatokban nem figyeltek meg mutagén hatást.</w:t>
      </w:r>
    </w:p>
    <w:p w14:paraId="51B12F5D" w14:textId="38B9B81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lastRenderedPageBreak/>
        <w:t xml:space="preserve">Reproduktív toxicitási vizsgálatok (patkányokban, egerekben, nyulakban és majmokban) nem utaltak embriotoxicitásra vagy teratogenitásra. Az ACE-gátlók csoportja azonban nemkívánatos hatást fejt ki a késői magzati fejlődésre, amelynek eredményeként rágcsálókban magzatelhalás és fejlődési rendellenességek, nyulakban pedig veseléziók előfordulását és a peri- és postnatalis mortalitás növekedését figyelték meg. Sem a hím, sem a nőstény patkányok termékenysége nem </w:t>
      </w:r>
      <w:r w:rsidR="00007289">
        <w:rPr>
          <w:rFonts w:ascii="Times New Roman" w:hAnsi="Times New Roman" w:cs="Times New Roman"/>
        </w:rPr>
        <w:t>károsodott</w:t>
      </w:r>
      <w:r w:rsidRPr="00D91094">
        <w:rPr>
          <w:rFonts w:ascii="Times New Roman" w:hAnsi="Times New Roman" w:cs="Times New Roman"/>
        </w:rPr>
        <w:t>.</w:t>
      </w:r>
    </w:p>
    <w:p w14:paraId="1572F20E" w14:textId="47D8AE36"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Patkányokkal és egerekkel végzett hosszú távú vizsgálatokban nem figyeltek meg daganatkeltő hatást.</w:t>
      </w:r>
    </w:p>
    <w:p w14:paraId="75BCD2C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7F0333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Indapamidhoz kapcsolódóan</w:t>
      </w:r>
    </w:p>
    <w:p w14:paraId="04EA24CC" w14:textId="5EA0359E"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 xml:space="preserve">A különböző állatfajokban </w:t>
      </w:r>
      <w:r w:rsidRPr="00D91094">
        <w:rPr>
          <w:rFonts w:ascii="Times New Roman" w:hAnsi="Times New Roman" w:cs="Times New Roman"/>
          <w:i/>
        </w:rPr>
        <w:t>per os</w:t>
      </w:r>
      <w:r w:rsidRPr="00D91094">
        <w:rPr>
          <w:rFonts w:ascii="Times New Roman" w:hAnsi="Times New Roman" w:cs="Times New Roman"/>
        </w:rPr>
        <w:t xml:space="preserve"> beadott leg</w:t>
      </w:r>
      <w:r w:rsidR="00007289">
        <w:rPr>
          <w:rFonts w:ascii="Times New Roman" w:hAnsi="Times New Roman" w:cs="Times New Roman"/>
        </w:rPr>
        <w:t>nagyo</w:t>
      </w:r>
      <w:r w:rsidRPr="00D91094">
        <w:rPr>
          <w:rFonts w:ascii="Times New Roman" w:hAnsi="Times New Roman" w:cs="Times New Roman"/>
        </w:rPr>
        <w:t>bb dózisok (a terápiás dózis 40-8000-szerese) az indapamid diuretikus hatásának fokozódását okozták. Az intravénásan vagy intraperitoneálisan alkalmazott indapamiddal kapcsolatos akut toxicitási vizsgálatokban a mérgezés fő tünetei az indapamid farmakológiai hatásával voltak összefüggésben: bradypnoe és perifériás értágulat.</w:t>
      </w:r>
    </w:p>
    <w:p w14:paraId="259248BA" w14:textId="4335CCBC"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reprodukciós toxicitási vizsgálatok során nem mutatott sem embriotoxikus, sem teratogén hatást és a termékenységet sem károsította</w:t>
      </w:r>
      <w:r w:rsidR="00007289">
        <w:rPr>
          <w:rFonts w:ascii="Times New Roman" w:hAnsi="Times New Roman" w:cs="Times New Roman"/>
        </w:rPr>
        <w:t>.</w:t>
      </w:r>
    </w:p>
    <w:p w14:paraId="77FCDE4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Az indapamid a vizsgálatok során nem mutatott mutagén és daganatkeltő hatásokat.</w:t>
      </w:r>
    </w:p>
    <w:p w14:paraId="77B63EE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598C52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u w:val="single"/>
        </w:rPr>
      </w:pPr>
      <w:r w:rsidRPr="00D91094">
        <w:rPr>
          <w:rFonts w:ascii="Times New Roman" w:hAnsi="Times New Roman" w:cs="Times New Roman"/>
          <w:u w:val="single"/>
        </w:rPr>
        <w:t>A perindopril/indapamidhoz kapcsolódóan</w:t>
      </w:r>
    </w:p>
    <w:p w14:paraId="70CFD50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perindopril/indapamid kombináció toxicitása kismértékben meghaladja az összetevők külön meglévő toxicitását. Patkányokban a veseelváltozások gyakorisága nem fokozódik. A kombináció kutyákban gastrointestinalis toxicitást, és patkányokon teratogén hatás nélküli maternotoxicitást okoz.</w:t>
      </w:r>
    </w:p>
    <w:p w14:paraId="702BB33F" w14:textId="2713482A"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Mindazonáltal e mellékhatások a terápiás dózis sokszorosának alkalmazásakor figyelhetőek meg.</w:t>
      </w:r>
    </w:p>
    <w:p w14:paraId="57886C19" w14:textId="29C42BE8"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perindoprillal és az indapamiddal külön végzett preklinikai vizsgálatok nem mutatták azok genotoxikus, karcinogén potenciálját. A reprodukciós toxikológia vizsgálatok nem mutattak ki embriotoxicitást vagy teratogenitást, és a termékenység sem csökkent.</w:t>
      </w:r>
    </w:p>
    <w:p w14:paraId="27A7F0C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0CD834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u w:val="single"/>
        </w:rPr>
      </w:pPr>
      <w:r w:rsidRPr="00D91094">
        <w:rPr>
          <w:rFonts w:ascii="Times New Roman" w:hAnsi="Times New Roman" w:cs="Times New Roman"/>
          <w:bCs/>
          <w:u w:val="single"/>
        </w:rPr>
        <w:t>Amlodipinhez kapcsolódóan</w:t>
      </w:r>
    </w:p>
    <w:p w14:paraId="1732D58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rPr>
      </w:pPr>
      <w:r w:rsidRPr="00D91094">
        <w:rPr>
          <w:rFonts w:ascii="Times New Roman" w:hAnsi="Times New Roman" w:cs="Times New Roman"/>
          <w:bCs/>
          <w:i/>
        </w:rPr>
        <w:t>Reprodukciós toxicitás</w:t>
      </w:r>
    </w:p>
    <w:p w14:paraId="14354FB7" w14:textId="3CAE4CF1"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Patkányokkal és egerekkel végzett reprodukciós vizsgálatok a</w:t>
      </w:r>
      <w:r w:rsidR="007076D5">
        <w:rPr>
          <w:rFonts w:ascii="Times New Roman" w:hAnsi="Times New Roman" w:cs="Times New Roman"/>
          <w:bCs/>
        </w:rPr>
        <w:t>z ellés</w:t>
      </w:r>
      <w:r w:rsidRPr="00D91094">
        <w:rPr>
          <w:rFonts w:ascii="Times New Roman" w:hAnsi="Times New Roman" w:cs="Times New Roman"/>
          <w:bCs/>
        </w:rPr>
        <w:t xml:space="preserve"> időpontjának későbbre tolódását, a vajúdás időtartamának megnyúlását és az utódok alacsonyabb túlélését mutatták, az ember számára maximálisan javasolt dózis 50-szeresét alkalmazva mg/t</w:t>
      </w:r>
      <w:r w:rsidR="007076D5">
        <w:rPr>
          <w:rFonts w:ascii="Times New Roman" w:hAnsi="Times New Roman" w:cs="Times New Roman"/>
          <w:bCs/>
        </w:rPr>
        <w:t>t</w:t>
      </w:r>
      <w:r w:rsidRPr="00D91094">
        <w:rPr>
          <w:rFonts w:ascii="Times New Roman" w:hAnsi="Times New Roman" w:cs="Times New Roman"/>
          <w:bCs/>
        </w:rPr>
        <w:t>kg-ra vonatkoztatva.</w:t>
      </w:r>
    </w:p>
    <w:p w14:paraId="5C3FEC8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1B61069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rPr>
      </w:pPr>
      <w:r w:rsidRPr="00D91094">
        <w:rPr>
          <w:rFonts w:ascii="Times New Roman" w:hAnsi="Times New Roman" w:cs="Times New Roman"/>
          <w:bCs/>
          <w:i/>
        </w:rPr>
        <w:t>Fertilitás károsodása</w:t>
      </w:r>
    </w:p>
    <w:p w14:paraId="74461CF3" w14:textId="43E79EA5"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Legfeljebb 10 mg/ttkg/napi dózisú (ami a mg/m</w:t>
      </w:r>
      <w:r w:rsidRPr="00D91094">
        <w:rPr>
          <w:rFonts w:ascii="Times New Roman" w:hAnsi="Times New Roman" w:cs="Times New Roman"/>
          <w:bCs/>
          <w:vertAlign w:val="superscript"/>
        </w:rPr>
        <w:t>2</w:t>
      </w:r>
      <w:r w:rsidRPr="00D91094">
        <w:rPr>
          <w:rFonts w:ascii="Times New Roman" w:hAnsi="Times New Roman" w:cs="Times New Roman"/>
          <w:bCs/>
        </w:rPr>
        <w:t xml:space="preserve"> alapon számolt maximálisan 10 mg javasolt humán dózis 8-szorosa*) amlodipinnel kezelt patkányoknál (hímek 64 napon át, nőstények 14 napon át párzás előtt) termékenységre gyakorolt hatás nem volt. Egy másik patkányokkal végzett vizsgálatban, amiben hím patkányokat kezeltek 30 napon keresztül, mg/</w:t>
      </w:r>
      <w:r w:rsidR="007076D5">
        <w:rPr>
          <w:rFonts w:ascii="Times New Roman" w:hAnsi="Times New Roman" w:cs="Times New Roman"/>
          <w:bCs/>
        </w:rPr>
        <w:t>tt</w:t>
      </w:r>
      <w:r w:rsidRPr="00D91094">
        <w:rPr>
          <w:rFonts w:ascii="Times New Roman" w:hAnsi="Times New Roman" w:cs="Times New Roman"/>
          <w:bCs/>
        </w:rPr>
        <w:t>kg-ra vonatkoztatva az embernél alkalmazott dózisokhoz hasonló amlodipin-bezilát d</w:t>
      </w:r>
      <w:r w:rsidR="007076D5">
        <w:rPr>
          <w:rFonts w:ascii="Times New Roman" w:hAnsi="Times New Roman" w:cs="Times New Roman"/>
          <w:bCs/>
        </w:rPr>
        <w:t>óziso</w:t>
      </w:r>
      <w:r w:rsidRPr="00D91094">
        <w:rPr>
          <w:rFonts w:ascii="Times New Roman" w:hAnsi="Times New Roman" w:cs="Times New Roman"/>
          <w:bCs/>
        </w:rPr>
        <w:t>kkal, csökkent a plazma folliculusstimuláló hormon (FSH) és tesztoszteron szintje, valamint a spermium denzitásának, az érett spermiumok számának és a Sertolli sejtek számának csökkenését tapasztalták.</w:t>
      </w:r>
    </w:p>
    <w:p w14:paraId="40D19787"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p>
    <w:p w14:paraId="43AEFC9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i/>
        </w:rPr>
      </w:pPr>
      <w:r w:rsidRPr="00D91094">
        <w:rPr>
          <w:rFonts w:ascii="Times New Roman" w:hAnsi="Times New Roman" w:cs="Times New Roman"/>
          <w:bCs/>
          <w:i/>
        </w:rPr>
        <w:t>Karcinogenitás, mutagenitás</w:t>
      </w:r>
    </w:p>
    <w:p w14:paraId="2B1E2CCA" w14:textId="4736FB4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Patkányok és egerek 2 éves táplálékhoz adott amlodipin-kezelése 0,5, 1,25 és 2,5 mg/ttkg/nap dózisszintet biztosító számolt koncentrációnál nem mutatott karcinogenitást. A leg</w:t>
      </w:r>
      <w:r w:rsidR="007076D5">
        <w:rPr>
          <w:rFonts w:ascii="Times New Roman" w:hAnsi="Times New Roman" w:cs="Times New Roman"/>
          <w:bCs/>
        </w:rPr>
        <w:t>nagyo</w:t>
      </w:r>
      <w:r w:rsidRPr="00D91094">
        <w:rPr>
          <w:rFonts w:ascii="Times New Roman" w:hAnsi="Times New Roman" w:cs="Times New Roman"/>
          <w:bCs/>
        </w:rPr>
        <w:t>bb d</w:t>
      </w:r>
      <w:r w:rsidR="007076D5">
        <w:rPr>
          <w:rFonts w:ascii="Times New Roman" w:hAnsi="Times New Roman" w:cs="Times New Roman"/>
          <w:bCs/>
        </w:rPr>
        <w:t>ózis</w:t>
      </w:r>
      <w:r w:rsidRPr="00D91094">
        <w:rPr>
          <w:rFonts w:ascii="Times New Roman" w:hAnsi="Times New Roman" w:cs="Times New Roman"/>
          <w:bCs/>
        </w:rPr>
        <w:t xml:space="preserve"> (egereknél hasonló, patkányoknál a kétszerese a mg/m</w:t>
      </w:r>
      <w:r w:rsidRPr="00D91094">
        <w:rPr>
          <w:rFonts w:ascii="Times New Roman" w:hAnsi="Times New Roman" w:cs="Times New Roman"/>
          <w:bCs/>
          <w:vertAlign w:val="superscript"/>
        </w:rPr>
        <w:t>2</w:t>
      </w:r>
      <w:r w:rsidRPr="00D91094">
        <w:rPr>
          <w:rFonts w:ascii="Times New Roman" w:hAnsi="Times New Roman" w:cs="Times New Roman"/>
          <w:bCs/>
        </w:rPr>
        <w:t xml:space="preserve"> alapon javasolt 10 mg-os maximális klinikai dózisszintnek) megközelítette az egereknél mért maximális tolerálható d</w:t>
      </w:r>
      <w:r w:rsidR="00007289">
        <w:rPr>
          <w:rFonts w:ascii="Times New Roman" w:hAnsi="Times New Roman" w:cs="Times New Roman"/>
          <w:bCs/>
        </w:rPr>
        <w:t>ózis</w:t>
      </w:r>
      <w:r w:rsidRPr="00D91094">
        <w:rPr>
          <w:rFonts w:ascii="Times New Roman" w:hAnsi="Times New Roman" w:cs="Times New Roman"/>
          <w:bCs/>
        </w:rPr>
        <w:t>t, azonban a patkányoknál nem.</w:t>
      </w:r>
    </w:p>
    <w:p w14:paraId="3FA910B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Mutagenitási vizsgálatok gyógyszerrel kapcsolatos hatást sem gén-, sem kromoszómaszinten nem mutattak.</w:t>
      </w:r>
    </w:p>
    <w:p w14:paraId="53F3BD7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Cs/>
        </w:rPr>
      </w:pPr>
      <w:r w:rsidRPr="00D91094">
        <w:rPr>
          <w:rFonts w:ascii="Times New Roman" w:hAnsi="Times New Roman" w:cs="Times New Roman"/>
          <w:bCs/>
        </w:rPr>
        <w:t>*50 kg-os testtömeget véve alapul.</w:t>
      </w:r>
    </w:p>
    <w:p w14:paraId="48B918EF"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7FFE6F5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F01AF9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w:t>
      </w:r>
      <w:r w:rsidRPr="00D91094">
        <w:rPr>
          <w:rFonts w:ascii="Times New Roman" w:hAnsi="Times New Roman" w:cs="Times New Roman"/>
          <w:b/>
          <w:bCs/>
        </w:rPr>
        <w:tab/>
        <w:t>GYÓGYSZERÉSZETI JELLEMZŐK</w:t>
      </w:r>
    </w:p>
    <w:p w14:paraId="5EB96DF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ABBCB10" w14:textId="77777777" w:rsidR="00716545" w:rsidRPr="00D91094" w:rsidRDefault="00716545" w:rsidP="00716545">
      <w:pPr>
        <w:pStyle w:val="Listaszerbekezds"/>
        <w:widowControl w:val="0"/>
        <w:numPr>
          <w:ilvl w:val="1"/>
          <w:numId w:val="2"/>
        </w:numPr>
        <w:suppressAutoHyphens/>
        <w:autoSpaceDE w:val="0"/>
        <w:autoSpaceDN w:val="0"/>
        <w:adjustRightInd w:val="0"/>
        <w:spacing w:after="0" w:line="240" w:lineRule="auto"/>
        <w:ind w:left="0" w:firstLine="0"/>
        <w:rPr>
          <w:rFonts w:ascii="Times New Roman" w:hAnsi="Times New Roman" w:cs="Times New Roman"/>
          <w:b/>
          <w:bCs/>
        </w:rPr>
      </w:pPr>
      <w:r w:rsidRPr="00D91094">
        <w:rPr>
          <w:rFonts w:ascii="Times New Roman" w:hAnsi="Times New Roman" w:cs="Times New Roman"/>
          <w:b/>
          <w:bCs/>
        </w:rPr>
        <w:t>Segédanyagok felsorolása</w:t>
      </w:r>
    </w:p>
    <w:p w14:paraId="6169D8B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4AC9FC8" w14:textId="33BBAB49" w:rsidR="0071654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m</w:t>
      </w:r>
      <w:r w:rsidR="00716545" w:rsidRPr="00D91094">
        <w:rPr>
          <w:rFonts w:ascii="Times New Roman" w:hAnsi="Times New Roman" w:cs="Times New Roman"/>
        </w:rPr>
        <w:t>ikrokristályos cellulóz</w:t>
      </w:r>
    </w:p>
    <w:p w14:paraId="5D7A7C51" w14:textId="3AB80714"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kalcium-hidrogén-foszfát</w:t>
      </w:r>
    </w:p>
    <w:p w14:paraId="3F002643" w14:textId="40F45C03" w:rsidR="0071654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lastRenderedPageBreak/>
        <w:t>v</w:t>
      </w:r>
      <w:r w:rsidR="00716545" w:rsidRPr="00D91094">
        <w:rPr>
          <w:rFonts w:ascii="Times New Roman" w:hAnsi="Times New Roman" w:cs="Times New Roman"/>
        </w:rPr>
        <w:t>örös vas-oxid (E 172)</w:t>
      </w:r>
    </w:p>
    <w:p w14:paraId="03C8B554" w14:textId="797ABF72" w:rsidR="0071654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k</w:t>
      </w:r>
      <w:r w:rsidR="00716545" w:rsidRPr="00D91094">
        <w:rPr>
          <w:rFonts w:ascii="Times New Roman" w:hAnsi="Times New Roman" w:cs="Times New Roman"/>
        </w:rPr>
        <w:t>roszkarmellóz-nátrium</w:t>
      </w:r>
    </w:p>
    <w:p w14:paraId="45E11AF3" w14:textId="750F68E1" w:rsidR="0071654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v</w:t>
      </w:r>
      <w:r w:rsidR="00716545" w:rsidRPr="00D91094">
        <w:rPr>
          <w:rFonts w:ascii="Times New Roman" w:hAnsi="Times New Roman" w:cs="Times New Roman"/>
        </w:rPr>
        <w:t>ízmentes</w:t>
      </w:r>
      <w:r>
        <w:rPr>
          <w:rFonts w:ascii="Times New Roman" w:hAnsi="Times New Roman" w:cs="Times New Roman"/>
        </w:rPr>
        <w:t>,</w:t>
      </w:r>
      <w:r w:rsidR="00716545" w:rsidRPr="00D91094">
        <w:rPr>
          <w:rFonts w:ascii="Times New Roman" w:hAnsi="Times New Roman" w:cs="Times New Roman"/>
        </w:rPr>
        <w:t xml:space="preserve"> kolloid szilícium</w:t>
      </w:r>
      <w:r w:rsidR="00716545" w:rsidRPr="00D91094">
        <w:rPr>
          <w:rFonts w:ascii="Times New Roman" w:hAnsi="Times New Roman" w:cs="Times New Roman"/>
        </w:rPr>
        <w:noBreakHyphen/>
        <w:t>dioxid</w:t>
      </w:r>
    </w:p>
    <w:p w14:paraId="67D3C866" w14:textId="6B37724D" w:rsidR="0071654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m</w:t>
      </w:r>
      <w:r w:rsidR="00716545" w:rsidRPr="00D91094">
        <w:rPr>
          <w:rFonts w:ascii="Times New Roman" w:hAnsi="Times New Roman" w:cs="Times New Roman"/>
        </w:rPr>
        <w:t>agnézium-sztearát</w:t>
      </w:r>
    </w:p>
    <w:p w14:paraId="42BBCF0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A019DC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6.2</w:t>
      </w:r>
      <w:r w:rsidRPr="00D91094">
        <w:rPr>
          <w:rFonts w:ascii="Times New Roman" w:hAnsi="Times New Roman" w:cs="Times New Roman"/>
          <w:b/>
          <w:bCs/>
        </w:rPr>
        <w:tab/>
        <w:t>Inkompatibilitások</w:t>
      </w:r>
    </w:p>
    <w:p w14:paraId="6B0DABA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67F553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Nem értelmezhető.</w:t>
      </w:r>
    </w:p>
    <w:p w14:paraId="5DF55C06"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8D836B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6.3</w:t>
      </w:r>
      <w:r w:rsidRPr="00D91094">
        <w:rPr>
          <w:rFonts w:ascii="Times New Roman" w:hAnsi="Times New Roman" w:cs="Times New Roman"/>
          <w:b/>
          <w:bCs/>
        </w:rPr>
        <w:tab/>
        <w:t>Felhasználhatósági időtartam</w:t>
      </w:r>
    </w:p>
    <w:p w14:paraId="09B89B0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A1EF42B" w14:textId="448E8A97" w:rsidR="00716545" w:rsidRPr="00D91094" w:rsidRDefault="009D634A" w:rsidP="00716545">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3</w:t>
      </w:r>
      <w:r w:rsidR="00716545" w:rsidRPr="00D91094">
        <w:rPr>
          <w:rFonts w:ascii="Times New Roman" w:hAnsi="Times New Roman" w:cs="Times New Roman"/>
        </w:rPr>
        <w:t> év</w:t>
      </w:r>
    </w:p>
    <w:p w14:paraId="6089CCB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17E8F8C"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6.4</w:t>
      </w:r>
      <w:r w:rsidRPr="00D91094">
        <w:rPr>
          <w:rFonts w:ascii="Times New Roman" w:hAnsi="Times New Roman" w:cs="Times New Roman"/>
          <w:b/>
          <w:bCs/>
        </w:rPr>
        <w:tab/>
        <w:t>Különleges tárolási előírások</w:t>
      </w:r>
    </w:p>
    <w:p w14:paraId="0F55C14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7E3BAD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Ez a gyógyszer különleges tárolási hőmérsékletet nem igényel.</w:t>
      </w:r>
    </w:p>
    <w:p w14:paraId="2682ECD2" w14:textId="4928E9D6"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fénytől és a nedvességtől való védelem érdekében az eredeti csomagolásban tárolandó.</w:t>
      </w:r>
    </w:p>
    <w:p w14:paraId="07C408A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68D031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6.5</w:t>
      </w:r>
      <w:r w:rsidRPr="00D91094">
        <w:rPr>
          <w:rFonts w:ascii="Times New Roman" w:hAnsi="Times New Roman" w:cs="Times New Roman"/>
          <w:b/>
          <w:bCs/>
        </w:rPr>
        <w:tab/>
        <w:t>Csomagolás típusa és kiszerelése</w:t>
      </w:r>
    </w:p>
    <w:p w14:paraId="6ABCCFC3" w14:textId="77777777" w:rsidR="00716545" w:rsidRPr="00D91094" w:rsidRDefault="00716545" w:rsidP="00716545">
      <w:pPr>
        <w:pStyle w:val="Nincstrkz"/>
        <w:widowControl w:val="0"/>
        <w:suppressAutoHyphens/>
        <w:rPr>
          <w:rFonts w:cs="Times New Roman"/>
          <w:highlight w:val="yellow"/>
        </w:rPr>
      </w:pPr>
    </w:p>
    <w:p w14:paraId="687B6B71" w14:textId="1FE2482B"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30, 60 vagy 90 db tabletta OPA/Al/PVC//Al buborékcsomagolásban és dobozban.</w:t>
      </w:r>
    </w:p>
    <w:p w14:paraId="61D5B4B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E82316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Nem feltétlenül mindegyik kiszerelés kerül kereskedelmi forgalomba.</w:t>
      </w:r>
    </w:p>
    <w:p w14:paraId="43AD6E31"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6F6935B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6.6</w:t>
      </w:r>
      <w:r w:rsidRPr="00D91094">
        <w:rPr>
          <w:rFonts w:ascii="Times New Roman" w:hAnsi="Times New Roman" w:cs="Times New Roman"/>
          <w:b/>
          <w:bCs/>
        </w:rPr>
        <w:tab/>
        <w:t>A megsemmisítésre vonatkozó különleges óvintézkedések</w:t>
      </w:r>
      <w:r w:rsidR="007076D5">
        <w:rPr>
          <w:rFonts w:ascii="Times New Roman" w:hAnsi="Times New Roman" w:cs="Times New Roman"/>
          <w:b/>
          <w:bCs/>
        </w:rPr>
        <w:t xml:space="preserve"> és egyéb, a készítmény kezelésével kapcsolatos információk</w:t>
      </w:r>
    </w:p>
    <w:p w14:paraId="323EF7F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4BA843C" w14:textId="46F75663"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Bármilyen fel nem használt gyógyszer, illetve hulladékanyag megsemmisítését a gyógyszerekre vonatkozó előírások szerint kell végrehajtani.</w:t>
      </w:r>
    </w:p>
    <w:p w14:paraId="726FC7A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454BA4BE"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b/>
          <w:bCs/>
        </w:rPr>
        <w:t>Megjegyzés:</w:t>
      </w:r>
      <w:r w:rsidRPr="00D91094">
        <w:rPr>
          <w:rFonts w:ascii="Times New Roman" w:hAnsi="Times New Roman" w:cs="Times New Roman"/>
        </w:rPr>
        <w:t xml:space="preserve"> </w:t>
      </w:r>
      <w:r w:rsidRPr="00D91094">
        <w:rPr>
          <w:rFonts w:ascii="Times New Roman" w:hAnsi="Times New Roman" w:cs="Times New Roman"/>
        </w:rPr>
        <w:sym w:font="Wingdings" w:char="F058"/>
      </w:r>
      <w:r w:rsidRPr="00D91094">
        <w:rPr>
          <w:rFonts w:ascii="Times New Roman" w:hAnsi="Times New Roman" w:cs="Times New Roman"/>
        </w:rPr>
        <w:t xml:space="preserve"> (egy keresztes)</w:t>
      </w:r>
    </w:p>
    <w:p w14:paraId="01FBDABA"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rPr>
        <w:t xml:space="preserve">Osztályozás: </w:t>
      </w:r>
      <w:r w:rsidRPr="00D91094">
        <w:rPr>
          <w:rFonts w:ascii="Times New Roman" w:hAnsi="Times New Roman" w:cs="Times New Roman"/>
          <w:b/>
          <w:bCs/>
        </w:rPr>
        <w:t>II. csoport</w:t>
      </w:r>
    </w:p>
    <w:p w14:paraId="3602D2E9"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Kizárólag orvosi rendelvényhez kötött gyógyszer (V).</w:t>
      </w:r>
    </w:p>
    <w:p w14:paraId="2561F71C" w14:textId="77777777" w:rsidR="00716545"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A51BC12" w14:textId="77777777" w:rsidR="007076D5" w:rsidRPr="00D91094" w:rsidRDefault="007076D5" w:rsidP="00716545">
      <w:pPr>
        <w:widowControl w:val="0"/>
        <w:suppressAutoHyphens/>
        <w:autoSpaceDE w:val="0"/>
        <w:autoSpaceDN w:val="0"/>
        <w:adjustRightInd w:val="0"/>
        <w:spacing w:after="0" w:line="240" w:lineRule="auto"/>
        <w:rPr>
          <w:rFonts w:ascii="Times New Roman" w:hAnsi="Times New Roman" w:cs="Times New Roman"/>
        </w:rPr>
      </w:pPr>
    </w:p>
    <w:p w14:paraId="6CA8E2A4"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7.</w:t>
      </w:r>
      <w:r w:rsidRPr="00D91094">
        <w:rPr>
          <w:rFonts w:ascii="Times New Roman" w:hAnsi="Times New Roman" w:cs="Times New Roman"/>
          <w:b/>
          <w:bCs/>
        </w:rPr>
        <w:tab/>
        <w:t>A FORGALOMBA HOZATALI ENGEDÉLY JOGOSULTJA</w:t>
      </w:r>
    </w:p>
    <w:p w14:paraId="260BA132"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733B922" w14:textId="77777777" w:rsidR="00716545" w:rsidRPr="00D91094" w:rsidRDefault="00716545" w:rsidP="00716545">
      <w:pPr>
        <w:widowControl w:val="0"/>
        <w:suppressAutoHyphens/>
        <w:spacing w:after="0" w:line="240" w:lineRule="auto"/>
        <w:rPr>
          <w:rFonts w:ascii="Times New Roman" w:hAnsi="Times New Roman" w:cs="Times New Roman"/>
        </w:rPr>
      </w:pPr>
      <w:r w:rsidRPr="00D91094">
        <w:rPr>
          <w:rFonts w:ascii="Times New Roman" w:hAnsi="Times New Roman" w:cs="Times New Roman"/>
        </w:rPr>
        <w:t>Richter Gedeon Nyrt.</w:t>
      </w:r>
    </w:p>
    <w:p w14:paraId="06520926" w14:textId="77777777" w:rsidR="00716545" w:rsidRPr="00D91094" w:rsidRDefault="00716545" w:rsidP="00716545">
      <w:pPr>
        <w:widowControl w:val="0"/>
        <w:suppressAutoHyphens/>
        <w:spacing w:after="0" w:line="240" w:lineRule="auto"/>
        <w:rPr>
          <w:rFonts w:ascii="Times New Roman" w:hAnsi="Times New Roman" w:cs="Times New Roman"/>
        </w:rPr>
      </w:pPr>
      <w:r w:rsidRPr="00D91094">
        <w:rPr>
          <w:rFonts w:ascii="Times New Roman" w:hAnsi="Times New Roman" w:cs="Times New Roman"/>
        </w:rPr>
        <w:t>H-1103 Budapest</w:t>
      </w:r>
    </w:p>
    <w:p w14:paraId="1435A856" w14:textId="77777777" w:rsidR="00716545" w:rsidRPr="00D91094" w:rsidRDefault="00716545" w:rsidP="00716545">
      <w:pPr>
        <w:widowControl w:val="0"/>
        <w:suppressAutoHyphens/>
        <w:spacing w:after="0" w:line="240" w:lineRule="auto"/>
        <w:rPr>
          <w:rFonts w:ascii="Times New Roman" w:hAnsi="Times New Roman" w:cs="Times New Roman"/>
        </w:rPr>
      </w:pPr>
      <w:r w:rsidRPr="00D91094">
        <w:rPr>
          <w:rFonts w:ascii="Times New Roman" w:hAnsi="Times New Roman" w:cs="Times New Roman"/>
        </w:rPr>
        <w:t>Gyömrői út 19-21.</w:t>
      </w:r>
    </w:p>
    <w:p w14:paraId="6987A130" w14:textId="77777777" w:rsidR="00716545" w:rsidRPr="00D91094" w:rsidRDefault="00716545" w:rsidP="00716545">
      <w:pPr>
        <w:widowControl w:val="0"/>
        <w:suppressAutoHyphens/>
        <w:spacing w:after="0" w:line="240" w:lineRule="auto"/>
        <w:rPr>
          <w:rFonts w:ascii="Times New Roman" w:hAnsi="Times New Roman" w:cs="Times New Roman"/>
        </w:rPr>
      </w:pPr>
      <w:r w:rsidRPr="00D91094">
        <w:rPr>
          <w:rFonts w:ascii="Times New Roman" w:hAnsi="Times New Roman" w:cs="Times New Roman"/>
        </w:rPr>
        <w:t>Magyarország</w:t>
      </w:r>
    </w:p>
    <w:p w14:paraId="133FA64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0BD9A9BD"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38516BE3"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8.</w:t>
      </w:r>
      <w:r w:rsidRPr="00D91094">
        <w:rPr>
          <w:rFonts w:ascii="Times New Roman" w:hAnsi="Times New Roman" w:cs="Times New Roman"/>
          <w:b/>
          <w:bCs/>
        </w:rPr>
        <w:tab/>
        <w:t>A FORGALOMBA HOZATALI ENGEDÉLY SZÁMA(I)</w:t>
      </w:r>
    </w:p>
    <w:p w14:paraId="26A4AE18" w14:textId="77777777" w:rsidR="00716545" w:rsidRPr="00575188" w:rsidRDefault="00716545" w:rsidP="00575188">
      <w:pPr>
        <w:widowControl w:val="0"/>
        <w:suppressAutoHyphens/>
        <w:autoSpaceDE w:val="0"/>
        <w:autoSpaceDN w:val="0"/>
        <w:adjustRightInd w:val="0"/>
        <w:spacing w:after="0" w:line="240" w:lineRule="auto"/>
        <w:rPr>
          <w:rFonts w:ascii="Times New Roman" w:hAnsi="Times New Roman" w:cs="Times New Roman"/>
        </w:rPr>
      </w:pPr>
    </w:p>
    <w:p w14:paraId="16B7A544" w14:textId="77777777" w:rsidR="00716545" w:rsidRPr="00575188" w:rsidRDefault="00716545" w:rsidP="00575188">
      <w:pPr>
        <w:widowControl w:val="0"/>
        <w:suppressAutoHyphens/>
        <w:autoSpaceDE w:val="0"/>
        <w:autoSpaceDN w:val="0"/>
        <w:adjustRightInd w:val="0"/>
        <w:spacing w:after="0" w:line="240" w:lineRule="auto"/>
        <w:rPr>
          <w:rFonts w:ascii="Times New Roman" w:hAnsi="Times New Roman" w:cs="Times New Roman"/>
          <w:u w:val="single"/>
        </w:rPr>
      </w:pPr>
      <w:bookmarkStart w:id="5" w:name="_Hlk98326572"/>
      <w:r w:rsidRPr="00575188">
        <w:rPr>
          <w:rFonts w:ascii="Times New Roman" w:hAnsi="Times New Roman" w:cs="Times New Roman"/>
          <w:u w:val="single"/>
        </w:rPr>
        <w:t>Vidonorm Kombi 4 mg/1,25 mg/5 mg tabletta</w:t>
      </w:r>
    </w:p>
    <w:bookmarkEnd w:id="5"/>
    <w:p w14:paraId="297B18CB" w14:textId="402AB5B6" w:rsidR="00575188" w:rsidRPr="00575188" w:rsidRDefault="00575188" w:rsidP="00E93A20">
      <w:pPr>
        <w:tabs>
          <w:tab w:val="left" w:pos="2268"/>
        </w:tabs>
        <w:spacing w:after="0" w:line="240" w:lineRule="auto"/>
        <w:jc w:val="both"/>
        <w:rPr>
          <w:rFonts w:ascii="Times New Roman" w:hAnsi="Times New Roman" w:cs="Times New Roman"/>
          <w:bCs/>
          <w:sz w:val="24"/>
          <w:szCs w:val="24"/>
          <w:lang w:eastAsia="hu-HU"/>
        </w:rPr>
      </w:pPr>
      <w:r w:rsidRPr="00575188">
        <w:rPr>
          <w:rFonts w:ascii="Times New Roman" w:hAnsi="Times New Roman" w:cs="Times New Roman"/>
          <w:bCs/>
        </w:rPr>
        <w:t>OGYI-T-24316/01</w:t>
      </w:r>
      <w:r>
        <w:rPr>
          <w:rFonts w:ascii="Times New Roman" w:hAnsi="Times New Roman" w:cs="Times New Roman"/>
          <w:bCs/>
        </w:rPr>
        <w:tab/>
      </w:r>
      <w:r w:rsidRPr="00575188">
        <w:rPr>
          <w:rFonts w:ascii="Times New Roman" w:hAnsi="Times New Roman" w:cs="Times New Roman"/>
          <w:bCs/>
        </w:rPr>
        <w:t>30</w:t>
      </w:r>
      <w:r>
        <w:rPr>
          <w:rFonts w:ascii="Times New Roman" w:hAnsi="Times New Roman" w:cs="Times New Roman"/>
          <w:bCs/>
        </w:rPr>
        <w:t>×</w:t>
      </w:r>
    </w:p>
    <w:p w14:paraId="7272EADA" w14:textId="36128912" w:rsidR="00575188" w:rsidRPr="00575188" w:rsidRDefault="00575188" w:rsidP="00E93A20">
      <w:pPr>
        <w:tabs>
          <w:tab w:val="left" w:pos="2268"/>
        </w:tabs>
        <w:spacing w:after="0" w:line="240" w:lineRule="auto"/>
        <w:jc w:val="both"/>
        <w:rPr>
          <w:rFonts w:ascii="Times New Roman" w:hAnsi="Times New Roman" w:cs="Times New Roman"/>
          <w:bCs/>
        </w:rPr>
      </w:pPr>
      <w:r w:rsidRPr="00575188">
        <w:rPr>
          <w:rFonts w:ascii="Times New Roman" w:hAnsi="Times New Roman" w:cs="Times New Roman"/>
          <w:bCs/>
        </w:rPr>
        <w:t>OGYI-T-24316/02</w:t>
      </w:r>
      <w:r>
        <w:rPr>
          <w:rFonts w:ascii="Times New Roman" w:hAnsi="Times New Roman" w:cs="Times New Roman"/>
          <w:bCs/>
        </w:rPr>
        <w:tab/>
      </w:r>
      <w:r w:rsidRPr="00575188">
        <w:rPr>
          <w:rFonts w:ascii="Times New Roman" w:hAnsi="Times New Roman" w:cs="Times New Roman"/>
          <w:bCs/>
        </w:rPr>
        <w:t>60</w:t>
      </w:r>
      <w:r>
        <w:rPr>
          <w:rFonts w:ascii="Times New Roman" w:hAnsi="Times New Roman" w:cs="Times New Roman"/>
          <w:bCs/>
        </w:rPr>
        <w:t>×</w:t>
      </w:r>
    </w:p>
    <w:p w14:paraId="3DA8957F" w14:textId="0F427616" w:rsidR="00575188" w:rsidRPr="00575188" w:rsidRDefault="00575188" w:rsidP="00E93A20">
      <w:pPr>
        <w:tabs>
          <w:tab w:val="left" w:pos="2268"/>
        </w:tabs>
        <w:spacing w:after="0" w:line="240" w:lineRule="auto"/>
        <w:jc w:val="both"/>
        <w:rPr>
          <w:rFonts w:ascii="Times New Roman" w:hAnsi="Times New Roman" w:cs="Times New Roman"/>
          <w:bCs/>
        </w:rPr>
      </w:pPr>
      <w:r>
        <w:rPr>
          <w:rFonts w:ascii="Times New Roman" w:hAnsi="Times New Roman" w:cs="Times New Roman"/>
          <w:bCs/>
        </w:rPr>
        <w:t>OGYI-T-24316/03</w:t>
      </w:r>
      <w:r>
        <w:rPr>
          <w:rFonts w:ascii="Times New Roman" w:hAnsi="Times New Roman" w:cs="Times New Roman"/>
          <w:bCs/>
        </w:rPr>
        <w:tab/>
        <w:t>90×</w:t>
      </w:r>
    </w:p>
    <w:p w14:paraId="5D1044F6" w14:textId="77777777" w:rsidR="00716545" w:rsidRPr="00575188" w:rsidRDefault="00716545" w:rsidP="00575188">
      <w:pPr>
        <w:widowControl w:val="0"/>
        <w:suppressAutoHyphens/>
        <w:autoSpaceDE w:val="0"/>
        <w:autoSpaceDN w:val="0"/>
        <w:adjustRightInd w:val="0"/>
        <w:spacing w:after="0" w:line="240" w:lineRule="auto"/>
        <w:rPr>
          <w:rFonts w:ascii="Times New Roman" w:hAnsi="Times New Roman" w:cs="Times New Roman"/>
        </w:rPr>
      </w:pPr>
    </w:p>
    <w:p w14:paraId="54327578" w14:textId="77777777" w:rsidR="00716545" w:rsidRPr="00575188" w:rsidRDefault="00716545" w:rsidP="00575188">
      <w:pPr>
        <w:widowControl w:val="0"/>
        <w:suppressAutoHyphens/>
        <w:autoSpaceDE w:val="0"/>
        <w:autoSpaceDN w:val="0"/>
        <w:adjustRightInd w:val="0"/>
        <w:spacing w:after="0" w:line="240" w:lineRule="auto"/>
        <w:rPr>
          <w:rFonts w:ascii="Times New Roman" w:hAnsi="Times New Roman" w:cs="Times New Roman"/>
          <w:u w:val="single"/>
        </w:rPr>
      </w:pPr>
      <w:r w:rsidRPr="00575188">
        <w:rPr>
          <w:rFonts w:ascii="Times New Roman" w:hAnsi="Times New Roman" w:cs="Times New Roman"/>
          <w:u w:val="single"/>
        </w:rPr>
        <w:t>Vidonorm Kombi 8 mg/2,5 mg/5 mg tabletta</w:t>
      </w:r>
    </w:p>
    <w:p w14:paraId="082A0C66" w14:textId="44E5F7E3" w:rsidR="00575188" w:rsidRPr="00575188" w:rsidRDefault="00575188" w:rsidP="00E93A20">
      <w:pPr>
        <w:tabs>
          <w:tab w:val="left" w:pos="2268"/>
        </w:tabs>
        <w:spacing w:after="0" w:line="240" w:lineRule="auto"/>
        <w:jc w:val="both"/>
        <w:rPr>
          <w:rFonts w:ascii="Times New Roman" w:hAnsi="Times New Roman" w:cs="Times New Roman"/>
          <w:bCs/>
          <w:sz w:val="24"/>
          <w:szCs w:val="24"/>
          <w:lang w:eastAsia="hu-HU"/>
        </w:rPr>
      </w:pPr>
      <w:r w:rsidRPr="00575188">
        <w:rPr>
          <w:rFonts w:ascii="Times New Roman" w:hAnsi="Times New Roman" w:cs="Times New Roman"/>
          <w:bCs/>
        </w:rPr>
        <w:t>OGYI-T-24316/04</w:t>
      </w:r>
      <w:r w:rsidR="00E93A20">
        <w:rPr>
          <w:rFonts w:ascii="Times New Roman" w:hAnsi="Times New Roman" w:cs="Times New Roman"/>
          <w:bCs/>
        </w:rPr>
        <w:tab/>
        <w:t>3</w:t>
      </w:r>
      <w:r w:rsidRPr="00575188">
        <w:rPr>
          <w:rFonts w:ascii="Times New Roman" w:hAnsi="Times New Roman" w:cs="Times New Roman"/>
          <w:bCs/>
        </w:rPr>
        <w:t>0</w:t>
      </w:r>
      <w:r w:rsidR="00E93A20">
        <w:rPr>
          <w:rFonts w:ascii="Times New Roman" w:hAnsi="Times New Roman" w:cs="Times New Roman"/>
          <w:bCs/>
        </w:rPr>
        <w:t>×</w:t>
      </w:r>
    </w:p>
    <w:p w14:paraId="502A6185" w14:textId="5BAF0EA9" w:rsidR="00575188" w:rsidRPr="00575188" w:rsidRDefault="00E93A20" w:rsidP="00E93A20">
      <w:pPr>
        <w:tabs>
          <w:tab w:val="left" w:pos="2268"/>
        </w:tabs>
        <w:spacing w:after="0" w:line="240" w:lineRule="auto"/>
        <w:jc w:val="both"/>
        <w:rPr>
          <w:rFonts w:ascii="Times New Roman" w:hAnsi="Times New Roman" w:cs="Times New Roman"/>
          <w:bCs/>
        </w:rPr>
      </w:pPr>
      <w:r>
        <w:rPr>
          <w:rFonts w:ascii="Times New Roman" w:hAnsi="Times New Roman" w:cs="Times New Roman"/>
          <w:bCs/>
        </w:rPr>
        <w:t>OGYI-T-24316/05</w:t>
      </w:r>
      <w:r>
        <w:rPr>
          <w:rFonts w:ascii="Times New Roman" w:hAnsi="Times New Roman" w:cs="Times New Roman"/>
          <w:bCs/>
        </w:rPr>
        <w:tab/>
      </w:r>
      <w:r w:rsidR="00575188" w:rsidRPr="00575188">
        <w:rPr>
          <w:rFonts w:ascii="Times New Roman" w:hAnsi="Times New Roman" w:cs="Times New Roman"/>
          <w:bCs/>
        </w:rPr>
        <w:t>60</w:t>
      </w:r>
      <w:r>
        <w:rPr>
          <w:rFonts w:ascii="Times New Roman" w:hAnsi="Times New Roman" w:cs="Times New Roman"/>
          <w:bCs/>
        </w:rPr>
        <w:t>×</w:t>
      </w:r>
    </w:p>
    <w:p w14:paraId="04EC1B90" w14:textId="70B20612" w:rsidR="00575188" w:rsidRPr="00575188" w:rsidRDefault="00575188" w:rsidP="00E93A20">
      <w:pPr>
        <w:tabs>
          <w:tab w:val="left" w:pos="2268"/>
        </w:tabs>
        <w:spacing w:after="0" w:line="240" w:lineRule="auto"/>
        <w:rPr>
          <w:rFonts w:ascii="Times New Roman" w:hAnsi="Times New Roman" w:cs="Times New Roman"/>
          <w:bCs/>
        </w:rPr>
      </w:pPr>
      <w:r w:rsidRPr="00575188">
        <w:rPr>
          <w:rFonts w:ascii="Times New Roman" w:hAnsi="Times New Roman" w:cs="Times New Roman"/>
          <w:bCs/>
        </w:rPr>
        <w:t>OGYI-T-24316/06</w:t>
      </w:r>
      <w:r w:rsidR="00E93A20">
        <w:rPr>
          <w:rFonts w:ascii="Times New Roman" w:hAnsi="Times New Roman" w:cs="Times New Roman"/>
          <w:bCs/>
        </w:rPr>
        <w:tab/>
      </w:r>
      <w:r w:rsidRPr="00575188">
        <w:rPr>
          <w:rFonts w:ascii="Times New Roman" w:hAnsi="Times New Roman" w:cs="Times New Roman"/>
          <w:bCs/>
        </w:rPr>
        <w:t>90</w:t>
      </w:r>
      <w:r w:rsidR="00E93A20">
        <w:rPr>
          <w:rFonts w:ascii="Times New Roman" w:hAnsi="Times New Roman" w:cs="Times New Roman"/>
          <w:bCs/>
        </w:rPr>
        <w:t>×</w:t>
      </w:r>
    </w:p>
    <w:p w14:paraId="33CA8582" w14:textId="77777777" w:rsidR="00716545" w:rsidRPr="00575188" w:rsidRDefault="00716545" w:rsidP="00E93A20">
      <w:pPr>
        <w:widowControl w:val="0"/>
        <w:tabs>
          <w:tab w:val="left" w:pos="2268"/>
        </w:tabs>
        <w:suppressAutoHyphens/>
        <w:autoSpaceDE w:val="0"/>
        <w:autoSpaceDN w:val="0"/>
        <w:adjustRightInd w:val="0"/>
        <w:spacing w:after="0" w:line="240" w:lineRule="auto"/>
        <w:rPr>
          <w:rFonts w:ascii="Times New Roman" w:hAnsi="Times New Roman" w:cs="Times New Roman"/>
        </w:rPr>
      </w:pPr>
    </w:p>
    <w:p w14:paraId="7B70A769" w14:textId="77777777" w:rsidR="00716545" w:rsidRPr="00575188" w:rsidRDefault="00716545" w:rsidP="00E93A20">
      <w:pPr>
        <w:widowControl w:val="0"/>
        <w:tabs>
          <w:tab w:val="left" w:pos="2268"/>
        </w:tabs>
        <w:suppressAutoHyphens/>
        <w:autoSpaceDE w:val="0"/>
        <w:autoSpaceDN w:val="0"/>
        <w:adjustRightInd w:val="0"/>
        <w:spacing w:after="0" w:line="240" w:lineRule="auto"/>
        <w:rPr>
          <w:rFonts w:ascii="Times New Roman" w:hAnsi="Times New Roman" w:cs="Times New Roman"/>
          <w:u w:val="single"/>
        </w:rPr>
      </w:pPr>
      <w:r w:rsidRPr="00575188">
        <w:rPr>
          <w:rFonts w:ascii="Times New Roman" w:hAnsi="Times New Roman" w:cs="Times New Roman"/>
          <w:u w:val="single"/>
        </w:rPr>
        <w:t>Vidonorm Kombi 8 mg/2,5 mg/10 mg tabletta</w:t>
      </w:r>
    </w:p>
    <w:p w14:paraId="7F95C372" w14:textId="47E7AE44" w:rsidR="00575188" w:rsidRPr="00575188" w:rsidRDefault="00575188" w:rsidP="00E93A20">
      <w:pPr>
        <w:tabs>
          <w:tab w:val="left" w:pos="2268"/>
        </w:tabs>
        <w:spacing w:after="0" w:line="240" w:lineRule="auto"/>
        <w:jc w:val="both"/>
        <w:rPr>
          <w:rFonts w:ascii="Times New Roman" w:hAnsi="Times New Roman" w:cs="Times New Roman"/>
          <w:bCs/>
          <w:sz w:val="24"/>
          <w:szCs w:val="24"/>
          <w:lang w:eastAsia="hu-HU"/>
        </w:rPr>
      </w:pPr>
      <w:r w:rsidRPr="00575188">
        <w:rPr>
          <w:rFonts w:ascii="Times New Roman" w:hAnsi="Times New Roman" w:cs="Times New Roman"/>
          <w:bCs/>
        </w:rPr>
        <w:t>OGYI-T-24316/07</w:t>
      </w:r>
      <w:r w:rsidR="00E93A20">
        <w:rPr>
          <w:rFonts w:ascii="Times New Roman" w:hAnsi="Times New Roman" w:cs="Times New Roman"/>
          <w:bCs/>
        </w:rPr>
        <w:tab/>
      </w:r>
      <w:r w:rsidRPr="00575188">
        <w:rPr>
          <w:rFonts w:ascii="Times New Roman" w:hAnsi="Times New Roman" w:cs="Times New Roman"/>
          <w:bCs/>
        </w:rPr>
        <w:t>30</w:t>
      </w:r>
      <w:r w:rsidR="00E93A20">
        <w:rPr>
          <w:rFonts w:ascii="Times New Roman" w:hAnsi="Times New Roman" w:cs="Times New Roman"/>
          <w:bCs/>
        </w:rPr>
        <w:t>×</w:t>
      </w:r>
    </w:p>
    <w:p w14:paraId="2F77EBF2" w14:textId="024AFD88" w:rsidR="00575188" w:rsidRPr="00575188" w:rsidRDefault="00575188" w:rsidP="00E93A20">
      <w:pPr>
        <w:tabs>
          <w:tab w:val="left" w:pos="2268"/>
        </w:tabs>
        <w:spacing w:after="0" w:line="240" w:lineRule="auto"/>
        <w:jc w:val="both"/>
        <w:rPr>
          <w:rFonts w:ascii="Times New Roman" w:hAnsi="Times New Roman" w:cs="Times New Roman"/>
          <w:bCs/>
        </w:rPr>
      </w:pPr>
      <w:r w:rsidRPr="00575188">
        <w:rPr>
          <w:rFonts w:ascii="Times New Roman" w:hAnsi="Times New Roman" w:cs="Times New Roman"/>
          <w:bCs/>
        </w:rPr>
        <w:lastRenderedPageBreak/>
        <w:t>OGYI-T-24316/08</w:t>
      </w:r>
      <w:r w:rsidR="00E93A20">
        <w:rPr>
          <w:rFonts w:ascii="Times New Roman" w:hAnsi="Times New Roman" w:cs="Times New Roman"/>
          <w:bCs/>
        </w:rPr>
        <w:tab/>
      </w:r>
      <w:r w:rsidRPr="00575188">
        <w:rPr>
          <w:rFonts w:ascii="Times New Roman" w:hAnsi="Times New Roman" w:cs="Times New Roman"/>
          <w:bCs/>
        </w:rPr>
        <w:t>60</w:t>
      </w:r>
      <w:r w:rsidR="00E93A20">
        <w:rPr>
          <w:rFonts w:ascii="Times New Roman" w:hAnsi="Times New Roman" w:cs="Times New Roman"/>
          <w:bCs/>
        </w:rPr>
        <w:t>×</w:t>
      </w:r>
    </w:p>
    <w:p w14:paraId="26A35C63" w14:textId="1520710B" w:rsidR="00575188" w:rsidRPr="00575188" w:rsidRDefault="00575188" w:rsidP="00E93A20">
      <w:pPr>
        <w:tabs>
          <w:tab w:val="left" w:pos="2268"/>
        </w:tabs>
        <w:spacing w:after="0" w:line="240" w:lineRule="auto"/>
        <w:rPr>
          <w:rFonts w:ascii="Times New Roman" w:hAnsi="Times New Roman" w:cs="Times New Roman"/>
          <w:bCs/>
        </w:rPr>
      </w:pPr>
      <w:r w:rsidRPr="00575188">
        <w:rPr>
          <w:rFonts w:ascii="Times New Roman" w:hAnsi="Times New Roman" w:cs="Times New Roman"/>
          <w:bCs/>
        </w:rPr>
        <w:t>OGYI-T-24316/09</w:t>
      </w:r>
      <w:r w:rsidR="00E93A20">
        <w:rPr>
          <w:rFonts w:ascii="Times New Roman" w:hAnsi="Times New Roman" w:cs="Times New Roman"/>
          <w:bCs/>
        </w:rPr>
        <w:tab/>
      </w:r>
      <w:r w:rsidRPr="00575188">
        <w:rPr>
          <w:rFonts w:ascii="Times New Roman" w:hAnsi="Times New Roman" w:cs="Times New Roman"/>
          <w:bCs/>
        </w:rPr>
        <w:t>90</w:t>
      </w:r>
      <w:r w:rsidR="00E93A20">
        <w:rPr>
          <w:rFonts w:ascii="Times New Roman" w:hAnsi="Times New Roman" w:cs="Times New Roman"/>
          <w:bCs/>
        </w:rPr>
        <w:t>×</w:t>
      </w:r>
    </w:p>
    <w:p w14:paraId="6883EF40" w14:textId="77777777" w:rsidR="00716545" w:rsidRPr="00575188" w:rsidRDefault="00716545" w:rsidP="00575188">
      <w:pPr>
        <w:widowControl w:val="0"/>
        <w:suppressAutoHyphens/>
        <w:autoSpaceDE w:val="0"/>
        <w:autoSpaceDN w:val="0"/>
        <w:adjustRightInd w:val="0"/>
        <w:spacing w:after="0" w:line="240" w:lineRule="auto"/>
        <w:rPr>
          <w:rFonts w:ascii="Times New Roman" w:hAnsi="Times New Roman" w:cs="Times New Roman"/>
        </w:rPr>
      </w:pPr>
    </w:p>
    <w:p w14:paraId="287E6595"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40BDE39" w14:textId="77777777" w:rsidR="00716545" w:rsidRPr="00D91094" w:rsidRDefault="00716545" w:rsidP="00716545">
      <w:pPr>
        <w:widowControl w:val="0"/>
        <w:suppressAutoHyphens/>
        <w:autoSpaceDE w:val="0"/>
        <w:autoSpaceDN w:val="0"/>
        <w:adjustRightInd w:val="0"/>
        <w:spacing w:after="0" w:line="240" w:lineRule="auto"/>
        <w:ind w:left="567" w:hanging="567"/>
        <w:rPr>
          <w:rFonts w:ascii="Times New Roman" w:hAnsi="Times New Roman" w:cs="Times New Roman"/>
          <w:b/>
          <w:bCs/>
        </w:rPr>
      </w:pPr>
      <w:r w:rsidRPr="00D91094">
        <w:rPr>
          <w:rFonts w:ascii="Times New Roman" w:hAnsi="Times New Roman" w:cs="Times New Roman"/>
          <w:b/>
          <w:bCs/>
        </w:rPr>
        <w:t>9.</w:t>
      </w:r>
      <w:r w:rsidRPr="00D91094">
        <w:rPr>
          <w:rFonts w:ascii="Times New Roman" w:hAnsi="Times New Roman" w:cs="Times New Roman"/>
          <w:b/>
          <w:bCs/>
        </w:rPr>
        <w:tab/>
        <w:t>A FORGALOMBA HOZATALI ENGEDÉLY ELSŐ KIADÁSÁNAK/ MEGÚJÍTÁSÁNAK DÁTUMA</w:t>
      </w:r>
    </w:p>
    <w:p w14:paraId="2658E310"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2F4C21EB" w14:textId="00B677B8" w:rsidR="00E93A20"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r w:rsidRPr="00D91094">
        <w:rPr>
          <w:rFonts w:ascii="Times New Roman" w:hAnsi="Times New Roman" w:cs="Times New Roman"/>
        </w:rPr>
        <w:t>A forgalomba hozatali engedély első kiadásának dátuma:</w:t>
      </w:r>
      <w:r w:rsidR="00E93A20">
        <w:rPr>
          <w:rFonts w:ascii="Times New Roman" w:hAnsi="Times New Roman" w:cs="Times New Roman"/>
        </w:rPr>
        <w:t xml:space="preserve"> 2023. december 11.</w:t>
      </w:r>
    </w:p>
    <w:p w14:paraId="4607346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1D72B57B"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rPr>
      </w:pPr>
    </w:p>
    <w:p w14:paraId="54A8E388" w14:textId="77777777" w:rsidR="00716545" w:rsidRPr="00D91094" w:rsidRDefault="00716545" w:rsidP="00716545">
      <w:pPr>
        <w:widowControl w:val="0"/>
        <w:suppressAutoHyphens/>
        <w:autoSpaceDE w:val="0"/>
        <w:autoSpaceDN w:val="0"/>
        <w:adjustRightInd w:val="0"/>
        <w:spacing w:after="0" w:line="240" w:lineRule="auto"/>
        <w:rPr>
          <w:rFonts w:ascii="Times New Roman" w:hAnsi="Times New Roman" w:cs="Times New Roman"/>
          <w:b/>
          <w:bCs/>
        </w:rPr>
      </w:pPr>
      <w:r w:rsidRPr="00D91094">
        <w:rPr>
          <w:rFonts w:ascii="Times New Roman" w:hAnsi="Times New Roman" w:cs="Times New Roman"/>
          <w:b/>
          <w:bCs/>
        </w:rPr>
        <w:t>10.</w:t>
      </w:r>
      <w:r w:rsidRPr="00D91094">
        <w:rPr>
          <w:rFonts w:ascii="Times New Roman" w:hAnsi="Times New Roman" w:cs="Times New Roman"/>
          <w:b/>
          <w:bCs/>
        </w:rPr>
        <w:tab/>
        <w:t>A SZÖVEG ELLENŐRZÉSÉNEK DÁTUMA</w:t>
      </w:r>
    </w:p>
    <w:p w14:paraId="6E2DCCEB" w14:textId="77777777" w:rsidR="00716545" w:rsidRPr="00D91094" w:rsidRDefault="00716545" w:rsidP="00716545">
      <w:pPr>
        <w:widowControl w:val="0"/>
        <w:suppressAutoHyphens/>
        <w:spacing w:after="0" w:line="240" w:lineRule="auto"/>
        <w:rPr>
          <w:rFonts w:ascii="Times New Roman" w:hAnsi="Times New Roman" w:cs="Times New Roman"/>
        </w:rPr>
      </w:pPr>
    </w:p>
    <w:p w14:paraId="246536D5" w14:textId="2B678911" w:rsidR="00D2704D" w:rsidRPr="00D91094" w:rsidRDefault="007B6D6B" w:rsidP="00E93A20">
      <w:pPr>
        <w:widowControl w:val="0"/>
        <w:suppressAutoHyphens/>
        <w:autoSpaceDE w:val="0"/>
        <w:autoSpaceDN w:val="0"/>
        <w:adjustRightInd w:val="0"/>
        <w:spacing w:after="0" w:line="240" w:lineRule="auto"/>
        <w:rPr>
          <w:rFonts w:ascii="Times New Roman" w:hAnsi="Times New Roman" w:cs="Times New Roman"/>
        </w:rPr>
      </w:pPr>
      <w:r>
        <w:rPr>
          <w:rFonts w:ascii="Times New Roman" w:hAnsi="Times New Roman" w:cs="Times New Roman"/>
        </w:rPr>
        <w:t>2026. június 16.</w:t>
      </w:r>
    </w:p>
    <w:sectPr w:rsidR="00D2704D" w:rsidRPr="00D91094" w:rsidSect="000931D5">
      <w:headerReference w:type="default" r:id="rId12"/>
      <w:footerReference w:type="first" r:id="rId13"/>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87760" w14:textId="77777777" w:rsidR="00575188" w:rsidRDefault="00575188">
      <w:pPr>
        <w:spacing w:after="0" w:line="240" w:lineRule="auto"/>
      </w:pPr>
      <w:r>
        <w:separator/>
      </w:r>
    </w:p>
  </w:endnote>
  <w:endnote w:type="continuationSeparator" w:id="0">
    <w:p w14:paraId="6C2AB843" w14:textId="77777777" w:rsidR="00575188" w:rsidRDefault="0057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A091C" w14:textId="77777777" w:rsidR="007B6D6B" w:rsidRDefault="007B6D6B">
    <w:pPr>
      <w:pStyle w:val="llb"/>
      <w:rPr>
        <w:rFonts w:ascii="Times New Roman" w:hAnsi="Times New Roman" w:cs="Times New Roman"/>
        <w:sz w:val="18"/>
        <w:szCs w:val="18"/>
      </w:rPr>
    </w:pPr>
    <w:r w:rsidRPr="007B6D6B">
      <w:rPr>
        <w:rFonts w:ascii="Times New Roman" w:hAnsi="Times New Roman" w:cs="Times New Roman"/>
        <w:sz w:val="18"/>
        <w:szCs w:val="18"/>
      </w:rPr>
      <w:t>NNGYK/ETGY/16389/2026</w:t>
    </w:r>
  </w:p>
  <w:p w14:paraId="4EBBDA80" w14:textId="77777777" w:rsidR="007B6D6B" w:rsidRDefault="007B6D6B">
    <w:pPr>
      <w:pStyle w:val="llb"/>
      <w:rPr>
        <w:rFonts w:ascii="Times New Roman" w:hAnsi="Times New Roman" w:cs="Times New Roman"/>
        <w:sz w:val="18"/>
        <w:szCs w:val="18"/>
      </w:rPr>
    </w:pPr>
    <w:r>
      <w:rPr>
        <w:rFonts w:ascii="Times New Roman" w:hAnsi="Times New Roman" w:cs="Times New Roman"/>
        <w:sz w:val="18"/>
        <w:szCs w:val="18"/>
      </w:rPr>
      <w:t>NNGYK/ETGY/163</w:t>
    </w:r>
    <w:r w:rsidRPr="007B6D6B">
      <w:rPr>
        <w:rFonts w:ascii="Times New Roman" w:hAnsi="Times New Roman" w:cs="Times New Roman"/>
        <w:sz w:val="18"/>
        <w:szCs w:val="18"/>
      </w:rPr>
      <w:t>9</w:t>
    </w:r>
    <w:r>
      <w:rPr>
        <w:rFonts w:ascii="Times New Roman" w:hAnsi="Times New Roman" w:cs="Times New Roman"/>
        <w:sz w:val="18"/>
        <w:szCs w:val="18"/>
      </w:rPr>
      <w:t>0</w:t>
    </w:r>
    <w:r w:rsidRPr="007B6D6B">
      <w:rPr>
        <w:rFonts w:ascii="Times New Roman" w:hAnsi="Times New Roman" w:cs="Times New Roman"/>
        <w:sz w:val="18"/>
        <w:szCs w:val="18"/>
      </w:rPr>
      <w:t>/2026</w:t>
    </w:r>
  </w:p>
  <w:p w14:paraId="06FB0867" w14:textId="3E0C20F1" w:rsidR="00575188" w:rsidRPr="00B2366F" w:rsidRDefault="007B6D6B">
    <w:pPr>
      <w:pStyle w:val="llb"/>
      <w:rPr>
        <w:rFonts w:ascii="Times New Roman" w:hAnsi="Times New Roman" w:cs="Times New Roman"/>
        <w:sz w:val="18"/>
        <w:szCs w:val="18"/>
      </w:rPr>
    </w:pPr>
    <w:r w:rsidRPr="007B6D6B">
      <w:rPr>
        <w:rFonts w:ascii="Times New Roman" w:hAnsi="Times New Roman" w:cs="Times New Roman"/>
        <w:sz w:val="18"/>
        <w:szCs w:val="18"/>
      </w:rPr>
      <w:t>NNGYK/ETGY/1639</w:t>
    </w:r>
    <w:r>
      <w:rPr>
        <w:rFonts w:ascii="Times New Roman" w:hAnsi="Times New Roman" w:cs="Times New Roman"/>
        <w:sz w:val="18"/>
        <w:szCs w:val="18"/>
      </w:rPr>
      <w:t>2</w:t>
    </w:r>
    <w:r w:rsidRPr="007B6D6B">
      <w:rPr>
        <w:rFonts w:ascii="Times New Roman" w:hAnsi="Times New Roman" w:cs="Times New Roman"/>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80F91" w14:textId="77777777" w:rsidR="00575188" w:rsidRDefault="00575188">
      <w:pPr>
        <w:spacing w:after="0" w:line="240" w:lineRule="auto"/>
      </w:pPr>
      <w:r>
        <w:separator/>
      </w:r>
    </w:p>
  </w:footnote>
  <w:footnote w:type="continuationSeparator" w:id="0">
    <w:p w14:paraId="1268D3B4" w14:textId="77777777" w:rsidR="00575188" w:rsidRDefault="00575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313875"/>
      <w:docPartObj>
        <w:docPartGallery w:val="Page Numbers (Top of Page)"/>
        <w:docPartUnique/>
      </w:docPartObj>
    </w:sdtPr>
    <w:sdtEndPr>
      <w:rPr>
        <w:rFonts w:ascii="Times New Roman" w:hAnsi="Times New Roman" w:cs="Times New Roman"/>
        <w:sz w:val="18"/>
        <w:szCs w:val="18"/>
      </w:rPr>
    </w:sdtEndPr>
    <w:sdtContent>
      <w:p w14:paraId="196847A4" w14:textId="39155A6C" w:rsidR="00575188" w:rsidRPr="00B2366F" w:rsidRDefault="00575188" w:rsidP="00D2704D">
        <w:pPr>
          <w:pStyle w:val="lfej"/>
          <w:jc w:val="center"/>
          <w:rPr>
            <w:rFonts w:ascii="Times New Roman" w:hAnsi="Times New Roman" w:cs="Times New Roman"/>
            <w:sz w:val="18"/>
            <w:szCs w:val="18"/>
          </w:rPr>
        </w:pPr>
        <w:r w:rsidRPr="00B2366F">
          <w:rPr>
            <w:rFonts w:ascii="Times New Roman" w:hAnsi="Times New Roman" w:cs="Times New Roman"/>
            <w:sz w:val="18"/>
            <w:szCs w:val="18"/>
          </w:rPr>
          <w:fldChar w:fldCharType="begin"/>
        </w:r>
        <w:r w:rsidRPr="00B2366F">
          <w:rPr>
            <w:rFonts w:ascii="Times New Roman" w:hAnsi="Times New Roman" w:cs="Times New Roman"/>
            <w:sz w:val="18"/>
            <w:szCs w:val="18"/>
          </w:rPr>
          <w:instrText>PAGE   \* MERGEFORMAT</w:instrText>
        </w:r>
        <w:r w:rsidRPr="00B2366F">
          <w:rPr>
            <w:rFonts w:ascii="Times New Roman" w:hAnsi="Times New Roman" w:cs="Times New Roman"/>
            <w:sz w:val="18"/>
            <w:szCs w:val="18"/>
          </w:rPr>
          <w:fldChar w:fldCharType="separate"/>
        </w:r>
        <w:r w:rsidR="00C34388">
          <w:rPr>
            <w:rFonts w:ascii="Times New Roman" w:hAnsi="Times New Roman" w:cs="Times New Roman"/>
            <w:noProof/>
            <w:sz w:val="18"/>
            <w:szCs w:val="18"/>
          </w:rPr>
          <w:t>25</w:t>
        </w:r>
        <w:r w:rsidRPr="00B2366F">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B3944A2"/>
    <w:multiLevelType w:val="hybridMultilevel"/>
    <w:tmpl w:val="478889F8"/>
    <w:lvl w:ilvl="0" w:tplc="0000000D">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E607DB"/>
    <w:multiLevelType w:val="hybridMultilevel"/>
    <w:tmpl w:val="0BB0D936"/>
    <w:lvl w:ilvl="0" w:tplc="A6BE30C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5E1EE3"/>
    <w:multiLevelType w:val="multilevel"/>
    <w:tmpl w:val="683C3D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1EE5A15"/>
    <w:multiLevelType w:val="hybridMultilevel"/>
    <w:tmpl w:val="17DCC208"/>
    <w:lvl w:ilvl="0" w:tplc="0000000D">
      <w:start w:val="1"/>
      <w:numFmt w:val="bullet"/>
      <w:lvlText w:val="·"/>
      <w:lvlJc w:val="left"/>
      <w:pPr>
        <w:ind w:left="1287" w:hanging="360"/>
      </w:pPr>
      <w:rPr>
        <w:rFonts w:ascii="Symbol" w:hAnsi="Symbol"/>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5" w15:restartNumberingAfterBreak="0">
    <w:nsid w:val="24B61890"/>
    <w:multiLevelType w:val="hybridMultilevel"/>
    <w:tmpl w:val="8D8A6E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0745619"/>
    <w:multiLevelType w:val="hybridMultilevel"/>
    <w:tmpl w:val="9782F1EA"/>
    <w:lvl w:ilvl="0" w:tplc="FFFFFFFF">
      <w:numFmt w:val="bullet"/>
      <w:lvlText w:val="-"/>
      <w:lvlJc w:val="left"/>
      <w:pPr>
        <w:tabs>
          <w:tab w:val="num" w:pos="567"/>
        </w:tabs>
        <w:ind w:left="567" w:hanging="56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0460F5"/>
    <w:multiLevelType w:val="hybridMultilevel"/>
    <w:tmpl w:val="7388B548"/>
    <w:lvl w:ilvl="0" w:tplc="E4D8D4E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4C650E8A"/>
    <w:multiLevelType w:val="hybridMultilevel"/>
    <w:tmpl w:val="E2C2C73A"/>
    <w:lvl w:ilvl="0" w:tplc="FEB068F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66769D0"/>
    <w:multiLevelType w:val="hybridMultilevel"/>
    <w:tmpl w:val="94CE2C9A"/>
    <w:lvl w:ilvl="0" w:tplc="0000000D">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DA2E60"/>
    <w:multiLevelType w:val="hybridMultilevel"/>
    <w:tmpl w:val="94202630"/>
    <w:lvl w:ilvl="0" w:tplc="0000000D">
      <w:start w:val="1"/>
      <w:numFmt w:val="bullet"/>
      <w:lvlText w:val="·"/>
      <w:lvlJc w:val="left"/>
      <w:pPr>
        <w:ind w:left="1287" w:hanging="360"/>
      </w:pPr>
      <w:rPr>
        <w:rFonts w:ascii="Symbol" w:hAnsi="Symbol"/>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 w15:restartNumberingAfterBreak="0">
    <w:nsid w:val="6E841C62"/>
    <w:multiLevelType w:val="hybridMultilevel"/>
    <w:tmpl w:val="383E2420"/>
    <w:lvl w:ilvl="0" w:tplc="B888C33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EF72F4F"/>
    <w:multiLevelType w:val="hybridMultilevel"/>
    <w:tmpl w:val="2F0EAF2E"/>
    <w:lvl w:ilvl="0" w:tplc="0000000D">
      <w:start w:val="1"/>
      <w:numFmt w:val="bullet"/>
      <w:lvlText w:val="·"/>
      <w:lvlJc w:val="left"/>
      <w:pPr>
        <w:ind w:left="360" w:hanging="360"/>
      </w:pPr>
      <w:rPr>
        <w:rFonts w:ascii="Symbol" w:hAnsi="Symbol"/>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6"/>
  </w:num>
  <w:num w:numId="4">
    <w:abstractNumId w:val="0"/>
  </w:num>
  <w:num w:numId="5">
    <w:abstractNumId w:val="8"/>
  </w:num>
  <w:num w:numId="6">
    <w:abstractNumId w:val="1"/>
  </w:num>
  <w:num w:numId="7">
    <w:abstractNumId w:val="4"/>
  </w:num>
  <w:num w:numId="8">
    <w:abstractNumId w:val="12"/>
  </w:num>
  <w:num w:numId="9">
    <w:abstractNumId w:val="2"/>
  </w:num>
  <w:num w:numId="10">
    <w:abstractNumId w:val="5"/>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989"/>
    <w:rsid w:val="000015F2"/>
    <w:rsid w:val="00001F78"/>
    <w:rsid w:val="00002BF2"/>
    <w:rsid w:val="000034F0"/>
    <w:rsid w:val="000045B6"/>
    <w:rsid w:val="00004848"/>
    <w:rsid w:val="00006080"/>
    <w:rsid w:val="00006FF5"/>
    <w:rsid w:val="00007289"/>
    <w:rsid w:val="00010466"/>
    <w:rsid w:val="00012CAA"/>
    <w:rsid w:val="00014278"/>
    <w:rsid w:val="00022B5E"/>
    <w:rsid w:val="000233FC"/>
    <w:rsid w:val="000245CA"/>
    <w:rsid w:val="00027574"/>
    <w:rsid w:val="00031C20"/>
    <w:rsid w:val="00031CDB"/>
    <w:rsid w:val="00031ECE"/>
    <w:rsid w:val="0003508F"/>
    <w:rsid w:val="00040F3E"/>
    <w:rsid w:val="000412EC"/>
    <w:rsid w:val="000413D3"/>
    <w:rsid w:val="00043558"/>
    <w:rsid w:val="00044097"/>
    <w:rsid w:val="0004456B"/>
    <w:rsid w:val="0004654D"/>
    <w:rsid w:val="00046F5D"/>
    <w:rsid w:val="00050087"/>
    <w:rsid w:val="00050AE4"/>
    <w:rsid w:val="00050CB9"/>
    <w:rsid w:val="0005266A"/>
    <w:rsid w:val="00054C49"/>
    <w:rsid w:val="000608B3"/>
    <w:rsid w:val="000708CE"/>
    <w:rsid w:val="00070FB9"/>
    <w:rsid w:val="00071070"/>
    <w:rsid w:val="000724C8"/>
    <w:rsid w:val="000726DB"/>
    <w:rsid w:val="00075FE8"/>
    <w:rsid w:val="00076BA4"/>
    <w:rsid w:val="000770B3"/>
    <w:rsid w:val="000828E4"/>
    <w:rsid w:val="00084E90"/>
    <w:rsid w:val="000854C8"/>
    <w:rsid w:val="000876A2"/>
    <w:rsid w:val="0009304B"/>
    <w:rsid w:val="000931D5"/>
    <w:rsid w:val="00093611"/>
    <w:rsid w:val="000938FF"/>
    <w:rsid w:val="000A42BA"/>
    <w:rsid w:val="000A45B6"/>
    <w:rsid w:val="000A47E5"/>
    <w:rsid w:val="000B0148"/>
    <w:rsid w:val="000B0945"/>
    <w:rsid w:val="000B0ABC"/>
    <w:rsid w:val="000B50B0"/>
    <w:rsid w:val="000B5B46"/>
    <w:rsid w:val="000C0511"/>
    <w:rsid w:val="000C27B4"/>
    <w:rsid w:val="000C6A1A"/>
    <w:rsid w:val="000D0258"/>
    <w:rsid w:val="000D1AAC"/>
    <w:rsid w:val="000D47A0"/>
    <w:rsid w:val="000D7055"/>
    <w:rsid w:val="000D78D2"/>
    <w:rsid w:val="000E1737"/>
    <w:rsid w:val="000E287B"/>
    <w:rsid w:val="000E38BE"/>
    <w:rsid w:val="000E4AA5"/>
    <w:rsid w:val="000E50B4"/>
    <w:rsid w:val="000E66AF"/>
    <w:rsid w:val="000F081D"/>
    <w:rsid w:val="000F141D"/>
    <w:rsid w:val="000F171E"/>
    <w:rsid w:val="000F2D68"/>
    <w:rsid w:val="000F326C"/>
    <w:rsid w:val="000F6051"/>
    <w:rsid w:val="0010042E"/>
    <w:rsid w:val="00100D7E"/>
    <w:rsid w:val="0010250B"/>
    <w:rsid w:val="00102FEE"/>
    <w:rsid w:val="00107B8C"/>
    <w:rsid w:val="00111169"/>
    <w:rsid w:val="00115922"/>
    <w:rsid w:val="00116400"/>
    <w:rsid w:val="00116696"/>
    <w:rsid w:val="00120814"/>
    <w:rsid w:val="00123C72"/>
    <w:rsid w:val="001312FA"/>
    <w:rsid w:val="00132416"/>
    <w:rsid w:val="00133088"/>
    <w:rsid w:val="0013323F"/>
    <w:rsid w:val="00134EC3"/>
    <w:rsid w:val="00136524"/>
    <w:rsid w:val="00142A5C"/>
    <w:rsid w:val="001438BB"/>
    <w:rsid w:val="0015372E"/>
    <w:rsid w:val="00153943"/>
    <w:rsid w:val="00161A1C"/>
    <w:rsid w:val="001625AB"/>
    <w:rsid w:val="00170895"/>
    <w:rsid w:val="00171102"/>
    <w:rsid w:val="00171185"/>
    <w:rsid w:val="0017149C"/>
    <w:rsid w:val="0017151B"/>
    <w:rsid w:val="0018054F"/>
    <w:rsid w:val="001831CB"/>
    <w:rsid w:val="001849A9"/>
    <w:rsid w:val="00185631"/>
    <w:rsid w:val="0018650E"/>
    <w:rsid w:val="0019060C"/>
    <w:rsid w:val="00190658"/>
    <w:rsid w:val="001966BA"/>
    <w:rsid w:val="00197A20"/>
    <w:rsid w:val="001A34E5"/>
    <w:rsid w:val="001A39AC"/>
    <w:rsid w:val="001A4637"/>
    <w:rsid w:val="001A4ED4"/>
    <w:rsid w:val="001A5436"/>
    <w:rsid w:val="001A59EB"/>
    <w:rsid w:val="001A61D0"/>
    <w:rsid w:val="001A7178"/>
    <w:rsid w:val="001A746A"/>
    <w:rsid w:val="001B0287"/>
    <w:rsid w:val="001B3BC9"/>
    <w:rsid w:val="001B417A"/>
    <w:rsid w:val="001B444D"/>
    <w:rsid w:val="001B5F1C"/>
    <w:rsid w:val="001B669A"/>
    <w:rsid w:val="001B6A65"/>
    <w:rsid w:val="001C5BEB"/>
    <w:rsid w:val="001C69AB"/>
    <w:rsid w:val="001D05F1"/>
    <w:rsid w:val="001D2797"/>
    <w:rsid w:val="001D419C"/>
    <w:rsid w:val="001E0A61"/>
    <w:rsid w:val="001E39F5"/>
    <w:rsid w:val="001E3D22"/>
    <w:rsid w:val="001E4115"/>
    <w:rsid w:val="001E499B"/>
    <w:rsid w:val="001E5B0B"/>
    <w:rsid w:val="001F59B0"/>
    <w:rsid w:val="001F71AD"/>
    <w:rsid w:val="001F7425"/>
    <w:rsid w:val="00202496"/>
    <w:rsid w:val="00202641"/>
    <w:rsid w:val="002033F7"/>
    <w:rsid w:val="00204649"/>
    <w:rsid w:val="002057A1"/>
    <w:rsid w:val="00212762"/>
    <w:rsid w:val="002135A4"/>
    <w:rsid w:val="00215753"/>
    <w:rsid w:val="00217DED"/>
    <w:rsid w:val="00220044"/>
    <w:rsid w:val="0022015E"/>
    <w:rsid w:val="00221850"/>
    <w:rsid w:val="00222365"/>
    <w:rsid w:val="002236C3"/>
    <w:rsid w:val="00223D21"/>
    <w:rsid w:val="002276DD"/>
    <w:rsid w:val="002342D6"/>
    <w:rsid w:val="00240260"/>
    <w:rsid w:val="00241982"/>
    <w:rsid w:val="002421E9"/>
    <w:rsid w:val="00243E19"/>
    <w:rsid w:val="002501D2"/>
    <w:rsid w:val="002507D9"/>
    <w:rsid w:val="002522D3"/>
    <w:rsid w:val="002530B8"/>
    <w:rsid w:val="00253F39"/>
    <w:rsid w:val="002624AC"/>
    <w:rsid w:val="00263255"/>
    <w:rsid w:val="00263353"/>
    <w:rsid w:val="00263E01"/>
    <w:rsid w:val="00264A42"/>
    <w:rsid w:val="00264D2B"/>
    <w:rsid w:val="00265B60"/>
    <w:rsid w:val="002669BC"/>
    <w:rsid w:val="00266F99"/>
    <w:rsid w:val="00271016"/>
    <w:rsid w:val="00274DC4"/>
    <w:rsid w:val="002758D7"/>
    <w:rsid w:val="0027769F"/>
    <w:rsid w:val="002801F9"/>
    <w:rsid w:val="00285A1E"/>
    <w:rsid w:val="0028704D"/>
    <w:rsid w:val="002911E7"/>
    <w:rsid w:val="002912EC"/>
    <w:rsid w:val="0029264D"/>
    <w:rsid w:val="00295127"/>
    <w:rsid w:val="002952A5"/>
    <w:rsid w:val="002A2A82"/>
    <w:rsid w:val="002A6CE8"/>
    <w:rsid w:val="002B0F57"/>
    <w:rsid w:val="002B2231"/>
    <w:rsid w:val="002B367B"/>
    <w:rsid w:val="002B6A07"/>
    <w:rsid w:val="002B6D87"/>
    <w:rsid w:val="002B76DA"/>
    <w:rsid w:val="002C27BA"/>
    <w:rsid w:val="002C4331"/>
    <w:rsid w:val="002C47DF"/>
    <w:rsid w:val="002C76C2"/>
    <w:rsid w:val="002D1489"/>
    <w:rsid w:val="002D28F3"/>
    <w:rsid w:val="002D44C3"/>
    <w:rsid w:val="002D5867"/>
    <w:rsid w:val="002D6FD3"/>
    <w:rsid w:val="002E0240"/>
    <w:rsid w:val="002E0488"/>
    <w:rsid w:val="002E1232"/>
    <w:rsid w:val="002E1BF4"/>
    <w:rsid w:val="002E26F1"/>
    <w:rsid w:val="002E6C0A"/>
    <w:rsid w:val="002F1966"/>
    <w:rsid w:val="002F2D41"/>
    <w:rsid w:val="002F4CE7"/>
    <w:rsid w:val="002F5F8E"/>
    <w:rsid w:val="002F6F98"/>
    <w:rsid w:val="002F730D"/>
    <w:rsid w:val="0030090B"/>
    <w:rsid w:val="0030262F"/>
    <w:rsid w:val="00303154"/>
    <w:rsid w:val="00304F8F"/>
    <w:rsid w:val="003051EF"/>
    <w:rsid w:val="00305988"/>
    <w:rsid w:val="0030769C"/>
    <w:rsid w:val="00307DCD"/>
    <w:rsid w:val="00313F75"/>
    <w:rsid w:val="003150BA"/>
    <w:rsid w:val="00316D3A"/>
    <w:rsid w:val="0031726D"/>
    <w:rsid w:val="00323041"/>
    <w:rsid w:val="00323946"/>
    <w:rsid w:val="00327E4D"/>
    <w:rsid w:val="00336260"/>
    <w:rsid w:val="003369C4"/>
    <w:rsid w:val="00340C19"/>
    <w:rsid w:val="003419EC"/>
    <w:rsid w:val="00343601"/>
    <w:rsid w:val="00344925"/>
    <w:rsid w:val="0034674C"/>
    <w:rsid w:val="00350023"/>
    <w:rsid w:val="0035138A"/>
    <w:rsid w:val="00351D50"/>
    <w:rsid w:val="00351E14"/>
    <w:rsid w:val="00351FE4"/>
    <w:rsid w:val="003533D0"/>
    <w:rsid w:val="0035564C"/>
    <w:rsid w:val="0035631E"/>
    <w:rsid w:val="003574A3"/>
    <w:rsid w:val="00360A20"/>
    <w:rsid w:val="00360ECE"/>
    <w:rsid w:val="003614CC"/>
    <w:rsid w:val="003618C0"/>
    <w:rsid w:val="0036298E"/>
    <w:rsid w:val="00363966"/>
    <w:rsid w:val="0036665D"/>
    <w:rsid w:val="00370AAB"/>
    <w:rsid w:val="00371ED0"/>
    <w:rsid w:val="00371F67"/>
    <w:rsid w:val="0037217C"/>
    <w:rsid w:val="00373D5D"/>
    <w:rsid w:val="00374DA9"/>
    <w:rsid w:val="00375D38"/>
    <w:rsid w:val="00377D52"/>
    <w:rsid w:val="00381B5E"/>
    <w:rsid w:val="003832AF"/>
    <w:rsid w:val="00384DF9"/>
    <w:rsid w:val="00387A9B"/>
    <w:rsid w:val="00392613"/>
    <w:rsid w:val="00393A64"/>
    <w:rsid w:val="00395553"/>
    <w:rsid w:val="003A1F27"/>
    <w:rsid w:val="003A20A6"/>
    <w:rsid w:val="003A5C10"/>
    <w:rsid w:val="003B19F7"/>
    <w:rsid w:val="003B29CD"/>
    <w:rsid w:val="003B503C"/>
    <w:rsid w:val="003B7212"/>
    <w:rsid w:val="003B7BD0"/>
    <w:rsid w:val="003C0D87"/>
    <w:rsid w:val="003C214B"/>
    <w:rsid w:val="003C25C2"/>
    <w:rsid w:val="003C2EDB"/>
    <w:rsid w:val="003C6520"/>
    <w:rsid w:val="003C672B"/>
    <w:rsid w:val="003C71E0"/>
    <w:rsid w:val="003D05A9"/>
    <w:rsid w:val="003D0D24"/>
    <w:rsid w:val="003D3E9C"/>
    <w:rsid w:val="003E0EA5"/>
    <w:rsid w:val="003E43DE"/>
    <w:rsid w:val="003E5818"/>
    <w:rsid w:val="003E59F6"/>
    <w:rsid w:val="003E6DC8"/>
    <w:rsid w:val="003E7AA4"/>
    <w:rsid w:val="003F09BA"/>
    <w:rsid w:val="003F0F88"/>
    <w:rsid w:val="003F1B9A"/>
    <w:rsid w:val="003F1BEF"/>
    <w:rsid w:val="003F3362"/>
    <w:rsid w:val="003F34F4"/>
    <w:rsid w:val="003F35D1"/>
    <w:rsid w:val="003F65A3"/>
    <w:rsid w:val="003F7884"/>
    <w:rsid w:val="00406FE2"/>
    <w:rsid w:val="004077E8"/>
    <w:rsid w:val="00410D6E"/>
    <w:rsid w:val="004117ED"/>
    <w:rsid w:val="00414E36"/>
    <w:rsid w:val="00414F26"/>
    <w:rsid w:val="0042213E"/>
    <w:rsid w:val="004278AA"/>
    <w:rsid w:val="004327EF"/>
    <w:rsid w:val="00434FE7"/>
    <w:rsid w:val="00435114"/>
    <w:rsid w:val="004351CC"/>
    <w:rsid w:val="00441F67"/>
    <w:rsid w:val="0044373A"/>
    <w:rsid w:val="00447414"/>
    <w:rsid w:val="004526DF"/>
    <w:rsid w:val="00453BFC"/>
    <w:rsid w:val="00457A60"/>
    <w:rsid w:val="00460AF3"/>
    <w:rsid w:val="004631B1"/>
    <w:rsid w:val="00463C74"/>
    <w:rsid w:val="00464E09"/>
    <w:rsid w:val="00466FBA"/>
    <w:rsid w:val="004678A2"/>
    <w:rsid w:val="004717B4"/>
    <w:rsid w:val="004723E7"/>
    <w:rsid w:val="004726E9"/>
    <w:rsid w:val="00476171"/>
    <w:rsid w:val="00476BDA"/>
    <w:rsid w:val="004833D3"/>
    <w:rsid w:val="00484885"/>
    <w:rsid w:val="00493F5E"/>
    <w:rsid w:val="00497F13"/>
    <w:rsid w:val="004A5492"/>
    <w:rsid w:val="004A6599"/>
    <w:rsid w:val="004A7CFA"/>
    <w:rsid w:val="004B414F"/>
    <w:rsid w:val="004B69FF"/>
    <w:rsid w:val="004B6BCA"/>
    <w:rsid w:val="004C45E3"/>
    <w:rsid w:val="004C51F4"/>
    <w:rsid w:val="004D295A"/>
    <w:rsid w:val="004D4209"/>
    <w:rsid w:val="004D4D4F"/>
    <w:rsid w:val="004D54EF"/>
    <w:rsid w:val="004D7CD3"/>
    <w:rsid w:val="004E3C21"/>
    <w:rsid w:val="004E5BE9"/>
    <w:rsid w:val="004E66AE"/>
    <w:rsid w:val="004E6918"/>
    <w:rsid w:val="004E711B"/>
    <w:rsid w:val="004F17CF"/>
    <w:rsid w:val="004F198E"/>
    <w:rsid w:val="004F2445"/>
    <w:rsid w:val="004F610D"/>
    <w:rsid w:val="004F68B6"/>
    <w:rsid w:val="004F74E7"/>
    <w:rsid w:val="00501B55"/>
    <w:rsid w:val="00501C0F"/>
    <w:rsid w:val="00503042"/>
    <w:rsid w:val="00504B63"/>
    <w:rsid w:val="0050575B"/>
    <w:rsid w:val="005059CD"/>
    <w:rsid w:val="005068F6"/>
    <w:rsid w:val="00511278"/>
    <w:rsid w:val="005123E0"/>
    <w:rsid w:val="00517671"/>
    <w:rsid w:val="00522532"/>
    <w:rsid w:val="00523830"/>
    <w:rsid w:val="005257F1"/>
    <w:rsid w:val="00525A93"/>
    <w:rsid w:val="00526F1C"/>
    <w:rsid w:val="00527143"/>
    <w:rsid w:val="00527676"/>
    <w:rsid w:val="005278CB"/>
    <w:rsid w:val="00537A77"/>
    <w:rsid w:val="00537C1F"/>
    <w:rsid w:val="00540A3F"/>
    <w:rsid w:val="005413F4"/>
    <w:rsid w:val="00543361"/>
    <w:rsid w:val="005453D5"/>
    <w:rsid w:val="00546756"/>
    <w:rsid w:val="0055274B"/>
    <w:rsid w:val="0055426F"/>
    <w:rsid w:val="005547CC"/>
    <w:rsid w:val="00560085"/>
    <w:rsid w:val="00563DDB"/>
    <w:rsid w:val="005658F7"/>
    <w:rsid w:val="00565907"/>
    <w:rsid w:val="00566A78"/>
    <w:rsid w:val="00575188"/>
    <w:rsid w:val="00576AFC"/>
    <w:rsid w:val="00582084"/>
    <w:rsid w:val="00583B24"/>
    <w:rsid w:val="00584812"/>
    <w:rsid w:val="0059238A"/>
    <w:rsid w:val="005935D0"/>
    <w:rsid w:val="00593BE5"/>
    <w:rsid w:val="005959F6"/>
    <w:rsid w:val="005974B0"/>
    <w:rsid w:val="005A11CF"/>
    <w:rsid w:val="005A454B"/>
    <w:rsid w:val="005A559E"/>
    <w:rsid w:val="005A6D0A"/>
    <w:rsid w:val="005B0F85"/>
    <w:rsid w:val="005B1F98"/>
    <w:rsid w:val="005B22C3"/>
    <w:rsid w:val="005B3274"/>
    <w:rsid w:val="005B38D4"/>
    <w:rsid w:val="005B50E4"/>
    <w:rsid w:val="005C2D96"/>
    <w:rsid w:val="005C30FD"/>
    <w:rsid w:val="005C4D3F"/>
    <w:rsid w:val="005C70F1"/>
    <w:rsid w:val="005D14ED"/>
    <w:rsid w:val="005D2678"/>
    <w:rsid w:val="005D4FD3"/>
    <w:rsid w:val="005D68BF"/>
    <w:rsid w:val="005D74CE"/>
    <w:rsid w:val="005D74E7"/>
    <w:rsid w:val="005E2905"/>
    <w:rsid w:val="005E7269"/>
    <w:rsid w:val="005F0497"/>
    <w:rsid w:val="005F107D"/>
    <w:rsid w:val="005F41AB"/>
    <w:rsid w:val="005F56EB"/>
    <w:rsid w:val="0060359E"/>
    <w:rsid w:val="006042CA"/>
    <w:rsid w:val="00607B43"/>
    <w:rsid w:val="00615D0A"/>
    <w:rsid w:val="00623881"/>
    <w:rsid w:val="00631697"/>
    <w:rsid w:val="00636A9B"/>
    <w:rsid w:val="00637163"/>
    <w:rsid w:val="0064059D"/>
    <w:rsid w:val="00641F7A"/>
    <w:rsid w:val="00644589"/>
    <w:rsid w:val="00645810"/>
    <w:rsid w:val="00646C58"/>
    <w:rsid w:val="00647494"/>
    <w:rsid w:val="0065016E"/>
    <w:rsid w:val="0065280F"/>
    <w:rsid w:val="00652BC9"/>
    <w:rsid w:val="00654126"/>
    <w:rsid w:val="00656B02"/>
    <w:rsid w:val="00660975"/>
    <w:rsid w:val="00660A2A"/>
    <w:rsid w:val="00660B53"/>
    <w:rsid w:val="006654BB"/>
    <w:rsid w:val="00671427"/>
    <w:rsid w:val="006755D3"/>
    <w:rsid w:val="0067685B"/>
    <w:rsid w:val="00677183"/>
    <w:rsid w:val="006777B1"/>
    <w:rsid w:val="006808DA"/>
    <w:rsid w:val="00682AC5"/>
    <w:rsid w:val="006838D3"/>
    <w:rsid w:val="00683E76"/>
    <w:rsid w:val="00684F7B"/>
    <w:rsid w:val="0068607D"/>
    <w:rsid w:val="006863A3"/>
    <w:rsid w:val="00691869"/>
    <w:rsid w:val="00695C6B"/>
    <w:rsid w:val="00695C75"/>
    <w:rsid w:val="006960AC"/>
    <w:rsid w:val="006A058F"/>
    <w:rsid w:val="006A21F1"/>
    <w:rsid w:val="006A21F8"/>
    <w:rsid w:val="006A3E1C"/>
    <w:rsid w:val="006A4864"/>
    <w:rsid w:val="006A491F"/>
    <w:rsid w:val="006B04ED"/>
    <w:rsid w:val="006B12A5"/>
    <w:rsid w:val="006B2D47"/>
    <w:rsid w:val="006B6515"/>
    <w:rsid w:val="006B7B0D"/>
    <w:rsid w:val="006C55ED"/>
    <w:rsid w:val="006C780A"/>
    <w:rsid w:val="006C7F62"/>
    <w:rsid w:val="006D0013"/>
    <w:rsid w:val="006D3B61"/>
    <w:rsid w:val="006D41C2"/>
    <w:rsid w:val="006D6293"/>
    <w:rsid w:val="006E33F6"/>
    <w:rsid w:val="006E469A"/>
    <w:rsid w:val="006F1509"/>
    <w:rsid w:val="006F1EDD"/>
    <w:rsid w:val="006F3923"/>
    <w:rsid w:val="00702DE8"/>
    <w:rsid w:val="00703B53"/>
    <w:rsid w:val="00704072"/>
    <w:rsid w:val="007045A5"/>
    <w:rsid w:val="00704830"/>
    <w:rsid w:val="00704A99"/>
    <w:rsid w:val="007056EB"/>
    <w:rsid w:val="0070597D"/>
    <w:rsid w:val="00705BD9"/>
    <w:rsid w:val="007076D5"/>
    <w:rsid w:val="007129C5"/>
    <w:rsid w:val="00715163"/>
    <w:rsid w:val="00715877"/>
    <w:rsid w:val="00715ACA"/>
    <w:rsid w:val="00715F40"/>
    <w:rsid w:val="00716545"/>
    <w:rsid w:val="007168FD"/>
    <w:rsid w:val="00717396"/>
    <w:rsid w:val="00724A7B"/>
    <w:rsid w:val="00725082"/>
    <w:rsid w:val="007302CD"/>
    <w:rsid w:val="0073560D"/>
    <w:rsid w:val="00735BC0"/>
    <w:rsid w:val="00736C52"/>
    <w:rsid w:val="007371F9"/>
    <w:rsid w:val="00742EB0"/>
    <w:rsid w:val="00744063"/>
    <w:rsid w:val="0074640E"/>
    <w:rsid w:val="00750486"/>
    <w:rsid w:val="00751CF1"/>
    <w:rsid w:val="007524ED"/>
    <w:rsid w:val="00753D52"/>
    <w:rsid w:val="00755989"/>
    <w:rsid w:val="0076000C"/>
    <w:rsid w:val="007634B5"/>
    <w:rsid w:val="00763AE7"/>
    <w:rsid w:val="007674F9"/>
    <w:rsid w:val="007679B0"/>
    <w:rsid w:val="00767EAF"/>
    <w:rsid w:val="0077074E"/>
    <w:rsid w:val="00772268"/>
    <w:rsid w:val="00772545"/>
    <w:rsid w:val="00774F52"/>
    <w:rsid w:val="00776DC4"/>
    <w:rsid w:val="007771D5"/>
    <w:rsid w:val="007808D8"/>
    <w:rsid w:val="00784733"/>
    <w:rsid w:val="00795011"/>
    <w:rsid w:val="007961ED"/>
    <w:rsid w:val="0079792E"/>
    <w:rsid w:val="007A0FBC"/>
    <w:rsid w:val="007A1150"/>
    <w:rsid w:val="007A3563"/>
    <w:rsid w:val="007A61AD"/>
    <w:rsid w:val="007B1113"/>
    <w:rsid w:val="007B2631"/>
    <w:rsid w:val="007B4101"/>
    <w:rsid w:val="007B4181"/>
    <w:rsid w:val="007B5D58"/>
    <w:rsid w:val="007B67BC"/>
    <w:rsid w:val="007B6D6B"/>
    <w:rsid w:val="007B7DBE"/>
    <w:rsid w:val="007C0141"/>
    <w:rsid w:val="007C43D4"/>
    <w:rsid w:val="007C5DB5"/>
    <w:rsid w:val="007C7774"/>
    <w:rsid w:val="007D0C48"/>
    <w:rsid w:val="007D25F0"/>
    <w:rsid w:val="007D4B36"/>
    <w:rsid w:val="007D5AB1"/>
    <w:rsid w:val="007D6159"/>
    <w:rsid w:val="007E07E9"/>
    <w:rsid w:val="007E0B46"/>
    <w:rsid w:val="007E2414"/>
    <w:rsid w:val="007E3554"/>
    <w:rsid w:val="007E6194"/>
    <w:rsid w:val="007E6E23"/>
    <w:rsid w:val="007F02B7"/>
    <w:rsid w:val="007F083D"/>
    <w:rsid w:val="007F09DC"/>
    <w:rsid w:val="007F2D76"/>
    <w:rsid w:val="007F629C"/>
    <w:rsid w:val="00800E57"/>
    <w:rsid w:val="008053D0"/>
    <w:rsid w:val="00810248"/>
    <w:rsid w:val="00812D96"/>
    <w:rsid w:val="008232A3"/>
    <w:rsid w:val="00831086"/>
    <w:rsid w:val="0083376B"/>
    <w:rsid w:val="00836D1B"/>
    <w:rsid w:val="0084266A"/>
    <w:rsid w:val="00842AD2"/>
    <w:rsid w:val="00842D1D"/>
    <w:rsid w:val="008454FB"/>
    <w:rsid w:val="00846995"/>
    <w:rsid w:val="008472FE"/>
    <w:rsid w:val="00847347"/>
    <w:rsid w:val="00850F6D"/>
    <w:rsid w:val="00851820"/>
    <w:rsid w:val="00854047"/>
    <w:rsid w:val="00855E91"/>
    <w:rsid w:val="00860068"/>
    <w:rsid w:val="008603E9"/>
    <w:rsid w:val="008617E9"/>
    <w:rsid w:val="00863E4A"/>
    <w:rsid w:val="00863F22"/>
    <w:rsid w:val="008640A4"/>
    <w:rsid w:val="00870BB5"/>
    <w:rsid w:val="00873753"/>
    <w:rsid w:val="008801F2"/>
    <w:rsid w:val="0088064E"/>
    <w:rsid w:val="0088161A"/>
    <w:rsid w:val="00894642"/>
    <w:rsid w:val="008A05EE"/>
    <w:rsid w:val="008A2BCA"/>
    <w:rsid w:val="008A3DBF"/>
    <w:rsid w:val="008A4600"/>
    <w:rsid w:val="008A4B51"/>
    <w:rsid w:val="008A6C52"/>
    <w:rsid w:val="008A79B0"/>
    <w:rsid w:val="008B00F2"/>
    <w:rsid w:val="008B13F6"/>
    <w:rsid w:val="008B1544"/>
    <w:rsid w:val="008B19E8"/>
    <w:rsid w:val="008B1E5F"/>
    <w:rsid w:val="008B2297"/>
    <w:rsid w:val="008B24E5"/>
    <w:rsid w:val="008B51BA"/>
    <w:rsid w:val="008B6CDF"/>
    <w:rsid w:val="008C005E"/>
    <w:rsid w:val="008C0AF8"/>
    <w:rsid w:val="008C31BE"/>
    <w:rsid w:val="008C628C"/>
    <w:rsid w:val="008D2DB0"/>
    <w:rsid w:val="008D60BA"/>
    <w:rsid w:val="008D6493"/>
    <w:rsid w:val="008D77AC"/>
    <w:rsid w:val="008E30F9"/>
    <w:rsid w:val="008E42EC"/>
    <w:rsid w:val="008E4AE3"/>
    <w:rsid w:val="008E7256"/>
    <w:rsid w:val="008E7FB0"/>
    <w:rsid w:val="008F0B60"/>
    <w:rsid w:val="008F1892"/>
    <w:rsid w:val="008F44BC"/>
    <w:rsid w:val="008F663A"/>
    <w:rsid w:val="008F7577"/>
    <w:rsid w:val="008F7966"/>
    <w:rsid w:val="009007A5"/>
    <w:rsid w:val="009013A1"/>
    <w:rsid w:val="00903D6D"/>
    <w:rsid w:val="00905A3F"/>
    <w:rsid w:val="0090637D"/>
    <w:rsid w:val="0091157B"/>
    <w:rsid w:val="0091349E"/>
    <w:rsid w:val="00915B6B"/>
    <w:rsid w:val="00916380"/>
    <w:rsid w:val="00920644"/>
    <w:rsid w:val="009226A1"/>
    <w:rsid w:val="00923C9B"/>
    <w:rsid w:val="00924332"/>
    <w:rsid w:val="009257A6"/>
    <w:rsid w:val="0093340D"/>
    <w:rsid w:val="009335F4"/>
    <w:rsid w:val="00936D4F"/>
    <w:rsid w:val="00937BD0"/>
    <w:rsid w:val="0094203C"/>
    <w:rsid w:val="009434BE"/>
    <w:rsid w:val="009436A9"/>
    <w:rsid w:val="00946BCE"/>
    <w:rsid w:val="00951E51"/>
    <w:rsid w:val="00956967"/>
    <w:rsid w:val="00956993"/>
    <w:rsid w:val="00956C0E"/>
    <w:rsid w:val="009574C0"/>
    <w:rsid w:val="00962736"/>
    <w:rsid w:val="00964894"/>
    <w:rsid w:val="00965879"/>
    <w:rsid w:val="00966A2E"/>
    <w:rsid w:val="0096786C"/>
    <w:rsid w:val="00974AAB"/>
    <w:rsid w:val="00985E53"/>
    <w:rsid w:val="00996DF4"/>
    <w:rsid w:val="009974C0"/>
    <w:rsid w:val="00997C45"/>
    <w:rsid w:val="009A029E"/>
    <w:rsid w:val="009A0F28"/>
    <w:rsid w:val="009A2119"/>
    <w:rsid w:val="009A519C"/>
    <w:rsid w:val="009A7B3A"/>
    <w:rsid w:val="009B0916"/>
    <w:rsid w:val="009B2186"/>
    <w:rsid w:val="009C0CD2"/>
    <w:rsid w:val="009C22A5"/>
    <w:rsid w:val="009C450E"/>
    <w:rsid w:val="009C551C"/>
    <w:rsid w:val="009C5FB0"/>
    <w:rsid w:val="009C7AF0"/>
    <w:rsid w:val="009D17BF"/>
    <w:rsid w:val="009D3731"/>
    <w:rsid w:val="009D634A"/>
    <w:rsid w:val="009D64FF"/>
    <w:rsid w:val="009E0104"/>
    <w:rsid w:val="009E0CDF"/>
    <w:rsid w:val="009E0D53"/>
    <w:rsid w:val="009E268B"/>
    <w:rsid w:val="009E37CC"/>
    <w:rsid w:val="009E48E5"/>
    <w:rsid w:val="009E50D3"/>
    <w:rsid w:val="009E6AF5"/>
    <w:rsid w:val="009F0C7D"/>
    <w:rsid w:val="009F243B"/>
    <w:rsid w:val="009F269E"/>
    <w:rsid w:val="009F3A35"/>
    <w:rsid w:val="009F3D0D"/>
    <w:rsid w:val="009F44D9"/>
    <w:rsid w:val="009F455B"/>
    <w:rsid w:val="00A01B41"/>
    <w:rsid w:val="00A10127"/>
    <w:rsid w:val="00A11E04"/>
    <w:rsid w:val="00A1560D"/>
    <w:rsid w:val="00A21522"/>
    <w:rsid w:val="00A21FE1"/>
    <w:rsid w:val="00A22FBD"/>
    <w:rsid w:val="00A23185"/>
    <w:rsid w:val="00A26C40"/>
    <w:rsid w:val="00A26E0D"/>
    <w:rsid w:val="00A26FE5"/>
    <w:rsid w:val="00A30B0B"/>
    <w:rsid w:val="00A3114C"/>
    <w:rsid w:val="00A334AE"/>
    <w:rsid w:val="00A34327"/>
    <w:rsid w:val="00A35D8F"/>
    <w:rsid w:val="00A3684C"/>
    <w:rsid w:val="00A36FBC"/>
    <w:rsid w:val="00A37301"/>
    <w:rsid w:val="00A3788F"/>
    <w:rsid w:val="00A41B5B"/>
    <w:rsid w:val="00A43240"/>
    <w:rsid w:val="00A43E52"/>
    <w:rsid w:val="00A44036"/>
    <w:rsid w:val="00A44C9D"/>
    <w:rsid w:val="00A476CB"/>
    <w:rsid w:val="00A52669"/>
    <w:rsid w:val="00A56354"/>
    <w:rsid w:val="00A57B17"/>
    <w:rsid w:val="00A614F0"/>
    <w:rsid w:val="00A61BA0"/>
    <w:rsid w:val="00A64606"/>
    <w:rsid w:val="00A6607C"/>
    <w:rsid w:val="00A70886"/>
    <w:rsid w:val="00A70D5D"/>
    <w:rsid w:val="00A72DAC"/>
    <w:rsid w:val="00A7414B"/>
    <w:rsid w:val="00A74F21"/>
    <w:rsid w:val="00A77721"/>
    <w:rsid w:val="00A77972"/>
    <w:rsid w:val="00A80E18"/>
    <w:rsid w:val="00A81394"/>
    <w:rsid w:val="00A82D8B"/>
    <w:rsid w:val="00A849F3"/>
    <w:rsid w:val="00A93FA6"/>
    <w:rsid w:val="00A9542E"/>
    <w:rsid w:val="00A969C1"/>
    <w:rsid w:val="00A9754D"/>
    <w:rsid w:val="00A97912"/>
    <w:rsid w:val="00AA050A"/>
    <w:rsid w:val="00AA12C4"/>
    <w:rsid w:val="00AA474C"/>
    <w:rsid w:val="00AA4FE4"/>
    <w:rsid w:val="00AA52E0"/>
    <w:rsid w:val="00AA7FC6"/>
    <w:rsid w:val="00AB0A21"/>
    <w:rsid w:val="00AB1F23"/>
    <w:rsid w:val="00AB20B1"/>
    <w:rsid w:val="00AB219F"/>
    <w:rsid w:val="00AB7068"/>
    <w:rsid w:val="00AB75B3"/>
    <w:rsid w:val="00AC474E"/>
    <w:rsid w:val="00AC6C59"/>
    <w:rsid w:val="00AC6F01"/>
    <w:rsid w:val="00AC7307"/>
    <w:rsid w:val="00AD25A0"/>
    <w:rsid w:val="00AD44B7"/>
    <w:rsid w:val="00AD75DD"/>
    <w:rsid w:val="00AE0F7A"/>
    <w:rsid w:val="00AE42FB"/>
    <w:rsid w:val="00AE6C54"/>
    <w:rsid w:val="00AE7745"/>
    <w:rsid w:val="00AF1A38"/>
    <w:rsid w:val="00AF5F30"/>
    <w:rsid w:val="00B0234E"/>
    <w:rsid w:val="00B02BF8"/>
    <w:rsid w:val="00B02C23"/>
    <w:rsid w:val="00B03ACC"/>
    <w:rsid w:val="00B07F2E"/>
    <w:rsid w:val="00B10514"/>
    <w:rsid w:val="00B1057C"/>
    <w:rsid w:val="00B13263"/>
    <w:rsid w:val="00B13A8D"/>
    <w:rsid w:val="00B13F19"/>
    <w:rsid w:val="00B161A6"/>
    <w:rsid w:val="00B21F1A"/>
    <w:rsid w:val="00B23E08"/>
    <w:rsid w:val="00B31454"/>
    <w:rsid w:val="00B31AEF"/>
    <w:rsid w:val="00B35175"/>
    <w:rsid w:val="00B35AFE"/>
    <w:rsid w:val="00B36F8B"/>
    <w:rsid w:val="00B40298"/>
    <w:rsid w:val="00B461A5"/>
    <w:rsid w:val="00B46698"/>
    <w:rsid w:val="00B52EA9"/>
    <w:rsid w:val="00B54216"/>
    <w:rsid w:val="00B557EC"/>
    <w:rsid w:val="00B55A92"/>
    <w:rsid w:val="00B60F1B"/>
    <w:rsid w:val="00B6123E"/>
    <w:rsid w:val="00B62D86"/>
    <w:rsid w:val="00B645DF"/>
    <w:rsid w:val="00B64980"/>
    <w:rsid w:val="00B66106"/>
    <w:rsid w:val="00B66AEB"/>
    <w:rsid w:val="00B67523"/>
    <w:rsid w:val="00B71A3C"/>
    <w:rsid w:val="00B7264D"/>
    <w:rsid w:val="00B73F29"/>
    <w:rsid w:val="00B74906"/>
    <w:rsid w:val="00B76B16"/>
    <w:rsid w:val="00B825A8"/>
    <w:rsid w:val="00B828CB"/>
    <w:rsid w:val="00B8638B"/>
    <w:rsid w:val="00B90006"/>
    <w:rsid w:val="00B92A33"/>
    <w:rsid w:val="00B96A6D"/>
    <w:rsid w:val="00B97A74"/>
    <w:rsid w:val="00B97E2F"/>
    <w:rsid w:val="00BA032E"/>
    <w:rsid w:val="00BA057E"/>
    <w:rsid w:val="00BA1344"/>
    <w:rsid w:val="00BA6E2E"/>
    <w:rsid w:val="00BA6F6C"/>
    <w:rsid w:val="00BA7262"/>
    <w:rsid w:val="00BB3194"/>
    <w:rsid w:val="00BB4671"/>
    <w:rsid w:val="00BB5229"/>
    <w:rsid w:val="00BC3B8C"/>
    <w:rsid w:val="00BD2B3D"/>
    <w:rsid w:val="00BD5B9B"/>
    <w:rsid w:val="00BD72E1"/>
    <w:rsid w:val="00BD7842"/>
    <w:rsid w:val="00BE068E"/>
    <w:rsid w:val="00BE08D3"/>
    <w:rsid w:val="00BE4B00"/>
    <w:rsid w:val="00BE6319"/>
    <w:rsid w:val="00BE7067"/>
    <w:rsid w:val="00BE708C"/>
    <w:rsid w:val="00BF04F0"/>
    <w:rsid w:val="00BF2692"/>
    <w:rsid w:val="00BF4046"/>
    <w:rsid w:val="00BF4A10"/>
    <w:rsid w:val="00BF55E4"/>
    <w:rsid w:val="00BF590E"/>
    <w:rsid w:val="00BF6332"/>
    <w:rsid w:val="00C006C9"/>
    <w:rsid w:val="00C0196C"/>
    <w:rsid w:val="00C01AE8"/>
    <w:rsid w:val="00C0628A"/>
    <w:rsid w:val="00C07232"/>
    <w:rsid w:val="00C14E56"/>
    <w:rsid w:val="00C179EB"/>
    <w:rsid w:val="00C22B3A"/>
    <w:rsid w:val="00C22CF8"/>
    <w:rsid w:val="00C23D87"/>
    <w:rsid w:val="00C241B4"/>
    <w:rsid w:val="00C2436A"/>
    <w:rsid w:val="00C24574"/>
    <w:rsid w:val="00C24EA0"/>
    <w:rsid w:val="00C26BF9"/>
    <w:rsid w:val="00C320BE"/>
    <w:rsid w:val="00C32706"/>
    <w:rsid w:val="00C333C6"/>
    <w:rsid w:val="00C339C7"/>
    <w:rsid w:val="00C3419E"/>
    <w:rsid w:val="00C34388"/>
    <w:rsid w:val="00C37921"/>
    <w:rsid w:val="00C40F6E"/>
    <w:rsid w:val="00C43DED"/>
    <w:rsid w:val="00C4654A"/>
    <w:rsid w:val="00C466EB"/>
    <w:rsid w:val="00C47429"/>
    <w:rsid w:val="00C512BC"/>
    <w:rsid w:val="00C532E1"/>
    <w:rsid w:val="00C53755"/>
    <w:rsid w:val="00C53C33"/>
    <w:rsid w:val="00C54B05"/>
    <w:rsid w:val="00C56471"/>
    <w:rsid w:val="00C57DB7"/>
    <w:rsid w:val="00C600D5"/>
    <w:rsid w:val="00C62965"/>
    <w:rsid w:val="00C6337A"/>
    <w:rsid w:val="00C63457"/>
    <w:rsid w:val="00C64F60"/>
    <w:rsid w:val="00C65926"/>
    <w:rsid w:val="00C67B5B"/>
    <w:rsid w:val="00C705C3"/>
    <w:rsid w:val="00C7062F"/>
    <w:rsid w:val="00C73D34"/>
    <w:rsid w:val="00C74BDA"/>
    <w:rsid w:val="00C74E1A"/>
    <w:rsid w:val="00C76218"/>
    <w:rsid w:val="00C765C1"/>
    <w:rsid w:val="00C80391"/>
    <w:rsid w:val="00C80CA3"/>
    <w:rsid w:val="00C81167"/>
    <w:rsid w:val="00C902E6"/>
    <w:rsid w:val="00C913BA"/>
    <w:rsid w:val="00C93983"/>
    <w:rsid w:val="00C93F8F"/>
    <w:rsid w:val="00C97DC6"/>
    <w:rsid w:val="00CA2F18"/>
    <w:rsid w:val="00CA7BE5"/>
    <w:rsid w:val="00CA7C00"/>
    <w:rsid w:val="00CB0DA4"/>
    <w:rsid w:val="00CB4D69"/>
    <w:rsid w:val="00CB65FD"/>
    <w:rsid w:val="00CC1069"/>
    <w:rsid w:val="00CC3486"/>
    <w:rsid w:val="00CC3621"/>
    <w:rsid w:val="00CC5686"/>
    <w:rsid w:val="00CC5866"/>
    <w:rsid w:val="00CC5F30"/>
    <w:rsid w:val="00CC6845"/>
    <w:rsid w:val="00CC7F82"/>
    <w:rsid w:val="00CD1F14"/>
    <w:rsid w:val="00CD719C"/>
    <w:rsid w:val="00CE28B0"/>
    <w:rsid w:val="00CE4DC9"/>
    <w:rsid w:val="00CE6283"/>
    <w:rsid w:val="00CE6ABE"/>
    <w:rsid w:val="00CE722A"/>
    <w:rsid w:val="00CE738F"/>
    <w:rsid w:val="00CE7962"/>
    <w:rsid w:val="00D00836"/>
    <w:rsid w:val="00D0099D"/>
    <w:rsid w:val="00D02F92"/>
    <w:rsid w:val="00D0746C"/>
    <w:rsid w:val="00D1221F"/>
    <w:rsid w:val="00D131F6"/>
    <w:rsid w:val="00D15C5E"/>
    <w:rsid w:val="00D17281"/>
    <w:rsid w:val="00D2704D"/>
    <w:rsid w:val="00D27425"/>
    <w:rsid w:val="00D302F2"/>
    <w:rsid w:val="00D32776"/>
    <w:rsid w:val="00D332B5"/>
    <w:rsid w:val="00D3611C"/>
    <w:rsid w:val="00D36299"/>
    <w:rsid w:val="00D42A83"/>
    <w:rsid w:val="00D45CCC"/>
    <w:rsid w:val="00D5167C"/>
    <w:rsid w:val="00D51A99"/>
    <w:rsid w:val="00D51E49"/>
    <w:rsid w:val="00D53D53"/>
    <w:rsid w:val="00D54065"/>
    <w:rsid w:val="00D5417D"/>
    <w:rsid w:val="00D5766E"/>
    <w:rsid w:val="00D577D1"/>
    <w:rsid w:val="00D577F8"/>
    <w:rsid w:val="00D60C67"/>
    <w:rsid w:val="00D617C6"/>
    <w:rsid w:val="00D61AD3"/>
    <w:rsid w:val="00D639E2"/>
    <w:rsid w:val="00D65022"/>
    <w:rsid w:val="00D704AA"/>
    <w:rsid w:val="00D70A89"/>
    <w:rsid w:val="00D71DD1"/>
    <w:rsid w:val="00D73C07"/>
    <w:rsid w:val="00D747B8"/>
    <w:rsid w:val="00D7616D"/>
    <w:rsid w:val="00D815D3"/>
    <w:rsid w:val="00D85244"/>
    <w:rsid w:val="00D86F71"/>
    <w:rsid w:val="00D91094"/>
    <w:rsid w:val="00D92375"/>
    <w:rsid w:val="00D9295D"/>
    <w:rsid w:val="00D92EB9"/>
    <w:rsid w:val="00D934D1"/>
    <w:rsid w:val="00D93DE8"/>
    <w:rsid w:val="00D9478C"/>
    <w:rsid w:val="00DA0787"/>
    <w:rsid w:val="00DB2360"/>
    <w:rsid w:val="00DB26B4"/>
    <w:rsid w:val="00DB2FED"/>
    <w:rsid w:val="00DB354D"/>
    <w:rsid w:val="00DB3E6D"/>
    <w:rsid w:val="00DB54E2"/>
    <w:rsid w:val="00DB6B4C"/>
    <w:rsid w:val="00DB7329"/>
    <w:rsid w:val="00DC0E77"/>
    <w:rsid w:val="00DC294C"/>
    <w:rsid w:val="00DC3E6E"/>
    <w:rsid w:val="00DD1CB2"/>
    <w:rsid w:val="00DD28B9"/>
    <w:rsid w:val="00DD45A8"/>
    <w:rsid w:val="00DD64EF"/>
    <w:rsid w:val="00DD780A"/>
    <w:rsid w:val="00DE1D3A"/>
    <w:rsid w:val="00DE4F44"/>
    <w:rsid w:val="00DE7980"/>
    <w:rsid w:val="00DF059C"/>
    <w:rsid w:val="00DF3593"/>
    <w:rsid w:val="00DF3C71"/>
    <w:rsid w:val="00DF4C49"/>
    <w:rsid w:val="00DF4FC9"/>
    <w:rsid w:val="00DF7AA8"/>
    <w:rsid w:val="00E00256"/>
    <w:rsid w:val="00E11266"/>
    <w:rsid w:val="00E14328"/>
    <w:rsid w:val="00E1515C"/>
    <w:rsid w:val="00E15397"/>
    <w:rsid w:val="00E1624F"/>
    <w:rsid w:val="00E16B67"/>
    <w:rsid w:val="00E224AA"/>
    <w:rsid w:val="00E24A41"/>
    <w:rsid w:val="00E26671"/>
    <w:rsid w:val="00E30C4E"/>
    <w:rsid w:val="00E312AE"/>
    <w:rsid w:val="00E41ECC"/>
    <w:rsid w:val="00E453EE"/>
    <w:rsid w:val="00E469EF"/>
    <w:rsid w:val="00E51058"/>
    <w:rsid w:val="00E51D88"/>
    <w:rsid w:val="00E53C79"/>
    <w:rsid w:val="00E5414E"/>
    <w:rsid w:val="00E56125"/>
    <w:rsid w:val="00E56920"/>
    <w:rsid w:val="00E57787"/>
    <w:rsid w:val="00E61107"/>
    <w:rsid w:val="00E658C2"/>
    <w:rsid w:val="00E65F99"/>
    <w:rsid w:val="00E7699A"/>
    <w:rsid w:val="00E80039"/>
    <w:rsid w:val="00E8349C"/>
    <w:rsid w:val="00E85F86"/>
    <w:rsid w:val="00E879EC"/>
    <w:rsid w:val="00E87C4F"/>
    <w:rsid w:val="00E9087E"/>
    <w:rsid w:val="00E93A20"/>
    <w:rsid w:val="00E94723"/>
    <w:rsid w:val="00E947B3"/>
    <w:rsid w:val="00E96D94"/>
    <w:rsid w:val="00E9752F"/>
    <w:rsid w:val="00EA1116"/>
    <w:rsid w:val="00EA137B"/>
    <w:rsid w:val="00EA3D76"/>
    <w:rsid w:val="00EB0371"/>
    <w:rsid w:val="00EB1E28"/>
    <w:rsid w:val="00EB489C"/>
    <w:rsid w:val="00EC055E"/>
    <w:rsid w:val="00EC3F84"/>
    <w:rsid w:val="00EC50C2"/>
    <w:rsid w:val="00EC57BB"/>
    <w:rsid w:val="00EC6C76"/>
    <w:rsid w:val="00EC6EC5"/>
    <w:rsid w:val="00EC7231"/>
    <w:rsid w:val="00ED3239"/>
    <w:rsid w:val="00ED3624"/>
    <w:rsid w:val="00ED3B5C"/>
    <w:rsid w:val="00ED3D4D"/>
    <w:rsid w:val="00ED5226"/>
    <w:rsid w:val="00ED5312"/>
    <w:rsid w:val="00EE349D"/>
    <w:rsid w:val="00EE445C"/>
    <w:rsid w:val="00EF0634"/>
    <w:rsid w:val="00EF5D72"/>
    <w:rsid w:val="00EF7759"/>
    <w:rsid w:val="00F0075C"/>
    <w:rsid w:val="00F007B0"/>
    <w:rsid w:val="00F014BB"/>
    <w:rsid w:val="00F01BBC"/>
    <w:rsid w:val="00F04826"/>
    <w:rsid w:val="00F05952"/>
    <w:rsid w:val="00F070AD"/>
    <w:rsid w:val="00F11CD1"/>
    <w:rsid w:val="00F12E6E"/>
    <w:rsid w:val="00F13FA3"/>
    <w:rsid w:val="00F16B7A"/>
    <w:rsid w:val="00F16D8C"/>
    <w:rsid w:val="00F16EBF"/>
    <w:rsid w:val="00F21EBF"/>
    <w:rsid w:val="00F226FC"/>
    <w:rsid w:val="00F257D6"/>
    <w:rsid w:val="00F25B01"/>
    <w:rsid w:val="00F32CCD"/>
    <w:rsid w:val="00F343C5"/>
    <w:rsid w:val="00F34926"/>
    <w:rsid w:val="00F35C61"/>
    <w:rsid w:val="00F3774B"/>
    <w:rsid w:val="00F40AF8"/>
    <w:rsid w:val="00F42937"/>
    <w:rsid w:val="00F44700"/>
    <w:rsid w:val="00F4504D"/>
    <w:rsid w:val="00F46A80"/>
    <w:rsid w:val="00F46F2F"/>
    <w:rsid w:val="00F47FD6"/>
    <w:rsid w:val="00F5311A"/>
    <w:rsid w:val="00F53E93"/>
    <w:rsid w:val="00F54D07"/>
    <w:rsid w:val="00F565EB"/>
    <w:rsid w:val="00F57285"/>
    <w:rsid w:val="00F57943"/>
    <w:rsid w:val="00F6053A"/>
    <w:rsid w:val="00F60835"/>
    <w:rsid w:val="00F6122E"/>
    <w:rsid w:val="00F64F18"/>
    <w:rsid w:val="00F72EDB"/>
    <w:rsid w:val="00F74187"/>
    <w:rsid w:val="00F80805"/>
    <w:rsid w:val="00F814BF"/>
    <w:rsid w:val="00F81A57"/>
    <w:rsid w:val="00F8464C"/>
    <w:rsid w:val="00F853AE"/>
    <w:rsid w:val="00F8564F"/>
    <w:rsid w:val="00F9663B"/>
    <w:rsid w:val="00F97EB9"/>
    <w:rsid w:val="00FA1D1D"/>
    <w:rsid w:val="00FB20B1"/>
    <w:rsid w:val="00FB24E4"/>
    <w:rsid w:val="00FB5705"/>
    <w:rsid w:val="00FB638D"/>
    <w:rsid w:val="00FB63E9"/>
    <w:rsid w:val="00FC03C1"/>
    <w:rsid w:val="00FC0493"/>
    <w:rsid w:val="00FC27CD"/>
    <w:rsid w:val="00FC32B3"/>
    <w:rsid w:val="00FC6BCD"/>
    <w:rsid w:val="00FD0D6D"/>
    <w:rsid w:val="00FD0D84"/>
    <w:rsid w:val="00FD1097"/>
    <w:rsid w:val="00FD2896"/>
    <w:rsid w:val="00FD3161"/>
    <w:rsid w:val="00FD31F4"/>
    <w:rsid w:val="00FD5CB9"/>
    <w:rsid w:val="00FD7FA4"/>
    <w:rsid w:val="00FE16A7"/>
    <w:rsid w:val="00FE2F68"/>
    <w:rsid w:val="00FE4EA1"/>
    <w:rsid w:val="00FF0467"/>
    <w:rsid w:val="00FF053C"/>
    <w:rsid w:val="00FF25C6"/>
    <w:rsid w:val="00FF2A58"/>
    <w:rsid w:val="00FF2CFC"/>
    <w:rsid w:val="00FF3DC1"/>
    <w:rsid w:val="00FF5087"/>
    <w:rsid w:val="00FF60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54E642"/>
  <w15:chartTrackingRefBased/>
  <w15:docId w15:val="{DC86749D-9DDB-470A-A783-A79BD06E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E3C21"/>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55989"/>
    <w:pPr>
      <w:tabs>
        <w:tab w:val="center" w:pos="4536"/>
        <w:tab w:val="right" w:pos="9072"/>
      </w:tabs>
      <w:spacing w:after="0" w:line="240" w:lineRule="auto"/>
    </w:pPr>
  </w:style>
  <w:style w:type="character" w:customStyle="1" w:styleId="lfejChar">
    <w:name w:val="Élőfej Char"/>
    <w:basedOn w:val="Bekezdsalapbettpusa"/>
    <w:link w:val="lfej"/>
    <w:uiPriority w:val="99"/>
    <w:rsid w:val="00755989"/>
  </w:style>
  <w:style w:type="paragraph" w:styleId="llb">
    <w:name w:val="footer"/>
    <w:basedOn w:val="Norml"/>
    <w:link w:val="llbChar"/>
    <w:uiPriority w:val="99"/>
    <w:unhideWhenUsed/>
    <w:rsid w:val="00755989"/>
    <w:pPr>
      <w:tabs>
        <w:tab w:val="center" w:pos="4536"/>
        <w:tab w:val="right" w:pos="9072"/>
      </w:tabs>
      <w:spacing w:after="0" w:line="240" w:lineRule="auto"/>
    </w:pPr>
  </w:style>
  <w:style w:type="character" w:customStyle="1" w:styleId="llbChar">
    <w:name w:val="Élőláb Char"/>
    <w:basedOn w:val="Bekezdsalapbettpusa"/>
    <w:link w:val="llb"/>
    <w:uiPriority w:val="99"/>
    <w:rsid w:val="00755989"/>
  </w:style>
  <w:style w:type="paragraph" w:styleId="Buborkszveg">
    <w:name w:val="Balloon Text"/>
    <w:basedOn w:val="Norml"/>
    <w:link w:val="BuborkszvegChar"/>
    <w:uiPriority w:val="99"/>
    <w:semiHidden/>
    <w:unhideWhenUsed/>
    <w:rsid w:val="00B863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8638B"/>
    <w:rPr>
      <w:rFonts w:ascii="Segoe UI" w:hAnsi="Segoe UI" w:cs="Segoe UI"/>
      <w:sz w:val="18"/>
      <w:szCs w:val="18"/>
    </w:rPr>
  </w:style>
  <w:style w:type="paragraph" w:customStyle="1" w:styleId="EMEAEnBodyText">
    <w:name w:val="EMEA En Body Text"/>
    <w:basedOn w:val="Norml"/>
    <w:rsid w:val="00B8638B"/>
    <w:pPr>
      <w:spacing w:before="120" w:after="120" w:line="240" w:lineRule="auto"/>
      <w:jc w:val="both"/>
    </w:pPr>
    <w:rPr>
      <w:rFonts w:ascii="Times New Roman" w:eastAsia="Times New Roman" w:hAnsi="Times New Roman" w:cs="Times New Roman"/>
      <w:szCs w:val="20"/>
      <w:lang w:val="en-US"/>
    </w:rPr>
  </w:style>
  <w:style w:type="paragraph" w:customStyle="1" w:styleId="Default">
    <w:name w:val="Default"/>
    <w:rsid w:val="00B8638B"/>
    <w:pPr>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styleId="Hiperhivatkozs">
    <w:name w:val="Hyperlink"/>
    <w:rsid w:val="001D419C"/>
    <w:rPr>
      <w:color w:val="0000FF"/>
      <w:u w:val="single"/>
    </w:rPr>
  </w:style>
  <w:style w:type="character" w:styleId="Jegyzethivatkozs">
    <w:name w:val="annotation reference"/>
    <w:basedOn w:val="Bekezdsalapbettpusa"/>
    <w:uiPriority w:val="99"/>
    <w:semiHidden/>
    <w:unhideWhenUsed/>
    <w:rsid w:val="00453BFC"/>
    <w:rPr>
      <w:sz w:val="16"/>
      <w:szCs w:val="16"/>
    </w:rPr>
  </w:style>
  <w:style w:type="paragraph" w:styleId="Jegyzetszveg">
    <w:name w:val="annotation text"/>
    <w:basedOn w:val="Norml"/>
    <w:link w:val="JegyzetszvegChar"/>
    <w:unhideWhenUsed/>
    <w:rsid w:val="00453BFC"/>
    <w:pPr>
      <w:spacing w:line="240" w:lineRule="auto"/>
    </w:pPr>
    <w:rPr>
      <w:sz w:val="20"/>
      <w:szCs w:val="20"/>
    </w:rPr>
  </w:style>
  <w:style w:type="character" w:customStyle="1" w:styleId="JegyzetszvegChar">
    <w:name w:val="Jegyzetszöveg Char"/>
    <w:basedOn w:val="Bekezdsalapbettpusa"/>
    <w:link w:val="Jegyzetszveg"/>
    <w:rsid w:val="00453BFC"/>
    <w:rPr>
      <w:sz w:val="20"/>
      <w:szCs w:val="20"/>
    </w:rPr>
  </w:style>
  <w:style w:type="paragraph" w:styleId="Megjegyzstrgya">
    <w:name w:val="annotation subject"/>
    <w:basedOn w:val="Jegyzetszveg"/>
    <w:next w:val="Jegyzetszveg"/>
    <w:link w:val="MegjegyzstrgyaChar"/>
    <w:uiPriority w:val="99"/>
    <w:semiHidden/>
    <w:unhideWhenUsed/>
    <w:rsid w:val="00453BFC"/>
    <w:rPr>
      <w:b/>
      <w:bCs/>
    </w:rPr>
  </w:style>
  <w:style w:type="character" w:customStyle="1" w:styleId="MegjegyzstrgyaChar">
    <w:name w:val="Megjegyzés tárgya Char"/>
    <w:basedOn w:val="JegyzetszvegChar"/>
    <w:link w:val="Megjegyzstrgya"/>
    <w:uiPriority w:val="99"/>
    <w:semiHidden/>
    <w:rsid w:val="00453BFC"/>
    <w:rPr>
      <w:b/>
      <w:bCs/>
      <w:sz w:val="20"/>
      <w:szCs w:val="20"/>
    </w:rPr>
  </w:style>
  <w:style w:type="paragraph" w:styleId="Nincstrkz">
    <w:name w:val="No Spacing"/>
    <w:uiPriority w:val="1"/>
    <w:qFormat/>
    <w:rsid w:val="002B2231"/>
    <w:pPr>
      <w:spacing w:after="0" w:line="240" w:lineRule="auto"/>
    </w:pPr>
    <w:rPr>
      <w:rFonts w:ascii="Times New Roman" w:hAnsi="Times New Roman"/>
    </w:rPr>
  </w:style>
  <w:style w:type="paragraph" w:styleId="Listaszerbekezds">
    <w:name w:val="List Paragraph"/>
    <w:basedOn w:val="Norml"/>
    <w:uiPriority w:val="34"/>
    <w:qFormat/>
    <w:rsid w:val="00DB6B4C"/>
    <w:pPr>
      <w:ind w:left="720"/>
      <w:contextualSpacing/>
    </w:pPr>
  </w:style>
  <w:style w:type="table" w:styleId="Rcsostblzat">
    <w:name w:val="Table Grid"/>
    <w:basedOn w:val="Normltblzat"/>
    <w:uiPriority w:val="39"/>
    <w:rsid w:val="000C6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l"/>
    <w:link w:val="BodytextAgencyChar"/>
    <w:qFormat/>
    <w:rsid w:val="000B0ABC"/>
    <w:pPr>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qFormat/>
    <w:locked/>
    <w:rsid w:val="000B0ABC"/>
    <w:rPr>
      <w:rFonts w:ascii="Verdana" w:eastAsia="Verdana" w:hAnsi="Verdana" w:cs="Verdana"/>
      <w:sz w:val="18"/>
      <w:szCs w:val="18"/>
      <w:lang w:val="en-GB" w:eastAsia="en-GB"/>
    </w:rPr>
  </w:style>
  <w:style w:type="character" w:customStyle="1" w:styleId="Feloldatlanmegemlts1">
    <w:name w:val="Feloldatlan megemlítés1"/>
    <w:basedOn w:val="Bekezdsalapbettpusa"/>
    <w:uiPriority w:val="99"/>
    <w:semiHidden/>
    <w:unhideWhenUsed/>
    <w:rsid w:val="007A0FBC"/>
    <w:rPr>
      <w:color w:val="605E5C"/>
      <w:shd w:val="clear" w:color="auto" w:fill="E1DFDD"/>
    </w:rPr>
  </w:style>
  <w:style w:type="paragraph" w:styleId="Vltozat">
    <w:name w:val="Revision"/>
    <w:hidden/>
    <w:uiPriority w:val="99"/>
    <w:semiHidden/>
    <w:rsid w:val="007056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036894">
      <w:bodyDiv w:val="1"/>
      <w:marLeft w:val="0"/>
      <w:marRight w:val="0"/>
      <w:marTop w:val="0"/>
      <w:marBottom w:val="0"/>
      <w:divBdr>
        <w:top w:val="none" w:sz="0" w:space="0" w:color="auto"/>
        <w:left w:val="none" w:sz="0" w:space="0" w:color="auto"/>
        <w:bottom w:val="none" w:sz="0" w:space="0" w:color="auto"/>
        <w:right w:val="none" w:sz="0" w:space="0" w:color="auto"/>
      </w:divBdr>
    </w:div>
    <w:div w:id="1200165312">
      <w:bodyDiv w:val="1"/>
      <w:marLeft w:val="0"/>
      <w:marRight w:val="0"/>
      <w:marTop w:val="0"/>
      <w:marBottom w:val="0"/>
      <w:divBdr>
        <w:top w:val="none" w:sz="0" w:space="0" w:color="auto"/>
        <w:left w:val="none" w:sz="0" w:space="0" w:color="auto"/>
        <w:bottom w:val="none" w:sz="0" w:space="0" w:color="auto"/>
        <w:right w:val="none" w:sz="0" w:space="0" w:color="auto"/>
      </w:divBdr>
    </w:div>
    <w:div w:id="158807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CDCBA-0EF5-4650-80CB-D92D251129E8}">
  <ds:schemaRefs>
    <ds:schemaRef ds:uri="http://schemas.microsoft.com/sharepoint/v3/contenttype/forms"/>
  </ds:schemaRefs>
</ds:datastoreItem>
</file>

<file path=customXml/itemProps2.xml><?xml version="1.0" encoding="utf-8"?>
<ds:datastoreItem xmlns:ds="http://schemas.openxmlformats.org/officeDocument/2006/customXml" ds:itemID="{DD28C1F2-AD21-444C-83E2-D15FC939B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0ABE58-515E-4111-ACB2-7BAE62F24A39}">
  <ds:schemaRefs>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2c325633-5125-4e96-a0a6-9fcd5cfb1c70"/>
    <ds:schemaRef ds:uri="891cce82-80a3-4f9d-897f-e31b6bedda70"/>
  </ds:schemaRefs>
</ds:datastoreItem>
</file>

<file path=customXml/itemProps4.xml><?xml version="1.0" encoding="utf-8"?>
<ds:datastoreItem xmlns:ds="http://schemas.openxmlformats.org/officeDocument/2006/customXml" ds:itemID="{517C2B4B-4212-4B4F-949C-40DFBAE44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10470</Words>
  <Characters>72247</Characters>
  <Application>Microsoft Office Word</Application>
  <DocSecurity>0</DocSecurity>
  <Lines>602</Lines>
  <Paragraphs>165</Paragraphs>
  <ScaleCrop>false</ScaleCrop>
  <HeadingPairs>
    <vt:vector size="2" baseType="variant">
      <vt:variant>
        <vt:lpstr>Cím</vt:lpstr>
      </vt:variant>
      <vt:variant>
        <vt:i4>1</vt:i4>
      </vt:variant>
    </vt:vector>
  </HeadingPairs>
  <TitlesOfParts>
    <vt:vector size="1" baseType="lpstr">
      <vt:lpstr/>
    </vt:vector>
  </TitlesOfParts>
  <Company>RG</Company>
  <LinksUpToDate>false</LinksUpToDate>
  <CharactersWithSpaces>82552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Ferencné Dr. Sziksz Erna</dc:creator>
  <cp:keywords/>
  <dc:description/>
  <cp:lastModifiedBy>HU OGYI 49.1</cp:lastModifiedBy>
  <cp:revision>4</cp:revision>
  <dcterms:created xsi:type="dcterms:W3CDTF">2026-08-24T12:13:00Z</dcterms:created>
  <dcterms:modified xsi:type="dcterms:W3CDTF">2026-08-25T10:19:00Z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