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77CB2F" w14:textId="77777777" w:rsidR="001C0BD1" w:rsidRPr="00E04C6B" w:rsidRDefault="001C0BD1" w:rsidP="00E04C6B">
      <w:pPr>
        <w:pStyle w:val="Nincstrkz"/>
        <w:widowControl w:val="0"/>
        <w:suppressAutoHyphens/>
        <w:ind w:left="567" w:hanging="567"/>
        <w:rPr>
          <w:rFonts w:ascii="Times New Roman" w:hAnsi="Times New Roman"/>
          <w:b/>
        </w:rPr>
      </w:pPr>
      <w:r w:rsidRPr="00E04C6B">
        <w:rPr>
          <w:rFonts w:ascii="Times New Roman" w:hAnsi="Times New Roman"/>
          <w:b/>
          <w:bCs/>
        </w:rPr>
        <w:t>1.</w:t>
      </w:r>
      <w:r w:rsidR="007F0143" w:rsidRPr="00E04C6B">
        <w:rPr>
          <w:rFonts w:ascii="Times New Roman" w:hAnsi="Times New Roman"/>
          <w:b/>
          <w:bCs/>
        </w:rPr>
        <w:tab/>
      </w:r>
      <w:r w:rsidRPr="00E04C6B">
        <w:rPr>
          <w:rFonts w:ascii="Times New Roman" w:hAnsi="Times New Roman"/>
          <w:b/>
        </w:rPr>
        <w:t>A GYÓGYSZER NEVE</w:t>
      </w:r>
    </w:p>
    <w:p w14:paraId="47BA7E39" w14:textId="77777777" w:rsidR="00C109CC" w:rsidRPr="00E04C6B" w:rsidRDefault="00C109CC" w:rsidP="00E04C6B">
      <w:pPr>
        <w:pStyle w:val="Nincstrkz"/>
        <w:widowControl w:val="0"/>
        <w:suppressAutoHyphens/>
        <w:ind w:left="567" w:hanging="567"/>
        <w:rPr>
          <w:rFonts w:ascii="Times New Roman" w:hAnsi="Times New Roman"/>
        </w:rPr>
      </w:pPr>
    </w:p>
    <w:p w14:paraId="33E511CB" w14:textId="77777777" w:rsidR="00643EC2" w:rsidRPr="00643EC2" w:rsidRDefault="00643EC2" w:rsidP="00643EC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643EC2">
        <w:rPr>
          <w:rFonts w:ascii="Times New Roman" w:eastAsia="Times New Roman" w:hAnsi="Times New Roman"/>
        </w:rPr>
        <w:t>Lappoxo 10 mg/15 ml koncentrátum és oldószer belsőleges oldathoz</w:t>
      </w:r>
    </w:p>
    <w:p w14:paraId="75E86E9C" w14:textId="77777777" w:rsidR="00643EC2" w:rsidRPr="00643EC2" w:rsidRDefault="00643EC2" w:rsidP="00643EC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643EC2">
        <w:rPr>
          <w:rFonts w:ascii="Times New Roman" w:eastAsia="Times New Roman" w:hAnsi="Times New Roman"/>
        </w:rPr>
        <w:t>Lappoxo 20 mg/15 ml koncentrátum és oldószer belsőleges oldathoz</w:t>
      </w:r>
    </w:p>
    <w:p w14:paraId="23E01C22" w14:textId="77777777" w:rsidR="000A690C" w:rsidRPr="00E04C6B" w:rsidRDefault="000A690C" w:rsidP="00E04C6B">
      <w:pPr>
        <w:pStyle w:val="Nincstrkz"/>
        <w:widowControl w:val="0"/>
        <w:suppressAutoHyphens/>
        <w:rPr>
          <w:rFonts w:ascii="Times New Roman" w:hAnsi="Times New Roman"/>
        </w:rPr>
      </w:pPr>
    </w:p>
    <w:p w14:paraId="67A416B2" w14:textId="77777777" w:rsidR="000A690C" w:rsidRPr="00E04C6B" w:rsidRDefault="000A690C" w:rsidP="00E04C6B">
      <w:pPr>
        <w:pStyle w:val="Nincstrkz"/>
        <w:widowControl w:val="0"/>
        <w:suppressAutoHyphens/>
        <w:rPr>
          <w:rFonts w:ascii="Times New Roman" w:hAnsi="Times New Roman"/>
        </w:rPr>
      </w:pPr>
    </w:p>
    <w:p w14:paraId="1D079C68" w14:textId="77777777" w:rsidR="00C109CC" w:rsidRPr="00E04C6B" w:rsidRDefault="001C0BD1" w:rsidP="00E04C6B">
      <w:pPr>
        <w:pStyle w:val="Nincstrkz"/>
        <w:widowControl w:val="0"/>
        <w:suppressAutoHyphens/>
        <w:ind w:left="567" w:hanging="567"/>
        <w:rPr>
          <w:rFonts w:ascii="Times New Roman" w:hAnsi="Times New Roman"/>
          <w:b/>
        </w:rPr>
      </w:pPr>
      <w:r w:rsidRPr="00E04C6B">
        <w:rPr>
          <w:rFonts w:ascii="Times New Roman" w:hAnsi="Times New Roman"/>
          <w:b/>
        </w:rPr>
        <w:t>2.</w:t>
      </w:r>
      <w:r w:rsidR="007F0143" w:rsidRPr="00E04C6B">
        <w:rPr>
          <w:rFonts w:ascii="Times New Roman" w:hAnsi="Times New Roman"/>
          <w:b/>
          <w:bCs/>
        </w:rPr>
        <w:tab/>
      </w:r>
      <w:r w:rsidRPr="00E04C6B">
        <w:rPr>
          <w:rFonts w:ascii="Times New Roman" w:hAnsi="Times New Roman"/>
          <w:b/>
        </w:rPr>
        <w:t>MINŐSÉGI ÉS MENNYISÉGI ÖSSZETÉTEL</w:t>
      </w:r>
    </w:p>
    <w:p w14:paraId="48081148" w14:textId="77777777" w:rsidR="00C109CC" w:rsidRPr="00E04C6B" w:rsidRDefault="00C109CC" w:rsidP="00E04C6B">
      <w:pPr>
        <w:pStyle w:val="Nincstrkz"/>
        <w:widowControl w:val="0"/>
        <w:suppressAutoHyphens/>
        <w:rPr>
          <w:rFonts w:ascii="Times New Roman" w:hAnsi="Times New Roman"/>
        </w:rPr>
      </w:pPr>
    </w:p>
    <w:p w14:paraId="1F3C6E30" w14:textId="77777777" w:rsidR="002072E1" w:rsidRPr="009E1E8A" w:rsidRDefault="002072E1" w:rsidP="002072E1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/>
          <w:u w:val="single"/>
        </w:rPr>
      </w:pPr>
      <w:bookmarkStart w:id="0" w:name="_Hlk159164609"/>
      <w:r w:rsidRPr="009E1E8A">
        <w:rPr>
          <w:rFonts w:ascii="Times New Roman" w:eastAsia="Times New Roman" w:hAnsi="Times New Roman"/>
          <w:u w:val="single"/>
        </w:rPr>
        <w:t xml:space="preserve">Lappoxo 10 mg/15 ml </w:t>
      </w:r>
      <w:bookmarkEnd w:id="0"/>
      <w:r w:rsidRPr="009E1E8A">
        <w:rPr>
          <w:rFonts w:ascii="Times New Roman" w:eastAsia="Times New Roman" w:hAnsi="Times New Roman"/>
          <w:u w:val="single"/>
        </w:rPr>
        <w:t>koncentrátum és oldószer belsőleges oldathoz</w:t>
      </w:r>
    </w:p>
    <w:p w14:paraId="7593E5B9" w14:textId="2DEB7C2A" w:rsidR="002072E1" w:rsidRPr="002072E1" w:rsidRDefault="002072E1" w:rsidP="00E04C6B">
      <w:pPr>
        <w:pStyle w:val="Nincstrkz"/>
        <w:widowControl w:val="0"/>
        <w:suppressAutoHyphens/>
        <w:rPr>
          <w:rFonts w:ascii="Times New Roman" w:hAnsi="Times New Roman"/>
          <w:u w:val="single"/>
        </w:rPr>
      </w:pPr>
      <w:r w:rsidRPr="002072E1">
        <w:rPr>
          <w:rFonts w:ascii="Times New Roman" w:eastAsia="Times New Roman" w:hAnsi="Times New Roman"/>
        </w:rPr>
        <w:t xml:space="preserve">Lappoxo 10 mg/15 ml </w:t>
      </w:r>
      <w:r>
        <w:rPr>
          <w:rFonts w:ascii="Times New Roman" w:eastAsia="Times New Roman" w:hAnsi="Times New Roman"/>
        </w:rPr>
        <w:t>két rekesz</w:t>
      </w:r>
      <w:r w:rsidR="007F5AE4">
        <w:rPr>
          <w:rFonts w:ascii="Times New Roman" w:eastAsia="Times New Roman" w:hAnsi="Times New Roman"/>
        </w:rPr>
        <w:t>es</w:t>
      </w:r>
      <w:r>
        <w:rPr>
          <w:rFonts w:ascii="Times New Roman" w:eastAsia="Times New Roman" w:hAnsi="Times New Roman"/>
        </w:rPr>
        <w:t xml:space="preserve"> tartálya az alábbi</w:t>
      </w:r>
      <w:r w:rsidR="007F5AE4">
        <w:rPr>
          <w:rFonts w:ascii="Times New Roman" w:eastAsia="Times New Roman" w:hAnsi="Times New Roman"/>
        </w:rPr>
        <w:t>a</w:t>
      </w:r>
      <w:r>
        <w:rPr>
          <w:rFonts w:ascii="Times New Roman" w:eastAsia="Times New Roman" w:hAnsi="Times New Roman"/>
        </w:rPr>
        <w:t>kból áll</w:t>
      </w:r>
      <w:r w:rsidR="007F5AE4">
        <w:rPr>
          <w:rFonts w:ascii="Times New Roman" w:eastAsia="Times New Roman" w:hAnsi="Times New Roman"/>
        </w:rPr>
        <w:t>:</w:t>
      </w:r>
    </w:p>
    <w:p w14:paraId="1F090E2F" w14:textId="06C52E36" w:rsidR="002072E1" w:rsidRPr="002072E1" w:rsidRDefault="007F5AE4" w:rsidP="00AE7C84">
      <w:pPr>
        <w:widowControl w:val="0"/>
        <w:numPr>
          <w:ilvl w:val="0"/>
          <w:numId w:val="20"/>
        </w:numPr>
        <w:tabs>
          <w:tab w:val="left" w:pos="709"/>
        </w:tabs>
        <w:spacing w:after="0" w:line="240" w:lineRule="auto"/>
        <w:contextualSpacing/>
        <w:rPr>
          <w:rFonts w:ascii="Times New Roman" w:hAnsi="Times New Roman"/>
          <w:u w:val="single"/>
        </w:rPr>
      </w:pPr>
      <w:r w:rsidRPr="007F5AE4">
        <w:rPr>
          <w:rFonts w:ascii="Times New Roman" w:eastAsia="Times New Roman" w:hAnsi="Times New Roman"/>
        </w:rPr>
        <w:t xml:space="preserve">a felső rekesz (kupak) 5 ml </w:t>
      </w:r>
      <w:bookmarkStart w:id="1" w:name="_Hlk159175201"/>
      <w:r w:rsidRPr="007F5AE4">
        <w:rPr>
          <w:rFonts w:ascii="Times New Roman" w:eastAsia="Times New Roman" w:hAnsi="Times New Roman"/>
        </w:rPr>
        <w:t>2 mg/ml</w:t>
      </w:r>
      <w:r w:rsidR="008C30A0">
        <w:rPr>
          <w:rFonts w:ascii="Times New Roman" w:eastAsia="Times New Roman" w:hAnsi="Times New Roman"/>
        </w:rPr>
        <w:noBreakHyphen/>
      </w:r>
      <w:r w:rsidRPr="007F5AE4">
        <w:rPr>
          <w:rFonts w:ascii="Times New Roman" w:eastAsia="Times New Roman" w:hAnsi="Times New Roman"/>
        </w:rPr>
        <w:t>es omeprazol oldatot tartalma</w:t>
      </w:r>
      <w:r>
        <w:rPr>
          <w:rFonts w:ascii="Times New Roman" w:eastAsia="Times New Roman" w:hAnsi="Times New Roman"/>
        </w:rPr>
        <w:t>z</w:t>
      </w:r>
      <w:bookmarkEnd w:id="1"/>
    </w:p>
    <w:p w14:paraId="6148295D" w14:textId="753ACC4F" w:rsidR="007F5AE4" w:rsidRPr="007F5AE4" w:rsidRDefault="007F5AE4" w:rsidP="00AE7C84">
      <w:pPr>
        <w:widowControl w:val="0"/>
        <w:numPr>
          <w:ilvl w:val="0"/>
          <w:numId w:val="20"/>
        </w:numPr>
        <w:tabs>
          <w:tab w:val="left" w:pos="709"/>
        </w:tabs>
        <w:spacing w:after="0" w:line="240" w:lineRule="auto"/>
        <w:contextualSpacing/>
        <w:rPr>
          <w:rFonts w:ascii="Times New Roman" w:eastAsia="Times New Roman" w:hAnsi="Times New Roman"/>
        </w:rPr>
      </w:pPr>
      <w:r w:rsidRPr="007F5AE4">
        <w:rPr>
          <w:rFonts w:ascii="Times New Roman" w:eastAsia="Times New Roman" w:hAnsi="Times New Roman"/>
        </w:rPr>
        <w:t>az alsó rekesz (</w:t>
      </w:r>
      <w:r w:rsidR="000A3F28">
        <w:rPr>
          <w:rFonts w:ascii="Times New Roman" w:eastAsia="Times New Roman" w:hAnsi="Times New Roman"/>
        </w:rPr>
        <w:t>tartály</w:t>
      </w:r>
      <w:r w:rsidRPr="007F5AE4">
        <w:rPr>
          <w:rFonts w:ascii="Times New Roman" w:eastAsia="Times New Roman" w:hAnsi="Times New Roman"/>
        </w:rPr>
        <w:t>) 10 ml oldószert tartalmaz.</w:t>
      </w:r>
    </w:p>
    <w:p w14:paraId="1A358E20" w14:textId="25B498B0" w:rsidR="007F5AE4" w:rsidRPr="008A495E" w:rsidRDefault="007F5AE4" w:rsidP="00AE7C84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  <w:bookmarkStart w:id="2" w:name="_Hlk159165439"/>
      <w:r>
        <w:rPr>
          <w:lang w:val="hu-HU"/>
        </w:rPr>
        <w:t>A bevételre kész oldat (15 ml) 10 mg omeprazolt tartalmaz.</w:t>
      </w:r>
    </w:p>
    <w:bookmarkEnd w:id="2"/>
    <w:p w14:paraId="764FF0BB" w14:textId="77777777" w:rsidR="007F5AE4" w:rsidRDefault="007F5AE4" w:rsidP="00E04C6B">
      <w:pPr>
        <w:pStyle w:val="Nincstrkz"/>
        <w:widowControl w:val="0"/>
        <w:suppressAutoHyphens/>
        <w:rPr>
          <w:rFonts w:ascii="Times New Roman" w:hAnsi="Times New Roman"/>
          <w:u w:val="single"/>
        </w:rPr>
      </w:pPr>
    </w:p>
    <w:p w14:paraId="08658298" w14:textId="00746B6E" w:rsidR="007F5AE4" w:rsidRPr="009E1E8A" w:rsidRDefault="007F5AE4" w:rsidP="007F5AE4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/>
          <w:u w:val="single"/>
        </w:rPr>
      </w:pPr>
      <w:r w:rsidRPr="009E1E8A">
        <w:rPr>
          <w:rFonts w:ascii="Times New Roman" w:eastAsia="Times New Roman" w:hAnsi="Times New Roman"/>
          <w:u w:val="single"/>
        </w:rPr>
        <w:t>Lappoxo 20 mg/15 ml koncentrátum és oldószer belsőleges oldathoz</w:t>
      </w:r>
    </w:p>
    <w:p w14:paraId="394FA795" w14:textId="4394FF43" w:rsidR="007F5AE4" w:rsidRPr="002072E1" w:rsidRDefault="007F5AE4" w:rsidP="007F5AE4">
      <w:pPr>
        <w:pStyle w:val="Nincstrkz"/>
        <w:widowControl w:val="0"/>
        <w:suppressAutoHyphens/>
        <w:rPr>
          <w:rFonts w:ascii="Times New Roman" w:hAnsi="Times New Roman"/>
          <w:u w:val="single"/>
        </w:rPr>
      </w:pPr>
      <w:r w:rsidRPr="002072E1">
        <w:rPr>
          <w:rFonts w:ascii="Times New Roman" w:eastAsia="Times New Roman" w:hAnsi="Times New Roman"/>
        </w:rPr>
        <w:t xml:space="preserve">Lappoxo </w:t>
      </w:r>
      <w:r>
        <w:rPr>
          <w:rFonts w:ascii="Times New Roman" w:eastAsia="Times New Roman" w:hAnsi="Times New Roman"/>
        </w:rPr>
        <w:t>2</w:t>
      </w:r>
      <w:r w:rsidRPr="002072E1">
        <w:rPr>
          <w:rFonts w:ascii="Times New Roman" w:eastAsia="Times New Roman" w:hAnsi="Times New Roman"/>
        </w:rPr>
        <w:t xml:space="preserve">0 mg/15 ml </w:t>
      </w:r>
      <w:r>
        <w:rPr>
          <w:rFonts w:ascii="Times New Roman" w:eastAsia="Times New Roman" w:hAnsi="Times New Roman"/>
        </w:rPr>
        <w:t>két rekeszes tartálya az alábbiakból áll:</w:t>
      </w:r>
    </w:p>
    <w:p w14:paraId="3FDCD8F8" w14:textId="122BBC52" w:rsidR="007F5AE4" w:rsidRPr="002072E1" w:rsidRDefault="007F5AE4" w:rsidP="007F5AE4">
      <w:pPr>
        <w:widowControl w:val="0"/>
        <w:numPr>
          <w:ilvl w:val="0"/>
          <w:numId w:val="20"/>
        </w:numPr>
        <w:tabs>
          <w:tab w:val="left" w:pos="709"/>
        </w:tabs>
        <w:spacing w:after="0" w:line="240" w:lineRule="auto"/>
        <w:contextualSpacing/>
        <w:rPr>
          <w:rFonts w:ascii="Times New Roman" w:hAnsi="Times New Roman"/>
          <w:u w:val="single"/>
        </w:rPr>
      </w:pPr>
      <w:r w:rsidRPr="007F5AE4">
        <w:rPr>
          <w:rFonts w:ascii="Times New Roman" w:eastAsia="Times New Roman" w:hAnsi="Times New Roman"/>
        </w:rPr>
        <w:t xml:space="preserve">a felső rekesz (kupak) 5 ml </w:t>
      </w:r>
      <w:r>
        <w:rPr>
          <w:rFonts w:ascii="Times New Roman" w:eastAsia="Times New Roman" w:hAnsi="Times New Roman"/>
        </w:rPr>
        <w:t>4</w:t>
      </w:r>
      <w:r w:rsidRPr="007F5AE4">
        <w:rPr>
          <w:rFonts w:ascii="Times New Roman" w:eastAsia="Times New Roman" w:hAnsi="Times New Roman"/>
        </w:rPr>
        <w:t> mg/ml</w:t>
      </w:r>
      <w:r w:rsidR="008C30A0">
        <w:rPr>
          <w:rFonts w:ascii="Times New Roman" w:eastAsia="Times New Roman" w:hAnsi="Times New Roman"/>
        </w:rPr>
        <w:noBreakHyphen/>
      </w:r>
      <w:r w:rsidRPr="007F5AE4">
        <w:rPr>
          <w:rFonts w:ascii="Times New Roman" w:eastAsia="Times New Roman" w:hAnsi="Times New Roman"/>
        </w:rPr>
        <w:t>es omeprazol oldatot tartalma</w:t>
      </w:r>
      <w:r>
        <w:rPr>
          <w:rFonts w:ascii="Times New Roman" w:eastAsia="Times New Roman" w:hAnsi="Times New Roman"/>
        </w:rPr>
        <w:t>z</w:t>
      </w:r>
    </w:p>
    <w:p w14:paraId="167C73C5" w14:textId="4257AB37" w:rsidR="007F5AE4" w:rsidRPr="007F5AE4" w:rsidRDefault="007F5AE4" w:rsidP="007F5AE4">
      <w:pPr>
        <w:widowControl w:val="0"/>
        <w:numPr>
          <w:ilvl w:val="0"/>
          <w:numId w:val="20"/>
        </w:numPr>
        <w:tabs>
          <w:tab w:val="left" w:pos="709"/>
        </w:tabs>
        <w:spacing w:after="0" w:line="240" w:lineRule="auto"/>
        <w:contextualSpacing/>
        <w:rPr>
          <w:rFonts w:ascii="Times New Roman" w:eastAsia="Times New Roman" w:hAnsi="Times New Roman"/>
        </w:rPr>
      </w:pPr>
      <w:r w:rsidRPr="007F5AE4">
        <w:rPr>
          <w:rFonts w:ascii="Times New Roman" w:eastAsia="Times New Roman" w:hAnsi="Times New Roman"/>
        </w:rPr>
        <w:t>az alsó rekesz (</w:t>
      </w:r>
      <w:r w:rsidR="000A3F28">
        <w:rPr>
          <w:rFonts w:ascii="Times New Roman" w:eastAsia="Times New Roman" w:hAnsi="Times New Roman"/>
        </w:rPr>
        <w:t>tartály</w:t>
      </w:r>
      <w:r w:rsidRPr="007F5AE4">
        <w:rPr>
          <w:rFonts w:ascii="Times New Roman" w:eastAsia="Times New Roman" w:hAnsi="Times New Roman"/>
        </w:rPr>
        <w:t>) 10 ml oldószert tartalmaz.</w:t>
      </w:r>
    </w:p>
    <w:p w14:paraId="3F71FF98" w14:textId="6AE75D74" w:rsidR="007F5AE4" w:rsidRPr="008A495E" w:rsidRDefault="007F5AE4" w:rsidP="007F5AE4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  <w:r>
        <w:rPr>
          <w:lang w:val="hu-HU"/>
        </w:rPr>
        <w:t xml:space="preserve">A bevételre kész oldat (15 ml) </w:t>
      </w:r>
      <w:r w:rsidR="00482843">
        <w:rPr>
          <w:lang w:val="hu-HU"/>
        </w:rPr>
        <w:t>2</w:t>
      </w:r>
      <w:r>
        <w:rPr>
          <w:lang w:val="hu-HU"/>
        </w:rPr>
        <w:t>0 mg omeprazolt tartalmaz.</w:t>
      </w:r>
    </w:p>
    <w:p w14:paraId="5DDEAB94" w14:textId="1D6791B2" w:rsidR="007F5AE4" w:rsidRDefault="007F5AE4" w:rsidP="00E04C6B">
      <w:pPr>
        <w:pStyle w:val="Nincstrkz"/>
        <w:widowControl w:val="0"/>
        <w:suppressAutoHyphens/>
        <w:rPr>
          <w:rFonts w:ascii="Times New Roman" w:hAnsi="Times New Roman"/>
          <w:u w:val="single"/>
        </w:rPr>
      </w:pPr>
    </w:p>
    <w:p w14:paraId="294D1C6D" w14:textId="62B3612B" w:rsidR="00DD5B0B" w:rsidRPr="00211551" w:rsidRDefault="00DD5B0B" w:rsidP="009E1E8A">
      <w:pPr>
        <w:pStyle w:val="EMEAEnBodyText"/>
        <w:autoSpaceDE w:val="0"/>
        <w:autoSpaceDN w:val="0"/>
        <w:adjustRightInd w:val="0"/>
        <w:spacing w:before="0" w:after="0"/>
        <w:rPr>
          <w:u w:val="single"/>
        </w:rPr>
      </w:pPr>
      <w:r w:rsidRPr="00F06234">
        <w:rPr>
          <w:bCs/>
          <w:noProof/>
          <w:u w:val="single"/>
          <w:lang w:val="hu-HU"/>
        </w:rPr>
        <w:t>Ismert hatású segédanyag</w:t>
      </w:r>
      <w:r w:rsidRPr="00F06234">
        <w:rPr>
          <w:u w:val="single"/>
          <w:lang w:val="hu-HU"/>
        </w:rPr>
        <w:t>ok</w:t>
      </w:r>
    </w:p>
    <w:p w14:paraId="0D5EA402" w14:textId="7B9867DB" w:rsidR="00C7253B" w:rsidRPr="009E1E8A" w:rsidRDefault="007F5AE4" w:rsidP="00E04C6B">
      <w:pPr>
        <w:pStyle w:val="Nincstrkz"/>
        <w:widowControl w:val="0"/>
        <w:suppressAutoHyphens/>
        <w:rPr>
          <w:rFonts w:ascii="Times New Roman" w:hAnsi="Times New Roman"/>
          <w:i/>
          <w:iCs/>
        </w:rPr>
      </w:pPr>
      <w:r w:rsidRPr="009E1E8A">
        <w:rPr>
          <w:rFonts w:ascii="Times New Roman" w:hAnsi="Times New Roman"/>
          <w:i/>
          <w:iCs/>
        </w:rPr>
        <w:t>A bevételre kész oldat i</w:t>
      </w:r>
      <w:r w:rsidR="00321996" w:rsidRPr="009E1E8A">
        <w:rPr>
          <w:rFonts w:ascii="Times New Roman" w:hAnsi="Times New Roman"/>
          <w:i/>
          <w:iCs/>
        </w:rPr>
        <w:t>smert hatású s</w:t>
      </w:r>
      <w:r w:rsidR="00C7253B" w:rsidRPr="009E1E8A">
        <w:rPr>
          <w:rFonts w:ascii="Times New Roman" w:hAnsi="Times New Roman"/>
          <w:i/>
          <w:iCs/>
        </w:rPr>
        <w:t>egédanyag</w:t>
      </w:r>
      <w:r w:rsidR="00321996" w:rsidRPr="009E1E8A">
        <w:rPr>
          <w:rFonts w:ascii="Times New Roman" w:hAnsi="Times New Roman"/>
          <w:i/>
          <w:iCs/>
        </w:rPr>
        <w:t>ok</w:t>
      </w:r>
      <w:r w:rsidRPr="009E1E8A">
        <w:rPr>
          <w:rFonts w:ascii="Times New Roman" w:hAnsi="Times New Roman"/>
          <w:i/>
          <w:iCs/>
        </w:rPr>
        <w:t>at tartalmaz</w:t>
      </w:r>
      <w:r w:rsidR="00C7253B" w:rsidRPr="009E1E8A">
        <w:rPr>
          <w:rFonts w:ascii="Times New Roman" w:hAnsi="Times New Roman"/>
          <w:i/>
          <w:iCs/>
        </w:rPr>
        <w:t>:</w:t>
      </w:r>
    </w:p>
    <w:p w14:paraId="7B1B9AA9" w14:textId="178B1CF7" w:rsidR="007F5AE4" w:rsidRPr="007F5AE4" w:rsidRDefault="007F5AE4" w:rsidP="007F5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5AE4">
        <w:rPr>
          <w:rFonts w:ascii="Times New Roman" w:eastAsia="Times New Roman" w:hAnsi="Times New Roman"/>
        </w:rPr>
        <w:t>propilénglikol 0,593 mg/ml (10 mg)</w:t>
      </w:r>
    </w:p>
    <w:p w14:paraId="6D094EE3" w14:textId="742737E9" w:rsidR="007F5AE4" w:rsidRPr="007F5AE4" w:rsidRDefault="007F5AE4" w:rsidP="007F5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5AE4">
        <w:rPr>
          <w:rFonts w:ascii="Times New Roman" w:eastAsia="Times New Roman" w:hAnsi="Times New Roman"/>
        </w:rPr>
        <w:t>propilénglikol 0,447 mg/ml (20 mg)</w:t>
      </w:r>
    </w:p>
    <w:p w14:paraId="1924404C" w14:textId="43B083C2" w:rsidR="007F5AE4" w:rsidRPr="007F5AE4" w:rsidRDefault="007F5AE4" w:rsidP="007F5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5AE4">
        <w:rPr>
          <w:rFonts w:ascii="Times New Roman" w:eastAsia="Times New Roman" w:hAnsi="Times New Roman"/>
        </w:rPr>
        <w:t>nátrium 9,14 mg (0,4 mmol) nátrium ml</w:t>
      </w:r>
      <w:r w:rsidR="008C30A0">
        <w:rPr>
          <w:rFonts w:ascii="Times New Roman" w:eastAsia="Times New Roman" w:hAnsi="Times New Roman"/>
        </w:rPr>
        <w:noBreakHyphen/>
      </w:r>
      <w:r w:rsidRPr="007F5AE4">
        <w:rPr>
          <w:rFonts w:ascii="Times New Roman" w:eastAsia="Times New Roman" w:hAnsi="Times New Roman"/>
        </w:rPr>
        <w:t>enként</w:t>
      </w:r>
    </w:p>
    <w:p w14:paraId="1EC35165" w14:textId="2254E508" w:rsidR="007F5AE4" w:rsidRPr="007F5AE4" w:rsidRDefault="007F5AE4" w:rsidP="007F5A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5AE4">
        <w:rPr>
          <w:rFonts w:ascii="Times New Roman" w:eastAsia="Times New Roman" w:hAnsi="Times New Roman"/>
        </w:rPr>
        <w:t>benzoesav (E210) 0,0016 mg ml</w:t>
      </w:r>
      <w:r w:rsidR="008C30A0">
        <w:rPr>
          <w:rFonts w:ascii="Times New Roman" w:eastAsia="Times New Roman" w:hAnsi="Times New Roman"/>
        </w:rPr>
        <w:noBreakHyphen/>
      </w:r>
      <w:r w:rsidRPr="007F5AE4">
        <w:rPr>
          <w:rFonts w:ascii="Times New Roman" w:eastAsia="Times New Roman" w:hAnsi="Times New Roman"/>
        </w:rPr>
        <w:t>enként.</w:t>
      </w:r>
    </w:p>
    <w:p w14:paraId="1F27D6DE" w14:textId="77777777" w:rsidR="00C74692" w:rsidRPr="00A36050" w:rsidRDefault="00C74692" w:rsidP="00E04C6B">
      <w:pPr>
        <w:pStyle w:val="Nincstrkz"/>
        <w:widowControl w:val="0"/>
        <w:suppressAutoHyphens/>
        <w:rPr>
          <w:rFonts w:ascii="Times New Roman" w:hAnsi="Times New Roman"/>
        </w:rPr>
      </w:pPr>
    </w:p>
    <w:p w14:paraId="566AB66C" w14:textId="115F5C1A" w:rsidR="00C7253B" w:rsidRPr="00A36050" w:rsidRDefault="00C7253B" w:rsidP="00A36050">
      <w:pPr>
        <w:pStyle w:val="Nincstrkz"/>
        <w:widowControl w:val="0"/>
        <w:suppressAutoHyphens/>
        <w:rPr>
          <w:rFonts w:ascii="Times New Roman" w:hAnsi="Times New Roman"/>
        </w:rPr>
      </w:pPr>
      <w:r w:rsidRPr="00A36050">
        <w:rPr>
          <w:rFonts w:ascii="Times New Roman" w:hAnsi="Times New Roman"/>
        </w:rPr>
        <w:t>A segédanyagok teljes listáját lásd a 6.1</w:t>
      </w:r>
      <w:r w:rsidR="007F5AE4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pontban.</w:t>
      </w:r>
    </w:p>
    <w:p w14:paraId="56E53AC7" w14:textId="77777777" w:rsidR="000A690C" w:rsidRPr="00A36050" w:rsidRDefault="000A690C" w:rsidP="00A36050">
      <w:pPr>
        <w:pStyle w:val="Nincstrkz"/>
        <w:widowControl w:val="0"/>
        <w:suppressAutoHyphens/>
        <w:rPr>
          <w:rFonts w:ascii="Times New Roman" w:hAnsi="Times New Roman"/>
        </w:rPr>
      </w:pPr>
    </w:p>
    <w:p w14:paraId="330CD390" w14:textId="77777777" w:rsidR="00032C49" w:rsidRPr="00A36050" w:rsidRDefault="00032C49" w:rsidP="00A36050">
      <w:pPr>
        <w:pStyle w:val="Nincstrkz"/>
        <w:widowControl w:val="0"/>
        <w:suppressAutoHyphens/>
        <w:rPr>
          <w:rFonts w:ascii="Times New Roman" w:hAnsi="Times New Roman"/>
        </w:rPr>
      </w:pPr>
    </w:p>
    <w:p w14:paraId="0E1D0B0A" w14:textId="77777777" w:rsidR="001C0BD1" w:rsidRPr="00A36050" w:rsidRDefault="001C0BD1" w:rsidP="00A36050">
      <w:pPr>
        <w:pStyle w:val="Nincstrkz"/>
        <w:widowControl w:val="0"/>
        <w:suppressAutoHyphens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3.</w:t>
      </w:r>
      <w:r w:rsidR="007F0143" w:rsidRPr="00A36050">
        <w:rPr>
          <w:rFonts w:ascii="Times New Roman" w:hAnsi="Times New Roman"/>
          <w:b/>
        </w:rPr>
        <w:tab/>
      </w:r>
      <w:r w:rsidRPr="00A36050">
        <w:rPr>
          <w:rFonts w:ascii="Times New Roman" w:hAnsi="Times New Roman"/>
          <w:b/>
        </w:rPr>
        <w:t>GYÓGYSZERFORMA</w:t>
      </w:r>
    </w:p>
    <w:p w14:paraId="0B3D3C4D" w14:textId="77777777" w:rsidR="00C109CC" w:rsidRPr="00A36050" w:rsidRDefault="00C109CC" w:rsidP="00A36050">
      <w:pPr>
        <w:pStyle w:val="Nincstrkz"/>
        <w:widowControl w:val="0"/>
        <w:suppressAutoHyphens/>
        <w:rPr>
          <w:rFonts w:ascii="Times New Roman" w:hAnsi="Times New Roman"/>
        </w:rPr>
      </w:pPr>
    </w:p>
    <w:p w14:paraId="76C46A49" w14:textId="77777777" w:rsidR="007F5AE4" w:rsidRPr="007F5AE4" w:rsidRDefault="007F5AE4" w:rsidP="007F5AE4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7F5AE4">
        <w:rPr>
          <w:rFonts w:ascii="Times New Roman" w:eastAsia="Times New Roman" w:hAnsi="Times New Roman"/>
        </w:rPr>
        <w:t>Koncentrátum és oldószer belsőleges oldathoz.</w:t>
      </w:r>
    </w:p>
    <w:p w14:paraId="682E586B" w14:textId="77777777" w:rsidR="007F5AE4" w:rsidRPr="007F5AE4" w:rsidRDefault="007F5AE4" w:rsidP="007F5AE4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</w:p>
    <w:p w14:paraId="55030245" w14:textId="1F98DBBC" w:rsidR="007F5AE4" w:rsidRPr="007F0D8A" w:rsidRDefault="007F5AE4" w:rsidP="007F5AE4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bookmarkStart w:id="3" w:name="_Hlk159414352"/>
      <w:r w:rsidRPr="007F5AE4">
        <w:rPr>
          <w:rFonts w:ascii="Times New Roman" w:eastAsia="Times New Roman" w:hAnsi="Times New Roman"/>
        </w:rPr>
        <w:t xml:space="preserve">Koncentrátum: </w:t>
      </w:r>
      <w:r w:rsidR="007F0D8A" w:rsidRPr="009E1E8A">
        <w:rPr>
          <w:rFonts w:ascii="Times New Roman" w:hAnsi="Times New Roman"/>
          <w:spacing w:val="-3"/>
        </w:rPr>
        <w:t>csaknem fehér vagy halványsárga viszkózus oldat</w:t>
      </w:r>
      <w:r w:rsidR="00615AFB">
        <w:rPr>
          <w:rFonts w:ascii="Times New Roman" w:eastAsia="Times New Roman" w:hAnsi="Times New Roman"/>
        </w:rPr>
        <w:t>.</w:t>
      </w:r>
    </w:p>
    <w:p w14:paraId="6F7B0581" w14:textId="77777777" w:rsidR="007F5AE4" w:rsidRPr="007F5AE4" w:rsidRDefault="007F5AE4" w:rsidP="007F5AE4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</w:p>
    <w:p w14:paraId="4433F3EB" w14:textId="38A7AE76" w:rsidR="00615AFB" w:rsidRPr="007F5AE4" w:rsidRDefault="007F5AE4" w:rsidP="007F5AE4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7F5AE4">
        <w:rPr>
          <w:rFonts w:ascii="Times New Roman" w:eastAsia="Times New Roman" w:hAnsi="Times New Roman"/>
        </w:rPr>
        <w:t xml:space="preserve">Oldószer (10 mg/15 ml): </w:t>
      </w:r>
      <w:r w:rsidR="00615AFB" w:rsidRPr="00615AFB">
        <w:rPr>
          <w:rFonts w:ascii="Times New Roman" w:eastAsia="Times New Roman" w:hAnsi="Times New Roman"/>
        </w:rPr>
        <w:t>csaknem fehér vagy halványsárga, mentol illatú viszkózus oldat.</w:t>
      </w:r>
    </w:p>
    <w:p w14:paraId="53811C4A" w14:textId="77777777" w:rsidR="007F5AE4" w:rsidRPr="007F5AE4" w:rsidRDefault="007F5AE4" w:rsidP="007F5AE4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</w:p>
    <w:p w14:paraId="1B2729FD" w14:textId="149E386A" w:rsidR="007F5AE4" w:rsidRPr="007F5AE4" w:rsidRDefault="007F5AE4" w:rsidP="007F5AE4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7F5AE4">
        <w:rPr>
          <w:rFonts w:ascii="Times New Roman" w:eastAsia="Times New Roman" w:hAnsi="Times New Roman"/>
        </w:rPr>
        <w:t>Oldószer (20 mg/15 ml): törtfehér vagy halványsárga viszkózus</w:t>
      </w:r>
      <w:r w:rsidR="000554DC">
        <w:rPr>
          <w:rFonts w:ascii="Times New Roman" w:eastAsia="Times New Roman" w:hAnsi="Times New Roman"/>
        </w:rPr>
        <w:t>,</w:t>
      </w:r>
      <w:r w:rsidRPr="007F5AE4">
        <w:rPr>
          <w:rFonts w:ascii="Times New Roman" w:eastAsia="Times New Roman" w:hAnsi="Times New Roman"/>
        </w:rPr>
        <w:t xml:space="preserve"> </w:t>
      </w:r>
      <w:r w:rsidR="000554DC" w:rsidRPr="007F5AE4">
        <w:rPr>
          <w:rFonts w:ascii="Times New Roman" w:eastAsia="Times New Roman" w:hAnsi="Times New Roman"/>
        </w:rPr>
        <w:t>mentolos és citrom</w:t>
      </w:r>
      <w:r w:rsidR="000A3F28">
        <w:rPr>
          <w:rFonts w:ascii="Times New Roman" w:eastAsia="Times New Roman" w:hAnsi="Times New Roman"/>
        </w:rPr>
        <w:t>os</w:t>
      </w:r>
      <w:r w:rsidR="000554DC" w:rsidRPr="007F5AE4">
        <w:rPr>
          <w:rFonts w:ascii="Times New Roman" w:eastAsia="Times New Roman" w:hAnsi="Times New Roman"/>
        </w:rPr>
        <w:t xml:space="preserve"> </w:t>
      </w:r>
      <w:r w:rsidR="000554DC">
        <w:rPr>
          <w:rFonts w:ascii="Times New Roman" w:eastAsia="Times New Roman" w:hAnsi="Times New Roman"/>
        </w:rPr>
        <w:t xml:space="preserve">illatú </w:t>
      </w:r>
      <w:r w:rsidRPr="007F5AE4">
        <w:rPr>
          <w:rFonts w:ascii="Times New Roman" w:eastAsia="Times New Roman" w:hAnsi="Times New Roman"/>
        </w:rPr>
        <w:t>oldat.</w:t>
      </w:r>
    </w:p>
    <w:p w14:paraId="48827FFD" w14:textId="77777777" w:rsidR="007F5AE4" w:rsidRPr="007F5AE4" w:rsidRDefault="007F5AE4" w:rsidP="007F5AE4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</w:p>
    <w:p w14:paraId="5174E5C6" w14:textId="577934A9" w:rsidR="007F5AE4" w:rsidRPr="007F5AE4" w:rsidRDefault="007F5AE4" w:rsidP="007F5AE4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bookmarkStart w:id="4" w:name="_Hlk159406686"/>
      <w:r w:rsidRPr="007F5AE4">
        <w:rPr>
          <w:rFonts w:ascii="Times New Roman" w:eastAsia="Times New Roman" w:hAnsi="Times New Roman"/>
        </w:rPr>
        <w:t xml:space="preserve">A Lappoxo 10 mg/15 ml </w:t>
      </w:r>
      <w:r w:rsidR="000554DC" w:rsidRPr="000554DC">
        <w:rPr>
          <w:rFonts w:ascii="Times New Roman" w:eastAsia="Times New Roman" w:hAnsi="Times New Roman"/>
        </w:rPr>
        <w:t>bevételre</w:t>
      </w:r>
      <w:r w:rsidRPr="007F5AE4">
        <w:rPr>
          <w:rFonts w:ascii="Times New Roman" w:eastAsia="Times New Roman" w:hAnsi="Times New Roman"/>
        </w:rPr>
        <w:t xml:space="preserve"> kész belsőleges oldat törtfehér vagy halványsárga</w:t>
      </w:r>
      <w:r w:rsidR="000A3F28">
        <w:rPr>
          <w:rFonts w:ascii="Times New Roman" w:eastAsia="Times New Roman" w:hAnsi="Times New Roman"/>
        </w:rPr>
        <w:t>,</w:t>
      </w:r>
      <w:r w:rsidR="00572A9E">
        <w:rPr>
          <w:rFonts w:ascii="Times New Roman" w:eastAsia="Times New Roman" w:hAnsi="Times New Roman"/>
        </w:rPr>
        <w:t xml:space="preserve"> </w:t>
      </w:r>
      <w:r w:rsidRPr="007F5AE4">
        <w:rPr>
          <w:rFonts w:ascii="Times New Roman" w:eastAsia="Times New Roman" w:hAnsi="Times New Roman"/>
        </w:rPr>
        <w:t>viszkózus</w:t>
      </w:r>
      <w:r w:rsidR="000A3F28">
        <w:rPr>
          <w:rFonts w:ascii="Times New Roman" w:eastAsia="Times New Roman" w:hAnsi="Times New Roman"/>
        </w:rPr>
        <w:t xml:space="preserve">, </w:t>
      </w:r>
      <w:r w:rsidR="000A3F28" w:rsidRPr="007F5AE4">
        <w:rPr>
          <w:rFonts w:ascii="Times New Roman" w:eastAsia="Times New Roman" w:hAnsi="Times New Roman"/>
        </w:rPr>
        <w:t>mentolos illat</w:t>
      </w:r>
      <w:r w:rsidR="000A3F28">
        <w:rPr>
          <w:rFonts w:ascii="Times New Roman" w:eastAsia="Times New Roman" w:hAnsi="Times New Roman"/>
        </w:rPr>
        <w:t>ú</w:t>
      </w:r>
      <w:r w:rsidR="000A3F28" w:rsidRPr="007F5AE4">
        <w:rPr>
          <w:rFonts w:ascii="Times New Roman" w:eastAsia="Times New Roman" w:hAnsi="Times New Roman"/>
        </w:rPr>
        <w:t xml:space="preserve"> </w:t>
      </w:r>
      <w:r w:rsidRPr="007F5AE4">
        <w:rPr>
          <w:rFonts w:ascii="Times New Roman" w:eastAsia="Times New Roman" w:hAnsi="Times New Roman"/>
        </w:rPr>
        <w:t>oldat.</w:t>
      </w:r>
    </w:p>
    <w:p w14:paraId="0C9FC71B" w14:textId="77777777" w:rsidR="007F5AE4" w:rsidRPr="007F5AE4" w:rsidRDefault="007F5AE4" w:rsidP="007F5AE4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</w:p>
    <w:p w14:paraId="68A6190B" w14:textId="011DED11" w:rsidR="007F5AE4" w:rsidRPr="007F5AE4" w:rsidRDefault="007F5AE4" w:rsidP="007F5AE4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7F5AE4">
        <w:rPr>
          <w:rFonts w:ascii="Times New Roman" w:eastAsia="Times New Roman" w:hAnsi="Times New Roman"/>
        </w:rPr>
        <w:t xml:space="preserve">A Lappoxo 20 mg/15 ml </w:t>
      </w:r>
      <w:r w:rsidR="000554DC" w:rsidRPr="000554DC">
        <w:rPr>
          <w:rFonts w:ascii="Times New Roman" w:eastAsia="Times New Roman" w:hAnsi="Times New Roman"/>
        </w:rPr>
        <w:t>bevételre</w:t>
      </w:r>
      <w:r w:rsidRPr="007F5AE4">
        <w:rPr>
          <w:rFonts w:ascii="Times New Roman" w:eastAsia="Times New Roman" w:hAnsi="Times New Roman"/>
        </w:rPr>
        <w:t xml:space="preserve"> kész belsőleges oldat törtfehér vagy halványsárga</w:t>
      </w:r>
      <w:r w:rsidR="000A3F28">
        <w:rPr>
          <w:rFonts w:ascii="Times New Roman" w:eastAsia="Times New Roman" w:hAnsi="Times New Roman"/>
        </w:rPr>
        <w:t>,</w:t>
      </w:r>
      <w:r w:rsidRPr="007F5AE4">
        <w:rPr>
          <w:rFonts w:ascii="Times New Roman" w:eastAsia="Times New Roman" w:hAnsi="Times New Roman"/>
        </w:rPr>
        <w:t xml:space="preserve"> viszkózus</w:t>
      </w:r>
      <w:r w:rsidR="000A3F28">
        <w:rPr>
          <w:rFonts w:ascii="Times New Roman" w:eastAsia="Times New Roman" w:hAnsi="Times New Roman"/>
        </w:rPr>
        <w:t>,</w:t>
      </w:r>
      <w:r w:rsidR="000A3F28" w:rsidRPr="000A3F28">
        <w:rPr>
          <w:rFonts w:ascii="Times New Roman" w:eastAsia="Times New Roman" w:hAnsi="Times New Roman"/>
        </w:rPr>
        <w:t xml:space="preserve"> </w:t>
      </w:r>
      <w:r w:rsidR="000A3F28" w:rsidRPr="007F5AE4">
        <w:rPr>
          <w:rFonts w:ascii="Times New Roman" w:eastAsia="Times New Roman" w:hAnsi="Times New Roman"/>
        </w:rPr>
        <w:t>mentolos és citrom</w:t>
      </w:r>
      <w:r w:rsidR="000A3F28">
        <w:rPr>
          <w:rFonts w:ascii="Times New Roman" w:eastAsia="Times New Roman" w:hAnsi="Times New Roman"/>
        </w:rPr>
        <w:t>os</w:t>
      </w:r>
      <w:r w:rsidR="000A3F28" w:rsidRPr="007F5AE4">
        <w:rPr>
          <w:rFonts w:ascii="Times New Roman" w:eastAsia="Times New Roman" w:hAnsi="Times New Roman"/>
        </w:rPr>
        <w:t xml:space="preserve"> illat</w:t>
      </w:r>
      <w:r w:rsidR="000A3F28">
        <w:rPr>
          <w:rFonts w:ascii="Times New Roman" w:eastAsia="Times New Roman" w:hAnsi="Times New Roman"/>
        </w:rPr>
        <w:t xml:space="preserve">ú </w:t>
      </w:r>
      <w:r w:rsidRPr="007F5AE4">
        <w:rPr>
          <w:rFonts w:ascii="Times New Roman" w:eastAsia="Times New Roman" w:hAnsi="Times New Roman"/>
        </w:rPr>
        <w:t>oldat.</w:t>
      </w:r>
    </w:p>
    <w:bookmarkEnd w:id="4"/>
    <w:p w14:paraId="62E4FC89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bookmarkEnd w:id="3"/>
    <w:p w14:paraId="05B90D02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734B528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4.</w:t>
      </w:r>
      <w:r w:rsidR="00936DBC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KLINIKAI JELLEMZŐK</w:t>
      </w:r>
    </w:p>
    <w:p w14:paraId="2C16988C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9E7049A" w14:textId="77777777" w:rsidR="001C0BD1" w:rsidRPr="00A36050" w:rsidRDefault="001C0BD1" w:rsidP="00A36050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4.1</w:t>
      </w:r>
      <w:r w:rsidR="00936DBC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Terápiás javallatok</w:t>
      </w:r>
    </w:p>
    <w:p w14:paraId="2EA88EAB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3760061" w14:textId="540ED9FE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</w:t>
      </w:r>
      <w:r w:rsidR="000554DC">
        <w:rPr>
          <w:rFonts w:ascii="Times New Roman" w:hAnsi="Times New Roman"/>
        </w:rPr>
        <w:t xml:space="preserve">z omeprazol </w:t>
      </w:r>
      <w:r w:rsidR="000554DC" w:rsidRPr="000554DC">
        <w:rPr>
          <w:rFonts w:ascii="Times New Roman" w:hAnsi="Times New Roman"/>
        </w:rPr>
        <w:t>belsőleges oldat</w:t>
      </w:r>
      <w:r w:rsidR="00CA2C94" w:rsidRPr="00A36050">
        <w:rPr>
          <w:rFonts w:ascii="Times New Roman" w:hAnsi="Times New Roman"/>
        </w:rPr>
        <w:t xml:space="preserve"> alkalmazása </w:t>
      </w:r>
      <w:r w:rsidRPr="00A36050">
        <w:rPr>
          <w:rFonts w:ascii="Times New Roman" w:hAnsi="Times New Roman"/>
        </w:rPr>
        <w:t>az alábbi esetekben javallt:</w:t>
      </w:r>
    </w:p>
    <w:p w14:paraId="30F93CF1" w14:textId="77777777" w:rsidR="0070142E" w:rsidRPr="00A36050" w:rsidRDefault="0070142E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4A3A9C3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Felnőttek</w:t>
      </w:r>
      <w:r w:rsidR="00776F60" w:rsidRPr="00A36050">
        <w:rPr>
          <w:rFonts w:ascii="Times New Roman" w:hAnsi="Times New Roman"/>
          <w:u w:val="single"/>
        </w:rPr>
        <w:t>nél</w:t>
      </w:r>
    </w:p>
    <w:p w14:paraId="75B4913A" w14:textId="66EB7361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A36050">
        <w:rPr>
          <w:rFonts w:ascii="Times New Roman" w:hAnsi="Times New Roman"/>
        </w:rPr>
        <w:t>•</w:t>
      </w:r>
      <w:r w:rsidR="00936DBC" w:rsidRPr="00A36050">
        <w:rPr>
          <w:rFonts w:ascii="Times New Roman" w:hAnsi="Times New Roman"/>
        </w:rPr>
        <w:tab/>
      </w:r>
      <w:r w:rsidRPr="00A36050">
        <w:rPr>
          <w:rFonts w:ascii="Times New Roman" w:hAnsi="Times New Roman"/>
        </w:rPr>
        <w:t>Ulcus duodeni kezelé</w:t>
      </w:r>
      <w:r w:rsidR="00972425">
        <w:rPr>
          <w:rFonts w:ascii="Times New Roman" w:hAnsi="Times New Roman"/>
        </w:rPr>
        <w:t>se</w:t>
      </w:r>
    </w:p>
    <w:p w14:paraId="2B3453C9" w14:textId="71B637C9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A36050">
        <w:rPr>
          <w:rFonts w:ascii="Times New Roman" w:hAnsi="Times New Roman"/>
        </w:rPr>
        <w:t>•</w:t>
      </w:r>
      <w:r w:rsidR="00936DBC" w:rsidRPr="00A36050">
        <w:rPr>
          <w:rFonts w:ascii="Times New Roman" w:hAnsi="Times New Roman"/>
        </w:rPr>
        <w:tab/>
      </w:r>
      <w:r w:rsidRPr="00A36050">
        <w:rPr>
          <w:rFonts w:ascii="Times New Roman" w:hAnsi="Times New Roman"/>
        </w:rPr>
        <w:t>Ulcus duodeni relapszusának megelőzés</w:t>
      </w:r>
      <w:r w:rsidR="00972425">
        <w:rPr>
          <w:rFonts w:ascii="Times New Roman" w:hAnsi="Times New Roman"/>
        </w:rPr>
        <w:t>e</w:t>
      </w:r>
    </w:p>
    <w:p w14:paraId="117F0749" w14:textId="76871B45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A36050">
        <w:rPr>
          <w:rFonts w:ascii="Times New Roman" w:hAnsi="Times New Roman"/>
        </w:rPr>
        <w:t>•</w:t>
      </w:r>
      <w:r w:rsidR="00936DBC" w:rsidRPr="00A36050">
        <w:rPr>
          <w:rFonts w:ascii="Times New Roman" w:hAnsi="Times New Roman"/>
        </w:rPr>
        <w:tab/>
      </w:r>
      <w:r w:rsidRPr="00A36050">
        <w:rPr>
          <w:rFonts w:ascii="Times New Roman" w:hAnsi="Times New Roman"/>
        </w:rPr>
        <w:t>Ulcus ventriculi kezelés</w:t>
      </w:r>
      <w:r w:rsidR="00972425">
        <w:rPr>
          <w:rFonts w:ascii="Times New Roman" w:hAnsi="Times New Roman"/>
        </w:rPr>
        <w:t>e</w:t>
      </w:r>
    </w:p>
    <w:p w14:paraId="51473703" w14:textId="382E0CA5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A36050">
        <w:rPr>
          <w:rFonts w:ascii="Times New Roman" w:hAnsi="Times New Roman"/>
        </w:rPr>
        <w:lastRenderedPageBreak/>
        <w:t>•</w:t>
      </w:r>
      <w:r w:rsidR="00D7057F" w:rsidRPr="00A36050">
        <w:rPr>
          <w:rFonts w:ascii="Times New Roman" w:hAnsi="Times New Roman"/>
        </w:rPr>
        <w:tab/>
      </w:r>
      <w:r w:rsidRPr="00A36050">
        <w:rPr>
          <w:rFonts w:ascii="Times New Roman" w:hAnsi="Times New Roman"/>
        </w:rPr>
        <w:t>Ulcus ventriculi relapszusának megelőzés</w:t>
      </w:r>
      <w:r w:rsidR="00972425">
        <w:rPr>
          <w:rFonts w:ascii="Times New Roman" w:hAnsi="Times New Roman"/>
        </w:rPr>
        <w:t>e</w:t>
      </w:r>
    </w:p>
    <w:p w14:paraId="34165079" w14:textId="18BDF351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A36050">
        <w:rPr>
          <w:rFonts w:ascii="Times New Roman" w:hAnsi="Times New Roman"/>
        </w:rPr>
        <w:t>•</w:t>
      </w:r>
      <w:r w:rsidR="00D7057F" w:rsidRPr="00A36050">
        <w:rPr>
          <w:rFonts w:ascii="Times New Roman" w:hAnsi="Times New Roman"/>
        </w:rPr>
        <w:tab/>
      </w:r>
      <w:r w:rsidRPr="00A36050">
        <w:rPr>
          <w:rFonts w:ascii="Times New Roman" w:hAnsi="Times New Roman"/>
        </w:rPr>
        <w:t>Peptikus fekélybetegségben megfelelő antibiotikum</w:t>
      </w:r>
      <w:r w:rsidR="00972425">
        <w:rPr>
          <w:rFonts w:ascii="Times New Roman" w:hAnsi="Times New Roman"/>
        </w:rPr>
        <w:t>okka</w:t>
      </w:r>
      <w:r w:rsidRPr="00A36050">
        <w:rPr>
          <w:rFonts w:ascii="Times New Roman" w:hAnsi="Times New Roman"/>
        </w:rPr>
        <w:t>l kombinálva</w:t>
      </w:r>
      <w:r w:rsidR="00D7057F" w:rsidRPr="00A36050">
        <w:rPr>
          <w:rFonts w:ascii="Times New Roman" w:hAnsi="Times New Roman"/>
        </w:rPr>
        <w:t xml:space="preserve"> a</w:t>
      </w:r>
      <w:r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  <w:i/>
          <w:iCs/>
        </w:rPr>
        <w:t>Helicobacter pylori (H.</w:t>
      </w:r>
      <w:r w:rsidR="00032C49" w:rsidRPr="00A36050">
        <w:rPr>
          <w:rFonts w:ascii="Times New Roman" w:hAnsi="Times New Roman"/>
          <w:i/>
          <w:iCs/>
        </w:rPr>
        <w:t> </w:t>
      </w:r>
      <w:r w:rsidRPr="00A36050">
        <w:rPr>
          <w:rFonts w:ascii="Times New Roman" w:hAnsi="Times New Roman"/>
          <w:i/>
          <w:iCs/>
        </w:rPr>
        <w:t xml:space="preserve">pylori) </w:t>
      </w:r>
      <w:r w:rsidRPr="00A36050">
        <w:rPr>
          <w:rFonts w:ascii="Times New Roman" w:hAnsi="Times New Roman"/>
        </w:rPr>
        <w:t>eradikációj</w:t>
      </w:r>
      <w:r w:rsidR="00972425">
        <w:rPr>
          <w:rFonts w:ascii="Times New Roman" w:hAnsi="Times New Roman"/>
        </w:rPr>
        <w:t>a</w:t>
      </w:r>
    </w:p>
    <w:p w14:paraId="5719F863" w14:textId="4A2C277E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A36050">
        <w:rPr>
          <w:rFonts w:ascii="Times New Roman" w:hAnsi="Times New Roman"/>
        </w:rPr>
        <w:t>•</w:t>
      </w:r>
      <w:r w:rsidR="00D7057F" w:rsidRPr="00A36050">
        <w:rPr>
          <w:rFonts w:ascii="Times New Roman" w:hAnsi="Times New Roman"/>
        </w:rPr>
        <w:tab/>
      </w:r>
      <w:r w:rsidRPr="00A36050">
        <w:rPr>
          <w:rFonts w:ascii="Times New Roman" w:hAnsi="Times New Roman"/>
        </w:rPr>
        <w:t>NSAID alkalmazáshoz társuló gyomor- és nyombélfekély kezelés</w:t>
      </w:r>
      <w:r w:rsidR="00972425">
        <w:rPr>
          <w:rFonts w:ascii="Times New Roman" w:hAnsi="Times New Roman"/>
        </w:rPr>
        <w:t>e</w:t>
      </w:r>
    </w:p>
    <w:p w14:paraId="08908315" w14:textId="071F6084" w:rsidR="00A23AC6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A36050">
        <w:rPr>
          <w:rFonts w:ascii="Times New Roman" w:hAnsi="Times New Roman"/>
        </w:rPr>
        <w:t>•</w:t>
      </w:r>
      <w:r w:rsidR="00D7057F" w:rsidRPr="00A36050">
        <w:rPr>
          <w:rFonts w:ascii="Times New Roman" w:hAnsi="Times New Roman"/>
        </w:rPr>
        <w:tab/>
      </w:r>
      <w:r w:rsidR="00A23AC6" w:rsidRPr="00A23AC6">
        <w:rPr>
          <w:rFonts w:ascii="Times New Roman" w:hAnsi="Times New Roman"/>
        </w:rPr>
        <w:t>NSAID alkalmazásához társuló gyomor- és nyombélfekély megelőzése veszélyeztetett betegeknél</w:t>
      </w:r>
    </w:p>
    <w:p w14:paraId="2BF44A5E" w14:textId="59C660D3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A36050">
        <w:rPr>
          <w:rFonts w:ascii="Times New Roman" w:hAnsi="Times New Roman"/>
        </w:rPr>
        <w:t>•</w:t>
      </w:r>
      <w:r w:rsidR="00D7057F" w:rsidRPr="00A36050">
        <w:rPr>
          <w:rFonts w:ascii="Times New Roman" w:hAnsi="Times New Roman"/>
        </w:rPr>
        <w:tab/>
      </w:r>
      <w:r w:rsidRPr="00A36050">
        <w:rPr>
          <w:rFonts w:ascii="Times New Roman" w:hAnsi="Times New Roman"/>
        </w:rPr>
        <w:t>Reflux oesophagitis kezelés</w:t>
      </w:r>
      <w:r w:rsidR="00A23AC6">
        <w:rPr>
          <w:rFonts w:ascii="Times New Roman" w:hAnsi="Times New Roman"/>
        </w:rPr>
        <w:t>e</w:t>
      </w:r>
    </w:p>
    <w:p w14:paraId="55D5B211" w14:textId="2A7D5353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A36050">
        <w:rPr>
          <w:rFonts w:ascii="Times New Roman" w:hAnsi="Times New Roman"/>
        </w:rPr>
        <w:t>•</w:t>
      </w:r>
      <w:r w:rsidR="000C12C3" w:rsidRPr="00A36050">
        <w:rPr>
          <w:rFonts w:ascii="Times New Roman" w:hAnsi="Times New Roman"/>
        </w:rPr>
        <w:tab/>
      </w:r>
      <w:r w:rsidRPr="00A36050">
        <w:rPr>
          <w:rFonts w:ascii="Times New Roman" w:hAnsi="Times New Roman"/>
        </w:rPr>
        <w:t>Gyógyult reflux oesophagitis</w:t>
      </w:r>
      <w:r w:rsidR="00A23AC6">
        <w:rPr>
          <w:rFonts w:ascii="Times New Roman" w:hAnsi="Times New Roman"/>
        </w:rPr>
        <w:t>ben szenvedő betegek</w:t>
      </w:r>
      <w:r w:rsidRPr="00A36050">
        <w:rPr>
          <w:rFonts w:ascii="Times New Roman" w:hAnsi="Times New Roman"/>
        </w:rPr>
        <w:t xml:space="preserve"> hosszú</w:t>
      </w:r>
      <w:r w:rsidR="00193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távú kezelé</w:t>
      </w:r>
      <w:r w:rsidR="00A23AC6">
        <w:rPr>
          <w:rFonts w:ascii="Times New Roman" w:hAnsi="Times New Roman"/>
        </w:rPr>
        <w:t>se</w:t>
      </w:r>
    </w:p>
    <w:p w14:paraId="021D1FAE" w14:textId="24F2545F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A36050">
        <w:rPr>
          <w:rFonts w:ascii="Times New Roman" w:hAnsi="Times New Roman"/>
        </w:rPr>
        <w:t>•</w:t>
      </w:r>
      <w:r w:rsidR="000C12C3" w:rsidRPr="00A36050">
        <w:rPr>
          <w:rFonts w:ascii="Times New Roman" w:hAnsi="Times New Roman"/>
        </w:rPr>
        <w:tab/>
      </w:r>
      <w:r w:rsidRPr="00A36050">
        <w:rPr>
          <w:rFonts w:ascii="Times New Roman" w:hAnsi="Times New Roman"/>
        </w:rPr>
        <w:t>Tüneteket okozó gastro-oesophagealis refluxbetegség kezelés</w:t>
      </w:r>
      <w:r w:rsidR="00D36A02">
        <w:rPr>
          <w:rFonts w:ascii="Times New Roman" w:hAnsi="Times New Roman"/>
        </w:rPr>
        <w:t>e</w:t>
      </w:r>
    </w:p>
    <w:p w14:paraId="01F1872B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9DB3D10" w14:textId="77777777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Alkalmazás gyermekeknél</w:t>
      </w:r>
      <w:r w:rsidR="0083698F" w:rsidRPr="00A36050">
        <w:rPr>
          <w:rFonts w:ascii="Times New Roman" w:hAnsi="Times New Roman"/>
          <w:u w:val="single"/>
        </w:rPr>
        <w:t xml:space="preserve"> és serdülőknél</w:t>
      </w:r>
    </w:p>
    <w:p w14:paraId="5AC24A62" w14:textId="77777777" w:rsidR="00032C49" w:rsidRPr="00A36050" w:rsidRDefault="00032C49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</w:p>
    <w:p w14:paraId="6AAC6B97" w14:textId="4640F3B6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u w:val="single"/>
        </w:rPr>
      </w:pPr>
      <w:r w:rsidRPr="00A36050">
        <w:rPr>
          <w:rFonts w:ascii="Times New Roman" w:hAnsi="Times New Roman"/>
          <w:i/>
          <w:iCs/>
          <w:u w:val="single"/>
        </w:rPr>
        <w:t>1</w:t>
      </w:r>
      <w:r w:rsidR="00776F60" w:rsidRPr="00A36050">
        <w:rPr>
          <w:rFonts w:ascii="Times New Roman" w:hAnsi="Times New Roman"/>
          <w:i/>
          <w:iCs/>
          <w:u w:val="single"/>
        </w:rPr>
        <w:t> </w:t>
      </w:r>
      <w:r w:rsidR="000554DC">
        <w:rPr>
          <w:rFonts w:ascii="Times New Roman" w:hAnsi="Times New Roman"/>
          <w:i/>
          <w:iCs/>
          <w:u w:val="single"/>
        </w:rPr>
        <w:t>hónaposnál</w:t>
      </w:r>
      <w:r w:rsidR="000554DC" w:rsidRPr="00A36050">
        <w:rPr>
          <w:rFonts w:ascii="Times New Roman" w:hAnsi="Times New Roman"/>
          <w:i/>
          <w:iCs/>
          <w:u w:val="single"/>
        </w:rPr>
        <w:t xml:space="preserve"> </w:t>
      </w:r>
      <w:r w:rsidRPr="00A36050">
        <w:rPr>
          <w:rFonts w:ascii="Times New Roman" w:hAnsi="Times New Roman"/>
          <w:i/>
          <w:iCs/>
          <w:u w:val="single"/>
        </w:rPr>
        <w:t>idősebb gyermekek</w:t>
      </w:r>
    </w:p>
    <w:p w14:paraId="73A85F76" w14:textId="7F9B8358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A36050">
        <w:rPr>
          <w:rFonts w:ascii="Times New Roman" w:hAnsi="Times New Roman"/>
        </w:rPr>
        <w:t>•</w:t>
      </w:r>
      <w:r w:rsidR="00A54FEC" w:rsidRPr="00A36050">
        <w:rPr>
          <w:rFonts w:ascii="Times New Roman" w:hAnsi="Times New Roman"/>
        </w:rPr>
        <w:tab/>
      </w:r>
      <w:r w:rsidRPr="00A36050">
        <w:rPr>
          <w:rFonts w:ascii="Times New Roman" w:hAnsi="Times New Roman"/>
        </w:rPr>
        <w:t>Reflux oesophagitis kezelés</w:t>
      </w:r>
      <w:r w:rsidR="00625B16">
        <w:rPr>
          <w:rFonts w:ascii="Times New Roman" w:hAnsi="Times New Roman"/>
        </w:rPr>
        <w:t>e</w:t>
      </w:r>
    </w:p>
    <w:p w14:paraId="1D632961" w14:textId="0C0AC813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A36050">
        <w:rPr>
          <w:rFonts w:ascii="Times New Roman" w:hAnsi="Times New Roman"/>
        </w:rPr>
        <w:t>•</w:t>
      </w:r>
      <w:r w:rsidR="00A54FEC" w:rsidRPr="00A36050">
        <w:rPr>
          <w:rFonts w:ascii="Times New Roman" w:hAnsi="Times New Roman"/>
        </w:rPr>
        <w:tab/>
      </w:r>
      <w:r w:rsidRPr="00A36050">
        <w:rPr>
          <w:rFonts w:ascii="Times New Roman" w:hAnsi="Times New Roman"/>
        </w:rPr>
        <w:t>Gastro-oesophagealis refluxbetegségben a gyomorégés, valamint a gyomorsav</w:t>
      </w:r>
      <w:r w:rsidR="00A54FEC" w:rsidRPr="00A36050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regurgitatio</w:t>
      </w:r>
      <w:r w:rsidR="00C649EC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tüneti kezelés</w:t>
      </w:r>
      <w:r w:rsidR="00625B16">
        <w:rPr>
          <w:rFonts w:ascii="Times New Roman" w:hAnsi="Times New Roman"/>
        </w:rPr>
        <w:t>e</w:t>
      </w:r>
    </w:p>
    <w:p w14:paraId="00373D4B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</w:p>
    <w:p w14:paraId="62370B8F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u w:val="single"/>
        </w:rPr>
      </w:pPr>
      <w:r w:rsidRPr="00A36050">
        <w:rPr>
          <w:rFonts w:ascii="Times New Roman" w:hAnsi="Times New Roman"/>
          <w:i/>
          <w:iCs/>
          <w:u w:val="single"/>
        </w:rPr>
        <w:t>4</w:t>
      </w:r>
      <w:r w:rsidR="00776F60" w:rsidRPr="00A36050">
        <w:rPr>
          <w:rFonts w:ascii="Times New Roman" w:hAnsi="Times New Roman"/>
          <w:i/>
          <w:iCs/>
          <w:u w:val="single"/>
        </w:rPr>
        <w:t> </w:t>
      </w:r>
      <w:r w:rsidRPr="00A36050">
        <w:rPr>
          <w:rFonts w:ascii="Times New Roman" w:hAnsi="Times New Roman"/>
          <w:i/>
          <w:iCs/>
          <w:u w:val="single"/>
        </w:rPr>
        <w:t>éves</w:t>
      </w:r>
      <w:r w:rsidR="00CA2C94" w:rsidRPr="00A36050">
        <w:rPr>
          <w:rFonts w:ascii="Times New Roman" w:hAnsi="Times New Roman"/>
          <w:i/>
          <w:iCs/>
          <w:u w:val="single"/>
        </w:rPr>
        <w:t>nél idősebb</w:t>
      </w:r>
      <w:r w:rsidRPr="00A36050">
        <w:rPr>
          <w:rFonts w:ascii="Times New Roman" w:hAnsi="Times New Roman"/>
          <w:i/>
          <w:iCs/>
          <w:u w:val="single"/>
        </w:rPr>
        <w:t xml:space="preserve"> gyermekek és </w:t>
      </w:r>
      <w:r w:rsidR="00A54FEC" w:rsidRPr="00A36050">
        <w:rPr>
          <w:rFonts w:ascii="Times New Roman" w:hAnsi="Times New Roman"/>
          <w:i/>
          <w:iCs/>
          <w:u w:val="single"/>
        </w:rPr>
        <w:t>serdülők</w:t>
      </w:r>
    </w:p>
    <w:p w14:paraId="74C35852" w14:textId="14AA332F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A36050">
        <w:rPr>
          <w:rFonts w:ascii="Times New Roman" w:hAnsi="Times New Roman"/>
        </w:rPr>
        <w:t>•</w:t>
      </w:r>
      <w:r w:rsidR="00A54FEC" w:rsidRPr="00A36050">
        <w:rPr>
          <w:rFonts w:ascii="Times New Roman" w:hAnsi="Times New Roman"/>
        </w:rPr>
        <w:tab/>
      </w:r>
      <w:r w:rsidRPr="00A36050">
        <w:rPr>
          <w:rFonts w:ascii="Times New Roman" w:hAnsi="Times New Roman"/>
        </w:rPr>
        <w:t xml:space="preserve">Antibiotikummal kombinálva </w:t>
      </w:r>
      <w:r w:rsidR="000554DC" w:rsidRPr="00A36050">
        <w:rPr>
          <w:rFonts w:ascii="Times New Roman" w:hAnsi="Times New Roman"/>
          <w:i/>
          <w:iCs/>
        </w:rPr>
        <w:t>H</w:t>
      </w:r>
      <w:r w:rsidR="000554DC">
        <w:rPr>
          <w:rFonts w:ascii="Times New Roman" w:hAnsi="Times New Roman"/>
          <w:i/>
          <w:iCs/>
        </w:rPr>
        <w:t>. </w:t>
      </w:r>
      <w:r w:rsidRPr="00A36050">
        <w:rPr>
          <w:rFonts w:ascii="Times New Roman" w:hAnsi="Times New Roman"/>
          <w:i/>
          <w:iCs/>
        </w:rPr>
        <w:t xml:space="preserve">pylori </w:t>
      </w:r>
      <w:r w:rsidRPr="00A36050">
        <w:rPr>
          <w:rFonts w:ascii="Times New Roman" w:hAnsi="Times New Roman"/>
        </w:rPr>
        <w:t>fertőzés okozta nyombélfekély kezelés</w:t>
      </w:r>
      <w:r w:rsidR="00625B16">
        <w:rPr>
          <w:rFonts w:ascii="Times New Roman" w:hAnsi="Times New Roman"/>
        </w:rPr>
        <w:t>e</w:t>
      </w:r>
    </w:p>
    <w:p w14:paraId="0520352F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</w:p>
    <w:p w14:paraId="3FA4F50F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4.2</w:t>
      </w:r>
      <w:r w:rsidR="00A54FEC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Adagolás és alkalmazás</w:t>
      </w:r>
    </w:p>
    <w:p w14:paraId="365A2800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BBD62E3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Adagolás</w:t>
      </w:r>
    </w:p>
    <w:p w14:paraId="6B8784F7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</w:p>
    <w:p w14:paraId="4904E427" w14:textId="77777777" w:rsidR="00321996" w:rsidRPr="00A36050" w:rsidRDefault="00321996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u w:val="single"/>
        </w:rPr>
      </w:pPr>
      <w:r w:rsidRPr="00A36050">
        <w:rPr>
          <w:rFonts w:ascii="Times New Roman" w:hAnsi="Times New Roman"/>
          <w:i/>
          <w:iCs/>
          <w:u w:val="single"/>
        </w:rPr>
        <w:t>Felnőttek</w:t>
      </w:r>
    </w:p>
    <w:p w14:paraId="5BB17FB6" w14:textId="77777777" w:rsidR="00321996" w:rsidRPr="00A36050" w:rsidRDefault="00321996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</w:p>
    <w:p w14:paraId="437D5743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</w:rPr>
      </w:pPr>
      <w:r w:rsidRPr="00A36050">
        <w:rPr>
          <w:rFonts w:ascii="Times New Roman" w:hAnsi="Times New Roman"/>
          <w:i/>
        </w:rPr>
        <w:t>Ulcus duodeni</w:t>
      </w:r>
      <w:r w:rsidRPr="00A36050">
        <w:rPr>
          <w:rFonts w:ascii="Times New Roman" w:hAnsi="Times New Roman"/>
          <w:i/>
          <w:iCs/>
        </w:rPr>
        <w:t xml:space="preserve"> kezelése</w:t>
      </w:r>
    </w:p>
    <w:p w14:paraId="3A897FA1" w14:textId="607A40FA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Aktív nyombélfekélyben szenvedő betegek esetében a javasolt adag naponta egyszer 20</w:t>
      </w:r>
      <w:r w:rsidR="00A54FEC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 xml:space="preserve">mg </w:t>
      </w:r>
      <w:r w:rsidR="000554DC">
        <w:rPr>
          <w:rFonts w:ascii="Times New Roman" w:hAnsi="Times New Roman"/>
        </w:rPr>
        <w:t>omeprazol</w:t>
      </w:r>
      <w:r w:rsidRPr="00A36050">
        <w:rPr>
          <w:rFonts w:ascii="Times New Roman" w:hAnsi="Times New Roman"/>
        </w:rPr>
        <w:t>. A</w:t>
      </w:r>
      <w:r w:rsidR="00C649EC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legtöbb beteg két héten belül meggyógyul. Azoknál a betegeknél, akik a bevezető kezelést követően</w:t>
      </w:r>
      <w:r w:rsidR="00C649EC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nem gyógyultak meg teljesen, további </w:t>
      </w:r>
      <w:r w:rsidR="00625B16" w:rsidRPr="00A36050">
        <w:rPr>
          <w:rFonts w:ascii="Times New Roman" w:hAnsi="Times New Roman"/>
        </w:rPr>
        <w:t>két</w:t>
      </w:r>
      <w:r w:rsidR="00625B16">
        <w:rPr>
          <w:rFonts w:ascii="Times New Roman" w:hAnsi="Times New Roman"/>
        </w:rPr>
        <w:t xml:space="preserve"> hétig tartó</w:t>
      </w:r>
      <w:r w:rsidR="00625B16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terápia alatt rendszerint bekövetkezik a gyógyulás.</w:t>
      </w:r>
      <w:r w:rsidR="00A54FEC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Nehezen gyógyuló nyombélfekélyben szenvedőknek napi egyszeri 40</w:t>
      </w:r>
      <w:r w:rsidR="00A54FEC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 xml:space="preserve">mg </w:t>
      </w:r>
      <w:r w:rsidR="000554DC" w:rsidRPr="000554DC">
        <w:rPr>
          <w:rFonts w:ascii="Times New Roman" w:hAnsi="Times New Roman"/>
        </w:rPr>
        <w:t>omeprazol</w:t>
      </w:r>
      <w:r w:rsidR="000554DC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javasolt, és a</w:t>
      </w:r>
      <w:r w:rsidR="00C649EC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gyógyulás általában négy hét alatt érhető</w:t>
      </w:r>
      <w:r w:rsidR="00776F60" w:rsidRPr="00A36050">
        <w:rPr>
          <w:rFonts w:ascii="Times New Roman" w:hAnsi="Times New Roman"/>
        </w:rPr>
        <w:t xml:space="preserve"> el</w:t>
      </w:r>
      <w:r w:rsidRPr="00A36050">
        <w:rPr>
          <w:rFonts w:ascii="Times New Roman" w:hAnsi="Times New Roman"/>
        </w:rPr>
        <w:t>.</w:t>
      </w:r>
    </w:p>
    <w:p w14:paraId="47F2189B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</w:p>
    <w:p w14:paraId="2DA6D956" w14:textId="4D1BABC8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 xml:space="preserve">Ulcus duodeni </w:t>
      </w:r>
      <w:r w:rsidR="00625B16">
        <w:rPr>
          <w:rFonts w:ascii="Times New Roman" w:hAnsi="Times New Roman"/>
          <w:i/>
          <w:iCs/>
        </w:rPr>
        <w:t>kiújulásának</w:t>
      </w:r>
      <w:r w:rsidRPr="00A36050">
        <w:rPr>
          <w:rFonts w:ascii="Times New Roman" w:hAnsi="Times New Roman"/>
          <w:i/>
          <w:iCs/>
        </w:rPr>
        <w:t xml:space="preserve"> megelőzése</w:t>
      </w:r>
    </w:p>
    <w:p w14:paraId="74EC88B6" w14:textId="399A0640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Nyombélfekély </w:t>
      </w:r>
      <w:r w:rsidR="00625B16">
        <w:rPr>
          <w:rFonts w:ascii="Times New Roman" w:hAnsi="Times New Roman"/>
        </w:rPr>
        <w:t>kiújulásának</w:t>
      </w:r>
      <w:r w:rsidR="00625B16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megelőzésére </w:t>
      </w:r>
      <w:r w:rsidR="00A54FEC" w:rsidRPr="00A36050">
        <w:rPr>
          <w:rFonts w:ascii="Times New Roman" w:hAnsi="Times New Roman"/>
        </w:rPr>
        <w:t xml:space="preserve">a </w:t>
      </w:r>
      <w:r w:rsidRPr="00A36050">
        <w:rPr>
          <w:rFonts w:ascii="Times New Roman" w:hAnsi="Times New Roman"/>
          <w:i/>
          <w:iCs/>
        </w:rPr>
        <w:t xml:space="preserve">H. pylori </w:t>
      </w:r>
      <w:r w:rsidRPr="00A36050">
        <w:rPr>
          <w:rFonts w:ascii="Times New Roman" w:hAnsi="Times New Roman"/>
        </w:rPr>
        <w:t xml:space="preserve">negatív betegeknél, vagy amikor </w:t>
      </w:r>
      <w:r w:rsidR="00A54FEC" w:rsidRPr="00A36050">
        <w:rPr>
          <w:rFonts w:ascii="Times New Roman" w:hAnsi="Times New Roman"/>
        </w:rPr>
        <w:t xml:space="preserve">a </w:t>
      </w:r>
      <w:r w:rsidRPr="00A36050">
        <w:rPr>
          <w:rFonts w:ascii="Times New Roman" w:hAnsi="Times New Roman"/>
          <w:i/>
          <w:iCs/>
        </w:rPr>
        <w:t>H. pylori</w:t>
      </w:r>
      <w:r w:rsidR="00C649EC" w:rsidRPr="00A36050">
        <w:rPr>
          <w:rFonts w:ascii="Times New Roman" w:hAnsi="Times New Roman"/>
          <w:i/>
          <w:iCs/>
        </w:rPr>
        <w:t xml:space="preserve"> </w:t>
      </w:r>
      <w:r w:rsidRPr="00A36050">
        <w:rPr>
          <w:rFonts w:ascii="Times New Roman" w:hAnsi="Times New Roman"/>
        </w:rPr>
        <w:t>eradikációra nincs lehetőség, a javasolt adag naponta egyszer 20</w:t>
      </w:r>
      <w:r w:rsidR="00444B8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 xml:space="preserve">mg </w:t>
      </w:r>
      <w:r w:rsidR="000554DC" w:rsidRPr="000554DC">
        <w:rPr>
          <w:rFonts w:ascii="Times New Roman" w:hAnsi="Times New Roman"/>
        </w:rPr>
        <w:t>omeprazol</w:t>
      </w:r>
      <w:r w:rsidRPr="00A36050">
        <w:rPr>
          <w:rFonts w:ascii="Times New Roman" w:hAnsi="Times New Roman"/>
        </w:rPr>
        <w:t>. Egyes betegeknél a napi</w:t>
      </w:r>
      <w:r w:rsidR="00C649EC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egyszer 10</w:t>
      </w:r>
      <w:r w:rsidR="00444B8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 is elegendő lehet. Eredménytelen terápia esetén a dózis 40</w:t>
      </w:r>
      <w:r w:rsidR="00444B8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ra emelhető.</w:t>
      </w:r>
    </w:p>
    <w:p w14:paraId="3145B178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</w:p>
    <w:p w14:paraId="59B60C1A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>Ulcus ventriculi kezelése</w:t>
      </w:r>
    </w:p>
    <w:p w14:paraId="37FB3489" w14:textId="23DAEB2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 javasolt adag napi egyszer 20</w:t>
      </w:r>
      <w:r w:rsidR="00444B8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 xml:space="preserve">mg </w:t>
      </w:r>
      <w:r w:rsidR="000554DC" w:rsidRPr="000554DC">
        <w:rPr>
          <w:rFonts w:ascii="Times New Roman" w:hAnsi="Times New Roman"/>
        </w:rPr>
        <w:t>omeprazol</w:t>
      </w:r>
      <w:r w:rsidRPr="00A36050">
        <w:rPr>
          <w:rFonts w:ascii="Times New Roman" w:hAnsi="Times New Roman"/>
        </w:rPr>
        <w:t xml:space="preserve">. A legtöbb beteg négy héten belül </w:t>
      </w:r>
      <w:r w:rsidR="00FA5123">
        <w:rPr>
          <w:rFonts w:ascii="Times New Roman" w:hAnsi="Times New Roman"/>
        </w:rPr>
        <w:t>meg</w:t>
      </w:r>
      <w:r w:rsidRPr="00A36050">
        <w:rPr>
          <w:rFonts w:ascii="Times New Roman" w:hAnsi="Times New Roman"/>
        </w:rPr>
        <w:t>gyógyul. Azoknál a</w:t>
      </w:r>
      <w:r w:rsidR="00C649EC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betegeknél, akiknél a bevezető kezelést követően a gyógyulás nem teljes, </w:t>
      </w:r>
      <w:r w:rsidR="00A54FEC" w:rsidRPr="00A36050">
        <w:rPr>
          <w:rFonts w:ascii="Times New Roman" w:hAnsi="Times New Roman"/>
        </w:rPr>
        <w:t xml:space="preserve">egy </w:t>
      </w:r>
      <w:r w:rsidRPr="00A36050">
        <w:rPr>
          <w:rFonts w:ascii="Times New Roman" w:hAnsi="Times New Roman"/>
        </w:rPr>
        <w:t>további</w:t>
      </w:r>
      <w:r w:rsidR="00A54FEC" w:rsidRPr="00A36050">
        <w:rPr>
          <w:rFonts w:ascii="Times New Roman" w:hAnsi="Times New Roman"/>
        </w:rPr>
        <w:t>,</w:t>
      </w:r>
      <w:r w:rsidRPr="00A36050">
        <w:rPr>
          <w:rFonts w:ascii="Times New Roman" w:hAnsi="Times New Roman"/>
        </w:rPr>
        <w:t xml:space="preserve"> négyhetes terápia</w:t>
      </w:r>
      <w:r w:rsidR="00C649EC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alatt rendszerint gyógyulásra lehet számítani. Nehezen gyógyuló gyomorfekélyben szenvedőknek napi</w:t>
      </w:r>
      <w:r w:rsidR="00C649EC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egyszeri 40</w:t>
      </w:r>
      <w:r w:rsidR="00444B8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 xml:space="preserve">mg </w:t>
      </w:r>
      <w:r w:rsidR="000554DC" w:rsidRPr="000554DC">
        <w:rPr>
          <w:rFonts w:ascii="Times New Roman" w:hAnsi="Times New Roman"/>
        </w:rPr>
        <w:t>omeprazol</w:t>
      </w:r>
      <w:r w:rsidR="000554DC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javasolt, és a gyógyulás általában nyolc hét alatt bekövetkezik.</w:t>
      </w:r>
    </w:p>
    <w:p w14:paraId="3B1B459C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</w:p>
    <w:p w14:paraId="204A4359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>Ulcus ventriculi relapszusának megelőzése</w:t>
      </w:r>
    </w:p>
    <w:p w14:paraId="5C06605B" w14:textId="6D3146C3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Nehezen gyógyuló gyomorfekélyben szenvedőknél a relapszus megelőzésére a javasolt dózis napi</w:t>
      </w:r>
      <w:r w:rsidR="00C649EC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egyszer 20</w:t>
      </w:r>
      <w:r w:rsidR="00444B8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 xml:space="preserve">mg </w:t>
      </w:r>
      <w:r w:rsidR="000554DC" w:rsidRPr="000554DC">
        <w:rPr>
          <w:rFonts w:ascii="Times New Roman" w:hAnsi="Times New Roman"/>
        </w:rPr>
        <w:t>omeprazol</w:t>
      </w:r>
      <w:r w:rsidRPr="00A36050">
        <w:rPr>
          <w:rFonts w:ascii="Times New Roman" w:hAnsi="Times New Roman"/>
        </w:rPr>
        <w:t>. Szükség esetén a</w:t>
      </w:r>
      <w:r w:rsidR="00DB4147">
        <w:rPr>
          <w:rFonts w:ascii="Times New Roman" w:hAnsi="Times New Roman"/>
        </w:rPr>
        <w:t>z</w:t>
      </w:r>
      <w:r w:rsidRPr="00A36050">
        <w:rPr>
          <w:rFonts w:ascii="Times New Roman" w:hAnsi="Times New Roman"/>
        </w:rPr>
        <w:t xml:space="preserve"> </w:t>
      </w:r>
      <w:r w:rsidR="000554DC" w:rsidRPr="000554DC">
        <w:rPr>
          <w:rFonts w:ascii="Times New Roman" w:hAnsi="Times New Roman"/>
        </w:rPr>
        <w:t>omeprazol</w:t>
      </w:r>
      <w:r w:rsidR="000554DC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adagja napi egyszer 40</w:t>
      </w:r>
      <w:r w:rsidR="00444B8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mg-ra emelhető.</w:t>
      </w:r>
    </w:p>
    <w:p w14:paraId="7BAB77A5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</w:p>
    <w:p w14:paraId="7C19E70E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>H. pylori eradikáció peptikus fekélybetegségben</w:t>
      </w:r>
    </w:p>
    <w:p w14:paraId="08C1F681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  <w:i/>
          <w:iCs/>
        </w:rPr>
        <w:t xml:space="preserve">H. pylori </w:t>
      </w:r>
      <w:r w:rsidRPr="00A36050">
        <w:rPr>
          <w:rFonts w:ascii="Times New Roman" w:hAnsi="Times New Roman"/>
        </w:rPr>
        <w:t>eradikációban az antibiotikum kiválasztása a beteg egyéni gyógyszer-toleranciájának</w:t>
      </w:r>
      <w:r w:rsidR="00065947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függvényében, a nemzeti, a regionális és a helyi rezisztens törzsek figyelembevételével, valamint a</w:t>
      </w:r>
      <w:r w:rsidR="00065947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terápiás irányelveknek megfelelően történjen.</w:t>
      </w:r>
    </w:p>
    <w:p w14:paraId="141A746E" w14:textId="77777777" w:rsidR="00065947" w:rsidRPr="00A36050" w:rsidRDefault="00065947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5F150F7" w14:textId="290045A3" w:rsidR="001C0BD1" w:rsidRPr="00AE7C84" w:rsidRDefault="001C0BD1" w:rsidP="00AE7C84">
      <w:pPr>
        <w:pStyle w:val="Listaszerbekezds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AE7C84">
        <w:rPr>
          <w:rFonts w:ascii="Times New Roman" w:hAnsi="Times New Roman"/>
        </w:rPr>
        <w:t>20</w:t>
      </w:r>
      <w:r w:rsidR="00A54FEC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 xml:space="preserve">mg </w:t>
      </w:r>
      <w:r w:rsidR="000554DC" w:rsidRPr="00AE7C84">
        <w:rPr>
          <w:rFonts w:ascii="Times New Roman" w:hAnsi="Times New Roman"/>
        </w:rPr>
        <w:t>omeprazol</w:t>
      </w:r>
      <w:r w:rsidR="00776F60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+</w:t>
      </w:r>
      <w:r w:rsidR="00776F60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500</w:t>
      </w:r>
      <w:r w:rsidR="00A54FEC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mg klaritromicin</w:t>
      </w:r>
      <w:r w:rsidR="00776F60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+</w:t>
      </w:r>
      <w:r w:rsidR="00776F60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1000</w:t>
      </w:r>
      <w:r w:rsidR="00A54FEC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mg amoxicillin kombináció naponta kétszer egy</w:t>
      </w:r>
      <w:r w:rsidR="00065947" w:rsidRPr="00AE7C84">
        <w:rPr>
          <w:rFonts w:ascii="Times New Roman" w:hAnsi="Times New Roman"/>
        </w:rPr>
        <w:t xml:space="preserve"> </w:t>
      </w:r>
      <w:r w:rsidRPr="00AE7C84">
        <w:rPr>
          <w:rFonts w:ascii="Times New Roman" w:hAnsi="Times New Roman"/>
        </w:rPr>
        <w:t>héten keresztül vagy,</w:t>
      </w:r>
    </w:p>
    <w:p w14:paraId="25BBE5A1" w14:textId="4D67918C" w:rsidR="001C0BD1" w:rsidRPr="00AE7C84" w:rsidRDefault="001C0BD1" w:rsidP="00AE7C84">
      <w:pPr>
        <w:pStyle w:val="Listaszerbekezds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AE7C84">
        <w:rPr>
          <w:rFonts w:ascii="Times New Roman" w:hAnsi="Times New Roman"/>
        </w:rPr>
        <w:t>20</w:t>
      </w:r>
      <w:r w:rsidR="00A54FEC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 xml:space="preserve">mg </w:t>
      </w:r>
      <w:r w:rsidR="000554DC" w:rsidRPr="00AE7C84">
        <w:rPr>
          <w:rFonts w:ascii="Times New Roman" w:hAnsi="Times New Roman"/>
        </w:rPr>
        <w:t>omeprazol</w:t>
      </w:r>
      <w:r w:rsidR="00776F60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+</w:t>
      </w:r>
      <w:r w:rsidR="00776F60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250</w:t>
      </w:r>
      <w:r w:rsidR="00A54FEC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mg klaritromicin (vagy 500</w:t>
      </w:r>
      <w:r w:rsidR="00A54FEC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mg)</w:t>
      </w:r>
      <w:r w:rsidR="00776F60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+</w:t>
      </w:r>
      <w:r w:rsidR="00776F60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400</w:t>
      </w:r>
      <w:r w:rsidR="00A54FEC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mg metronidazol (vagy 500</w:t>
      </w:r>
      <w:r w:rsidR="00A54FEC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mg,</w:t>
      </w:r>
      <w:r w:rsidR="00065947" w:rsidRPr="00AE7C84">
        <w:rPr>
          <w:rFonts w:ascii="Times New Roman" w:hAnsi="Times New Roman"/>
        </w:rPr>
        <w:t xml:space="preserve"> </w:t>
      </w:r>
      <w:r w:rsidRPr="00AE7C84">
        <w:rPr>
          <w:rFonts w:ascii="Times New Roman" w:hAnsi="Times New Roman"/>
        </w:rPr>
        <w:lastRenderedPageBreak/>
        <w:t>vagy 500</w:t>
      </w:r>
      <w:r w:rsidR="00A54FEC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mg tinidazol) kombináció naponta kétszer egy héten keresztül, vagy</w:t>
      </w:r>
    </w:p>
    <w:p w14:paraId="3465196C" w14:textId="64EEA2FC" w:rsidR="001C0BD1" w:rsidRPr="00AE7C84" w:rsidRDefault="001C0BD1" w:rsidP="00AE7C84">
      <w:pPr>
        <w:pStyle w:val="Listaszerbekezds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AE7C84">
        <w:rPr>
          <w:rFonts w:ascii="Times New Roman" w:hAnsi="Times New Roman"/>
        </w:rPr>
        <w:t>napi egyszer 40</w:t>
      </w:r>
      <w:r w:rsidR="00A616BB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 xml:space="preserve">mg </w:t>
      </w:r>
      <w:r w:rsidR="000554DC" w:rsidRPr="00AE7C84">
        <w:rPr>
          <w:rFonts w:ascii="Times New Roman" w:hAnsi="Times New Roman"/>
        </w:rPr>
        <w:t>omeprazol</w:t>
      </w:r>
      <w:r w:rsidR="00776F60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+</w:t>
      </w:r>
      <w:r w:rsidR="00776F60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napi 3-szor 500</w:t>
      </w:r>
      <w:r w:rsidR="00A616BB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mg amoxicillin</w:t>
      </w:r>
      <w:r w:rsidR="00776F60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+</w:t>
      </w:r>
      <w:r w:rsidR="00776F60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napi 3</w:t>
      </w:r>
      <w:r w:rsidR="00533B18">
        <w:rPr>
          <w:rFonts w:ascii="Times New Roman" w:hAnsi="Times New Roman"/>
        </w:rPr>
        <w:noBreakHyphen/>
      </w:r>
      <w:r w:rsidRPr="00AE7C84">
        <w:rPr>
          <w:rFonts w:ascii="Times New Roman" w:hAnsi="Times New Roman"/>
        </w:rPr>
        <w:t>szor 400</w:t>
      </w:r>
      <w:r w:rsidR="00A616BB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mg metronidazol</w:t>
      </w:r>
      <w:r w:rsidR="00065947" w:rsidRPr="00AE7C84">
        <w:rPr>
          <w:rFonts w:ascii="Times New Roman" w:hAnsi="Times New Roman"/>
        </w:rPr>
        <w:t xml:space="preserve"> </w:t>
      </w:r>
      <w:r w:rsidRPr="00AE7C84">
        <w:rPr>
          <w:rFonts w:ascii="Times New Roman" w:hAnsi="Times New Roman"/>
        </w:rPr>
        <w:t>(vagy 500</w:t>
      </w:r>
      <w:r w:rsidR="00A616BB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mg, vagy 500</w:t>
      </w:r>
      <w:r w:rsidR="00A616BB" w:rsidRPr="00AE7C84">
        <w:rPr>
          <w:rFonts w:ascii="Times New Roman" w:hAnsi="Times New Roman"/>
        </w:rPr>
        <w:t> </w:t>
      </w:r>
      <w:r w:rsidRPr="00AE7C84">
        <w:rPr>
          <w:rFonts w:ascii="Times New Roman" w:hAnsi="Times New Roman"/>
        </w:rPr>
        <w:t>mg tinidazol) egy héten keresztül.</w:t>
      </w:r>
    </w:p>
    <w:p w14:paraId="258D0619" w14:textId="77777777" w:rsidR="00321996" w:rsidRPr="00A36050" w:rsidRDefault="00321996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E2FB9F6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Bármely kezelési séma esetében, ha a beteg még mindig </w:t>
      </w:r>
      <w:r w:rsidR="00C63340" w:rsidRPr="00A36050">
        <w:rPr>
          <w:rFonts w:ascii="Times New Roman" w:hAnsi="Times New Roman"/>
          <w:i/>
          <w:iCs/>
        </w:rPr>
        <w:t>H. pylori</w:t>
      </w:r>
      <w:r w:rsidRPr="00A36050">
        <w:rPr>
          <w:rFonts w:ascii="Times New Roman" w:hAnsi="Times New Roman"/>
          <w:i/>
          <w:iCs/>
        </w:rPr>
        <w:t xml:space="preserve"> </w:t>
      </w:r>
      <w:r w:rsidRPr="00A36050">
        <w:rPr>
          <w:rFonts w:ascii="Times New Roman" w:hAnsi="Times New Roman"/>
        </w:rPr>
        <w:t>pozitív, a kezelést meg lehet</w:t>
      </w:r>
      <w:r w:rsidR="00065947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ismételni.</w:t>
      </w:r>
    </w:p>
    <w:p w14:paraId="77FDD3C7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</w:p>
    <w:p w14:paraId="5FB26916" w14:textId="77777777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>NSAID alkalmazáshoz társuló gyomor- és nyombélfekély kezelése</w:t>
      </w:r>
    </w:p>
    <w:p w14:paraId="5A764B21" w14:textId="1631E5D0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Az NSAID alkalmazáshoz társuló gyomor- és nyombélfekély kezelésében az ajánlott adag napi</w:t>
      </w:r>
      <w:r w:rsidR="00065947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egyszer 20</w:t>
      </w:r>
      <w:r w:rsidR="00A616BB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 xml:space="preserve">mg </w:t>
      </w:r>
      <w:r w:rsidR="000554DC" w:rsidRPr="000554DC">
        <w:rPr>
          <w:rFonts w:ascii="Times New Roman" w:hAnsi="Times New Roman"/>
        </w:rPr>
        <w:t>omeprazol</w:t>
      </w:r>
      <w:r w:rsidRPr="00A36050">
        <w:rPr>
          <w:rFonts w:ascii="Times New Roman" w:hAnsi="Times New Roman"/>
        </w:rPr>
        <w:t>. A betegek nagy többsége 4</w:t>
      </w:r>
      <w:r w:rsidR="00776F60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héten belül gyógyul. Azoknál a betegeknél, akiknél</w:t>
      </w:r>
      <w:r w:rsidR="00065947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 bevezető kezelést követően a gyógyulás nem teljes, további négy hetes terápia alatt rendszerint</w:t>
      </w:r>
      <w:r w:rsidR="00065947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gyógyulásra lehet számítani.</w:t>
      </w:r>
    </w:p>
    <w:p w14:paraId="072D1E8A" w14:textId="77777777" w:rsidR="000B1A97" w:rsidRPr="00A36050" w:rsidRDefault="000B1A97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</w:p>
    <w:p w14:paraId="68F936AC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>NSAID alkalmazásakor, gyomor- és nyombélfekély kialakulásának megelőzése, veszélyeztetett</w:t>
      </w:r>
      <w:r w:rsidR="00065947" w:rsidRPr="00A36050">
        <w:rPr>
          <w:rFonts w:ascii="Times New Roman" w:hAnsi="Times New Roman"/>
          <w:i/>
          <w:iCs/>
        </w:rPr>
        <w:t xml:space="preserve"> </w:t>
      </w:r>
      <w:r w:rsidRPr="00A36050">
        <w:rPr>
          <w:rFonts w:ascii="Times New Roman" w:hAnsi="Times New Roman"/>
          <w:i/>
          <w:iCs/>
        </w:rPr>
        <w:t>betegeknél</w:t>
      </w:r>
    </w:p>
    <w:p w14:paraId="3BB35A92" w14:textId="134A2266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Veszélyeztetett betegeknél (60</w:t>
      </w:r>
      <w:r w:rsidR="00776F60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 xml:space="preserve">évnél idősebb kor, az anamnézisben gyomor- </w:t>
      </w:r>
      <w:r w:rsidR="00A616BB" w:rsidRPr="00A36050">
        <w:rPr>
          <w:rFonts w:ascii="Times New Roman" w:hAnsi="Times New Roman"/>
        </w:rPr>
        <w:t xml:space="preserve">vagy </w:t>
      </w:r>
      <w:r w:rsidRPr="00A36050">
        <w:rPr>
          <w:rFonts w:ascii="Times New Roman" w:hAnsi="Times New Roman"/>
        </w:rPr>
        <w:t>nyombélfekély, illetve</w:t>
      </w:r>
      <w:r w:rsidR="00065947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 gyomor-bélrendszer felsőbb szakaszából eredő vérzés) az NSAID alkalmazáshoz társuló</w:t>
      </w:r>
      <w:r w:rsidR="00065947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gyomor</w:t>
      </w:r>
      <w:r w:rsidR="00A616BB" w:rsidRPr="00A36050">
        <w:rPr>
          <w:rFonts w:ascii="Times New Roman" w:hAnsi="Times New Roman"/>
        </w:rPr>
        <w:t>-</w:t>
      </w:r>
      <w:r w:rsidR="00065947" w:rsidRPr="00A36050">
        <w:rPr>
          <w:rFonts w:ascii="Times New Roman" w:hAnsi="Times New Roman"/>
        </w:rPr>
        <w:t xml:space="preserve">, </w:t>
      </w:r>
      <w:r w:rsidRPr="00A36050">
        <w:rPr>
          <w:rFonts w:ascii="Times New Roman" w:hAnsi="Times New Roman"/>
        </w:rPr>
        <w:t>illetve</w:t>
      </w:r>
      <w:r w:rsidR="000A690C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nyombélfekély megelőzésére az ajánlott adag naponta egyszer 20</w:t>
      </w:r>
      <w:r w:rsidR="00444B8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 xml:space="preserve">mg </w:t>
      </w:r>
      <w:r w:rsidR="005708F5" w:rsidRPr="005708F5">
        <w:rPr>
          <w:rFonts w:ascii="Times New Roman" w:hAnsi="Times New Roman"/>
        </w:rPr>
        <w:t>omeprazol</w:t>
      </w:r>
      <w:r w:rsidRPr="00A36050">
        <w:rPr>
          <w:rFonts w:ascii="Times New Roman" w:hAnsi="Times New Roman"/>
        </w:rPr>
        <w:t>.</w:t>
      </w:r>
    </w:p>
    <w:p w14:paraId="6AA67711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</w:p>
    <w:p w14:paraId="0F32B3D3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>Reflux oesophagitis kezelése</w:t>
      </w:r>
    </w:p>
    <w:p w14:paraId="272967AA" w14:textId="5BABDDF0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Az ajánlott adag 20</w:t>
      </w:r>
      <w:r w:rsidR="00444B8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 xml:space="preserve">mg </w:t>
      </w:r>
      <w:r w:rsidR="005708F5" w:rsidRPr="005708F5">
        <w:rPr>
          <w:rFonts w:ascii="Times New Roman" w:hAnsi="Times New Roman"/>
        </w:rPr>
        <w:t>omeprazol</w:t>
      </w:r>
      <w:r w:rsidR="005708F5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naponta egyszer. A legtöbb beteg négy héten belül gyógyul. Azoknál a</w:t>
      </w:r>
      <w:r w:rsidR="00065947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betegeknél, akiknél a bevezető kezelést követően a gyógyulás nem teljes, további négy hetes terápia</w:t>
      </w:r>
      <w:r w:rsidR="00065947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alatt rendszerint gyógyulásra lehet számítani.</w:t>
      </w:r>
    </w:p>
    <w:p w14:paraId="7A7ABF91" w14:textId="7A6D8A43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Súlyos oesophagitisben szenvedő betegeknél napi egyszeri 40</w:t>
      </w:r>
      <w:r w:rsidR="00444B8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 xml:space="preserve">mg </w:t>
      </w:r>
      <w:r w:rsidR="005708F5" w:rsidRPr="005708F5">
        <w:rPr>
          <w:rFonts w:ascii="Times New Roman" w:hAnsi="Times New Roman"/>
        </w:rPr>
        <w:t>omeprazol</w:t>
      </w:r>
      <w:r w:rsidR="005708F5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javasolt, és a gyógyulás</w:t>
      </w:r>
      <w:r w:rsidR="00065947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általában nyolc hét alatt bekövetkezik.</w:t>
      </w:r>
    </w:p>
    <w:p w14:paraId="52142392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</w:p>
    <w:p w14:paraId="69A588A7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>Gyógyult reflux oesophagitis hosszú</w:t>
      </w:r>
      <w:r w:rsidR="00193873" w:rsidRPr="00A36050">
        <w:rPr>
          <w:rFonts w:ascii="Times New Roman" w:hAnsi="Times New Roman"/>
          <w:i/>
          <w:iCs/>
        </w:rPr>
        <w:t xml:space="preserve"> </w:t>
      </w:r>
      <w:r w:rsidRPr="00A36050">
        <w:rPr>
          <w:rFonts w:ascii="Times New Roman" w:hAnsi="Times New Roman"/>
          <w:i/>
          <w:iCs/>
        </w:rPr>
        <w:t>távú kezelése</w:t>
      </w:r>
    </w:p>
    <w:p w14:paraId="0E786F19" w14:textId="15CFA113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Gyógyult reflux oesophagitis hosszú</w:t>
      </w:r>
      <w:r w:rsidR="00193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távú kezelésére javasolt dózis napi egyszer 10</w:t>
      </w:r>
      <w:r w:rsidR="00444B8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 xml:space="preserve">mg </w:t>
      </w:r>
      <w:r w:rsidR="005708F5" w:rsidRPr="005708F5">
        <w:rPr>
          <w:rFonts w:ascii="Times New Roman" w:hAnsi="Times New Roman"/>
        </w:rPr>
        <w:t>omeprazol</w:t>
      </w:r>
      <w:r w:rsidRPr="00A36050">
        <w:rPr>
          <w:rFonts w:ascii="Times New Roman" w:hAnsi="Times New Roman"/>
        </w:rPr>
        <w:t>. Szükség</w:t>
      </w:r>
      <w:r w:rsidR="00065947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esetén az adag napi egyszeri 20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40</w:t>
      </w:r>
      <w:r w:rsidR="00444B8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 xml:space="preserve">mg </w:t>
      </w:r>
      <w:r w:rsidR="005708F5" w:rsidRPr="005708F5">
        <w:rPr>
          <w:rFonts w:ascii="Times New Roman" w:hAnsi="Times New Roman"/>
        </w:rPr>
        <w:t>omeprazol</w:t>
      </w:r>
      <w:r w:rsidRPr="00A36050">
        <w:rPr>
          <w:rFonts w:ascii="Times New Roman" w:hAnsi="Times New Roman"/>
        </w:rPr>
        <w:t>r</w:t>
      </w:r>
      <w:r w:rsidR="00065947" w:rsidRPr="00A36050">
        <w:rPr>
          <w:rFonts w:ascii="Times New Roman" w:hAnsi="Times New Roman"/>
        </w:rPr>
        <w:t>a</w:t>
      </w:r>
      <w:r w:rsidRPr="00A36050">
        <w:rPr>
          <w:rFonts w:ascii="Times New Roman" w:hAnsi="Times New Roman"/>
        </w:rPr>
        <w:t xml:space="preserve"> emelhető.</w:t>
      </w:r>
    </w:p>
    <w:p w14:paraId="3D4AD24C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</w:p>
    <w:p w14:paraId="7A727AA2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>A tünetekkel járó gastro-oesophagealis refluxbetegség kezelése</w:t>
      </w:r>
    </w:p>
    <w:p w14:paraId="14D78E91" w14:textId="31EF804E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 javasolt adag 20</w:t>
      </w:r>
      <w:r w:rsidR="00444B8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 xml:space="preserve">mg </w:t>
      </w:r>
      <w:r w:rsidR="005708F5" w:rsidRPr="005708F5">
        <w:rPr>
          <w:rFonts w:ascii="Times New Roman" w:hAnsi="Times New Roman"/>
        </w:rPr>
        <w:t>omeprazol</w:t>
      </w:r>
      <w:r w:rsidR="005708F5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naponta. A betegek már napi 10</w:t>
      </w:r>
      <w:r w:rsidR="00444B8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</w:t>
      </w:r>
      <w:r w:rsidR="00533B18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ra is megfelelően reagálhatnak</w:t>
      </w:r>
      <w:r w:rsidR="00065947" w:rsidRPr="00A36050">
        <w:rPr>
          <w:rFonts w:ascii="Times New Roman" w:hAnsi="Times New Roman"/>
        </w:rPr>
        <w:t xml:space="preserve">, </w:t>
      </w:r>
      <w:r w:rsidRPr="00A36050">
        <w:rPr>
          <w:rFonts w:ascii="Times New Roman" w:hAnsi="Times New Roman"/>
        </w:rPr>
        <w:t>ezért</w:t>
      </w:r>
      <w:r w:rsidR="00065947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az egyéni adagolás megfontola</w:t>
      </w:r>
      <w:r w:rsidR="00A616BB" w:rsidRPr="00A36050">
        <w:rPr>
          <w:rFonts w:ascii="Times New Roman" w:hAnsi="Times New Roman"/>
        </w:rPr>
        <w:t>ndó</w:t>
      </w:r>
      <w:r w:rsidRPr="00A36050">
        <w:rPr>
          <w:rFonts w:ascii="Times New Roman" w:hAnsi="Times New Roman"/>
        </w:rPr>
        <w:t>.</w:t>
      </w:r>
    </w:p>
    <w:p w14:paraId="2C8511F1" w14:textId="72C5986E" w:rsidR="001C0BD1" w:rsidRPr="00A36050" w:rsidRDefault="00A616BB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További kivizsgálás javasolt, h</w:t>
      </w:r>
      <w:r w:rsidR="001C0BD1" w:rsidRPr="00A36050">
        <w:rPr>
          <w:rFonts w:ascii="Times New Roman" w:hAnsi="Times New Roman"/>
        </w:rPr>
        <w:t>a négy hét után, napi 20</w:t>
      </w:r>
      <w:r w:rsidR="00E24167" w:rsidRPr="00A36050">
        <w:rPr>
          <w:rFonts w:ascii="Times New Roman" w:hAnsi="Times New Roman"/>
        </w:rPr>
        <w:t> </w:t>
      </w:r>
      <w:r w:rsidR="001C0BD1" w:rsidRPr="00A36050">
        <w:rPr>
          <w:rFonts w:ascii="Times New Roman" w:hAnsi="Times New Roman"/>
        </w:rPr>
        <w:t xml:space="preserve">mg </w:t>
      </w:r>
      <w:r w:rsidR="005708F5" w:rsidRPr="005708F5">
        <w:rPr>
          <w:rFonts w:ascii="Times New Roman" w:hAnsi="Times New Roman"/>
        </w:rPr>
        <w:t>omeprazol</w:t>
      </w:r>
      <w:r w:rsidR="00E04C6B">
        <w:rPr>
          <w:rFonts w:ascii="Times New Roman" w:hAnsi="Times New Roman"/>
        </w:rPr>
        <w:t>-</w:t>
      </w:r>
      <w:r w:rsidR="001C0BD1" w:rsidRPr="00A36050">
        <w:rPr>
          <w:rFonts w:ascii="Times New Roman" w:hAnsi="Times New Roman"/>
        </w:rPr>
        <w:t xml:space="preserve">kezeléssel </w:t>
      </w:r>
      <w:r w:rsidRPr="00A36050">
        <w:rPr>
          <w:rFonts w:ascii="Times New Roman" w:hAnsi="Times New Roman"/>
        </w:rPr>
        <w:t>s</w:t>
      </w:r>
      <w:r w:rsidR="001C0BD1" w:rsidRPr="00A36050">
        <w:rPr>
          <w:rFonts w:ascii="Times New Roman" w:hAnsi="Times New Roman"/>
        </w:rPr>
        <w:t>em sikerül tünetmentességet elérni.</w:t>
      </w:r>
    </w:p>
    <w:p w14:paraId="080E060C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</w:p>
    <w:p w14:paraId="068F87E6" w14:textId="77777777" w:rsidR="001C0BD1" w:rsidRPr="00A36050" w:rsidRDefault="00DD1FD3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u w:val="single"/>
        </w:rPr>
      </w:pPr>
      <w:r w:rsidRPr="00A36050">
        <w:rPr>
          <w:rFonts w:ascii="Times New Roman" w:hAnsi="Times New Roman"/>
          <w:i/>
          <w:u w:val="single"/>
        </w:rPr>
        <w:t>Gyermekek</w:t>
      </w:r>
      <w:r w:rsidR="009F5578" w:rsidRPr="00A36050">
        <w:rPr>
          <w:rFonts w:ascii="Times New Roman" w:hAnsi="Times New Roman"/>
          <w:i/>
          <w:u w:val="single"/>
        </w:rPr>
        <w:t xml:space="preserve"> és serdülők</w:t>
      </w:r>
    </w:p>
    <w:p w14:paraId="4B5D3C7A" w14:textId="77777777" w:rsidR="000A690C" w:rsidRPr="00A36050" w:rsidRDefault="000A690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</w:p>
    <w:p w14:paraId="52E5E2F4" w14:textId="485B8035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u w:val="single"/>
        </w:rPr>
      </w:pPr>
      <w:r w:rsidRPr="00A36050">
        <w:rPr>
          <w:rFonts w:ascii="Times New Roman" w:hAnsi="Times New Roman"/>
          <w:i/>
          <w:iCs/>
          <w:u w:val="single"/>
        </w:rPr>
        <w:t>1</w:t>
      </w:r>
      <w:r w:rsidR="009F5578" w:rsidRPr="00A36050">
        <w:rPr>
          <w:rFonts w:ascii="Times New Roman" w:hAnsi="Times New Roman"/>
          <w:i/>
          <w:iCs/>
          <w:u w:val="single"/>
        </w:rPr>
        <w:t> </w:t>
      </w:r>
      <w:r w:rsidR="005708F5">
        <w:rPr>
          <w:rFonts w:ascii="Times New Roman" w:hAnsi="Times New Roman"/>
          <w:i/>
          <w:iCs/>
          <w:u w:val="single"/>
        </w:rPr>
        <w:t xml:space="preserve">hónaposnál </w:t>
      </w:r>
      <w:r w:rsidRPr="00A36050">
        <w:rPr>
          <w:rFonts w:ascii="Times New Roman" w:hAnsi="Times New Roman"/>
          <w:i/>
          <w:iCs/>
          <w:u w:val="single"/>
        </w:rPr>
        <w:t>idősebb</w:t>
      </w:r>
      <w:r w:rsidR="000B1A97" w:rsidRPr="00A36050">
        <w:rPr>
          <w:rFonts w:ascii="Times New Roman" w:hAnsi="Times New Roman"/>
          <w:i/>
          <w:iCs/>
          <w:u w:val="single"/>
        </w:rPr>
        <w:t xml:space="preserve"> </w:t>
      </w:r>
      <w:r w:rsidRPr="00A36050">
        <w:rPr>
          <w:rFonts w:ascii="Times New Roman" w:hAnsi="Times New Roman"/>
          <w:i/>
          <w:iCs/>
          <w:u w:val="single"/>
        </w:rPr>
        <w:t>gyermekek</w:t>
      </w:r>
    </w:p>
    <w:p w14:paraId="584081EE" w14:textId="77777777" w:rsidR="003C2298" w:rsidRPr="00AE7C84" w:rsidRDefault="006E75DA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E7C84">
        <w:rPr>
          <w:rFonts w:ascii="Times New Roman" w:hAnsi="Times New Roman"/>
        </w:rPr>
        <w:t>Reflux oesophagitis</w:t>
      </w:r>
      <w:r w:rsidR="00DD0D14" w:rsidRPr="00AE7C84">
        <w:rPr>
          <w:rFonts w:ascii="Times New Roman" w:hAnsi="Times New Roman"/>
        </w:rPr>
        <w:t xml:space="preserve"> kezelése</w:t>
      </w:r>
    </w:p>
    <w:p w14:paraId="3DC578C1" w14:textId="77777777" w:rsidR="006E75DA" w:rsidRPr="00AE7C84" w:rsidRDefault="006E75DA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E7C84">
        <w:rPr>
          <w:rFonts w:ascii="Times New Roman" w:hAnsi="Times New Roman"/>
        </w:rPr>
        <w:t>Gastro-oesophagealis refluxbetegségben a gyomorégés, valamint a gyomorsav-regurgitatio tüneti kezelése</w:t>
      </w:r>
    </w:p>
    <w:p w14:paraId="5BB6502A" w14:textId="77777777" w:rsidR="006E75DA" w:rsidRPr="00A36050" w:rsidRDefault="006E75DA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</w:p>
    <w:p w14:paraId="7C2E431B" w14:textId="77777777" w:rsidR="006E75DA" w:rsidRDefault="006E75DA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Az adagolási javaslat a következő:</w:t>
      </w:r>
    </w:p>
    <w:p w14:paraId="6CB27900" w14:textId="77777777" w:rsidR="005708F5" w:rsidRDefault="005708F5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tbl>
      <w:tblPr>
        <w:tblW w:w="9392" w:type="dxa"/>
        <w:tblInd w:w="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991"/>
        <w:gridCol w:w="6764"/>
      </w:tblGrid>
      <w:tr w:rsidR="005708F5" w:rsidRPr="005708F5" w14:paraId="2B178C05" w14:textId="77777777" w:rsidTr="0025487A">
        <w:trPr>
          <w:trHeight w:hRule="exact" w:val="285"/>
        </w:trPr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9028F" w14:textId="3A31AB84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w w:val="102"/>
              </w:rPr>
              <w:t>K</w:t>
            </w:r>
            <w:r w:rsidRPr="005708F5">
              <w:rPr>
                <w:rFonts w:ascii="Times New Roman" w:eastAsia="Times New Roman" w:hAnsi="Times New Roman"/>
                <w:w w:val="102"/>
              </w:rPr>
              <w:t>or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3FC9F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  <w:w w:val="102"/>
              </w:rPr>
              <w:t>Testtömeg</w:t>
            </w:r>
          </w:p>
        </w:tc>
        <w:tc>
          <w:tcPr>
            <w:tcW w:w="6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F1CFB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  <w:w w:val="102"/>
              </w:rPr>
              <w:t>Adagolás</w:t>
            </w:r>
          </w:p>
        </w:tc>
      </w:tr>
      <w:tr w:rsidR="005708F5" w:rsidRPr="005708F5" w14:paraId="52158A50" w14:textId="77777777" w:rsidTr="0025487A">
        <w:trPr>
          <w:trHeight w:hRule="exact" w:val="555"/>
        </w:trPr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3768E" w14:textId="5A17F386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1 hónapos–1 éves kor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7FE27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≤ 10 kg</w:t>
            </w:r>
          </w:p>
        </w:tc>
        <w:tc>
          <w:tcPr>
            <w:tcW w:w="6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DEC78" w14:textId="2F3EBAB9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1 mg/ttkg naponta egyszer.</w:t>
            </w:r>
          </w:p>
        </w:tc>
      </w:tr>
      <w:tr w:rsidR="005708F5" w:rsidRPr="005708F5" w14:paraId="2923C757" w14:textId="77777777" w:rsidTr="0025487A">
        <w:trPr>
          <w:trHeight w:hRule="exact" w:val="555"/>
        </w:trPr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80D49" w14:textId="624F2853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≥ 1 éves kor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26469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10</w:t>
            </w:r>
            <w:r w:rsidRPr="005708F5">
              <w:rPr>
                <w:rFonts w:ascii="Times New Roman" w:eastAsia="Times New Roman" w:hAnsi="Times New Roman"/>
              </w:rPr>
              <w:noBreakHyphen/>
              <w:t>20 </w:t>
            </w:r>
            <w:r w:rsidRPr="005708F5">
              <w:rPr>
                <w:rFonts w:ascii="Times New Roman" w:eastAsia="Times New Roman" w:hAnsi="Times New Roman"/>
                <w:w w:val="102"/>
              </w:rPr>
              <w:t>kg</w:t>
            </w:r>
          </w:p>
        </w:tc>
        <w:tc>
          <w:tcPr>
            <w:tcW w:w="6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30782" w14:textId="48E88A9C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10 mg naponta egyszer. Szükség esetén a dózis</w:t>
            </w:r>
            <w:r>
              <w:rPr>
                <w:rFonts w:ascii="Times New Roman" w:eastAsia="Times New Roman" w:hAnsi="Times New Roman"/>
              </w:rPr>
              <w:t>t</w:t>
            </w:r>
            <w:r w:rsidRPr="005708F5">
              <w:rPr>
                <w:rFonts w:ascii="Times New Roman" w:eastAsia="Times New Roman" w:hAnsi="Times New Roman"/>
              </w:rPr>
              <w:t xml:space="preserve"> naponta egyszer 20 mg</w:t>
            </w:r>
            <w:r w:rsidR="008C30A0">
              <w:rPr>
                <w:rFonts w:ascii="Times New Roman" w:eastAsia="Times New Roman" w:hAnsi="Times New Roman"/>
              </w:rPr>
              <w:noBreakHyphen/>
            </w:r>
            <w:r w:rsidRPr="005708F5">
              <w:rPr>
                <w:rFonts w:ascii="Times New Roman" w:eastAsia="Times New Roman" w:hAnsi="Times New Roman"/>
              </w:rPr>
              <w:t>ra lehet emelni.</w:t>
            </w:r>
          </w:p>
        </w:tc>
      </w:tr>
      <w:tr w:rsidR="005708F5" w:rsidRPr="005708F5" w14:paraId="7F03DAB6" w14:textId="77777777" w:rsidTr="0025487A">
        <w:trPr>
          <w:trHeight w:hRule="exact" w:val="556"/>
        </w:trPr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32886" w14:textId="142C5EFA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≥ 2 éves kor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6874D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&gt; 20 </w:t>
            </w:r>
            <w:r w:rsidRPr="005708F5">
              <w:rPr>
                <w:rFonts w:ascii="Times New Roman" w:eastAsia="Times New Roman" w:hAnsi="Times New Roman"/>
                <w:w w:val="102"/>
              </w:rPr>
              <w:t>kg</w:t>
            </w:r>
          </w:p>
        </w:tc>
        <w:tc>
          <w:tcPr>
            <w:tcW w:w="6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18104" w14:textId="222236E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20 mg naponta egyszer. Szükség esetén a dózis</w:t>
            </w:r>
            <w:r>
              <w:rPr>
                <w:rFonts w:ascii="Times New Roman" w:eastAsia="Times New Roman" w:hAnsi="Times New Roman"/>
              </w:rPr>
              <w:t>t</w:t>
            </w:r>
            <w:r w:rsidRPr="005708F5">
              <w:rPr>
                <w:rFonts w:ascii="Times New Roman" w:eastAsia="Times New Roman" w:hAnsi="Times New Roman"/>
              </w:rPr>
              <w:t xml:space="preserve"> naponta egyszer 40 mg</w:t>
            </w:r>
            <w:r w:rsidR="008C30A0">
              <w:rPr>
                <w:rFonts w:ascii="Times New Roman" w:eastAsia="Times New Roman" w:hAnsi="Times New Roman"/>
              </w:rPr>
              <w:noBreakHyphen/>
            </w:r>
            <w:r w:rsidRPr="005708F5">
              <w:rPr>
                <w:rFonts w:ascii="Times New Roman" w:eastAsia="Times New Roman" w:hAnsi="Times New Roman"/>
              </w:rPr>
              <w:t>ra lehet emelni.</w:t>
            </w:r>
          </w:p>
          <w:p w14:paraId="3D0F73F5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rPr>
                <w:rFonts w:ascii="Times New Roman" w:eastAsia="Times New Roman" w:hAnsi="Times New Roman"/>
              </w:rPr>
            </w:pPr>
          </w:p>
          <w:p w14:paraId="14E0615D" w14:textId="77777777" w:rsidR="005708F5" w:rsidRPr="005708F5" w:rsidRDefault="005708F5" w:rsidP="005708F5">
            <w:pPr>
              <w:tabs>
                <w:tab w:val="left" w:pos="567"/>
                <w:tab w:val="left" w:pos="2115"/>
              </w:tabs>
              <w:spacing w:after="0" w:line="260" w:lineRule="exact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ab/>
            </w:r>
          </w:p>
        </w:tc>
      </w:tr>
    </w:tbl>
    <w:p w14:paraId="74061436" w14:textId="77777777" w:rsidR="005708F5" w:rsidRDefault="005708F5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E04982C" w14:textId="77777777" w:rsidR="005708F5" w:rsidRPr="005708F5" w:rsidRDefault="005708F5" w:rsidP="005708F5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5708F5">
        <w:rPr>
          <w:rFonts w:ascii="Times New Roman" w:eastAsia="Times New Roman" w:hAnsi="Times New Roman"/>
          <w:iCs/>
        </w:rPr>
        <w:t xml:space="preserve">1 évesnél fiatalabb és </w:t>
      </w:r>
      <w:r w:rsidRPr="005708F5">
        <w:rPr>
          <w:rFonts w:ascii="Times New Roman" w:eastAsia="Times New Roman" w:hAnsi="Times New Roman"/>
        </w:rPr>
        <w:t>≤ 10 kg testtömegű gyermekek esetén a javasolt adagolás a következő:</w:t>
      </w:r>
    </w:p>
    <w:p w14:paraId="3A979496" w14:textId="77777777" w:rsidR="005708F5" w:rsidRDefault="005708F5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5"/>
        <w:gridCol w:w="2528"/>
        <w:gridCol w:w="4962"/>
      </w:tblGrid>
      <w:tr w:rsidR="005708F5" w:rsidRPr="005708F5" w14:paraId="06FB22E1" w14:textId="77777777" w:rsidTr="00AE7C84">
        <w:trPr>
          <w:tblHeader/>
        </w:trPr>
        <w:tc>
          <w:tcPr>
            <w:tcW w:w="114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8693B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lastRenderedPageBreak/>
              <w:t>Testtömeg kg-ban</w:t>
            </w:r>
          </w:p>
        </w:tc>
        <w:tc>
          <w:tcPr>
            <w:tcW w:w="252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9F105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Az omeprazol javasolt mennyisége</w:t>
            </w:r>
          </w:p>
        </w:tc>
        <w:tc>
          <w:tcPr>
            <w:tcW w:w="49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03EEF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A belsőleges oldat dózisa 1 ml-ben*</w:t>
            </w:r>
          </w:p>
        </w:tc>
      </w:tr>
      <w:tr w:rsidR="005708F5" w:rsidRPr="005708F5" w14:paraId="7AA38376" w14:textId="77777777" w:rsidTr="0025487A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75D339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</w:p>
        </w:tc>
        <w:tc>
          <w:tcPr>
            <w:tcW w:w="252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352878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5E59AF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Lappoxo 10 mg/15 ml</w:t>
            </w:r>
          </w:p>
        </w:tc>
      </w:tr>
      <w:tr w:rsidR="005708F5" w:rsidRPr="005708F5" w14:paraId="78183134" w14:textId="77777777" w:rsidTr="005708F5">
        <w:tc>
          <w:tcPr>
            <w:tcW w:w="11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F72D7E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3 kg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991CB5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3 mg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EF0ED1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4,5 ml</w:t>
            </w:r>
          </w:p>
        </w:tc>
      </w:tr>
      <w:tr w:rsidR="005708F5" w:rsidRPr="005708F5" w14:paraId="1E84590F" w14:textId="77777777" w:rsidTr="005708F5">
        <w:tc>
          <w:tcPr>
            <w:tcW w:w="11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48A75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4 kg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07A01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4 mg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B5477D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6 ml</w:t>
            </w:r>
          </w:p>
        </w:tc>
      </w:tr>
      <w:tr w:rsidR="005708F5" w:rsidRPr="005708F5" w14:paraId="78CFDF85" w14:textId="77777777" w:rsidTr="005708F5">
        <w:tc>
          <w:tcPr>
            <w:tcW w:w="11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595556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5 kg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2BA99F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5 mg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170962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7,5 ml</w:t>
            </w:r>
          </w:p>
        </w:tc>
      </w:tr>
      <w:tr w:rsidR="005708F5" w:rsidRPr="005708F5" w14:paraId="557DDA2D" w14:textId="77777777" w:rsidTr="005708F5">
        <w:tc>
          <w:tcPr>
            <w:tcW w:w="11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EF94F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6 kg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6F3F9E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6 mg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E843CC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9 ml</w:t>
            </w:r>
          </w:p>
        </w:tc>
      </w:tr>
      <w:tr w:rsidR="005708F5" w:rsidRPr="005708F5" w14:paraId="2C15087A" w14:textId="77777777" w:rsidTr="005708F5">
        <w:tc>
          <w:tcPr>
            <w:tcW w:w="11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27CDDB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7 kg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113EC7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7 mg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20134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10,5 ml</w:t>
            </w:r>
          </w:p>
        </w:tc>
      </w:tr>
      <w:tr w:rsidR="005708F5" w:rsidRPr="005708F5" w14:paraId="0298AC94" w14:textId="77777777" w:rsidTr="005708F5">
        <w:tc>
          <w:tcPr>
            <w:tcW w:w="11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F2E8F7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8 kg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031DC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8 mg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E58E80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12 ml</w:t>
            </w:r>
          </w:p>
        </w:tc>
      </w:tr>
      <w:tr w:rsidR="005708F5" w:rsidRPr="005708F5" w14:paraId="37213556" w14:textId="77777777" w:rsidTr="005708F5">
        <w:tc>
          <w:tcPr>
            <w:tcW w:w="11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168C8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9 kg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BD9148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9 mg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B52B9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13,5 ml</w:t>
            </w:r>
          </w:p>
        </w:tc>
      </w:tr>
      <w:tr w:rsidR="005708F5" w:rsidRPr="005708F5" w14:paraId="1D8337EE" w14:textId="77777777" w:rsidTr="005708F5">
        <w:tc>
          <w:tcPr>
            <w:tcW w:w="11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07EB94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10 kg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E53D3F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10 mg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6B615E" w14:textId="77777777" w:rsidR="005708F5" w:rsidRPr="005708F5" w:rsidRDefault="005708F5" w:rsidP="005708F5">
            <w:pPr>
              <w:tabs>
                <w:tab w:val="left" w:pos="567"/>
              </w:tabs>
              <w:spacing w:after="0" w:line="260" w:lineRule="exact"/>
              <w:ind w:right="-20"/>
              <w:rPr>
                <w:rFonts w:ascii="Times New Roman" w:eastAsia="Times New Roman" w:hAnsi="Times New Roman"/>
              </w:rPr>
            </w:pPr>
            <w:r w:rsidRPr="005708F5">
              <w:rPr>
                <w:rFonts w:ascii="Times New Roman" w:eastAsia="Times New Roman" w:hAnsi="Times New Roman"/>
              </w:rPr>
              <w:t>15 ml</w:t>
            </w:r>
          </w:p>
        </w:tc>
      </w:tr>
    </w:tbl>
    <w:p w14:paraId="5E5C6223" w14:textId="4C19F33F" w:rsidR="005708F5" w:rsidRPr="005708F5" w:rsidRDefault="005708F5" w:rsidP="005708F5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iCs/>
        </w:rPr>
      </w:pPr>
      <w:r w:rsidRPr="005708F5">
        <w:rPr>
          <w:rFonts w:ascii="Times New Roman" w:eastAsia="Times New Roman" w:hAnsi="Times New Roman"/>
          <w:iCs/>
        </w:rPr>
        <w:t>* A belsőleges oldat alkalmazás előtti elkészítésére vonatkozó információkat lásd az alábbi</w:t>
      </w:r>
      <w:r w:rsidR="00E8536D">
        <w:rPr>
          <w:rFonts w:ascii="Times New Roman" w:eastAsia="Times New Roman" w:hAnsi="Times New Roman"/>
          <w:iCs/>
        </w:rPr>
        <w:t xml:space="preserve">: </w:t>
      </w:r>
      <w:r w:rsidRPr="005708F5">
        <w:rPr>
          <w:rFonts w:ascii="Times New Roman" w:eastAsia="Times New Roman" w:hAnsi="Times New Roman"/>
          <w:iCs/>
        </w:rPr>
        <w:t>Az alkalmazás módja című alpontban és a 6.6 pontban.</w:t>
      </w:r>
    </w:p>
    <w:p w14:paraId="4B124BD5" w14:textId="77777777" w:rsidR="006E75DA" w:rsidRPr="00A36050" w:rsidRDefault="006E75DA" w:rsidP="00E04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</w:p>
    <w:p w14:paraId="17F4014C" w14:textId="77777777" w:rsidR="001C0BD1" w:rsidRPr="00A36050" w:rsidRDefault="001C0BD1" w:rsidP="00E04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  <w:i/>
          <w:iCs/>
        </w:rPr>
        <w:t>Reflux oesophagitis:</w:t>
      </w:r>
      <w:r w:rsidRPr="00A36050">
        <w:rPr>
          <w:rFonts w:ascii="Times New Roman" w:hAnsi="Times New Roman"/>
          <w:i/>
        </w:rPr>
        <w:t xml:space="preserve"> </w:t>
      </w:r>
      <w:r w:rsidRPr="00A36050">
        <w:rPr>
          <w:rFonts w:ascii="Times New Roman" w:hAnsi="Times New Roman"/>
        </w:rPr>
        <w:t>A kezelés időtartama 4</w:t>
      </w:r>
      <w:r w:rsidR="004F485B" w:rsidRPr="00A3605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8</w:t>
      </w:r>
      <w:r w:rsidR="009F5578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hét.</w:t>
      </w:r>
    </w:p>
    <w:p w14:paraId="06E28F10" w14:textId="77777777" w:rsidR="003C2298" w:rsidRPr="00A36050" w:rsidRDefault="003C2298" w:rsidP="00E04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</w:rPr>
      </w:pPr>
    </w:p>
    <w:p w14:paraId="3C97131B" w14:textId="77777777" w:rsidR="001C0BD1" w:rsidRPr="00A36050" w:rsidRDefault="001C0BD1" w:rsidP="00E04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</w:rPr>
        <w:t>Gastro-oesophagealis reflux</w:t>
      </w:r>
      <w:r w:rsidRPr="00A36050">
        <w:rPr>
          <w:rFonts w:ascii="Times New Roman" w:hAnsi="Times New Roman"/>
          <w:i/>
          <w:iCs/>
        </w:rPr>
        <w:t>betegségben a gyomorégés, valamint a gyomorsav</w:t>
      </w:r>
      <w:r w:rsidR="009F5578" w:rsidRPr="00A36050">
        <w:rPr>
          <w:rFonts w:ascii="Times New Roman" w:hAnsi="Times New Roman"/>
          <w:i/>
          <w:iCs/>
        </w:rPr>
        <w:t>-</w:t>
      </w:r>
      <w:r w:rsidRPr="00A36050">
        <w:rPr>
          <w:rFonts w:ascii="Times New Roman" w:hAnsi="Times New Roman"/>
          <w:i/>
          <w:iCs/>
        </w:rPr>
        <w:t>regurgitatio</w:t>
      </w:r>
      <w:r w:rsidRPr="00A36050">
        <w:rPr>
          <w:rFonts w:ascii="Times New Roman" w:hAnsi="Times New Roman"/>
          <w:i/>
        </w:rPr>
        <w:t xml:space="preserve"> tüneti</w:t>
      </w:r>
      <w:r w:rsidR="00065947" w:rsidRPr="00A36050">
        <w:rPr>
          <w:rFonts w:ascii="Times New Roman" w:hAnsi="Times New Roman"/>
          <w:i/>
          <w:iCs/>
        </w:rPr>
        <w:t xml:space="preserve"> </w:t>
      </w:r>
      <w:r w:rsidRPr="00A36050">
        <w:rPr>
          <w:rFonts w:ascii="Times New Roman" w:hAnsi="Times New Roman"/>
          <w:i/>
          <w:iCs/>
        </w:rPr>
        <w:t>kezelése:</w:t>
      </w:r>
    </w:p>
    <w:p w14:paraId="0AC4D8CA" w14:textId="77777777" w:rsidR="001C0BD1" w:rsidRPr="00A36050" w:rsidRDefault="001C0BD1" w:rsidP="00E04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 kezelés időtartama 2</w:t>
      </w:r>
      <w:r w:rsidR="004F485B" w:rsidRPr="00A3605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4</w:t>
      </w:r>
      <w:r w:rsidR="009F5578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hét. Amennyiben 2</w:t>
      </w:r>
      <w:r w:rsidR="004F485B" w:rsidRPr="00A3605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4</w:t>
      </w:r>
      <w:r w:rsidR="009F5578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hét után nem sikerül tünetmentességet elérni, a beteg</w:t>
      </w:r>
      <w:r w:rsidR="00065947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további kivizsgálása szükséges.</w:t>
      </w:r>
    </w:p>
    <w:p w14:paraId="3CBD7907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</w:p>
    <w:p w14:paraId="4BD8CB7F" w14:textId="77777777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u w:val="single"/>
        </w:rPr>
      </w:pPr>
      <w:r w:rsidRPr="00A36050">
        <w:rPr>
          <w:rFonts w:ascii="Times New Roman" w:hAnsi="Times New Roman"/>
          <w:i/>
          <w:iCs/>
          <w:u w:val="single"/>
        </w:rPr>
        <w:t>4</w:t>
      </w:r>
      <w:r w:rsidR="009F5578" w:rsidRPr="00A36050">
        <w:rPr>
          <w:rFonts w:ascii="Times New Roman" w:hAnsi="Times New Roman"/>
          <w:i/>
          <w:iCs/>
          <w:u w:val="single"/>
        </w:rPr>
        <w:t> </w:t>
      </w:r>
      <w:r w:rsidRPr="00A36050">
        <w:rPr>
          <w:rFonts w:ascii="Times New Roman" w:hAnsi="Times New Roman"/>
          <w:i/>
          <w:iCs/>
          <w:u w:val="single"/>
        </w:rPr>
        <w:t>éves</w:t>
      </w:r>
      <w:r w:rsidR="00CA2C94" w:rsidRPr="00A36050">
        <w:rPr>
          <w:rFonts w:ascii="Times New Roman" w:hAnsi="Times New Roman"/>
          <w:i/>
          <w:iCs/>
          <w:u w:val="single"/>
        </w:rPr>
        <w:t>nél idősebb</w:t>
      </w:r>
      <w:r w:rsidRPr="00A36050">
        <w:rPr>
          <w:rFonts w:ascii="Times New Roman" w:hAnsi="Times New Roman"/>
          <w:i/>
          <w:iCs/>
          <w:u w:val="single"/>
        </w:rPr>
        <w:t xml:space="preserve"> gyermekek és </w:t>
      </w:r>
      <w:r w:rsidR="00E24167" w:rsidRPr="00A36050">
        <w:rPr>
          <w:rFonts w:ascii="Times New Roman" w:hAnsi="Times New Roman"/>
          <w:i/>
          <w:iCs/>
          <w:u w:val="single"/>
        </w:rPr>
        <w:t>serdülők</w:t>
      </w:r>
    </w:p>
    <w:p w14:paraId="5703ABB0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>H</w:t>
      </w:r>
      <w:r w:rsidR="001A24C3" w:rsidRPr="00A36050">
        <w:rPr>
          <w:rFonts w:ascii="Times New Roman" w:hAnsi="Times New Roman"/>
          <w:i/>
          <w:iCs/>
        </w:rPr>
        <w:t>elicobacter</w:t>
      </w:r>
      <w:r w:rsidRPr="00A36050">
        <w:rPr>
          <w:rFonts w:ascii="Times New Roman" w:hAnsi="Times New Roman"/>
          <w:i/>
          <w:iCs/>
        </w:rPr>
        <w:t xml:space="preserve"> pylori fertőzés okozta ulcus duodeni kezelése</w:t>
      </w:r>
      <w:r w:rsidR="001A24C3" w:rsidRPr="00A36050">
        <w:rPr>
          <w:rFonts w:ascii="Times New Roman" w:hAnsi="Times New Roman"/>
          <w:i/>
          <w:iCs/>
        </w:rPr>
        <w:t xml:space="preserve"> </w:t>
      </w:r>
    </w:p>
    <w:p w14:paraId="42DE7600" w14:textId="77777777" w:rsidR="001C0BD1" w:rsidRPr="00E04C6B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 megfelelő kombinációs terápia kiválasztásakor figyelembe kell venni a bakteriális rezisztenciára, a</w:t>
      </w:r>
      <w:r w:rsidR="00065947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terápia időtartamára (leggyakrabban 7</w:t>
      </w:r>
      <w:r w:rsidR="009F5578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nap, de néha 14</w:t>
      </w:r>
      <w:r w:rsidR="009F5578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nap) és az antibakteriális szerek megfelelő</w:t>
      </w:r>
      <w:r w:rsidR="00065947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alkalmazására vonatkozó hivatalos </w:t>
      </w:r>
      <w:r w:rsidR="000F1727" w:rsidRPr="00A36050">
        <w:rPr>
          <w:rFonts w:ascii="Times New Roman" w:hAnsi="Times New Roman"/>
        </w:rPr>
        <w:t>nemzeti, regionális és</w:t>
      </w:r>
      <w:r w:rsidR="000F1727" w:rsidRPr="00A36050">
        <w:t xml:space="preserve"> </w:t>
      </w:r>
      <w:r w:rsidRPr="00E04C6B">
        <w:rPr>
          <w:rFonts w:ascii="Times New Roman" w:hAnsi="Times New Roman"/>
        </w:rPr>
        <w:t>helyi irányelveket.</w:t>
      </w:r>
    </w:p>
    <w:p w14:paraId="6B61A987" w14:textId="77777777" w:rsidR="00DD1FD3" w:rsidRPr="00E04C6B" w:rsidRDefault="00DD1FD3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CB17D7B" w14:textId="77777777" w:rsidR="001C0BD1" w:rsidRPr="00E04C6B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E04C6B">
        <w:rPr>
          <w:rFonts w:ascii="Times New Roman" w:hAnsi="Times New Roman"/>
        </w:rPr>
        <w:t>A kezelés szakorvos felügyelete alatt történjen</w:t>
      </w:r>
      <w:r w:rsidR="00166D18" w:rsidRPr="00E04C6B">
        <w:rPr>
          <w:rFonts w:ascii="Times New Roman" w:hAnsi="Times New Roman"/>
        </w:rPr>
        <w:t>!</w:t>
      </w:r>
    </w:p>
    <w:p w14:paraId="60279EA4" w14:textId="77777777" w:rsidR="000C3142" w:rsidRPr="00E04C6B" w:rsidRDefault="000C314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AFDD3F0" w14:textId="77777777" w:rsidR="0049588B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Az adagolási javaslat a következő: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5"/>
        <w:gridCol w:w="7807"/>
      </w:tblGrid>
      <w:tr w:rsidR="000C3142" w:rsidRPr="00A36050" w14:paraId="169805FC" w14:textId="77777777" w:rsidTr="00A36050">
        <w:tc>
          <w:tcPr>
            <w:tcW w:w="1134" w:type="dxa"/>
          </w:tcPr>
          <w:p w14:paraId="26B8A0A4" w14:textId="77777777" w:rsidR="000C3142" w:rsidRPr="00A36050" w:rsidRDefault="000B1A97" w:rsidP="00A3605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napToGrid w:val="0"/>
              </w:rPr>
            </w:pPr>
            <w:r w:rsidRPr="00A36050">
              <w:rPr>
                <w:rFonts w:ascii="Times New Roman" w:eastAsia="Times New Roman" w:hAnsi="Times New Roman"/>
                <w:snapToGrid w:val="0"/>
              </w:rPr>
              <w:t>Testtömeg</w:t>
            </w:r>
          </w:p>
        </w:tc>
        <w:tc>
          <w:tcPr>
            <w:tcW w:w="8006" w:type="dxa"/>
          </w:tcPr>
          <w:p w14:paraId="13F77033" w14:textId="77777777" w:rsidR="000C3142" w:rsidRPr="00A36050" w:rsidRDefault="000C3142" w:rsidP="00A3605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napToGrid w:val="0"/>
              </w:rPr>
            </w:pPr>
            <w:r w:rsidRPr="00A36050">
              <w:rPr>
                <w:rFonts w:ascii="Times New Roman" w:eastAsia="Times New Roman" w:hAnsi="Times New Roman"/>
                <w:snapToGrid w:val="0"/>
              </w:rPr>
              <w:t>Adagolás</w:t>
            </w:r>
          </w:p>
        </w:tc>
      </w:tr>
      <w:tr w:rsidR="000C3142" w:rsidRPr="00A36050" w14:paraId="2354878E" w14:textId="77777777" w:rsidTr="00A36050">
        <w:tc>
          <w:tcPr>
            <w:tcW w:w="1134" w:type="dxa"/>
          </w:tcPr>
          <w:p w14:paraId="612A4386" w14:textId="77777777" w:rsidR="000C3142" w:rsidRPr="00A36050" w:rsidRDefault="000C3142" w:rsidP="00E04C6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napToGrid w:val="0"/>
              </w:rPr>
            </w:pPr>
            <w:r w:rsidRPr="00A36050">
              <w:rPr>
                <w:rFonts w:ascii="Times New Roman" w:eastAsia="Times New Roman" w:hAnsi="Times New Roman"/>
                <w:snapToGrid w:val="0"/>
              </w:rPr>
              <w:t>15</w:t>
            </w:r>
            <w:r w:rsidR="004F485B" w:rsidRPr="00A36050">
              <w:rPr>
                <w:rFonts w:ascii="Times New Roman" w:eastAsia="Times New Roman" w:hAnsi="Times New Roman"/>
                <w:snapToGrid w:val="0"/>
              </w:rPr>
              <w:noBreakHyphen/>
            </w:r>
            <w:r w:rsidRPr="00A36050">
              <w:rPr>
                <w:rFonts w:ascii="Times New Roman" w:eastAsia="Times New Roman" w:hAnsi="Times New Roman"/>
                <w:snapToGrid w:val="0"/>
              </w:rPr>
              <w:t>30</w:t>
            </w:r>
            <w:r w:rsidR="00166D18" w:rsidRPr="00A36050">
              <w:rPr>
                <w:rFonts w:ascii="Times New Roman" w:eastAsia="Times New Roman" w:hAnsi="Times New Roman"/>
                <w:snapToGrid w:val="0"/>
              </w:rPr>
              <w:t> </w:t>
            </w:r>
            <w:r w:rsidRPr="00A36050">
              <w:rPr>
                <w:rFonts w:ascii="Times New Roman" w:eastAsia="Times New Roman" w:hAnsi="Times New Roman"/>
                <w:snapToGrid w:val="0"/>
              </w:rPr>
              <w:t>kg</w:t>
            </w:r>
          </w:p>
        </w:tc>
        <w:tc>
          <w:tcPr>
            <w:tcW w:w="8006" w:type="dxa"/>
          </w:tcPr>
          <w:p w14:paraId="2D6D679D" w14:textId="79525821" w:rsidR="000C3142" w:rsidRPr="00A36050" w:rsidRDefault="000C3142" w:rsidP="00E04C6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napToGrid w:val="0"/>
              </w:rPr>
            </w:pPr>
            <w:r w:rsidRPr="00A36050">
              <w:rPr>
                <w:rFonts w:ascii="Times New Roman" w:eastAsia="Times New Roman" w:hAnsi="Times New Roman"/>
                <w:snapToGrid w:val="0"/>
              </w:rPr>
              <w:t>Két antibiotikummal kombinálva: 10</w:t>
            </w:r>
            <w:r w:rsidR="00166D18" w:rsidRPr="00A36050">
              <w:rPr>
                <w:rFonts w:ascii="Times New Roman" w:eastAsia="Times New Roman" w:hAnsi="Times New Roman"/>
                <w:snapToGrid w:val="0"/>
              </w:rPr>
              <w:t> </w:t>
            </w:r>
            <w:r w:rsidRPr="00A36050">
              <w:rPr>
                <w:rFonts w:ascii="Times New Roman" w:eastAsia="Times New Roman" w:hAnsi="Times New Roman"/>
                <w:snapToGrid w:val="0"/>
              </w:rPr>
              <w:t xml:space="preserve">mg </w:t>
            </w:r>
            <w:r w:rsidR="005708F5" w:rsidRPr="005708F5">
              <w:rPr>
                <w:rFonts w:ascii="Times New Roman" w:eastAsia="Times New Roman" w:hAnsi="Times New Roman"/>
                <w:snapToGrid w:val="0"/>
              </w:rPr>
              <w:t>omeprazol</w:t>
            </w:r>
            <w:r w:rsidRPr="00A36050">
              <w:rPr>
                <w:rFonts w:ascii="Times New Roman" w:eastAsia="Times New Roman" w:hAnsi="Times New Roman"/>
                <w:snapToGrid w:val="0"/>
              </w:rPr>
              <w:t>, 25</w:t>
            </w:r>
            <w:r w:rsidR="00166D18" w:rsidRPr="00A36050">
              <w:rPr>
                <w:rFonts w:ascii="Times New Roman" w:eastAsia="Times New Roman" w:hAnsi="Times New Roman"/>
                <w:snapToGrid w:val="0"/>
              </w:rPr>
              <w:t> </w:t>
            </w:r>
            <w:r w:rsidRPr="00A36050">
              <w:rPr>
                <w:rFonts w:ascii="Times New Roman" w:eastAsia="Times New Roman" w:hAnsi="Times New Roman"/>
                <w:snapToGrid w:val="0"/>
              </w:rPr>
              <w:t>mg/ttkg amoxicillin, és</w:t>
            </w:r>
          </w:p>
          <w:p w14:paraId="592CB625" w14:textId="77777777" w:rsidR="000C3142" w:rsidRPr="00A36050" w:rsidRDefault="000C3142" w:rsidP="00E04C6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napToGrid w:val="0"/>
              </w:rPr>
            </w:pPr>
            <w:r w:rsidRPr="00A36050">
              <w:rPr>
                <w:rFonts w:ascii="Times New Roman" w:eastAsia="Times New Roman" w:hAnsi="Times New Roman"/>
                <w:snapToGrid w:val="0"/>
              </w:rPr>
              <w:t>7,5</w:t>
            </w:r>
            <w:r w:rsidR="00166D18" w:rsidRPr="00A36050">
              <w:rPr>
                <w:rFonts w:ascii="Times New Roman" w:eastAsia="Times New Roman" w:hAnsi="Times New Roman"/>
                <w:snapToGrid w:val="0"/>
              </w:rPr>
              <w:t> </w:t>
            </w:r>
            <w:r w:rsidRPr="00A36050">
              <w:rPr>
                <w:rFonts w:ascii="Times New Roman" w:eastAsia="Times New Roman" w:hAnsi="Times New Roman"/>
                <w:snapToGrid w:val="0"/>
              </w:rPr>
              <w:t>mg/</w:t>
            </w:r>
            <w:r w:rsidR="000B1A97" w:rsidRPr="00A36050">
              <w:rPr>
                <w:rFonts w:ascii="Times New Roman" w:eastAsia="Times New Roman" w:hAnsi="Times New Roman"/>
                <w:snapToGrid w:val="0"/>
              </w:rPr>
              <w:t>ttkg</w:t>
            </w:r>
            <w:r w:rsidRPr="00A36050">
              <w:rPr>
                <w:rFonts w:ascii="Times New Roman" w:eastAsia="Times New Roman" w:hAnsi="Times New Roman"/>
                <w:snapToGrid w:val="0"/>
              </w:rPr>
              <w:t xml:space="preserve"> klaritromicin együtt adva, napi kétszer</w:t>
            </w:r>
            <w:r w:rsidR="00166D18" w:rsidRPr="00A36050">
              <w:rPr>
                <w:rFonts w:ascii="Times New Roman" w:eastAsia="Times New Roman" w:hAnsi="Times New Roman"/>
                <w:snapToGrid w:val="0"/>
              </w:rPr>
              <w:t>,</w:t>
            </w:r>
            <w:r w:rsidRPr="00A36050">
              <w:rPr>
                <w:rFonts w:ascii="Times New Roman" w:eastAsia="Times New Roman" w:hAnsi="Times New Roman"/>
                <w:snapToGrid w:val="0"/>
              </w:rPr>
              <w:t xml:space="preserve"> egy héten keresztül</w:t>
            </w:r>
          </w:p>
        </w:tc>
      </w:tr>
      <w:tr w:rsidR="000C3142" w:rsidRPr="00A36050" w14:paraId="3FFB2841" w14:textId="77777777" w:rsidTr="00A36050">
        <w:tc>
          <w:tcPr>
            <w:tcW w:w="1134" w:type="dxa"/>
          </w:tcPr>
          <w:p w14:paraId="7CE10B74" w14:textId="77777777" w:rsidR="000C3142" w:rsidRPr="00A36050" w:rsidRDefault="000C3142" w:rsidP="00E04C6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napToGrid w:val="0"/>
              </w:rPr>
            </w:pPr>
            <w:r w:rsidRPr="00A36050">
              <w:rPr>
                <w:rFonts w:ascii="Times New Roman" w:eastAsia="Times New Roman" w:hAnsi="Times New Roman"/>
                <w:snapToGrid w:val="0"/>
              </w:rPr>
              <w:t>3</w:t>
            </w:r>
            <w:r w:rsidR="006E75DA" w:rsidRPr="00A36050">
              <w:rPr>
                <w:rFonts w:ascii="Times New Roman" w:eastAsia="Times New Roman" w:hAnsi="Times New Roman"/>
                <w:snapToGrid w:val="0"/>
              </w:rPr>
              <w:t>1</w:t>
            </w:r>
            <w:r w:rsidR="004F485B" w:rsidRPr="00A36050">
              <w:rPr>
                <w:rFonts w:ascii="Times New Roman" w:eastAsia="Times New Roman" w:hAnsi="Times New Roman"/>
                <w:snapToGrid w:val="0"/>
              </w:rPr>
              <w:noBreakHyphen/>
            </w:r>
            <w:r w:rsidRPr="00A36050">
              <w:rPr>
                <w:rFonts w:ascii="Times New Roman" w:eastAsia="Times New Roman" w:hAnsi="Times New Roman"/>
                <w:snapToGrid w:val="0"/>
              </w:rPr>
              <w:t>40</w:t>
            </w:r>
            <w:r w:rsidR="00166D18" w:rsidRPr="00A36050">
              <w:rPr>
                <w:rFonts w:ascii="Times New Roman" w:eastAsia="Times New Roman" w:hAnsi="Times New Roman"/>
                <w:snapToGrid w:val="0"/>
              </w:rPr>
              <w:t> </w:t>
            </w:r>
            <w:r w:rsidRPr="00A36050">
              <w:rPr>
                <w:rFonts w:ascii="Times New Roman" w:eastAsia="Times New Roman" w:hAnsi="Times New Roman"/>
                <w:snapToGrid w:val="0"/>
              </w:rPr>
              <w:t>kg</w:t>
            </w:r>
          </w:p>
        </w:tc>
        <w:tc>
          <w:tcPr>
            <w:tcW w:w="8006" w:type="dxa"/>
          </w:tcPr>
          <w:p w14:paraId="60815C2C" w14:textId="670BD2E3" w:rsidR="000C3142" w:rsidRPr="00A36050" w:rsidRDefault="000C3142" w:rsidP="00E04C6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napToGrid w:val="0"/>
              </w:rPr>
            </w:pPr>
            <w:r w:rsidRPr="00A36050">
              <w:rPr>
                <w:rFonts w:ascii="Times New Roman" w:eastAsia="Times New Roman" w:hAnsi="Times New Roman"/>
                <w:snapToGrid w:val="0"/>
              </w:rPr>
              <w:t>Két antibiotikummal kombinálva: 20</w:t>
            </w:r>
            <w:r w:rsidR="00166D18" w:rsidRPr="00A36050">
              <w:rPr>
                <w:rFonts w:ascii="Times New Roman" w:eastAsia="Times New Roman" w:hAnsi="Times New Roman"/>
                <w:snapToGrid w:val="0"/>
              </w:rPr>
              <w:t> </w:t>
            </w:r>
            <w:r w:rsidRPr="00A36050">
              <w:rPr>
                <w:rFonts w:ascii="Times New Roman" w:eastAsia="Times New Roman" w:hAnsi="Times New Roman"/>
                <w:snapToGrid w:val="0"/>
              </w:rPr>
              <w:t xml:space="preserve">mg </w:t>
            </w:r>
            <w:r w:rsidR="005708F5" w:rsidRPr="005708F5">
              <w:rPr>
                <w:rFonts w:ascii="Times New Roman" w:eastAsia="Times New Roman" w:hAnsi="Times New Roman"/>
                <w:snapToGrid w:val="0"/>
              </w:rPr>
              <w:t>omeprazol</w:t>
            </w:r>
            <w:r w:rsidRPr="00A36050">
              <w:rPr>
                <w:rFonts w:ascii="Times New Roman" w:eastAsia="Times New Roman" w:hAnsi="Times New Roman"/>
                <w:snapToGrid w:val="0"/>
              </w:rPr>
              <w:t>, 750</w:t>
            </w:r>
            <w:r w:rsidR="00166D18" w:rsidRPr="00A36050">
              <w:rPr>
                <w:rFonts w:ascii="Times New Roman" w:eastAsia="Times New Roman" w:hAnsi="Times New Roman"/>
                <w:snapToGrid w:val="0"/>
              </w:rPr>
              <w:t> </w:t>
            </w:r>
            <w:r w:rsidRPr="00A36050">
              <w:rPr>
                <w:rFonts w:ascii="Times New Roman" w:eastAsia="Times New Roman" w:hAnsi="Times New Roman"/>
                <w:snapToGrid w:val="0"/>
              </w:rPr>
              <w:t>mg amoxicillin, és</w:t>
            </w:r>
          </w:p>
          <w:p w14:paraId="5DB9E7B6" w14:textId="77777777" w:rsidR="000C3142" w:rsidRPr="00A36050" w:rsidRDefault="000C3142" w:rsidP="00E04C6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napToGrid w:val="0"/>
              </w:rPr>
            </w:pPr>
            <w:r w:rsidRPr="00A36050">
              <w:rPr>
                <w:rFonts w:ascii="Times New Roman" w:eastAsia="Times New Roman" w:hAnsi="Times New Roman"/>
                <w:snapToGrid w:val="0"/>
              </w:rPr>
              <w:t>7,5</w:t>
            </w:r>
            <w:r w:rsidR="00166D18" w:rsidRPr="00A36050">
              <w:rPr>
                <w:rFonts w:ascii="Times New Roman" w:eastAsia="Times New Roman" w:hAnsi="Times New Roman"/>
                <w:snapToGrid w:val="0"/>
              </w:rPr>
              <w:t> </w:t>
            </w:r>
            <w:r w:rsidRPr="00A36050">
              <w:rPr>
                <w:rFonts w:ascii="Times New Roman" w:eastAsia="Times New Roman" w:hAnsi="Times New Roman"/>
                <w:snapToGrid w:val="0"/>
              </w:rPr>
              <w:t>mg/ttkg klaritromicin együtt adva, napi kétszer</w:t>
            </w:r>
            <w:r w:rsidR="00166D18" w:rsidRPr="00A36050">
              <w:rPr>
                <w:rFonts w:ascii="Times New Roman" w:eastAsia="Times New Roman" w:hAnsi="Times New Roman"/>
                <w:snapToGrid w:val="0"/>
              </w:rPr>
              <w:t>,</w:t>
            </w:r>
            <w:r w:rsidRPr="00A36050">
              <w:rPr>
                <w:rFonts w:ascii="Times New Roman" w:eastAsia="Times New Roman" w:hAnsi="Times New Roman"/>
                <w:snapToGrid w:val="0"/>
              </w:rPr>
              <w:t xml:space="preserve"> egy héten keresztül</w:t>
            </w:r>
          </w:p>
        </w:tc>
      </w:tr>
      <w:tr w:rsidR="000C3142" w:rsidRPr="00A36050" w14:paraId="4E79C4FE" w14:textId="77777777" w:rsidTr="00A36050">
        <w:tc>
          <w:tcPr>
            <w:tcW w:w="1134" w:type="dxa"/>
          </w:tcPr>
          <w:p w14:paraId="2144181D" w14:textId="77777777" w:rsidR="000C3142" w:rsidRPr="00A36050" w:rsidRDefault="000C3142" w:rsidP="00E04C6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napToGrid w:val="0"/>
              </w:rPr>
            </w:pPr>
            <w:r w:rsidRPr="00A36050">
              <w:rPr>
                <w:rFonts w:ascii="Times New Roman" w:eastAsia="Times New Roman" w:hAnsi="Times New Roman"/>
                <w:snapToGrid w:val="0"/>
              </w:rPr>
              <w:t>&gt;</w:t>
            </w:r>
            <w:smartTag w:uri="urn:schemas-microsoft-com:office:smarttags" w:element="PlaceType">
              <w:smartTagPr>
                <w:attr w:name="ProductID" w:val="40ﾠkg"/>
              </w:smartTagPr>
              <w:r w:rsidRPr="00A36050">
                <w:rPr>
                  <w:rFonts w:ascii="Times New Roman" w:eastAsia="Times New Roman" w:hAnsi="Times New Roman"/>
                  <w:snapToGrid w:val="0"/>
                </w:rPr>
                <w:t>40</w:t>
              </w:r>
              <w:r w:rsidR="00166D18" w:rsidRPr="00A36050">
                <w:rPr>
                  <w:rFonts w:ascii="Times New Roman" w:eastAsia="Times New Roman" w:hAnsi="Times New Roman"/>
                  <w:snapToGrid w:val="0"/>
                </w:rPr>
                <w:t> </w:t>
              </w:r>
              <w:r w:rsidRPr="00A36050">
                <w:rPr>
                  <w:rFonts w:ascii="Times New Roman" w:eastAsia="Times New Roman" w:hAnsi="Times New Roman"/>
                  <w:snapToGrid w:val="0"/>
                </w:rPr>
                <w:t>kg</w:t>
              </w:r>
            </w:smartTag>
          </w:p>
        </w:tc>
        <w:tc>
          <w:tcPr>
            <w:tcW w:w="8006" w:type="dxa"/>
          </w:tcPr>
          <w:p w14:paraId="4C5DC37C" w14:textId="4BA633B1" w:rsidR="000C3142" w:rsidRPr="00A36050" w:rsidRDefault="000C3142" w:rsidP="00E04C6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napToGrid w:val="0"/>
              </w:rPr>
            </w:pPr>
            <w:r w:rsidRPr="00A36050">
              <w:rPr>
                <w:rFonts w:ascii="Times New Roman" w:eastAsia="Times New Roman" w:hAnsi="Times New Roman"/>
                <w:snapToGrid w:val="0"/>
              </w:rPr>
              <w:t>Két antibiotikummal kombinálva: 20</w:t>
            </w:r>
            <w:r w:rsidR="00166D18" w:rsidRPr="00A36050">
              <w:rPr>
                <w:rFonts w:ascii="Times New Roman" w:eastAsia="Times New Roman" w:hAnsi="Times New Roman"/>
                <w:snapToGrid w:val="0"/>
              </w:rPr>
              <w:t> </w:t>
            </w:r>
            <w:r w:rsidR="00FD0D49" w:rsidRPr="00A36050">
              <w:rPr>
                <w:rFonts w:ascii="Times New Roman" w:eastAsia="Times New Roman" w:hAnsi="Times New Roman"/>
                <w:snapToGrid w:val="0"/>
              </w:rPr>
              <w:t xml:space="preserve">mg </w:t>
            </w:r>
            <w:r w:rsidR="005708F5" w:rsidRPr="005708F5">
              <w:rPr>
                <w:rFonts w:ascii="Times New Roman" w:eastAsia="Times New Roman" w:hAnsi="Times New Roman"/>
                <w:snapToGrid w:val="0"/>
              </w:rPr>
              <w:t>omeprazol</w:t>
            </w:r>
            <w:r w:rsidRPr="00A36050">
              <w:rPr>
                <w:rFonts w:ascii="Times New Roman" w:eastAsia="Times New Roman" w:hAnsi="Times New Roman"/>
                <w:snapToGrid w:val="0"/>
              </w:rPr>
              <w:t>, 1</w:t>
            </w:r>
            <w:r w:rsidR="00166D18" w:rsidRPr="00A36050">
              <w:rPr>
                <w:rFonts w:ascii="Times New Roman" w:eastAsia="Times New Roman" w:hAnsi="Times New Roman"/>
                <w:snapToGrid w:val="0"/>
              </w:rPr>
              <w:t> </w:t>
            </w:r>
            <w:r w:rsidRPr="00A36050">
              <w:rPr>
                <w:rFonts w:ascii="Times New Roman" w:eastAsia="Times New Roman" w:hAnsi="Times New Roman"/>
                <w:snapToGrid w:val="0"/>
              </w:rPr>
              <w:t>g amoxicillin, és 500</w:t>
            </w:r>
            <w:r w:rsidR="00166D18" w:rsidRPr="00A36050">
              <w:rPr>
                <w:rFonts w:ascii="Times New Roman" w:eastAsia="Times New Roman" w:hAnsi="Times New Roman"/>
                <w:snapToGrid w:val="0"/>
              </w:rPr>
              <w:t> </w:t>
            </w:r>
            <w:r w:rsidRPr="00A36050">
              <w:rPr>
                <w:rFonts w:ascii="Times New Roman" w:eastAsia="Times New Roman" w:hAnsi="Times New Roman"/>
                <w:snapToGrid w:val="0"/>
              </w:rPr>
              <w:t>mg</w:t>
            </w:r>
          </w:p>
          <w:p w14:paraId="442159AB" w14:textId="77777777" w:rsidR="000C3142" w:rsidRPr="00A36050" w:rsidRDefault="000C3142" w:rsidP="00E04C6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napToGrid w:val="0"/>
              </w:rPr>
            </w:pPr>
            <w:r w:rsidRPr="00A36050">
              <w:rPr>
                <w:rFonts w:ascii="Times New Roman" w:eastAsia="Times New Roman" w:hAnsi="Times New Roman"/>
                <w:snapToGrid w:val="0"/>
              </w:rPr>
              <w:t>klaritromicin együtt adva, napi kétszer</w:t>
            </w:r>
            <w:r w:rsidR="00166D18" w:rsidRPr="00A36050">
              <w:rPr>
                <w:rFonts w:ascii="Times New Roman" w:eastAsia="Times New Roman" w:hAnsi="Times New Roman"/>
                <w:snapToGrid w:val="0"/>
              </w:rPr>
              <w:t>,</w:t>
            </w:r>
            <w:r w:rsidRPr="00A36050">
              <w:rPr>
                <w:rFonts w:ascii="Times New Roman" w:eastAsia="Times New Roman" w:hAnsi="Times New Roman"/>
                <w:snapToGrid w:val="0"/>
              </w:rPr>
              <w:t xml:space="preserve"> egy héten keresztül</w:t>
            </w:r>
          </w:p>
        </w:tc>
      </w:tr>
    </w:tbl>
    <w:p w14:paraId="3087363E" w14:textId="77777777" w:rsidR="000C3142" w:rsidRPr="00A36050" w:rsidRDefault="000C3142" w:rsidP="00E04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E38A690" w14:textId="77777777" w:rsidR="001C0BD1" w:rsidRPr="00A36050" w:rsidRDefault="00622D3A" w:rsidP="00E04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  <w:u w:val="single"/>
        </w:rPr>
        <w:t>Különleges betegcsoportok</w:t>
      </w:r>
    </w:p>
    <w:p w14:paraId="6E5ACB6F" w14:textId="77777777" w:rsidR="00DD1FD3" w:rsidRPr="00A36050" w:rsidRDefault="00DD1FD3" w:rsidP="00E04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C3B5B75" w14:textId="77777777" w:rsidR="001C0BD1" w:rsidRPr="00A36050" w:rsidRDefault="00CA2C94" w:rsidP="00E04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>Vesekárosodás</w:t>
      </w:r>
    </w:p>
    <w:p w14:paraId="7C307456" w14:textId="4219F65A" w:rsidR="001C0BD1" w:rsidRPr="00A36050" w:rsidRDefault="00CA2C94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Vesekárosodásban szenvedő</w:t>
      </w:r>
      <w:r w:rsidR="001C0BD1" w:rsidRPr="00A36050">
        <w:rPr>
          <w:rFonts w:ascii="Times New Roman" w:hAnsi="Times New Roman"/>
        </w:rPr>
        <w:t xml:space="preserve"> betegeknél a dózis módosítása nem szükséges (lásd 5.2</w:t>
      </w:r>
      <w:r w:rsidR="005708F5">
        <w:rPr>
          <w:rFonts w:ascii="Times New Roman" w:hAnsi="Times New Roman"/>
        </w:rPr>
        <w:t> </w:t>
      </w:r>
      <w:r w:rsidR="001C0BD1" w:rsidRPr="00A36050">
        <w:rPr>
          <w:rFonts w:ascii="Times New Roman" w:hAnsi="Times New Roman"/>
        </w:rPr>
        <w:t>pont).</w:t>
      </w:r>
    </w:p>
    <w:p w14:paraId="69EC0977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</w:p>
    <w:p w14:paraId="1F340EBF" w14:textId="77777777" w:rsidR="001C0BD1" w:rsidRPr="00A36050" w:rsidRDefault="00CA2C94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>Májkárosodás</w:t>
      </w:r>
    </w:p>
    <w:p w14:paraId="2B267A2C" w14:textId="790CA77E" w:rsidR="001C0BD1" w:rsidRPr="00A36050" w:rsidRDefault="00CA2C94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Májkárosodásban szenvedő </w:t>
      </w:r>
      <w:r w:rsidR="001C0BD1" w:rsidRPr="00A36050">
        <w:rPr>
          <w:rFonts w:ascii="Times New Roman" w:hAnsi="Times New Roman"/>
        </w:rPr>
        <w:t>betegeknél a napi 10</w:t>
      </w:r>
      <w:r w:rsidR="004F485B" w:rsidRPr="00A36050">
        <w:rPr>
          <w:rFonts w:ascii="Times New Roman" w:hAnsi="Times New Roman"/>
        </w:rPr>
        <w:noBreakHyphen/>
      </w:r>
      <w:r w:rsidR="001C0BD1" w:rsidRPr="00A36050">
        <w:rPr>
          <w:rFonts w:ascii="Times New Roman" w:hAnsi="Times New Roman"/>
        </w:rPr>
        <w:t>20</w:t>
      </w:r>
      <w:r w:rsidR="00166D18" w:rsidRPr="00A36050">
        <w:rPr>
          <w:rFonts w:ascii="Times New Roman" w:hAnsi="Times New Roman"/>
        </w:rPr>
        <w:t> </w:t>
      </w:r>
      <w:r w:rsidR="001C0BD1" w:rsidRPr="00A36050">
        <w:rPr>
          <w:rFonts w:ascii="Times New Roman" w:hAnsi="Times New Roman"/>
        </w:rPr>
        <w:t>mg-os dózis is elegendő lehet (lásd 5.2</w:t>
      </w:r>
      <w:r w:rsidR="005708F5">
        <w:rPr>
          <w:rFonts w:ascii="Times New Roman" w:hAnsi="Times New Roman"/>
        </w:rPr>
        <w:t> </w:t>
      </w:r>
      <w:r w:rsidR="001C0BD1" w:rsidRPr="00A36050">
        <w:rPr>
          <w:rFonts w:ascii="Times New Roman" w:hAnsi="Times New Roman"/>
        </w:rPr>
        <w:t>pont).</w:t>
      </w:r>
    </w:p>
    <w:p w14:paraId="7E29BA14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</w:rPr>
      </w:pPr>
    </w:p>
    <w:p w14:paraId="21D49824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</w:rPr>
        <w:t>Idős</w:t>
      </w:r>
      <w:r w:rsidR="00C35CFE" w:rsidRPr="00A36050">
        <w:rPr>
          <w:rFonts w:ascii="Times New Roman" w:hAnsi="Times New Roman"/>
          <w:i/>
        </w:rPr>
        <w:t>e</w:t>
      </w:r>
      <w:r w:rsidR="007B4290" w:rsidRPr="00A36050">
        <w:rPr>
          <w:rFonts w:ascii="Times New Roman" w:hAnsi="Times New Roman"/>
          <w:i/>
        </w:rPr>
        <w:t>k</w:t>
      </w:r>
    </w:p>
    <w:p w14:paraId="73DD4EC1" w14:textId="758293F1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Időseknél nem szükséges a dózis módosítása (lásd 5.2</w:t>
      </w:r>
      <w:r w:rsidR="005708F5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pont).</w:t>
      </w:r>
    </w:p>
    <w:p w14:paraId="0C232C5D" w14:textId="77777777" w:rsidR="00065947" w:rsidRPr="00A36050" w:rsidRDefault="00065947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C69B524" w14:textId="77777777" w:rsidR="001C0BD1" w:rsidRDefault="001C0BD1" w:rsidP="00E04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Az alkalmazás</w:t>
      </w:r>
      <w:r w:rsidR="002D5E74" w:rsidRPr="00A36050">
        <w:rPr>
          <w:rFonts w:ascii="Times New Roman" w:hAnsi="Times New Roman"/>
          <w:u w:val="single"/>
        </w:rPr>
        <w:t xml:space="preserve"> módja</w:t>
      </w:r>
    </w:p>
    <w:p w14:paraId="3E56F940" w14:textId="77777777" w:rsidR="00E04C6B" w:rsidRPr="00E04C6B" w:rsidRDefault="00E04C6B" w:rsidP="00E04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</w:p>
    <w:p w14:paraId="1B4CFAD0" w14:textId="2DDD2354" w:rsidR="002C126C" w:rsidRPr="002C126C" w:rsidRDefault="002C126C" w:rsidP="002C126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2C126C">
        <w:rPr>
          <w:rFonts w:ascii="Times New Roman" w:eastAsia="Times New Roman" w:hAnsi="Times New Roman"/>
        </w:rPr>
        <w:t xml:space="preserve">A Lappoxo belsőleges oldatot </w:t>
      </w:r>
      <w:r w:rsidR="00443995">
        <w:rPr>
          <w:rFonts w:ascii="Times New Roman" w:eastAsia="Times New Roman" w:hAnsi="Times New Roman"/>
        </w:rPr>
        <w:t xml:space="preserve">reggel </w:t>
      </w:r>
      <w:r w:rsidRPr="002C126C">
        <w:rPr>
          <w:rFonts w:ascii="Times New Roman" w:eastAsia="Times New Roman" w:hAnsi="Times New Roman"/>
        </w:rPr>
        <w:t xml:space="preserve">éhgyomorra, legalább 30 perccel étkezés </w:t>
      </w:r>
      <w:r w:rsidR="00443995">
        <w:rPr>
          <w:rFonts w:ascii="Times New Roman" w:eastAsia="Times New Roman" w:hAnsi="Times New Roman"/>
        </w:rPr>
        <w:t xml:space="preserve">előtt, </w:t>
      </w:r>
      <w:r w:rsidRPr="002C126C">
        <w:rPr>
          <w:rFonts w:ascii="Times New Roman" w:eastAsia="Times New Roman" w:hAnsi="Times New Roman"/>
        </w:rPr>
        <w:t xml:space="preserve">vagy vízen kívül </w:t>
      </w:r>
      <w:r w:rsidR="00443995">
        <w:rPr>
          <w:rFonts w:ascii="Times New Roman" w:eastAsia="Times New Roman" w:hAnsi="Times New Roman"/>
        </w:rPr>
        <w:t>más</w:t>
      </w:r>
      <w:r w:rsidR="00443995" w:rsidRPr="002C126C">
        <w:rPr>
          <w:rFonts w:ascii="Times New Roman" w:eastAsia="Times New Roman" w:hAnsi="Times New Roman"/>
        </w:rPr>
        <w:t xml:space="preserve"> </w:t>
      </w:r>
      <w:r w:rsidRPr="002C126C">
        <w:rPr>
          <w:rFonts w:ascii="Times New Roman" w:eastAsia="Times New Roman" w:hAnsi="Times New Roman"/>
        </w:rPr>
        <w:t>folyadék fogyasztása előtt kell bevenni.</w:t>
      </w:r>
    </w:p>
    <w:p w14:paraId="733EC51E" w14:textId="63EE799D" w:rsidR="002C126C" w:rsidRPr="002C126C" w:rsidRDefault="002C126C" w:rsidP="002C126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2C126C">
        <w:rPr>
          <w:rFonts w:ascii="Times New Roman" w:eastAsia="Times New Roman" w:hAnsi="Times New Roman"/>
        </w:rPr>
        <w:t>A Lappoxo 10 mg/15 ml és 20 mg/15 ml belsőleges oldat pufferkapacitás</w:t>
      </w:r>
      <w:r>
        <w:rPr>
          <w:rFonts w:ascii="Times New Roman" w:eastAsia="Times New Roman" w:hAnsi="Times New Roman"/>
        </w:rPr>
        <w:t>a</w:t>
      </w:r>
      <w:r w:rsidRPr="002C126C">
        <w:rPr>
          <w:rFonts w:ascii="Times New Roman" w:eastAsia="Times New Roman" w:hAnsi="Times New Roman"/>
        </w:rPr>
        <w:t xml:space="preserve"> egyenértékű (</w:t>
      </w:r>
      <w:r w:rsidR="000A3F28">
        <w:rPr>
          <w:rFonts w:ascii="Times New Roman" w:eastAsia="Times New Roman" w:hAnsi="Times New Roman"/>
        </w:rPr>
        <w:t>azonos</w:t>
      </w:r>
      <w:r w:rsidRPr="002C126C">
        <w:rPr>
          <w:rFonts w:ascii="Times New Roman" w:eastAsia="Times New Roman" w:hAnsi="Times New Roman"/>
        </w:rPr>
        <w:t xml:space="preserve"> mennyiség</w:t>
      </w:r>
      <w:r>
        <w:rPr>
          <w:rFonts w:ascii="Times New Roman" w:eastAsia="Times New Roman" w:hAnsi="Times New Roman"/>
        </w:rPr>
        <w:t>ű</w:t>
      </w:r>
      <w:r w:rsidRPr="002C126C">
        <w:rPr>
          <w:rFonts w:ascii="Times New Roman" w:eastAsia="Times New Roman" w:hAnsi="Times New Roman"/>
        </w:rPr>
        <w:t xml:space="preserve"> puffer</w:t>
      </w:r>
      <w:r>
        <w:rPr>
          <w:rFonts w:ascii="Times New Roman" w:eastAsia="Times New Roman" w:hAnsi="Times New Roman"/>
        </w:rPr>
        <w:t xml:space="preserve">t tartalmaz </w:t>
      </w:r>
      <w:r w:rsidRPr="002C126C">
        <w:rPr>
          <w:rFonts w:ascii="Times New Roman" w:eastAsia="Times New Roman" w:hAnsi="Times New Roman"/>
        </w:rPr>
        <w:t>ml-enként). A 10 mg/15 ml</w:t>
      </w:r>
      <w:r w:rsidR="00533B18">
        <w:rPr>
          <w:rFonts w:ascii="Times New Roman" w:eastAsia="Times New Roman" w:hAnsi="Times New Roman"/>
        </w:rPr>
        <w:noBreakHyphen/>
      </w:r>
      <w:r w:rsidR="00443995">
        <w:rPr>
          <w:rFonts w:ascii="Times New Roman" w:eastAsia="Times New Roman" w:hAnsi="Times New Roman"/>
        </w:rPr>
        <w:t>es</w:t>
      </w:r>
      <w:r w:rsidRPr="002C126C">
        <w:rPr>
          <w:rFonts w:ascii="Times New Roman" w:eastAsia="Times New Roman" w:hAnsi="Times New Roman"/>
        </w:rPr>
        <w:t xml:space="preserve"> hatáserősség 1 hónapos és 1 éves kor között, illetve 1 éves és idősebb életkorban 10 mg alkalmazás</w:t>
      </w:r>
      <w:r w:rsidR="00E228F8">
        <w:rPr>
          <w:rFonts w:ascii="Times New Roman" w:eastAsia="Times New Roman" w:hAnsi="Times New Roman"/>
        </w:rPr>
        <w:t xml:space="preserve">ára </w:t>
      </w:r>
      <w:r w:rsidR="00E228F8" w:rsidRPr="002C126C">
        <w:rPr>
          <w:rFonts w:ascii="Times New Roman" w:eastAsia="Times New Roman" w:hAnsi="Times New Roman"/>
        </w:rPr>
        <w:t>javallott</w:t>
      </w:r>
      <w:r w:rsidRPr="002C126C">
        <w:rPr>
          <w:rFonts w:ascii="Times New Roman" w:eastAsia="Times New Roman" w:hAnsi="Times New Roman"/>
        </w:rPr>
        <w:t>. A 20 mg-os és 40 mg</w:t>
      </w:r>
      <w:r w:rsidR="008C30A0">
        <w:rPr>
          <w:rFonts w:ascii="Times New Roman" w:eastAsia="Times New Roman" w:hAnsi="Times New Roman"/>
        </w:rPr>
        <w:noBreakHyphen/>
      </w:r>
      <w:r w:rsidRPr="002C126C">
        <w:rPr>
          <w:rFonts w:ascii="Times New Roman" w:eastAsia="Times New Roman" w:hAnsi="Times New Roman"/>
        </w:rPr>
        <w:t>os dózishoz a 20 mg/15 ml</w:t>
      </w:r>
      <w:r w:rsidR="00533B18">
        <w:rPr>
          <w:rFonts w:ascii="Times New Roman" w:eastAsia="Times New Roman" w:hAnsi="Times New Roman"/>
        </w:rPr>
        <w:noBreakHyphen/>
      </w:r>
      <w:r w:rsidR="00443995">
        <w:rPr>
          <w:rFonts w:ascii="Times New Roman" w:eastAsia="Times New Roman" w:hAnsi="Times New Roman"/>
        </w:rPr>
        <w:t>es</w:t>
      </w:r>
      <w:r w:rsidRPr="002C126C">
        <w:rPr>
          <w:rFonts w:ascii="Times New Roman" w:eastAsia="Times New Roman" w:hAnsi="Times New Roman"/>
        </w:rPr>
        <w:t xml:space="preserve"> hatáserősség a megfelelő.</w:t>
      </w:r>
    </w:p>
    <w:p w14:paraId="4A1CFBA5" w14:textId="77777777" w:rsidR="002C126C" w:rsidRPr="002C126C" w:rsidRDefault="002C126C" w:rsidP="002C126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</w:p>
    <w:p w14:paraId="54EECA92" w14:textId="01F00A22" w:rsidR="002C126C" w:rsidRPr="002C126C" w:rsidRDefault="00E228F8" w:rsidP="002C126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Az </w:t>
      </w:r>
      <w:r w:rsidRPr="002C126C">
        <w:rPr>
          <w:rFonts w:ascii="Times New Roman" w:eastAsia="Times New Roman" w:hAnsi="Times New Roman"/>
        </w:rPr>
        <w:t>1 hónapos és 1 éves kor közötti gyermekek</w:t>
      </w:r>
      <w:r w:rsidR="00AC0D79">
        <w:rPr>
          <w:rFonts w:ascii="Times New Roman" w:eastAsia="Times New Roman" w:hAnsi="Times New Roman"/>
        </w:rPr>
        <w:t>nek szánt</w:t>
      </w:r>
      <w:r>
        <w:rPr>
          <w:rFonts w:ascii="Times New Roman" w:eastAsia="Times New Roman" w:hAnsi="Times New Roman"/>
        </w:rPr>
        <w:t xml:space="preserve"> dózis pontos kimérésének segítésére </w:t>
      </w:r>
      <w:r w:rsidRPr="002C126C">
        <w:rPr>
          <w:rFonts w:ascii="Times New Roman" w:eastAsia="Times New Roman" w:hAnsi="Times New Roman"/>
        </w:rPr>
        <w:t>a 10 mg/15 ml hatáserősség</w:t>
      </w:r>
      <w:r w:rsidR="00AC0D79">
        <w:rPr>
          <w:rFonts w:ascii="Times New Roman" w:eastAsia="Times New Roman" w:hAnsi="Times New Roman"/>
        </w:rPr>
        <w:t>ű készítmény csomagolása</w:t>
      </w:r>
      <w:r>
        <w:rPr>
          <w:rFonts w:ascii="Times New Roman" w:eastAsia="Times New Roman" w:hAnsi="Times New Roman"/>
        </w:rPr>
        <w:t xml:space="preserve"> egy b</w:t>
      </w:r>
      <w:r w:rsidR="002C126C" w:rsidRPr="002C126C">
        <w:rPr>
          <w:rFonts w:ascii="Times New Roman" w:eastAsia="Times New Roman" w:hAnsi="Times New Roman"/>
        </w:rPr>
        <w:t>eosztással ellátott adagoló pipett</w:t>
      </w:r>
      <w:r w:rsidR="00AC0D79">
        <w:rPr>
          <w:rFonts w:ascii="Times New Roman" w:eastAsia="Times New Roman" w:hAnsi="Times New Roman"/>
        </w:rPr>
        <w:t xml:space="preserve">át </w:t>
      </w:r>
      <w:r w:rsidR="002C126C" w:rsidRPr="002C126C">
        <w:rPr>
          <w:rFonts w:ascii="Times New Roman" w:eastAsia="Times New Roman" w:hAnsi="Times New Roman"/>
        </w:rPr>
        <w:t xml:space="preserve">(15 ml) </w:t>
      </w:r>
      <w:r w:rsidR="00AC0D79">
        <w:rPr>
          <w:rFonts w:ascii="Times New Roman" w:eastAsia="Times New Roman" w:hAnsi="Times New Roman"/>
        </w:rPr>
        <w:t>tartalmaz</w:t>
      </w:r>
      <w:r w:rsidR="00470C92">
        <w:rPr>
          <w:rFonts w:ascii="Times New Roman" w:eastAsia="Times New Roman" w:hAnsi="Times New Roman"/>
        </w:rPr>
        <w:t>.</w:t>
      </w:r>
    </w:p>
    <w:p w14:paraId="67DE36E0" w14:textId="77777777" w:rsidR="002C126C" w:rsidRPr="002C126C" w:rsidRDefault="002C126C" w:rsidP="002C126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</w:p>
    <w:p w14:paraId="52EC2889" w14:textId="4EBC7724" w:rsidR="002C126C" w:rsidRPr="002C126C" w:rsidRDefault="002C126C" w:rsidP="00AE7C84">
      <w:pPr>
        <w:spacing w:after="0" w:line="240" w:lineRule="auto"/>
        <w:outlineLvl w:val="0"/>
        <w:rPr>
          <w:rFonts w:ascii="Times New Roman" w:eastAsia="Times New Roman" w:hAnsi="Times New Roman"/>
        </w:rPr>
      </w:pPr>
      <w:r w:rsidRPr="002C126C">
        <w:rPr>
          <w:rFonts w:ascii="Times New Roman" w:eastAsia="Times New Roman" w:hAnsi="Times New Roman"/>
        </w:rPr>
        <w:t>A Lappoxo</w:t>
      </w:r>
      <w:r w:rsidR="00AC0D79" w:rsidRPr="00AC0D79">
        <w:rPr>
          <w:rFonts w:ascii="Times New Roman" w:eastAsia="Times New Roman" w:hAnsi="Times New Roman"/>
          <w:bCs/>
        </w:rPr>
        <w:t xml:space="preserve"> tartály</w:t>
      </w:r>
      <w:r w:rsidR="00AC0D79">
        <w:rPr>
          <w:rFonts w:ascii="Times New Roman" w:eastAsia="Times New Roman" w:hAnsi="Times New Roman"/>
          <w:bCs/>
        </w:rPr>
        <w:t>a</w:t>
      </w:r>
      <w:r w:rsidR="00AC0D79" w:rsidRPr="00AC0D79">
        <w:rPr>
          <w:rFonts w:ascii="Times New Roman" w:eastAsia="Times New Roman" w:hAnsi="Times New Roman"/>
          <w:bCs/>
        </w:rPr>
        <w:t xml:space="preserve"> egy két rekeszből álló rendszer, amelyben a kupak a koncentrátumot a palack pedig az oldószert tartalmazza. A koncentrátumot és az oldószert </w:t>
      </w:r>
      <w:r w:rsidR="00F45F80">
        <w:rPr>
          <w:rFonts w:ascii="Times New Roman" w:eastAsia="Times New Roman" w:hAnsi="Times New Roman"/>
          <w:bCs/>
        </w:rPr>
        <w:t>bevétel előtt</w:t>
      </w:r>
      <w:r w:rsidR="00AC0D79" w:rsidRPr="00AC0D79">
        <w:rPr>
          <w:rFonts w:ascii="Times New Roman" w:eastAsia="Times New Roman" w:hAnsi="Times New Roman"/>
          <w:bCs/>
        </w:rPr>
        <w:t xml:space="preserve"> össze kell keverni, és azután kell bevenni.</w:t>
      </w:r>
      <w:r w:rsidRPr="002C126C">
        <w:rPr>
          <w:rFonts w:ascii="Times New Roman" w:eastAsia="Times New Roman" w:hAnsi="Times New Roman"/>
        </w:rPr>
        <w:t xml:space="preserve"> A belsőleges oldat alkalmazás előtt történő előkészítésé</w:t>
      </w:r>
      <w:r w:rsidR="00AC0D79">
        <w:rPr>
          <w:rFonts w:ascii="Times New Roman" w:eastAsia="Times New Roman" w:hAnsi="Times New Roman"/>
        </w:rPr>
        <w:t>re vonatkozó</w:t>
      </w:r>
      <w:r w:rsidRPr="002C126C">
        <w:rPr>
          <w:rFonts w:ascii="Times New Roman" w:eastAsia="Times New Roman" w:hAnsi="Times New Roman"/>
        </w:rPr>
        <w:t xml:space="preserve"> információkat lásd 6.6 pont</w:t>
      </w:r>
      <w:r w:rsidR="00AC0D79">
        <w:rPr>
          <w:rFonts w:ascii="Times New Roman" w:eastAsia="Times New Roman" w:hAnsi="Times New Roman"/>
        </w:rPr>
        <w:t>ban</w:t>
      </w:r>
      <w:r w:rsidRPr="002C126C">
        <w:rPr>
          <w:rFonts w:ascii="Times New Roman" w:eastAsia="Times New Roman" w:hAnsi="Times New Roman"/>
        </w:rPr>
        <w:t>.</w:t>
      </w:r>
    </w:p>
    <w:p w14:paraId="48DBDE98" w14:textId="77777777" w:rsidR="002C126C" w:rsidRPr="002C126C" w:rsidRDefault="002C126C" w:rsidP="002C126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</w:p>
    <w:p w14:paraId="35F74A5B" w14:textId="6E73CA17" w:rsidR="002C126C" w:rsidRPr="002C126C" w:rsidRDefault="002C126C" w:rsidP="002C126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2C126C">
        <w:rPr>
          <w:rFonts w:ascii="Times New Roman" w:eastAsia="Times New Roman" w:hAnsi="Times New Roman"/>
        </w:rPr>
        <w:t>A</w:t>
      </w:r>
      <w:r w:rsidR="00AC0D79">
        <w:rPr>
          <w:rFonts w:ascii="Times New Roman" w:eastAsia="Times New Roman" w:hAnsi="Times New Roman"/>
        </w:rPr>
        <w:t xml:space="preserve"> tartály</w:t>
      </w:r>
      <w:r w:rsidRPr="002C126C">
        <w:rPr>
          <w:rFonts w:ascii="Times New Roman" w:eastAsia="Times New Roman" w:hAnsi="Times New Roman"/>
        </w:rPr>
        <w:t xml:space="preserve"> </w:t>
      </w:r>
      <w:r w:rsidR="003B151C">
        <w:rPr>
          <w:rFonts w:ascii="Times New Roman" w:eastAsia="Times New Roman" w:hAnsi="Times New Roman"/>
        </w:rPr>
        <w:t>felbontása</w:t>
      </w:r>
      <w:r w:rsidRPr="002C126C">
        <w:rPr>
          <w:rFonts w:ascii="Times New Roman" w:eastAsia="Times New Roman" w:hAnsi="Times New Roman"/>
        </w:rPr>
        <w:t xml:space="preserve"> után a belsőleges oldat </w:t>
      </w:r>
      <w:r w:rsidR="00AC0D79">
        <w:rPr>
          <w:rFonts w:ascii="Times New Roman" w:eastAsia="Times New Roman" w:hAnsi="Times New Roman"/>
        </w:rPr>
        <w:t>bevételre</w:t>
      </w:r>
      <w:r w:rsidR="008C30A0">
        <w:rPr>
          <w:rFonts w:ascii="Times New Roman" w:eastAsia="Times New Roman" w:hAnsi="Times New Roman"/>
        </w:rPr>
        <w:t xml:space="preserve"> </w:t>
      </w:r>
      <w:r w:rsidR="003B151C">
        <w:rPr>
          <w:rFonts w:ascii="Times New Roman" w:eastAsia="Times New Roman" w:hAnsi="Times New Roman"/>
        </w:rPr>
        <w:t>kész.</w:t>
      </w:r>
      <w:r w:rsidRPr="002C126C">
        <w:rPr>
          <w:rFonts w:ascii="Times New Roman" w:eastAsia="Times New Roman" w:hAnsi="Times New Roman"/>
        </w:rPr>
        <w:t xml:space="preserve"> </w:t>
      </w:r>
      <w:r w:rsidR="00AC0D79" w:rsidRPr="00AC0D79">
        <w:rPr>
          <w:rFonts w:ascii="Times New Roman" w:eastAsia="Times New Roman" w:hAnsi="Times New Roman"/>
        </w:rPr>
        <w:t>A készítmény további hígítására nincs szükség.</w:t>
      </w:r>
    </w:p>
    <w:p w14:paraId="6AEC566E" w14:textId="77777777" w:rsidR="002C126C" w:rsidRPr="002C126C" w:rsidRDefault="002C126C" w:rsidP="002C126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</w:p>
    <w:p w14:paraId="07BC9DD8" w14:textId="01966C8A" w:rsidR="002C126C" w:rsidRPr="002C126C" w:rsidRDefault="00381877" w:rsidP="002C126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N</w:t>
      </w:r>
      <w:r w:rsidR="002C126C" w:rsidRPr="002C126C">
        <w:rPr>
          <w:rFonts w:ascii="Times New Roman" w:eastAsia="Times New Roman" w:hAnsi="Times New Roman"/>
        </w:rPr>
        <w:t>asogastricus (NG) vagy percutan endoscopos gastrostom</w:t>
      </w:r>
      <w:r w:rsidR="00530DFA">
        <w:rPr>
          <w:rFonts w:ascii="Times New Roman" w:eastAsia="Times New Roman" w:hAnsi="Times New Roman"/>
        </w:rPr>
        <w:t>ia</w:t>
      </w:r>
      <w:r w:rsidR="002C126C" w:rsidRPr="002C126C">
        <w:rPr>
          <w:rFonts w:ascii="Times New Roman" w:eastAsia="Times New Roman" w:hAnsi="Times New Roman"/>
        </w:rPr>
        <w:t xml:space="preserve"> (PEG)</w:t>
      </w:r>
      <w:r w:rsidR="00530DFA" w:rsidRPr="00530DFA">
        <w:rPr>
          <w:rFonts w:ascii="Times New Roman" w:eastAsia="Times New Roman" w:hAnsi="Times New Roman"/>
        </w:rPr>
        <w:t xml:space="preserve"> </w:t>
      </w:r>
      <w:r w:rsidR="00530DFA" w:rsidRPr="002C126C">
        <w:rPr>
          <w:rFonts w:ascii="Times New Roman" w:eastAsia="Times New Roman" w:hAnsi="Times New Roman"/>
        </w:rPr>
        <w:t>szondán</w:t>
      </w:r>
      <w:r w:rsidR="002C126C" w:rsidRPr="002C126C">
        <w:rPr>
          <w:rFonts w:ascii="Times New Roman" w:eastAsia="Times New Roman" w:hAnsi="Times New Roman"/>
        </w:rPr>
        <w:t xml:space="preserve"> keresztül történő </w:t>
      </w:r>
      <w:r>
        <w:rPr>
          <w:rFonts w:ascii="Times New Roman" w:eastAsia="Times New Roman" w:hAnsi="Times New Roman"/>
        </w:rPr>
        <w:t>beadásra</w:t>
      </w:r>
      <w:r w:rsidR="002C126C" w:rsidRPr="002C126C">
        <w:rPr>
          <w:rFonts w:ascii="Times New Roman" w:eastAsia="Times New Roman" w:hAnsi="Times New Roman"/>
        </w:rPr>
        <w:t xml:space="preserve"> vonatkozó utasításokat lásd 6.6 pont.</w:t>
      </w:r>
    </w:p>
    <w:p w14:paraId="6A001FE3" w14:textId="77777777" w:rsidR="002C126C" w:rsidRPr="002C126C" w:rsidRDefault="002C126C" w:rsidP="002C126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</w:p>
    <w:p w14:paraId="117BBC1D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4.3</w:t>
      </w:r>
      <w:r w:rsidR="00557D18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Ellenjavallatok</w:t>
      </w:r>
    </w:p>
    <w:p w14:paraId="52EC61AD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16C19BC" w14:textId="675A0134" w:rsidR="001C0BD1" w:rsidRPr="00A36050" w:rsidRDefault="00F26F6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 készítmény hatóanyagával</w:t>
      </w:r>
      <w:r w:rsidR="001C0BD1" w:rsidRPr="00A36050">
        <w:rPr>
          <w:rFonts w:ascii="Times New Roman" w:hAnsi="Times New Roman"/>
        </w:rPr>
        <w:t xml:space="preserve">, szubsztituált benzimidazollal vagy a készítmény </w:t>
      </w:r>
      <w:r w:rsidR="00DD1FD3" w:rsidRPr="00A36050">
        <w:rPr>
          <w:rFonts w:ascii="Times New Roman" w:hAnsi="Times New Roman"/>
        </w:rPr>
        <w:t>6.1</w:t>
      </w:r>
      <w:r w:rsidR="00381877">
        <w:rPr>
          <w:rFonts w:ascii="Times New Roman" w:hAnsi="Times New Roman"/>
        </w:rPr>
        <w:t> </w:t>
      </w:r>
      <w:r w:rsidR="00DD1FD3" w:rsidRPr="00A36050">
        <w:rPr>
          <w:rFonts w:ascii="Times New Roman" w:hAnsi="Times New Roman"/>
        </w:rPr>
        <w:t xml:space="preserve">pontban felsorolt </w:t>
      </w:r>
      <w:r w:rsidR="001C0BD1" w:rsidRPr="00A36050">
        <w:rPr>
          <w:rFonts w:ascii="Times New Roman" w:hAnsi="Times New Roman"/>
        </w:rPr>
        <w:t>bármely segédanyag</w:t>
      </w:r>
      <w:r w:rsidR="00F45F80">
        <w:rPr>
          <w:rFonts w:ascii="Times New Roman" w:hAnsi="Times New Roman"/>
        </w:rPr>
        <w:t>gal</w:t>
      </w:r>
      <w:r w:rsidR="001C0BD1" w:rsidRPr="00A36050">
        <w:rPr>
          <w:rFonts w:ascii="Times New Roman" w:hAnsi="Times New Roman"/>
        </w:rPr>
        <w:t xml:space="preserve"> szembeni</w:t>
      </w:r>
      <w:r w:rsidR="002D5E74" w:rsidRPr="00A36050">
        <w:rPr>
          <w:rFonts w:ascii="Times New Roman" w:hAnsi="Times New Roman"/>
        </w:rPr>
        <w:t xml:space="preserve"> </w:t>
      </w:r>
      <w:r w:rsidR="001C0BD1" w:rsidRPr="00A36050">
        <w:rPr>
          <w:rFonts w:ascii="Times New Roman" w:hAnsi="Times New Roman"/>
        </w:rPr>
        <w:t>túlérzékenység.</w:t>
      </w:r>
    </w:p>
    <w:p w14:paraId="3B241A89" w14:textId="77777777" w:rsidR="00DD1FD3" w:rsidRPr="00A36050" w:rsidRDefault="00DD1FD3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31AE06B" w14:textId="02ED0302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Az omeprazol a többi </w:t>
      </w:r>
      <w:r w:rsidR="002540CD">
        <w:rPr>
          <w:rFonts w:ascii="Times New Roman" w:hAnsi="Times New Roman"/>
        </w:rPr>
        <w:t>protonpumpa-gátló</w:t>
      </w:r>
      <w:r w:rsidRPr="00A36050">
        <w:rPr>
          <w:rFonts w:ascii="Times New Roman" w:hAnsi="Times New Roman"/>
        </w:rPr>
        <w:t>hoz (PPI) hasonlóan nem adható együtt nelfinavirral (lásd</w:t>
      </w:r>
      <w:r w:rsidR="00BA627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4.5</w:t>
      </w:r>
      <w:r w:rsidR="00340342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pont)</w:t>
      </w:r>
      <w:r w:rsidR="00BA627D" w:rsidRPr="00A36050">
        <w:rPr>
          <w:rFonts w:ascii="Times New Roman" w:hAnsi="Times New Roman"/>
        </w:rPr>
        <w:t>.</w:t>
      </w:r>
    </w:p>
    <w:p w14:paraId="6920633A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A8B99BD" w14:textId="77777777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4.4</w:t>
      </w:r>
      <w:r w:rsidR="00BA627D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Különleges figyelmeztetések és az alkalmazással kapcsolatos óvintézkedések</w:t>
      </w:r>
    </w:p>
    <w:p w14:paraId="7895B030" w14:textId="77777777" w:rsidR="00EE09C2" w:rsidRPr="00A36050" w:rsidRDefault="00EE09C2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1951B0C" w14:textId="59991268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Bármilyen figyelmeztető tünet </w:t>
      </w:r>
      <w:r w:rsidR="00F45F80">
        <w:rPr>
          <w:rFonts w:ascii="Times New Roman" w:hAnsi="Times New Roman"/>
        </w:rPr>
        <w:t>jelentkezése</w:t>
      </w:r>
      <w:r w:rsidRPr="00A36050">
        <w:rPr>
          <w:rFonts w:ascii="Times New Roman" w:hAnsi="Times New Roman"/>
        </w:rPr>
        <w:t>kor (</w:t>
      </w:r>
      <w:r w:rsidR="00E04C6B">
        <w:rPr>
          <w:rFonts w:ascii="Times New Roman" w:hAnsi="Times New Roman"/>
        </w:rPr>
        <w:t>például</w:t>
      </w:r>
      <w:r w:rsidRPr="00E04C6B">
        <w:rPr>
          <w:rFonts w:ascii="Times New Roman" w:hAnsi="Times New Roman"/>
        </w:rPr>
        <w:t xml:space="preserve"> szignifikáns, nem szándékos fogyás, visszatérő hányás,</w:t>
      </w:r>
      <w:r w:rsidR="00BA627D" w:rsidRPr="00E04C6B">
        <w:rPr>
          <w:rFonts w:ascii="Times New Roman" w:hAnsi="Times New Roman"/>
        </w:rPr>
        <w:t xml:space="preserve"> </w:t>
      </w:r>
      <w:r w:rsidRPr="00E04C6B">
        <w:rPr>
          <w:rFonts w:ascii="Times New Roman" w:hAnsi="Times New Roman"/>
        </w:rPr>
        <w:t>dysphagia, haematemesis vagy melaena) és gyomorfekély gyanúja esetén vagy annak jelenlétekor a</w:t>
      </w:r>
      <w:r w:rsidR="002D5E74" w:rsidRPr="00E04C6B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malignitást ki kell zárni, mivel a kezelés elfedheti a tüneteket</w:t>
      </w:r>
      <w:r w:rsidR="002D5E74" w:rsidRPr="00A36050">
        <w:rPr>
          <w:rFonts w:ascii="Times New Roman" w:hAnsi="Times New Roman"/>
        </w:rPr>
        <w:t>,</w:t>
      </w:r>
      <w:r w:rsidRPr="00A36050">
        <w:rPr>
          <w:rFonts w:ascii="Times New Roman" w:hAnsi="Times New Roman"/>
        </w:rPr>
        <w:t xml:space="preserve"> késleltetve így a diagnózist.</w:t>
      </w:r>
    </w:p>
    <w:p w14:paraId="703B6DB4" w14:textId="77777777" w:rsidR="002D5E74" w:rsidRPr="00A36050" w:rsidRDefault="002D5E74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2EC8422" w14:textId="116EF455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Az atazanavir </w:t>
      </w:r>
      <w:r w:rsidR="002540CD">
        <w:rPr>
          <w:rFonts w:ascii="Times New Roman" w:hAnsi="Times New Roman"/>
        </w:rPr>
        <w:t>protonpumpa-gátló</w:t>
      </w:r>
      <w:r w:rsidRPr="00A36050">
        <w:rPr>
          <w:rFonts w:ascii="Times New Roman" w:hAnsi="Times New Roman"/>
        </w:rPr>
        <w:t>kkal történő együttes alkalmazása nem javasolt (lásd 4.5</w:t>
      </w:r>
      <w:r w:rsidR="00381877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pont).</w:t>
      </w:r>
      <w:r w:rsidR="00BA627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Amennyiben atazanavir és </w:t>
      </w:r>
      <w:r w:rsidR="002540CD">
        <w:rPr>
          <w:rFonts w:ascii="Times New Roman" w:hAnsi="Times New Roman"/>
        </w:rPr>
        <w:t>protonpumpa-gátló</w:t>
      </w:r>
      <w:r w:rsidRPr="00A36050">
        <w:rPr>
          <w:rFonts w:ascii="Times New Roman" w:hAnsi="Times New Roman"/>
        </w:rPr>
        <w:t xml:space="preserve"> együttes alkalmazása megítélés szerint mégis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szükség</w:t>
      </w:r>
      <w:r w:rsidR="001D5ADE">
        <w:rPr>
          <w:rFonts w:ascii="Times New Roman" w:hAnsi="Times New Roman"/>
        </w:rPr>
        <w:t>es</w:t>
      </w:r>
      <w:r w:rsidRPr="00A36050">
        <w:rPr>
          <w:rFonts w:ascii="Times New Roman" w:hAnsi="Times New Roman"/>
        </w:rPr>
        <w:t>, szoros klinikai megfigyelés (</w:t>
      </w:r>
      <w:r w:rsidR="00E04C6B">
        <w:rPr>
          <w:rFonts w:ascii="Times New Roman" w:hAnsi="Times New Roman"/>
        </w:rPr>
        <w:t>például</w:t>
      </w:r>
      <w:r w:rsidRPr="00E04C6B">
        <w:rPr>
          <w:rFonts w:ascii="Times New Roman" w:hAnsi="Times New Roman"/>
        </w:rPr>
        <w:t xml:space="preserve"> a szervezetben található vírusszint) javasolt 400</w:t>
      </w:r>
      <w:r w:rsidR="00444B8D" w:rsidRPr="00E04C6B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</w:t>
      </w:r>
      <w:r w:rsidR="00533B18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ra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emelt atazanavir dózis és 100</w:t>
      </w:r>
      <w:r w:rsidR="00BA627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 ritonavir kombináció alkalmazása mellett</w:t>
      </w:r>
      <w:r w:rsidR="00BA627D" w:rsidRPr="00A36050">
        <w:rPr>
          <w:rFonts w:ascii="Times New Roman" w:hAnsi="Times New Roman"/>
        </w:rPr>
        <w:t>.</w:t>
      </w:r>
      <w:r w:rsidRPr="00A36050">
        <w:rPr>
          <w:rFonts w:ascii="Times New Roman" w:hAnsi="Times New Roman"/>
        </w:rPr>
        <w:t xml:space="preserve"> </w:t>
      </w:r>
      <w:r w:rsidR="00BA627D" w:rsidRPr="00A36050">
        <w:rPr>
          <w:rFonts w:ascii="Times New Roman" w:hAnsi="Times New Roman"/>
        </w:rPr>
        <w:t>A</w:t>
      </w:r>
      <w:r w:rsidRPr="00A36050">
        <w:rPr>
          <w:rFonts w:ascii="Times New Roman" w:hAnsi="Times New Roman"/>
        </w:rPr>
        <w:t xml:space="preserve"> 20</w:t>
      </w:r>
      <w:r w:rsidR="00BA627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</w:t>
      </w:r>
      <w:r w:rsidR="00533B18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 xml:space="preserve">os </w:t>
      </w:r>
      <w:r w:rsidR="00BA627D" w:rsidRPr="00A36050">
        <w:rPr>
          <w:rFonts w:ascii="Times New Roman" w:hAnsi="Times New Roman"/>
        </w:rPr>
        <w:t>o</w:t>
      </w:r>
      <w:r w:rsidRPr="00A36050">
        <w:rPr>
          <w:rFonts w:ascii="Times New Roman" w:hAnsi="Times New Roman"/>
        </w:rPr>
        <w:t>meprazol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dózist nem szabad túllépni.</w:t>
      </w:r>
    </w:p>
    <w:p w14:paraId="3695DC00" w14:textId="77777777" w:rsidR="00257D43" w:rsidRPr="00A36050" w:rsidRDefault="00257D43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E25C910" w14:textId="5C90600E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Mint </w:t>
      </w:r>
      <w:r w:rsidR="001D5ADE">
        <w:rPr>
          <w:rFonts w:ascii="Times New Roman" w:hAnsi="Times New Roman"/>
        </w:rPr>
        <w:t>minden</w:t>
      </w:r>
      <w:r w:rsidR="001D5AD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savtermelést gátló gyógyszer, úgy az omeprazol is csökkentheti a B</w:t>
      </w:r>
      <w:r w:rsidRPr="00A36050">
        <w:rPr>
          <w:rFonts w:ascii="Times New Roman" w:hAnsi="Times New Roman"/>
          <w:vertAlign w:val="subscript"/>
        </w:rPr>
        <w:t>12</w:t>
      </w:r>
      <w:r w:rsidR="00533B18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vitamin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(cianokobalamin) felszívódását, melynek oka a csökkent gyomorsavtermelés, </w:t>
      </w:r>
      <w:r w:rsidR="001D5ADE">
        <w:rPr>
          <w:rFonts w:ascii="Times New Roman" w:hAnsi="Times New Roman"/>
        </w:rPr>
        <w:t>vagy</w:t>
      </w:r>
      <w:r w:rsidRPr="00A36050">
        <w:rPr>
          <w:rFonts w:ascii="Times New Roman" w:hAnsi="Times New Roman"/>
        </w:rPr>
        <w:t xml:space="preserve"> annak teljes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hiánya. Ezt figyelembe kell venni azoknál a betegeknél, akiknek a szervezetében csökkent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mennyiségben raktározódik a B</w:t>
      </w:r>
      <w:r w:rsidRPr="00A36050">
        <w:rPr>
          <w:rFonts w:ascii="Times New Roman" w:hAnsi="Times New Roman"/>
          <w:vertAlign w:val="subscript"/>
        </w:rPr>
        <w:t>12</w:t>
      </w:r>
      <w:r w:rsidR="00FD7901" w:rsidRPr="00A36050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vitamin, illetve akiknél fennállnak olyan rizikófaktorok, melyek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következtében a hosszú</w:t>
      </w:r>
      <w:r w:rsidR="00193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távú terápia során a B</w:t>
      </w:r>
      <w:r w:rsidRPr="00A36050">
        <w:rPr>
          <w:rFonts w:ascii="Times New Roman" w:hAnsi="Times New Roman"/>
          <w:vertAlign w:val="subscript"/>
        </w:rPr>
        <w:t>12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vitamin felszívódása nem megfelelő.</w:t>
      </w:r>
    </w:p>
    <w:p w14:paraId="7A9F3537" w14:textId="77777777" w:rsidR="002D5E74" w:rsidRPr="00A36050" w:rsidRDefault="002D5E74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8C966FB" w14:textId="5B2E7F5D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Az omeprazol egy CYP2C19 inhibitor. Az omeprazollal történő kezelés megkezdésekor és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befejezésekor a CYP2C19 enzimen keresztül metabolizálódó gyógyszerekkel lehetséges interakciókat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figyelembe kell venni. Az omeprazol és a klopidogr</w:t>
      </w:r>
      <w:r w:rsidR="00340342" w:rsidRPr="00A36050">
        <w:rPr>
          <w:rFonts w:ascii="Times New Roman" w:hAnsi="Times New Roman"/>
        </w:rPr>
        <w:t>e</w:t>
      </w:r>
      <w:r w:rsidRPr="00A36050">
        <w:rPr>
          <w:rFonts w:ascii="Times New Roman" w:hAnsi="Times New Roman"/>
        </w:rPr>
        <w:t>l között gyógyszer-interakció kialakulását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figyelték meg (lásd 4.5</w:t>
      </w:r>
      <w:r w:rsidR="00381877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pont). Ennek az interakciónak a klinikai jelentősége még nem tisztázott.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Elővigyázatosságból az omeprazol és a klopidogr</w:t>
      </w:r>
      <w:r w:rsidR="00340342" w:rsidRPr="00A36050">
        <w:rPr>
          <w:rFonts w:ascii="Times New Roman" w:hAnsi="Times New Roman"/>
        </w:rPr>
        <w:t>e</w:t>
      </w:r>
      <w:r w:rsidRPr="00A36050">
        <w:rPr>
          <w:rFonts w:ascii="Times New Roman" w:hAnsi="Times New Roman"/>
        </w:rPr>
        <w:t>l együttadása nem javasolt.</w:t>
      </w:r>
    </w:p>
    <w:p w14:paraId="71808984" w14:textId="77777777" w:rsidR="002D5E74" w:rsidRPr="00A36050" w:rsidRDefault="002D5E74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B288117" w14:textId="275F1897" w:rsidR="00EE5088" w:rsidRDefault="00A26F98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26F98">
        <w:rPr>
          <w:rFonts w:ascii="Times New Roman" w:hAnsi="Times New Roman"/>
        </w:rPr>
        <w:t>A protonpumpa-gátlókkal legalább három hónapon át, a legtöbb esetben azonban egy éven keresztül kezelt betegek körében</w:t>
      </w:r>
      <w:r w:rsidR="00EE5088" w:rsidRPr="00A36050">
        <w:rPr>
          <w:rFonts w:ascii="Times New Roman" w:hAnsi="Times New Roman"/>
        </w:rPr>
        <w:t xml:space="preserve"> súlyos hypomagnesaemiáról számoltak be. A hypomagnesaemia olyan súlyos tünetekkel jelentkezhet, mint például a kimerültség, a tetania, a delírium, a convulsio, a szédülés és a kamrai ritmuszavar, mely tünetek gyakran észrevétlenül kezdődnek, és eleinte figyelmen kívül hagyhatják őket. A legtöbb érintett betegben a hypomagnesaemia javult a magnéziumpótló terápia és a protonpumpa</w:t>
      </w:r>
      <w:r w:rsidR="00660A49">
        <w:rPr>
          <w:rFonts w:ascii="Times New Roman" w:hAnsi="Times New Roman"/>
        </w:rPr>
        <w:t>-</w:t>
      </w:r>
      <w:r w:rsidR="00EE5088" w:rsidRPr="00A36050">
        <w:rPr>
          <w:rFonts w:ascii="Times New Roman" w:hAnsi="Times New Roman"/>
        </w:rPr>
        <w:t>gátlókkal való kezelés abbahagyása hatására.</w:t>
      </w:r>
    </w:p>
    <w:p w14:paraId="0DE28DF5" w14:textId="77777777" w:rsidR="00381877" w:rsidRPr="00A36050" w:rsidRDefault="00381877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BED3E2E" w14:textId="41520ACB" w:rsidR="00EE5088" w:rsidRPr="00E04C6B" w:rsidRDefault="00EE5088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Az orvosnak fontolóra kell venni a magnéziumszint ellenőrzését a kezelés megkezdése előtt és </w:t>
      </w:r>
      <w:r w:rsidRPr="00A36050">
        <w:rPr>
          <w:rFonts w:ascii="Times New Roman" w:hAnsi="Times New Roman"/>
        </w:rPr>
        <w:lastRenderedPageBreak/>
        <w:t xml:space="preserve">rendszeres időközönként a kezelés során azoknál a betegeknél, akik várhatóan hosszú távú </w:t>
      </w:r>
      <w:r w:rsidR="002540CD">
        <w:rPr>
          <w:rFonts w:ascii="Times New Roman" w:hAnsi="Times New Roman"/>
        </w:rPr>
        <w:t>protonpumpa-gátló</w:t>
      </w:r>
      <w:r w:rsidR="009E241A" w:rsidRPr="00A36050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terápiában részesülnek, vagy egyidejűleg digoxint vagy olyan gyógyszereket szednek, melyek hypomagnesaemiát okozhatnak (</w:t>
      </w:r>
      <w:r w:rsidR="00E04C6B">
        <w:rPr>
          <w:rFonts w:ascii="Times New Roman" w:hAnsi="Times New Roman"/>
        </w:rPr>
        <w:t>például</w:t>
      </w:r>
      <w:r w:rsidR="008D75F2">
        <w:rPr>
          <w:rFonts w:ascii="Times New Roman" w:hAnsi="Times New Roman"/>
        </w:rPr>
        <w:t>:</w:t>
      </w:r>
      <w:r w:rsidRPr="00E04C6B">
        <w:rPr>
          <w:rFonts w:ascii="Times New Roman" w:hAnsi="Times New Roman"/>
        </w:rPr>
        <w:t xml:space="preserve"> diuretikumok).</w:t>
      </w:r>
    </w:p>
    <w:p w14:paraId="277710B4" w14:textId="77777777" w:rsidR="00EE5088" w:rsidRPr="00E04C6B" w:rsidRDefault="00EE5088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DC88064" w14:textId="77777777" w:rsidR="008509EA" w:rsidRPr="00A36050" w:rsidRDefault="009D5907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E04C6B">
        <w:rPr>
          <w:rFonts w:ascii="Times New Roman" w:hAnsi="Times New Roman"/>
        </w:rPr>
        <w:t>A</w:t>
      </w:r>
      <w:r w:rsidRPr="00A36050">
        <w:rPr>
          <w:rFonts w:ascii="Times New Roman" w:hAnsi="Times New Roman"/>
        </w:rPr>
        <w:t xml:space="preserve">z omeprazol-kezeléssel összefüggésben </w:t>
      </w:r>
      <w:r w:rsidR="008509EA" w:rsidRPr="00A36050">
        <w:rPr>
          <w:rFonts w:ascii="Times New Roman" w:hAnsi="Times New Roman"/>
        </w:rPr>
        <w:t xml:space="preserve">ritkán, illetve </w:t>
      </w:r>
      <w:r w:rsidR="00FB1981" w:rsidRPr="00A36050">
        <w:rPr>
          <w:rFonts w:ascii="Times New Roman" w:hAnsi="Times New Roman"/>
        </w:rPr>
        <w:t xml:space="preserve">nagyon </w:t>
      </w:r>
      <w:r w:rsidR="008509EA" w:rsidRPr="00A36050">
        <w:rPr>
          <w:rFonts w:ascii="Times New Roman" w:hAnsi="Times New Roman"/>
        </w:rPr>
        <w:t>ritkán súlyos, a bőrt érintő</w:t>
      </w:r>
      <w:r w:rsidR="00BF6481" w:rsidRPr="00A36050">
        <w:rPr>
          <w:rFonts w:ascii="Times New Roman" w:hAnsi="Times New Roman"/>
        </w:rPr>
        <w:t>, életveszélyes vagy akár halálos</w:t>
      </w:r>
      <w:r w:rsidR="008509EA" w:rsidRPr="00A36050">
        <w:rPr>
          <w:rFonts w:ascii="Times New Roman" w:hAnsi="Times New Roman"/>
        </w:rPr>
        <w:t xml:space="preserve"> </w:t>
      </w:r>
      <w:r w:rsidR="00FC3A5C" w:rsidRPr="00A36050">
        <w:rPr>
          <w:rFonts w:ascii="Times New Roman" w:hAnsi="Times New Roman"/>
        </w:rPr>
        <w:t xml:space="preserve">kimenetelű </w:t>
      </w:r>
      <w:r w:rsidR="008509EA" w:rsidRPr="00A36050">
        <w:rPr>
          <w:rFonts w:ascii="Times New Roman" w:hAnsi="Times New Roman"/>
        </w:rPr>
        <w:t>reakciókat</w:t>
      </w:r>
      <w:r w:rsidR="00FB1981" w:rsidRPr="00A36050">
        <w:rPr>
          <w:rFonts w:ascii="Times New Roman" w:hAnsi="Times New Roman"/>
        </w:rPr>
        <w:t xml:space="preserve"> (</w:t>
      </w:r>
      <w:r w:rsidR="00BF6481" w:rsidRPr="00A36050">
        <w:rPr>
          <w:rFonts w:ascii="Times New Roman" w:hAnsi="Times New Roman"/>
        </w:rPr>
        <w:t xml:space="preserve">severe cutaneous adverse reactions </w:t>
      </w:r>
      <w:r w:rsidR="00FC3A5C" w:rsidRPr="00A36050">
        <w:rPr>
          <w:rFonts w:ascii="Times New Roman" w:hAnsi="Times New Roman"/>
        </w:rPr>
        <w:t>–</w:t>
      </w:r>
      <w:r w:rsidR="00BF6481" w:rsidRPr="00A36050">
        <w:rPr>
          <w:rFonts w:ascii="Times New Roman" w:hAnsi="Times New Roman"/>
        </w:rPr>
        <w:t xml:space="preserve"> </w:t>
      </w:r>
      <w:r w:rsidR="00FB1981" w:rsidRPr="00A36050">
        <w:rPr>
          <w:rFonts w:ascii="Times New Roman" w:hAnsi="Times New Roman"/>
        </w:rPr>
        <w:t>SCAR</w:t>
      </w:r>
      <w:r w:rsidR="00BF6481" w:rsidRPr="00A36050">
        <w:rPr>
          <w:rFonts w:ascii="Times New Roman" w:hAnsi="Times New Roman"/>
        </w:rPr>
        <w:t>s</w:t>
      </w:r>
      <w:r w:rsidR="00FB1981" w:rsidRPr="00A36050">
        <w:rPr>
          <w:rFonts w:ascii="Times New Roman" w:hAnsi="Times New Roman"/>
        </w:rPr>
        <w:t>) jelentettek</w:t>
      </w:r>
      <w:r w:rsidR="008509EA" w:rsidRPr="00A36050">
        <w:rPr>
          <w:rFonts w:ascii="Times New Roman" w:hAnsi="Times New Roman"/>
        </w:rPr>
        <w:t>, köztük Stevens</w:t>
      </w:r>
      <w:r w:rsidR="00BF6481" w:rsidRPr="00A36050">
        <w:rPr>
          <w:rFonts w:ascii="Times New Roman" w:hAnsi="Times New Roman"/>
        </w:rPr>
        <w:t>‒</w:t>
      </w:r>
      <w:r w:rsidR="008509EA" w:rsidRPr="00A36050">
        <w:rPr>
          <w:rFonts w:ascii="Times New Roman" w:hAnsi="Times New Roman"/>
        </w:rPr>
        <w:t>Johnson-szindrómát (SJS), toxi</w:t>
      </w:r>
      <w:r w:rsidR="00FC3A5C" w:rsidRPr="00A36050">
        <w:rPr>
          <w:rFonts w:ascii="Times New Roman" w:hAnsi="Times New Roman"/>
        </w:rPr>
        <w:t>c</w:t>
      </w:r>
      <w:r w:rsidR="008509EA" w:rsidRPr="00A36050">
        <w:rPr>
          <w:rFonts w:ascii="Times New Roman" w:hAnsi="Times New Roman"/>
        </w:rPr>
        <w:t>us epiderm</w:t>
      </w:r>
      <w:r w:rsidR="00FC3A5C" w:rsidRPr="00A36050">
        <w:rPr>
          <w:rFonts w:ascii="Times New Roman" w:hAnsi="Times New Roman"/>
        </w:rPr>
        <w:t>a</w:t>
      </w:r>
      <w:r w:rsidR="008509EA" w:rsidRPr="00A36050">
        <w:rPr>
          <w:rFonts w:ascii="Times New Roman" w:hAnsi="Times New Roman"/>
        </w:rPr>
        <w:t>lis ne</w:t>
      </w:r>
      <w:r w:rsidR="00BF6481" w:rsidRPr="00A36050">
        <w:rPr>
          <w:rFonts w:ascii="Times New Roman" w:hAnsi="Times New Roman"/>
        </w:rPr>
        <w:t>c</w:t>
      </w:r>
      <w:r w:rsidR="008509EA" w:rsidRPr="00A36050">
        <w:rPr>
          <w:rFonts w:ascii="Times New Roman" w:hAnsi="Times New Roman"/>
        </w:rPr>
        <w:t>rol</w:t>
      </w:r>
      <w:r w:rsidR="00FC3A5C" w:rsidRPr="00A36050">
        <w:rPr>
          <w:rFonts w:ascii="Times New Roman" w:hAnsi="Times New Roman"/>
        </w:rPr>
        <w:t>y</w:t>
      </w:r>
      <w:r w:rsidR="00BF6481" w:rsidRPr="00A36050">
        <w:rPr>
          <w:rFonts w:ascii="Times New Roman" w:hAnsi="Times New Roman"/>
        </w:rPr>
        <w:t>s</w:t>
      </w:r>
      <w:r w:rsidR="008509EA" w:rsidRPr="00A36050">
        <w:rPr>
          <w:rFonts w:ascii="Times New Roman" w:hAnsi="Times New Roman"/>
        </w:rPr>
        <w:t xml:space="preserve">ist (TEN), </w:t>
      </w:r>
      <w:r w:rsidRPr="00A36050">
        <w:rPr>
          <w:rFonts w:ascii="Times New Roman" w:hAnsi="Times New Roman"/>
        </w:rPr>
        <w:t>eo</w:t>
      </w:r>
      <w:r w:rsidR="00BF6481" w:rsidRPr="00A36050">
        <w:rPr>
          <w:rFonts w:ascii="Times New Roman" w:hAnsi="Times New Roman"/>
        </w:rPr>
        <w:t>s</w:t>
      </w:r>
      <w:r w:rsidRPr="00A36050">
        <w:rPr>
          <w:rFonts w:ascii="Times New Roman" w:hAnsi="Times New Roman"/>
        </w:rPr>
        <w:t>ino</w:t>
      </w:r>
      <w:r w:rsidR="00C878B3" w:rsidRPr="00A36050">
        <w:rPr>
          <w:rFonts w:ascii="Times New Roman" w:hAnsi="Times New Roman"/>
        </w:rPr>
        <w:t>phi</w:t>
      </w:r>
      <w:r w:rsidRPr="00A36050">
        <w:rPr>
          <w:rFonts w:ascii="Times New Roman" w:hAnsi="Times New Roman"/>
        </w:rPr>
        <w:t>liával és szisztémás tünetekkel járó gyógyszerreakciót (DRESS</w:t>
      </w:r>
      <w:r w:rsidR="008509EA" w:rsidRPr="00A36050">
        <w:rPr>
          <w:rFonts w:ascii="Times New Roman" w:hAnsi="Times New Roman"/>
        </w:rPr>
        <w:t>)</w:t>
      </w:r>
      <w:r w:rsidR="00FC3A5C" w:rsidRPr="00A36050">
        <w:rPr>
          <w:rFonts w:ascii="Times New Roman" w:hAnsi="Times New Roman"/>
        </w:rPr>
        <w:t>,</w:t>
      </w:r>
      <w:r w:rsidR="008509EA" w:rsidRPr="00A36050">
        <w:rPr>
          <w:rFonts w:ascii="Times New Roman" w:hAnsi="Times New Roman"/>
        </w:rPr>
        <w:t xml:space="preserve"> </w:t>
      </w:r>
      <w:r w:rsidR="00FC3A5C" w:rsidRPr="00A36050">
        <w:rPr>
          <w:rFonts w:ascii="Times New Roman" w:hAnsi="Times New Roman"/>
        </w:rPr>
        <w:t>valamint</w:t>
      </w:r>
      <w:r w:rsidR="008509EA" w:rsidRPr="00A36050">
        <w:rPr>
          <w:rFonts w:ascii="Times New Roman" w:hAnsi="Times New Roman"/>
        </w:rPr>
        <w:t xml:space="preserve"> akut generalizált exanthem</w:t>
      </w:r>
      <w:r w:rsidR="00FC3A5C" w:rsidRPr="00A36050">
        <w:rPr>
          <w:rFonts w:ascii="Times New Roman" w:hAnsi="Times New Roman"/>
        </w:rPr>
        <w:t>atosus</w:t>
      </w:r>
      <w:r w:rsidR="008509EA" w:rsidRPr="00A36050">
        <w:rPr>
          <w:rFonts w:ascii="Times New Roman" w:hAnsi="Times New Roman"/>
        </w:rPr>
        <w:t xml:space="preserve"> pustul</w:t>
      </w:r>
      <w:r w:rsidR="00BF6481" w:rsidRPr="00A36050">
        <w:rPr>
          <w:rFonts w:ascii="Times New Roman" w:hAnsi="Times New Roman"/>
        </w:rPr>
        <w:t>os</w:t>
      </w:r>
      <w:r w:rsidR="008509EA" w:rsidRPr="00A36050">
        <w:rPr>
          <w:rFonts w:ascii="Times New Roman" w:hAnsi="Times New Roman"/>
        </w:rPr>
        <w:t>ist (AGEP)</w:t>
      </w:r>
      <w:r w:rsidRPr="00A36050">
        <w:rPr>
          <w:rFonts w:ascii="Times New Roman" w:hAnsi="Times New Roman"/>
        </w:rPr>
        <w:t>.</w:t>
      </w:r>
    </w:p>
    <w:p w14:paraId="2FF23C3E" w14:textId="77777777" w:rsidR="00FB1981" w:rsidRPr="00A36050" w:rsidRDefault="00FB198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AFDEE09" w14:textId="269A6E78" w:rsidR="00EE5088" w:rsidRPr="00A36050" w:rsidRDefault="00EE5088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 protonpumpa</w:t>
      </w:r>
      <w:r w:rsidR="00660A49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gátlók főként nagy adagok és hosszú távú alkalmazás során (</w:t>
      </w:r>
      <w:r w:rsidR="00660A49">
        <w:rPr>
          <w:rFonts w:ascii="Times New Roman" w:hAnsi="Times New Roman"/>
        </w:rPr>
        <w:t>1</w:t>
      </w:r>
      <w:r w:rsidR="00533B18">
        <w:rPr>
          <w:rFonts w:ascii="Times New Roman" w:hAnsi="Times New Roman"/>
        </w:rPr>
        <w:t> </w:t>
      </w:r>
      <w:r w:rsidR="00660A49">
        <w:rPr>
          <w:rFonts w:ascii="Times New Roman" w:hAnsi="Times New Roman"/>
        </w:rPr>
        <w:t>évnél hosszabb ideig</w:t>
      </w:r>
      <w:r w:rsidRPr="00A36050">
        <w:rPr>
          <w:rFonts w:ascii="Times New Roman" w:hAnsi="Times New Roman"/>
        </w:rPr>
        <w:t>) mérsékelten növelhetik a csípő-, a csukló- és a gerinctörések kockázatát, főként idősekben vagy olyan betegeknél, akiknél egyéb ismert kockázati tényezők is fennállnak. Megfigyeléses vizsgálatok szerint a protonpumpa</w:t>
      </w:r>
      <w:r w:rsidR="002540CD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gátlók 10</w:t>
      </w:r>
      <w:r w:rsidR="003745B9" w:rsidRPr="00A3605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40%</w:t>
      </w:r>
      <w:r w:rsidR="00533B18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kal növel</w:t>
      </w:r>
      <w:r w:rsidR="008D75F2">
        <w:rPr>
          <w:rFonts w:ascii="Times New Roman" w:hAnsi="Times New Roman"/>
        </w:rPr>
        <w:t>hetik a csont</w:t>
      </w:r>
      <w:r w:rsidRPr="00A36050">
        <w:rPr>
          <w:rFonts w:ascii="Times New Roman" w:hAnsi="Times New Roman"/>
        </w:rPr>
        <w:t>törések kockázatát. A kockázatnövekedéshez részben egyéb tényezők is hozzájárulhatnak. Az osteoporosis kockázatának kitett betegeknek az érvényes klinikai irányelveknek megfelelő ellátásban, valamint megfelelő D-vitamin- és kalciumbevitelben kell részesülniük.</w:t>
      </w:r>
    </w:p>
    <w:p w14:paraId="7AA1D576" w14:textId="77777777" w:rsidR="004820CD" w:rsidRPr="00A36050" w:rsidRDefault="004820CD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D871C5C" w14:textId="77777777" w:rsidR="004820CD" w:rsidRPr="00AE7C84" w:rsidRDefault="004820CD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u w:val="single"/>
        </w:rPr>
      </w:pPr>
      <w:r w:rsidRPr="00AE7C84">
        <w:rPr>
          <w:rFonts w:ascii="Times New Roman" w:hAnsi="Times New Roman"/>
          <w:iCs/>
          <w:u w:val="single"/>
        </w:rPr>
        <w:t xml:space="preserve">Szubakut </w:t>
      </w:r>
      <w:r w:rsidR="00032C49" w:rsidRPr="00AE7C84">
        <w:rPr>
          <w:rFonts w:ascii="Times New Roman" w:hAnsi="Times New Roman"/>
          <w:iCs/>
          <w:u w:val="single"/>
        </w:rPr>
        <w:t>cutan</w:t>
      </w:r>
      <w:r w:rsidRPr="00AE7C84">
        <w:rPr>
          <w:rFonts w:ascii="Times New Roman" w:hAnsi="Times New Roman"/>
          <w:iCs/>
          <w:u w:val="single"/>
        </w:rPr>
        <w:t xml:space="preserve"> </w:t>
      </w:r>
      <w:r w:rsidR="00032C49" w:rsidRPr="00AE7C84">
        <w:rPr>
          <w:rFonts w:ascii="Times New Roman" w:hAnsi="Times New Roman"/>
          <w:iCs/>
          <w:u w:val="single"/>
        </w:rPr>
        <w:t>lupus erythematosus</w:t>
      </w:r>
      <w:r w:rsidRPr="00AE7C84">
        <w:rPr>
          <w:rFonts w:ascii="Times New Roman" w:hAnsi="Times New Roman"/>
          <w:iCs/>
          <w:u w:val="single"/>
        </w:rPr>
        <w:t xml:space="preserve"> (SCLE)</w:t>
      </w:r>
    </w:p>
    <w:p w14:paraId="3357BF14" w14:textId="6EF411DE" w:rsidR="004820CD" w:rsidRPr="00A36050" w:rsidRDefault="004820CD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 protonpumpa</w:t>
      </w:r>
      <w:r w:rsidR="002540CD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gátlók használata nagyon ritkán kapcsolatba hozható SCLE esetekkel. Elváltozások esetén, különösen</w:t>
      </w:r>
      <w:r w:rsidR="009E241A" w:rsidRPr="00A36050">
        <w:rPr>
          <w:rFonts w:ascii="Times New Roman" w:hAnsi="Times New Roman"/>
        </w:rPr>
        <w:t>,</w:t>
      </w:r>
      <w:r w:rsidRPr="00A36050">
        <w:rPr>
          <w:rFonts w:ascii="Times New Roman" w:hAnsi="Times New Roman"/>
        </w:rPr>
        <w:t xml:space="preserve"> ha ez a bőr napnak kitett területén van, valamint ha ízületi fájdalommal társul, sürgősen orvoshoz kell fordulni és meg kell fontolni a</w:t>
      </w:r>
      <w:r w:rsidR="00533B18">
        <w:rPr>
          <w:rFonts w:ascii="Times New Roman" w:hAnsi="Times New Roman"/>
        </w:rPr>
        <w:t>z</w:t>
      </w:r>
      <w:r w:rsidRPr="00A36050">
        <w:rPr>
          <w:rFonts w:ascii="Times New Roman" w:hAnsi="Times New Roman"/>
        </w:rPr>
        <w:t xml:space="preserve"> </w:t>
      </w:r>
      <w:r w:rsidR="009E1BBC" w:rsidRPr="009E1BBC">
        <w:rPr>
          <w:rFonts w:ascii="Times New Roman" w:hAnsi="Times New Roman"/>
        </w:rPr>
        <w:t>omeprazol</w:t>
      </w:r>
      <w:r w:rsidR="009E1BBC" w:rsidRPr="009E1BBC" w:rsidDel="009E1BBC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adagolásának leállítását. Az SCLE előfordulása valamely protonpumpa</w:t>
      </w:r>
      <w:r w:rsidR="002540CD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gátlóval történő korábbi kezelés esetén növelheti az SCLE esélyét más protonpumpa</w:t>
      </w:r>
      <w:r w:rsidR="002540CD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gátlók használata esetén is.</w:t>
      </w:r>
    </w:p>
    <w:p w14:paraId="484A2AF2" w14:textId="77777777" w:rsidR="00EE5088" w:rsidRDefault="00EE5088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7ABC97B" w14:textId="77777777" w:rsidR="00381877" w:rsidRPr="00AE7C84" w:rsidRDefault="00381877" w:rsidP="0038187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E7C84">
        <w:rPr>
          <w:rFonts w:ascii="Times New Roman" w:hAnsi="Times New Roman"/>
          <w:u w:val="single"/>
        </w:rPr>
        <w:t xml:space="preserve">Vesekárosodás </w:t>
      </w:r>
    </w:p>
    <w:p w14:paraId="545D55FD" w14:textId="0F860249" w:rsidR="00381877" w:rsidRPr="00381877" w:rsidRDefault="00381877" w:rsidP="0038187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381877">
        <w:rPr>
          <w:rFonts w:ascii="Times New Roman" w:hAnsi="Times New Roman"/>
        </w:rPr>
        <w:t>Omeprazolt szedő betegeknél akut tubulointerstitialis nephritist (TIN) figyeltek meg, amely bármikor előfordulhat az omeprazol-kezelés folyamán (4.8</w:t>
      </w:r>
      <w:r>
        <w:rPr>
          <w:rFonts w:ascii="Times New Roman" w:hAnsi="Times New Roman"/>
        </w:rPr>
        <w:t> </w:t>
      </w:r>
      <w:r w:rsidRPr="00381877">
        <w:rPr>
          <w:rFonts w:ascii="Times New Roman" w:hAnsi="Times New Roman"/>
        </w:rPr>
        <w:t xml:space="preserve">pont). Az akut tubulointerstitialis nephritis veseelégtelenségbe progrediálhat. </w:t>
      </w:r>
    </w:p>
    <w:p w14:paraId="1FD84B7E" w14:textId="1BB8B0BE" w:rsidR="00381877" w:rsidRDefault="00381877" w:rsidP="0038187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381877">
        <w:rPr>
          <w:rFonts w:ascii="Times New Roman" w:hAnsi="Times New Roman"/>
        </w:rPr>
        <w:t>TIN gyanúja esetén az omeprazol alkalmazását le kell állítani, és haladéktalanul megfelelő kezelést kell indítani.</w:t>
      </w:r>
    </w:p>
    <w:p w14:paraId="2470CEF1" w14:textId="77777777" w:rsidR="00381877" w:rsidRPr="00A36050" w:rsidRDefault="00381877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05E6718" w14:textId="77777777" w:rsidR="00E1031F" w:rsidRPr="00AE7C84" w:rsidRDefault="00E1031F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u w:val="single"/>
        </w:rPr>
      </w:pPr>
      <w:r w:rsidRPr="00AE7C84">
        <w:rPr>
          <w:rFonts w:ascii="Times New Roman" w:hAnsi="Times New Roman"/>
          <w:iCs/>
          <w:u w:val="single"/>
        </w:rPr>
        <w:t>Kölcsönhatás laboratóriumi vizsgálatokkal</w:t>
      </w:r>
    </w:p>
    <w:p w14:paraId="20A5F41D" w14:textId="0D8CC837" w:rsidR="00E1031F" w:rsidRPr="00A36050" w:rsidRDefault="00E1031F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A megnövekedett </w:t>
      </w:r>
      <w:r w:rsidR="003745B9" w:rsidRPr="00A36050">
        <w:rPr>
          <w:rFonts w:ascii="Times New Roman" w:hAnsi="Times New Roman"/>
        </w:rPr>
        <w:t>kromogranin</w:t>
      </w:r>
      <w:r w:rsidR="008C30A0">
        <w:rPr>
          <w:rFonts w:ascii="Times New Roman" w:hAnsi="Times New Roman"/>
        </w:rPr>
        <w:noBreakHyphen/>
      </w:r>
      <w:r w:rsidR="003745B9" w:rsidRPr="00A36050">
        <w:rPr>
          <w:rFonts w:ascii="Times New Roman" w:hAnsi="Times New Roman"/>
        </w:rPr>
        <w:t>A (</w:t>
      </w:r>
      <w:r w:rsidRPr="00A36050">
        <w:rPr>
          <w:rFonts w:ascii="Times New Roman" w:hAnsi="Times New Roman"/>
        </w:rPr>
        <w:t>CgA</w:t>
      </w:r>
      <w:r w:rsidR="003745B9" w:rsidRPr="00A36050">
        <w:rPr>
          <w:rFonts w:ascii="Times New Roman" w:hAnsi="Times New Roman"/>
        </w:rPr>
        <w:t>)</w:t>
      </w:r>
      <w:r w:rsidRPr="00A36050">
        <w:rPr>
          <w:rFonts w:ascii="Times New Roman" w:hAnsi="Times New Roman"/>
        </w:rPr>
        <w:t xml:space="preserve"> </w:t>
      </w:r>
      <w:r w:rsidR="009E241A" w:rsidRPr="00A36050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 xml:space="preserve">szint zavarhatja a neuroendokrin tumorok vizsgálatait. </w:t>
      </w:r>
      <w:r w:rsidR="00E442F6" w:rsidRPr="00A36050">
        <w:rPr>
          <w:rFonts w:ascii="Times New Roman" w:hAnsi="Times New Roman"/>
        </w:rPr>
        <w:t>Ezen kölcsönhatás elkerülése érdekében a</w:t>
      </w:r>
      <w:r w:rsidR="009E1BBC">
        <w:rPr>
          <w:rFonts w:ascii="Times New Roman" w:hAnsi="Times New Roman"/>
        </w:rPr>
        <w:t>z</w:t>
      </w:r>
      <w:r w:rsidR="00E442F6" w:rsidRPr="00A36050">
        <w:rPr>
          <w:rFonts w:ascii="Times New Roman" w:hAnsi="Times New Roman"/>
        </w:rPr>
        <w:t xml:space="preserve"> </w:t>
      </w:r>
      <w:r w:rsidR="009E1BBC">
        <w:rPr>
          <w:rFonts w:ascii="Times New Roman" w:hAnsi="Times New Roman"/>
        </w:rPr>
        <w:t>omeprazol</w:t>
      </w:r>
      <w:r w:rsidR="009E1BBC">
        <w:rPr>
          <w:rFonts w:ascii="Times New Roman" w:hAnsi="Times New Roman"/>
        </w:rPr>
        <w:noBreakHyphen/>
      </w:r>
      <w:r w:rsidR="00E442F6" w:rsidRPr="00A36050">
        <w:rPr>
          <w:rFonts w:ascii="Times New Roman" w:hAnsi="Times New Roman"/>
        </w:rPr>
        <w:t>kezelést legalább 5</w:t>
      </w:r>
      <w:r w:rsidR="009E241A" w:rsidRPr="00A36050">
        <w:rPr>
          <w:rFonts w:ascii="Times New Roman" w:hAnsi="Times New Roman"/>
        </w:rPr>
        <w:t> </w:t>
      </w:r>
      <w:r w:rsidR="00E442F6" w:rsidRPr="00A36050">
        <w:rPr>
          <w:rFonts w:ascii="Times New Roman" w:hAnsi="Times New Roman"/>
        </w:rPr>
        <w:t>nappal a CgA</w:t>
      </w:r>
      <w:r w:rsidR="008C30A0">
        <w:rPr>
          <w:rFonts w:ascii="Times New Roman" w:hAnsi="Times New Roman"/>
        </w:rPr>
        <w:noBreakHyphen/>
      </w:r>
      <w:r w:rsidR="00E442F6" w:rsidRPr="00A36050">
        <w:rPr>
          <w:rFonts w:ascii="Times New Roman" w:hAnsi="Times New Roman"/>
        </w:rPr>
        <w:t>mérés</w:t>
      </w:r>
      <w:r w:rsidRPr="00A36050">
        <w:rPr>
          <w:rFonts w:ascii="Times New Roman" w:hAnsi="Times New Roman"/>
        </w:rPr>
        <w:t xml:space="preserve"> előtt fel kell függeszteni</w:t>
      </w:r>
      <w:r w:rsidR="00E442F6" w:rsidRPr="00A36050">
        <w:rPr>
          <w:rFonts w:ascii="Times New Roman" w:hAnsi="Times New Roman"/>
        </w:rPr>
        <w:t xml:space="preserve"> (lásd 5.1</w:t>
      </w:r>
      <w:r w:rsidR="00381877">
        <w:rPr>
          <w:rFonts w:ascii="Times New Roman" w:hAnsi="Times New Roman"/>
        </w:rPr>
        <w:t xml:space="preserve"> </w:t>
      </w:r>
      <w:r w:rsidR="00E442F6" w:rsidRPr="00A36050">
        <w:rPr>
          <w:rFonts w:ascii="Times New Roman" w:hAnsi="Times New Roman"/>
        </w:rPr>
        <w:t>pont). Amennyiben a CgA</w:t>
      </w:r>
      <w:r w:rsidR="009E241A" w:rsidRPr="00A36050">
        <w:rPr>
          <w:rFonts w:ascii="Times New Roman" w:hAnsi="Times New Roman"/>
        </w:rPr>
        <w:t>-</w:t>
      </w:r>
      <w:r w:rsidR="00E442F6" w:rsidRPr="00A36050">
        <w:rPr>
          <w:rFonts w:ascii="Times New Roman" w:hAnsi="Times New Roman"/>
        </w:rPr>
        <w:t xml:space="preserve"> és gasztrinszintek az eredeti mérés után nem térnek vissza a referenciatartományba, a </w:t>
      </w:r>
      <w:r w:rsidR="002540CD">
        <w:rPr>
          <w:rFonts w:ascii="Times New Roman" w:hAnsi="Times New Roman"/>
        </w:rPr>
        <w:t>protonpumpa-gátló</w:t>
      </w:r>
      <w:r w:rsidR="009E241A" w:rsidRPr="00A36050">
        <w:rPr>
          <w:rFonts w:ascii="Times New Roman" w:hAnsi="Times New Roman"/>
        </w:rPr>
        <w:t>-</w:t>
      </w:r>
      <w:r w:rsidR="00E442F6" w:rsidRPr="00A36050">
        <w:rPr>
          <w:rFonts w:ascii="Times New Roman" w:hAnsi="Times New Roman"/>
        </w:rPr>
        <w:t>kezelés felfüggesztése után 14</w:t>
      </w:r>
      <w:r w:rsidR="009E241A" w:rsidRPr="00A36050">
        <w:rPr>
          <w:rFonts w:ascii="Times New Roman" w:hAnsi="Times New Roman"/>
        </w:rPr>
        <w:t> </w:t>
      </w:r>
      <w:r w:rsidR="00E442F6" w:rsidRPr="00A36050">
        <w:rPr>
          <w:rFonts w:ascii="Times New Roman" w:hAnsi="Times New Roman"/>
        </w:rPr>
        <w:t>nappal meg kell ismételni a mérést.</w:t>
      </w:r>
    </w:p>
    <w:p w14:paraId="1992C1B2" w14:textId="77777777" w:rsidR="00562425" w:rsidRPr="00A36050" w:rsidRDefault="00562425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6BAC9B3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Néhány krónikus betegségben szenvedő gyermek esetében hosszú</w:t>
      </w:r>
      <w:r w:rsidR="00A720F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távú kezelés válhat szükségessé,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mely azonban nem javasolt.</w:t>
      </w:r>
    </w:p>
    <w:p w14:paraId="26D8CD24" w14:textId="77777777" w:rsidR="004820CD" w:rsidRPr="00A36050" w:rsidRDefault="004820CD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642B43E" w14:textId="6CE9988E" w:rsidR="00EE5088" w:rsidRPr="00A36050" w:rsidRDefault="002540CD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Protonpumpa-gátló</w:t>
      </w:r>
      <w:r w:rsidR="00EE5088" w:rsidRPr="00A36050">
        <w:rPr>
          <w:rFonts w:ascii="Times New Roman" w:hAnsi="Times New Roman"/>
        </w:rPr>
        <w:t xml:space="preserve">kkal végzett kezelés kismértékben növelheti bizonyos gastrointestinalis fertőzések, mint </w:t>
      </w:r>
      <w:r w:rsidR="00E04C6B">
        <w:rPr>
          <w:rFonts w:ascii="Times New Roman" w:hAnsi="Times New Roman"/>
        </w:rPr>
        <w:t>például</w:t>
      </w:r>
      <w:r w:rsidR="00EE5088" w:rsidRPr="00E04C6B">
        <w:rPr>
          <w:rFonts w:ascii="Times New Roman" w:hAnsi="Times New Roman"/>
        </w:rPr>
        <w:t xml:space="preserve"> a </w:t>
      </w:r>
      <w:r w:rsidR="00EE5088" w:rsidRPr="00E04C6B">
        <w:rPr>
          <w:rFonts w:ascii="Times New Roman" w:hAnsi="Times New Roman"/>
          <w:i/>
          <w:iCs/>
        </w:rPr>
        <w:t xml:space="preserve">Salmonella </w:t>
      </w:r>
      <w:r w:rsidR="00EE5088" w:rsidRPr="00E04C6B">
        <w:rPr>
          <w:rFonts w:ascii="Times New Roman" w:hAnsi="Times New Roman"/>
        </w:rPr>
        <w:t xml:space="preserve">vagy </w:t>
      </w:r>
      <w:r w:rsidR="00EE5088" w:rsidRPr="00A36050">
        <w:rPr>
          <w:rFonts w:ascii="Times New Roman" w:hAnsi="Times New Roman"/>
        </w:rPr>
        <w:t xml:space="preserve">a </w:t>
      </w:r>
      <w:r w:rsidR="00EE5088" w:rsidRPr="00A36050">
        <w:rPr>
          <w:rFonts w:ascii="Times New Roman" w:hAnsi="Times New Roman"/>
          <w:i/>
          <w:iCs/>
        </w:rPr>
        <w:t xml:space="preserve">Campylobacter </w:t>
      </w:r>
      <w:r w:rsidR="00EE5088" w:rsidRPr="00A36050">
        <w:rPr>
          <w:rFonts w:ascii="Times New Roman" w:hAnsi="Times New Roman"/>
        </w:rPr>
        <w:t xml:space="preserve">fertőzés kockázatát </w:t>
      </w:r>
      <w:r w:rsidR="004820CD" w:rsidRPr="00A36050">
        <w:rPr>
          <w:rFonts w:ascii="Times New Roman" w:hAnsi="Times New Roman"/>
        </w:rPr>
        <w:t xml:space="preserve">és a kórházi ellátásban részesülő betegeknél esetleg a </w:t>
      </w:r>
      <w:r w:rsidR="004820CD" w:rsidRPr="00A36050">
        <w:rPr>
          <w:rFonts w:ascii="Times New Roman" w:hAnsi="Times New Roman"/>
          <w:i/>
          <w:iCs/>
        </w:rPr>
        <w:t xml:space="preserve">Clostridium difficile </w:t>
      </w:r>
      <w:r w:rsidR="004820CD" w:rsidRPr="00A36050">
        <w:rPr>
          <w:rFonts w:ascii="Times New Roman" w:hAnsi="Times New Roman"/>
        </w:rPr>
        <w:t xml:space="preserve">fertőzés kockázatát is </w:t>
      </w:r>
      <w:r w:rsidR="00EE5088" w:rsidRPr="00A36050">
        <w:rPr>
          <w:rFonts w:ascii="Times New Roman" w:hAnsi="Times New Roman"/>
        </w:rPr>
        <w:t>(lásd 5.1</w:t>
      </w:r>
      <w:r w:rsidR="00381877">
        <w:rPr>
          <w:rFonts w:ascii="Times New Roman" w:hAnsi="Times New Roman"/>
        </w:rPr>
        <w:t> </w:t>
      </w:r>
      <w:r w:rsidR="00EE5088" w:rsidRPr="00A36050">
        <w:rPr>
          <w:rFonts w:ascii="Times New Roman" w:hAnsi="Times New Roman"/>
        </w:rPr>
        <w:t>pont).</w:t>
      </w:r>
    </w:p>
    <w:p w14:paraId="2809AA62" w14:textId="77777777" w:rsidR="00EE5088" w:rsidRPr="00A36050" w:rsidRDefault="00EE5088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5DA2EBF" w14:textId="4681A032" w:rsidR="00EE5088" w:rsidRPr="00A36050" w:rsidRDefault="00EE5088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Bárm</w:t>
      </w:r>
      <w:r w:rsidR="0008795B">
        <w:rPr>
          <w:rFonts w:ascii="Times New Roman" w:hAnsi="Times New Roman"/>
        </w:rPr>
        <w:t>ilyen</w:t>
      </w:r>
      <w:r w:rsidRPr="00A36050">
        <w:rPr>
          <w:rFonts w:ascii="Times New Roman" w:hAnsi="Times New Roman"/>
        </w:rPr>
        <w:t xml:space="preserve"> hosszú távú kezelés esetén, különös</w:t>
      </w:r>
      <w:r w:rsidR="0008795B">
        <w:rPr>
          <w:rFonts w:ascii="Times New Roman" w:hAnsi="Times New Roman"/>
        </w:rPr>
        <w:t>en</w:t>
      </w:r>
      <w:r w:rsidRPr="00A36050">
        <w:rPr>
          <w:rFonts w:ascii="Times New Roman" w:hAnsi="Times New Roman"/>
        </w:rPr>
        <w:t>, ha annak időtartama meghaladja az egy évet, a beteget rendszeres, megfigyelés alatt kell tartani.</w:t>
      </w:r>
    </w:p>
    <w:p w14:paraId="6E401140" w14:textId="77777777" w:rsidR="009F056B" w:rsidRPr="00A36050" w:rsidRDefault="009F056B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AC9C52A" w14:textId="75EB65B8" w:rsidR="00381877" w:rsidRPr="00381877" w:rsidRDefault="00381877" w:rsidP="00381877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381877">
        <w:rPr>
          <w:rFonts w:ascii="Times New Roman" w:eastAsia="Times New Roman" w:hAnsi="Times New Roman"/>
        </w:rPr>
        <w:t xml:space="preserve">A Lappoxo 10 mg/15 ml belsőleges oldat 0,593 mg </w:t>
      </w:r>
      <w:r w:rsidR="00AE1404">
        <w:rPr>
          <w:rFonts w:ascii="Times New Roman" w:eastAsia="Times New Roman" w:hAnsi="Times New Roman"/>
        </w:rPr>
        <w:t xml:space="preserve">míg </w:t>
      </w:r>
      <w:r w:rsidRPr="00381877">
        <w:rPr>
          <w:rFonts w:ascii="Times New Roman" w:eastAsia="Times New Roman" w:hAnsi="Times New Roman"/>
        </w:rPr>
        <w:t>a Lappoxo 20 mg/15 ml belsőleges oldat 0,447 mg propilénglikolt tartalmaz ml</w:t>
      </w:r>
      <w:r w:rsidR="008C30A0">
        <w:rPr>
          <w:rFonts w:ascii="Times New Roman" w:eastAsia="Times New Roman" w:hAnsi="Times New Roman"/>
        </w:rPr>
        <w:noBreakHyphen/>
      </w:r>
      <w:r w:rsidRPr="00381877">
        <w:rPr>
          <w:rFonts w:ascii="Times New Roman" w:eastAsia="Times New Roman" w:hAnsi="Times New Roman"/>
        </w:rPr>
        <w:t>enként.</w:t>
      </w:r>
    </w:p>
    <w:p w14:paraId="199DB07B" w14:textId="391B4574" w:rsidR="00381877" w:rsidRPr="00381877" w:rsidRDefault="00381877" w:rsidP="00381877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381877">
        <w:rPr>
          <w:rFonts w:ascii="Times New Roman" w:eastAsia="Times New Roman" w:hAnsi="Times New Roman"/>
        </w:rPr>
        <w:t>A Lappoxo 10 mg/15 ml és a 20 mg/15 ml belsőleges oldat egyaránt 9,14 mg (0,4 mmol) nátriumot tartalmaz ml</w:t>
      </w:r>
      <w:r w:rsidR="008C30A0">
        <w:rPr>
          <w:rFonts w:ascii="Times New Roman" w:eastAsia="Times New Roman" w:hAnsi="Times New Roman"/>
        </w:rPr>
        <w:noBreakHyphen/>
      </w:r>
      <w:r w:rsidRPr="00381877">
        <w:rPr>
          <w:rFonts w:ascii="Times New Roman" w:eastAsia="Times New Roman" w:hAnsi="Times New Roman"/>
        </w:rPr>
        <w:t xml:space="preserve">enként vagy 137 mg (5,96 mmol) nátriumot </w:t>
      </w:r>
      <w:r w:rsidR="00F20D92">
        <w:rPr>
          <w:rFonts w:ascii="Times New Roman" w:eastAsia="Times New Roman" w:hAnsi="Times New Roman"/>
        </w:rPr>
        <w:t xml:space="preserve">tartalmaz </w:t>
      </w:r>
      <w:r w:rsidRPr="00381877">
        <w:rPr>
          <w:rFonts w:ascii="Times New Roman" w:eastAsia="Times New Roman" w:hAnsi="Times New Roman"/>
        </w:rPr>
        <w:t xml:space="preserve">15 ml-es dózisonként, ami </w:t>
      </w:r>
      <w:r w:rsidR="00F20D92" w:rsidRPr="00381877">
        <w:rPr>
          <w:rFonts w:ascii="Times New Roman" w:eastAsia="Times New Roman" w:hAnsi="Times New Roman"/>
        </w:rPr>
        <w:t>(a 15 ml</w:t>
      </w:r>
      <w:r w:rsidR="008C30A0">
        <w:rPr>
          <w:rFonts w:ascii="Times New Roman" w:eastAsia="Times New Roman" w:hAnsi="Times New Roman"/>
        </w:rPr>
        <w:noBreakHyphen/>
      </w:r>
      <w:r w:rsidR="00F20D92" w:rsidRPr="00381877">
        <w:rPr>
          <w:rFonts w:ascii="Times New Roman" w:eastAsia="Times New Roman" w:hAnsi="Times New Roman"/>
        </w:rPr>
        <w:t>es dózis esetén)</w:t>
      </w:r>
      <w:r w:rsidR="00F20D92">
        <w:rPr>
          <w:rFonts w:ascii="Times New Roman" w:eastAsia="Times New Roman" w:hAnsi="Times New Roman"/>
        </w:rPr>
        <w:t xml:space="preserve"> </w:t>
      </w:r>
      <w:r w:rsidRPr="00381877">
        <w:rPr>
          <w:rFonts w:ascii="Times New Roman" w:eastAsia="Times New Roman" w:hAnsi="Times New Roman"/>
        </w:rPr>
        <w:t>megfelel a WHO által ajánlott maximális napi 2 g nátriumbevitel 6,85%</w:t>
      </w:r>
      <w:r w:rsidR="008C30A0">
        <w:rPr>
          <w:rFonts w:ascii="Times New Roman" w:eastAsia="Times New Roman" w:hAnsi="Times New Roman"/>
        </w:rPr>
        <w:noBreakHyphen/>
      </w:r>
      <w:r w:rsidRPr="00381877">
        <w:rPr>
          <w:rFonts w:ascii="Times New Roman" w:eastAsia="Times New Roman" w:hAnsi="Times New Roman"/>
        </w:rPr>
        <w:t>ának felnőtteknél.</w:t>
      </w:r>
    </w:p>
    <w:p w14:paraId="51881874" w14:textId="02125FF3" w:rsidR="00381877" w:rsidRPr="00381877" w:rsidRDefault="00381877" w:rsidP="00381877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381877">
        <w:rPr>
          <w:rFonts w:ascii="Times New Roman" w:eastAsia="Times New Roman" w:hAnsi="Times New Roman"/>
        </w:rPr>
        <w:t>A Lappoxo 10 mg/15 ml és a 20 mg/15 ml belsőleges oldat egyaránt 0,0016 mg benzoesavat tartalmaz ml</w:t>
      </w:r>
      <w:r w:rsidR="008C30A0">
        <w:rPr>
          <w:rFonts w:ascii="Times New Roman" w:eastAsia="Times New Roman" w:hAnsi="Times New Roman"/>
        </w:rPr>
        <w:noBreakHyphen/>
      </w:r>
      <w:r w:rsidRPr="00381877">
        <w:rPr>
          <w:rFonts w:ascii="Times New Roman" w:eastAsia="Times New Roman" w:hAnsi="Times New Roman"/>
        </w:rPr>
        <w:t>enként.</w:t>
      </w:r>
    </w:p>
    <w:p w14:paraId="6B37833B" w14:textId="77777777" w:rsidR="00257D43" w:rsidRPr="00A36050" w:rsidRDefault="00257D43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BB25B87" w14:textId="77777777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4.5</w:t>
      </w:r>
      <w:r w:rsidR="005B091F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Gyógyszerkölcsönhatások és egyéb interakciók</w:t>
      </w:r>
    </w:p>
    <w:p w14:paraId="146E35DE" w14:textId="77777777" w:rsidR="00EE09C2" w:rsidRPr="00A36050" w:rsidRDefault="00EE09C2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31547BC" w14:textId="77777777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Az omeprazol hatása más hatóanyagok farmakokinetikájára</w:t>
      </w:r>
    </w:p>
    <w:p w14:paraId="426DD914" w14:textId="77777777" w:rsidR="00EE09C2" w:rsidRPr="00A36050" w:rsidRDefault="00EE09C2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B2DAFAF" w14:textId="77777777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u w:val="single"/>
        </w:rPr>
      </w:pPr>
      <w:r w:rsidRPr="00A36050">
        <w:rPr>
          <w:rFonts w:ascii="Times New Roman" w:hAnsi="Times New Roman"/>
          <w:i/>
          <w:iCs/>
          <w:u w:val="single"/>
        </w:rPr>
        <w:t>A pH függvényében felszívódó hatóanyagok</w:t>
      </w:r>
    </w:p>
    <w:p w14:paraId="72B970C3" w14:textId="77777777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Az omeprazol-kezelés ideje alatt lecsökkent </w:t>
      </w:r>
      <w:r w:rsidR="00C63340" w:rsidRPr="00A36050">
        <w:rPr>
          <w:rFonts w:ascii="Times New Roman" w:hAnsi="Times New Roman"/>
        </w:rPr>
        <w:t>intragastricus</w:t>
      </w:r>
      <w:r w:rsidRPr="00A36050">
        <w:rPr>
          <w:rFonts w:ascii="Times New Roman" w:hAnsi="Times New Roman"/>
        </w:rPr>
        <w:t xml:space="preserve"> aciditás miatt a pH függvényében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felszívódó hatóanyagok abszorpciója növekedhet vagy csökkenhet.</w:t>
      </w:r>
    </w:p>
    <w:p w14:paraId="4F27DEC7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</w:p>
    <w:p w14:paraId="479A4E89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>Nelfinavir, atazanavir</w:t>
      </w:r>
    </w:p>
    <w:p w14:paraId="05C3BA3C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 nelfinavir és az atazanavir plazmakoncentrációja omeprazollal történő együttes alkalmazáskor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csökken.</w:t>
      </w:r>
    </w:p>
    <w:p w14:paraId="40CC48D1" w14:textId="77777777" w:rsidR="00E804C3" w:rsidRPr="00A36050" w:rsidRDefault="00E804C3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8125C87" w14:textId="468ACA60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Az omeprazolnak a nelfinavirral történő együttadása ellenjavallt (lásd 4.3</w:t>
      </w:r>
      <w:r w:rsidR="00F20D92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pont).</w:t>
      </w:r>
    </w:p>
    <w:p w14:paraId="7374A8BE" w14:textId="63521964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Omeprazol (napi 40</w:t>
      </w:r>
      <w:r w:rsidR="00E804C3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mg) együttadásakor a nelfinavir átlag expozíciója kb. 40%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kal, továbbá a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farmakológiai szempontból aktív M8 metabolitjának átlag expozíciója </w:t>
      </w:r>
      <w:r w:rsidR="00E804C3" w:rsidRPr="00A36050">
        <w:rPr>
          <w:rFonts w:ascii="Times New Roman" w:hAnsi="Times New Roman"/>
        </w:rPr>
        <w:t xml:space="preserve">kb. </w:t>
      </w:r>
      <w:r w:rsidRPr="00A36050">
        <w:rPr>
          <w:rFonts w:ascii="Times New Roman" w:hAnsi="Times New Roman"/>
        </w:rPr>
        <w:t>75</w:t>
      </w:r>
      <w:r w:rsidR="002D2E86" w:rsidRPr="00A3605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90%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kal csökkent. Az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interakció a CYP2C19 </w:t>
      </w:r>
      <w:r w:rsidR="003B78DF">
        <w:rPr>
          <w:rFonts w:ascii="Times New Roman" w:hAnsi="Times New Roman"/>
        </w:rPr>
        <w:t>gátlásával</w:t>
      </w:r>
      <w:r w:rsidRPr="00A36050">
        <w:rPr>
          <w:rFonts w:ascii="Times New Roman" w:hAnsi="Times New Roman"/>
        </w:rPr>
        <w:t xml:space="preserve"> is </w:t>
      </w:r>
      <w:r w:rsidR="003B78DF">
        <w:rPr>
          <w:rFonts w:ascii="Times New Roman" w:hAnsi="Times New Roman"/>
        </w:rPr>
        <w:t>járhat</w:t>
      </w:r>
      <w:r w:rsidRPr="00A36050">
        <w:rPr>
          <w:rFonts w:ascii="Times New Roman" w:hAnsi="Times New Roman"/>
        </w:rPr>
        <w:t>.</w:t>
      </w:r>
    </w:p>
    <w:p w14:paraId="5D7A6B0C" w14:textId="77777777" w:rsidR="002D5E74" w:rsidRPr="00A36050" w:rsidRDefault="002D5E74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C698619" w14:textId="0D1BFFB2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Az omeprazol és az atazanavir együttes alkalmazása nem javasolt (lásd 4.4</w:t>
      </w:r>
      <w:r w:rsidR="00F20D92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pont).</w:t>
      </w:r>
    </w:p>
    <w:p w14:paraId="374A45A6" w14:textId="062CF5BB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Egészséges önkéntesekben az omeprazolt (naponta egyszer 40</w:t>
      </w:r>
      <w:r w:rsidR="001F0EEF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mg) 300</w:t>
      </w:r>
      <w:r w:rsidR="00E804C3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 atazanavir/100</w:t>
      </w:r>
      <w:r w:rsidR="00E804C3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ritonavirral együttadva az atazanavir expozíciója 75%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kal csökkent. Az atazanavir adagjának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növelése 400</w:t>
      </w:r>
      <w:r w:rsidR="001F0EEF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mg-ig nem kompenzálta az omeprazolnak az atazanavir expozíciójára gyakorolt hatását.</w:t>
      </w:r>
    </w:p>
    <w:p w14:paraId="375EBF9B" w14:textId="05DBC4E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Egészséges önkénteseknél (napi 20</w:t>
      </w:r>
      <w:r w:rsidR="001F0EEF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mg) omeprazol és 400</w:t>
      </w:r>
      <w:r w:rsidR="00E804C3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 atazanavir/100</w:t>
      </w:r>
      <w:r w:rsidR="001F0EEF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 ritonavir együttes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alkalmazása az atazanavir</w:t>
      </w:r>
      <w:r w:rsidR="00E804C3" w:rsidRPr="00A36050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expozíció mintegy 30%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os csökkenését eredményezte a napi 300</w:t>
      </w:r>
      <w:r w:rsidR="00E804C3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atazanavir/100</w:t>
      </w:r>
      <w:r w:rsidR="00E804C3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 ritonavir alkalmazása mellett megfigyelt expozícióhoz viszonyítva.</w:t>
      </w:r>
    </w:p>
    <w:p w14:paraId="48E97007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E7BAAC3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</w:rPr>
      </w:pPr>
      <w:r w:rsidRPr="00A36050">
        <w:rPr>
          <w:rFonts w:ascii="Times New Roman" w:hAnsi="Times New Roman"/>
          <w:i/>
        </w:rPr>
        <w:t>Digoxin</w:t>
      </w:r>
    </w:p>
    <w:p w14:paraId="2952DC19" w14:textId="5FA50910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Omeprazol (napi 20</w:t>
      </w:r>
      <w:r w:rsidR="00E804C3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mg) és digoxin, egészséges alanyokban történő együttes alkalmazásakor a digoxin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biohasznosulása 10%</w:t>
      </w:r>
      <w:r w:rsidR="00533B18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kal megemelkedett. Digoxin okozta toxikus hatásról ritkán számoltak be.</w:t>
      </w:r>
    </w:p>
    <w:p w14:paraId="6AD27C14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Azonban idős betegeknél az omeprazol nagy dózisokban történő alkalmazásakor elővigyázatosság</w:t>
      </w:r>
      <w:r w:rsidR="002D5E74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szükséges. Ilyen esetekben a digoxin terápiás gyógyszerszint-monitorozását kell bevezetni.</w:t>
      </w:r>
    </w:p>
    <w:p w14:paraId="27EEF2AB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4E05713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</w:rPr>
      </w:pPr>
      <w:r w:rsidRPr="00A36050">
        <w:rPr>
          <w:rFonts w:ascii="Times New Roman" w:hAnsi="Times New Roman"/>
          <w:i/>
        </w:rPr>
        <w:t>Klopidogr</w:t>
      </w:r>
      <w:r w:rsidR="00340342" w:rsidRPr="00A36050">
        <w:rPr>
          <w:rFonts w:ascii="Times New Roman" w:hAnsi="Times New Roman"/>
          <w:i/>
        </w:rPr>
        <w:t>e</w:t>
      </w:r>
      <w:r w:rsidRPr="00A36050">
        <w:rPr>
          <w:rFonts w:ascii="Times New Roman" w:hAnsi="Times New Roman"/>
          <w:i/>
        </w:rPr>
        <w:t>l</w:t>
      </w:r>
    </w:p>
    <w:p w14:paraId="7D793C48" w14:textId="77777777" w:rsidR="00E92449" w:rsidRPr="00A36050" w:rsidRDefault="00E92449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Egészséges </w:t>
      </w:r>
      <w:r w:rsidR="000B48BE" w:rsidRPr="00A36050">
        <w:rPr>
          <w:rFonts w:ascii="Times New Roman" w:hAnsi="Times New Roman"/>
        </w:rPr>
        <w:t xml:space="preserve">önkéntesekkel </w:t>
      </w:r>
      <w:r w:rsidRPr="00A36050">
        <w:rPr>
          <w:rFonts w:ascii="Times New Roman" w:hAnsi="Times New Roman"/>
        </w:rPr>
        <w:t>végzett vizsgálatok eredményei farmakokinetikai/farmakodinámiás kölcsönhatást mutattak a klopidogr</w:t>
      </w:r>
      <w:r w:rsidR="00340342" w:rsidRPr="00A36050">
        <w:rPr>
          <w:rFonts w:ascii="Times New Roman" w:hAnsi="Times New Roman"/>
        </w:rPr>
        <w:t>e</w:t>
      </w:r>
      <w:r w:rsidRPr="00A36050">
        <w:rPr>
          <w:rFonts w:ascii="Times New Roman" w:hAnsi="Times New Roman"/>
        </w:rPr>
        <w:t>l (300 mg</w:t>
      </w:r>
      <w:r w:rsidRPr="00A36050">
        <w:rPr>
          <w:rFonts w:ascii="Times New Roman" w:hAnsi="Times New Roman"/>
        </w:rPr>
        <w:noBreakHyphen/>
        <w:t>os telítő dózis/75 mg</w:t>
      </w:r>
      <w:r w:rsidRPr="00A36050">
        <w:rPr>
          <w:rFonts w:ascii="Times New Roman" w:hAnsi="Times New Roman"/>
        </w:rPr>
        <w:noBreakHyphen/>
        <w:t xml:space="preserve">os napi fenntartó dózis) és az omeprazol (napi 80 mg </w:t>
      </w:r>
      <w:r w:rsidRPr="00A36050">
        <w:rPr>
          <w:rFonts w:ascii="Times New Roman" w:hAnsi="Times New Roman"/>
          <w:i/>
          <w:iCs/>
        </w:rPr>
        <w:t>per os</w:t>
      </w:r>
      <w:r w:rsidRPr="00A36050">
        <w:rPr>
          <w:rFonts w:ascii="Times New Roman" w:hAnsi="Times New Roman"/>
        </w:rPr>
        <w:t>) között, ami a klopidogr</w:t>
      </w:r>
      <w:r w:rsidR="00340342" w:rsidRPr="00A36050">
        <w:rPr>
          <w:rFonts w:ascii="Times New Roman" w:hAnsi="Times New Roman"/>
        </w:rPr>
        <w:t>e</w:t>
      </w:r>
      <w:r w:rsidRPr="00A36050">
        <w:rPr>
          <w:rFonts w:ascii="Times New Roman" w:hAnsi="Times New Roman"/>
        </w:rPr>
        <w:t>l aktív metabolitja expozíciójának átlagosan 46%</w:t>
      </w:r>
      <w:r w:rsidRPr="00A36050">
        <w:rPr>
          <w:rFonts w:ascii="Times New Roman" w:hAnsi="Times New Roman"/>
        </w:rPr>
        <w:noBreakHyphen/>
        <w:t>os csökkenését, valamint a</w:t>
      </w:r>
      <w:r w:rsidR="008A541D" w:rsidRPr="00A36050">
        <w:rPr>
          <w:rFonts w:ascii="Times New Roman" w:hAnsi="Times New Roman"/>
        </w:rPr>
        <w:t xml:space="preserve">z ADP indukált </w:t>
      </w:r>
      <w:r w:rsidRPr="00A36050">
        <w:rPr>
          <w:rFonts w:ascii="Times New Roman" w:hAnsi="Times New Roman"/>
        </w:rPr>
        <w:t>thrombocytaaggregáció maximális gátlásának átlagosan 16%</w:t>
      </w:r>
      <w:r w:rsidRPr="00A36050">
        <w:rPr>
          <w:rFonts w:ascii="Times New Roman" w:hAnsi="Times New Roman"/>
        </w:rPr>
        <w:noBreakHyphen/>
        <w:t>os csökkenését eredményezte.</w:t>
      </w:r>
    </w:p>
    <w:p w14:paraId="2F0A81D4" w14:textId="77777777" w:rsidR="00E92449" w:rsidRPr="00A36050" w:rsidRDefault="00E92449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1237C9B" w14:textId="77777777" w:rsidR="00E92449" w:rsidRPr="00A36050" w:rsidRDefault="00E92449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Ellentmondásos adatokat jelentettek mind az obszervációs, mind a klinikai vizsgálatok eredményeképpen az omeprazol farmakokinetikai/farmakodinámiás interakciójának a major cardiovascularis eseményekre gyakorolt klinikai hatásáról. Elővigyázatosságból az omeprazol és a klopidogr</w:t>
      </w:r>
      <w:r w:rsidR="00340342" w:rsidRPr="00A36050">
        <w:rPr>
          <w:rFonts w:ascii="Times New Roman" w:hAnsi="Times New Roman"/>
        </w:rPr>
        <w:t>e</w:t>
      </w:r>
      <w:r w:rsidRPr="00A36050">
        <w:rPr>
          <w:rFonts w:ascii="Times New Roman" w:hAnsi="Times New Roman"/>
        </w:rPr>
        <w:t>l együttadása nem javasolt (lásd 4.4 pont).</w:t>
      </w:r>
    </w:p>
    <w:p w14:paraId="097010F1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B469DBB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</w:rPr>
        <w:t xml:space="preserve">Egyéb </w:t>
      </w:r>
      <w:r w:rsidRPr="00A36050">
        <w:rPr>
          <w:rFonts w:ascii="Times New Roman" w:hAnsi="Times New Roman"/>
          <w:i/>
          <w:iCs/>
        </w:rPr>
        <w:t>hatóanyagok</w:t>
      </w:r>
    </w:p>
    <w:p w14:paraId="4F1DE0E8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A pozakonazol, az erlotinib, a ketokonazol és az itrakonazol felszívódása jelentősen csökken, és </w:t>
      </w:r>
      <w:r w:rsidR="000417CF" w:rsidRPr="00A36050">
        <w:rPr>
          <w:rFonts w:ascii="Times New Roman" w:hAnsi="Times New Roman"/>
        </w:rPr>
        <w:t>i</w:t>
      </w:r>
      <w:r w:rsidRPr="00A36050">
        <w:rPr>
          <w:rFonts w:ascii="Times New Roman" w:hAnsi="Times New Roman"/>
        </w:rPr>
        <w:t>ly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módon a klinikai hatásosság gyengülhet. A pozakonazollal és az erlotinibbel történő együttes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alkalmazást kerülni kell.</w:t>
      </w:r>
    </w:p>
    <w:p w14:paraId="4849F32E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</w:p>
    <w:p w14:paraId="58030FD0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u w:val="single"/>
        </w:rPr>
      </w:pPr>
      <w:r w:rsidRPr="00A36050">
        <w:rPr>
          <w:rFonts w:ascii="Times New Roman" w:hAnsi="Times New Roman"/>
          <w:i/>
          <w:iCs/>
          <w:u w:val="single"/>
        </w:rPr>
        <w:t>A CYP2C19 enzim</w:t>
      </w:r>
      <w:r w:rsidRPr="00A36050">
        <w:rPr>
          <w:rFonts w:ascii="Times New Roman" w:hAnsi="Times New Roman"/>
          <w:i/>
          <w:u w:val="single"/>
        </w:rPr>
        <w:t xml:space="preserve"> által metabolizált </w:t>
      </w:r>
      <w:r w:rsidRPr="00A36050">
        <w:rPr>
          <w:rFonts w:ascii="Times New Roman" w:hAnsi="Times New Roman"/>
          <w:i/>
          <w:iCs/>
          <w:u w:val="single"/>
        </w:rPr>
        <w:t>hatóanyagok</w:t>
      </w:r>
    </w:p>
    <w:p w14:paraId="0882922E" w14:textId="1F59877C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Az omeprazol közepes mértékben gátolja a CYP2C19 aktivitását, mely az omeprazol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metabolizmusában főszerepet játszik. </w:t>
      </w:r>
      <w:r w:rsidR="008A22CC" w:rsidRPr="008A22CC">
        <w:rPr>
          <w:rFonts w:ascii="Times New Roman" w:hAnsi="Times New Roman"/>
        </w:rPr>
        <w:t>Így együttadáskor a szintén CYP2C19 enzim által metabolizált egyéb hatóanyagok metabolizációja csökkenhet</w:t>
      </w:r>
      <w:r w:rsidRPr="00A36050">
        <w:rPr>
          <w:rFonts w:ascii="Times New Roman" w:hAnsi="Times New Roman"/>
        </w:rPr>
        <w:t>, és szisztémás expozíciójuk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megnövekedhet. Ilyen gyógyszerek </w:t>
      </w:r>
      <w:r w:rsidR="00E04C6B">
        <w:rPr>
          <w:rFonts w:ascii="Times New Roman" w:hAnsi="Times New Roman"/>
        </w:rPr>
        <w:t>például</w:t>
      </w:r>
      <w:r w:rsidRPr="00E04C6B">
        <w:rPr>
          <w:rFonts w:ascii="Times New Roman" w:hAnsi="Times New Roman"/>
        </w:rPr>
        <w:t xml:space="preserve"> az R-warfarin, valamint az egyéb K-vitamin</w:t>
      </w:r>
      <w:r w:rsidR="00952801" w:rsidRPr="00E04C6B">
        <w:rPr>
          <w:rFonts w:ascii="Times New Roman" w:hAnsi="Times New Roman"/>
        </w:rPr>
        <w:t>-</w:t>
      </w:r>
      <w:r w:rsidRPr="00E04C6B">
        <w:rPr>
          <w:rFonts w:ascii="Times New Roman" w:hAnsi="Times New Roman"/>
        </w:rPr>
        <w:t xml:space="preserve">antagonisták, a cilosztazol, a </w:t>
      </w:r>
      <w:r w:rsidR="00C63340" w:rsidRPr="00A36050">
        <w:rPr>
          <w:rFonts w:ascii="Times New Roman" w:hAnsi="Times New Roman"/>
        </w:rPr>
        <w:t>diazepám</w:t>
      </w:r>
      <w:r w:rsidRPr="00A36050">
        <w:rPr>
          <w:rFonts w:ascii="Times New Roman" w:hAnsi="Times New Roman"/>
        </w:rPr>
        <w:t xml:space="preserve"> és a fenitoin.</w:t>
      </w:r>
    </w:p>
    <w:p w14:paraId="142EAC9B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</w:p>
    <w:p w14:paraId="5DA06B22" w14:textId="77777777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lastRenderedPageBreak/>
        <w:t>Cilosztazol</w:t>
      </w:r>
    </w:p>
    <w:p w14:paraId="6E3AD35C" w14:textId="038D4786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Egy keresztezett </w:t>
      </w:r>
      <w:r w:rsidR="00211551">
        <w:rPr>
          <w:rFonts w:ascii="Times New Roman" w:hAnsi="Times New Roman"/>
        </w:rPr>
        <w:t xml:space="preserve">klinikai </w:t>
      </w:r>
      <w:r w:rsidRPr="00A36050">
        <w:rPr>
          <w:rFonts w:ascii="Times New Roman" w:hAnsi="Times New Roman"/>
        </w:rPr>
        <w:t>vizsgálatban, egészséges alanyoknak 40</w:t>
      </w:r>
      <w:r w:rsidR="001F0EEF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 dózisokban adott omeprazol hatására a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cilosztazol maximális plazmakoncentrációja (C</w:t>
      </w:r>
      <w:r w:rsidRPr="00A36050">
        <w:rPr>
          <w:rFonts w:ascii="Times New Roman" w:hAnsi="Times New Roman"/>
          <w:vertAlign w:val="subscript"/>
        </w:rPr>
        <w:t>max</w:t>
      </w:r>
      <w:r w:rsidRPr="00A36050">
        <w:rPr>
          <w:rFonts w:ascii="Times New Roman" w:hAnsi="Times New Roman"/>
        </w:rPr>
        <w:t>) 18%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kal, az idő-plazmakoncentráció görbe alatti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terület (AUC) értéke 26%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kal, továbbá az egyik aktív metabolitjának C</w:t>
      </w:r>
      <w:r w:rsidRPr="00A36050">
        <w:rPr>
          <w:rFonts w:ascii="Times New Roman" w:hAnsi="Times New Roman"/>
          <w:vertAlign w:val="subscript"/>
        </w:rPr>
        <w:t>max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értéke</w:t>
      </w:r>
      <w:r w:rsidR="00306A4A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29%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kal, AUC értéke pedig 69%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kal megemelkedett.</w:t>
      </w:r>
    </w:p>
    <w:p w14:paraId="61CB72B8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</w:p>
    <w:p w14:paraId="54FCF840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>Fenitoin</w:t>
      </w:r>
    </w:p>
    <w:p w14:paraId="3CED51AC" w14:textId="108B65A8" w:rsidR="00FB6845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Az omeprazol</w:t>
      </w:r>
      <w:r w:rsidR="00952801" w:rsidRPr="00A36050">
        <w:rPr>
          <w:rFonts w:ascii="Times New Roman" w:hAnsi="Times New Roman"/>
        </w:rPr>
        <w:t>-</w:t>
      </w:r>
      <w:r w:rsidR="00211551">
        <w:rPr>
          <w:rFonts w:ascii="Times New Roman" w:hAnsi="Times New Roman"/>
        </w:rPr>
        <w:t>kezelés</w:t>
      </w:r>
      <w:r w:rsidRPr="00A36050">
        <w:rPr>
          <w:rFonts w:ascii="Times New Roman" w:hAnsi="Times New Roman"/>
        </w:rPr>
        <w:t xml:space="preserve"> </w:t>
      </w:r>
      <w:r w:rsidR="00211551">
        <w:rPr>
          <w:rFonts w:ascii="Times New Roman" w:hAnsi="Times New Roman"/>
        </w:rPr>
        <w:t>megkezdését követő</w:t>
      </w:r>
      <w:r w:rsidRPr="00A36050">
        <w:rPr>
          <w:rFonts w:ascii="Times New Roman" w:hAnsi="Times New Roman"/>
        </w:rPr>
        <w:t xml:space="preserve"> első két hét</w:t>
      </w:r>
      <w:r w:rsidR="00211551">
        <w:rPr>
          <w:rFonts w:ascii="Times New Roman" w:hAnsi="Times New Roman"/>
        </w:rPr>
        <w:t xml:space="preserve"> során</w:t>
      </w:r>
      <w:r w:rsidRPr="00A36050">
        <w:rPr>
          <w:rFonts w:ascii="Times New Roman" w:hAnsi="Times New Roman"/>
        </w:rPr>
        <w:t xml:space="preserve">, </w:t>
      </w:r>
      <w:r w:rsidR="00FB6845" w:rsidRPr="00FB6845">
        <w:rPr>
          <w:rFonts w:ascii="Times New Roman" w:hAnsi="Times New Roman"/>
        </w:rPr>
        <w:t>a fenitoin plazmakoncentrációjának monitorozása ajánlott. Amennyiben módosítani kellett a fenitoin adagolását, az omeprazol kezelés befejezése után újabb monitorozás és újabb dózismódosítás szükséges.</w:t>
      </w:r>
    </w:p>
    <w:p w14:paraId="4DA29E4B" w14:textId="77777777" w:rsidR="000417CF" w:rsidRPr="00A36050" w:rsidRDefault="000417CF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29F7FDB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Ismeretlen mechanizmus</w:t>
      </w:r>
    </w:p>
    <w:p w14:paraId="6BF8E1E0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</w:p>
    <w:p w14:paraId="45FE4F2D" w14:textId="77777777" w:rsidR="001C0BD1" w:rsidRPr="00A36050" w:rsidRDefault="002D5E74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>Szak</w:t>
      </w:r>
      <w:r w:rsidR="00B20E48" w:rsidRPr="00A36050">
        <w:rPr>
          <w:rFonts w:ascii="Times New Roman" w:hAnsi="Times New Roman"/>
          <w:i/>
          <w:iCs/>
        </w:rPr>
        <w:t>v</w:t>
      </w:r>
      <w:r w:rsidRPr="00A36050">
        <w:rPr>
          <w:rFonts w:ascii="Times New Roman" w:hAnsi="Times New Roman"/>
          <w:i/>
          <w:iCs/>
        </w:rPr>
        <w:t>inavir</w:t>
      </w:r>
    </w:p>
    <w:p w14:paraId="4830547A" w14:textId="4EC7944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Az omeprazol sz</w:t>
      </w:r>
      <w:r w:rsidR="000417CF" w:rsidRPr="00A36050">
        <w:rPr>
          <w:rFonts w:ascii="Times New Roman" w:hAnsi="Times New Roman"/>
        </w:rPr>
        <w:t>a</w:t>
      </w:r>
      <w:r w:rsidRPr="00A36050">
        <w:rPr>
          <w:rFonts w:ascii="Times New Roman" w:hAnsi="Times New Roman"/>
        </w:rPr>
        <w:t>k</w:t>
      </w:r>
      <w:r w:rsidR="00B20E48" w:rsidRPr="00A36050">
        <w:rPr>
          <w:rFonts w:ascii="Times New Roman" w:hAnsi="Times New Roman"/>
        </w:rPr>
        <w:t>v</w:t>
      </w:r>
      <w:r w:rsidRPr="00A36050">
        <w:rPr>
          <w:rFonts w:ascii="Times New Roman" w:hAnsi="Times New Roman"/>
        </w:rPr>
        <w:t>inavirral/ritonavirral történő együttadása a sz</w:t>
      </w:r>
      <w:r w:rsidR="000417CF" w:rsidRPr="00A36050">
        <w:rPr>
          <w:rFonts w:ascii="Times New Roman" w:hAnsi="Times New Roman"/>
        </w:rPr>
        <w:t>a</w:t>
      </w:r>
      <w:r w:rsidRPr="00A36050">
        <w:rPr>
          <w:rFonts w:ascii="Times New Roman" w:hAnsi="Times New Roman"/>
        </w:rPr>
        <w:t>k</w:t>
      </w:r>
      <w:r w:rsidR="00E83B46" w:rsidRPr="00A36050">
        <w:rPr>
          <w:rFonts w:ascii="Times New Roman" w:hAnsi="Times New Roman"/>
        </w:rPr>
        <w:t>v</w:t>
      </w:r>
      <w:r w:rsidRPr="00A36050">
        <w:rPr>
          <w:rFonts w:ascii="Times New Roman" w:hAnsi="Times New Roman"/>
        </w:rPr>
        <w:t>inavir plazm</w:t>
      </w:r>
      <w:r w:rsidR="00895F1E">
        <w:rPr>
          <w:rFonts w:ascii="Times New Roman" w:hAnsi="Times New Roman"/>
        </w:rPr>
        <w:t>aszintjének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megközelítőleg 70%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os emelkedését eredményezte, melyet a HIV</w:t>
      </w:r>
      <w:r w:rsidR="008E0539" w:rsidRPr="00A36050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fertőzött betegek jól toleráltak.</w:t>
      </w:r>
    </w:p>
    <w:p w14:paraId="0125B214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</w:p>
    <w:p w14:paraId="1E2D5002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>Takrolimusz</w:t>
      </w:r>
    </w:p>
    <w:p w14:paraId="4B630CAE" w14:textId="527A3939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Omeprazol alkalmazása mellett a takrolimusz </w:t>
      </w:r>
      <w:r w:rsidR="003307B3">
        <w:rPr>
          <w:rFonts w:ascii="Times New Roman" w:hAnsi="Times New Roman"/>
        </w:rPr>
        <w:t>szérum</w:t>
      </w:r>
      <w:r w:rsidRPr="00A36050">
        <w:rPr>
          <w:rFonts w:ascii="Times New Roman" w:hAnsi="Times New Roman"/>
        </w:rPr>
        <w:t>szintjének növekedéséről</w:t>
      </w:r>
      <w:r w:rsidR="003307B3">
        <w:rPr>
          <w:rFonts w:ascii="Times New Roman" w:hAnsi="Times New Roman"/>
        </w:rPr>
        <w:t xml:space="preserve"> számoltak be, ezért</w:t>
      </w:r>
      <w:r w:rsidR="000417CF" w:rsidRPr="00A36050">
        <w:rPr>
          <w:rFonts w:ascii="Times New Roman" w:hAnsi="Times New Roman"/>
        </w:rPr>
        <w:t xml:space="preserve"> </w:t>
      </w:r>
      <w:r w:rsidR="003307B3" w:rsidRPr="00A36050">
        <w:rPr>
          <w:rFonts w:ascii="Times New Roman" w:hAnsi="Times New Roman"/>
        </w:rPr>
        <w:t>fokozott mértékben kell ellenőrizni</w:t>
      </w:r>
      <w:r w:rsidR="003307B3">
        <w:rPr>
          <w:rFonts w:ascii="Times New Roman" w:hAnsi="Times New Roman"/>
        </w:rPr>
        <w:t xml:space="preserve"> a </w:t>
      </w:r>
      <w:r w:rsidRPr="00A36050">
        <w:rPr>
          <w:rFonts w:ascii="Times New Roman" w:hAnsi="Times New Roman"/>
        </w:rPr>
        <w:t xml:space="preserve">takrolimusz plazmakoncentrációját és a vesefunkciót (a </w:t>
      </w:r>
      <w:r w:rsidR="00B20E48" w:rsidRPr="00A36050">
        <w:rPr>
          <w:rFonts w:ascii="Times New Roman" w:hAnsi="Times New Roman"/>
        </w:rPr>
        <w:t>k</w:t>
      </w:r>
      <w:r w:rsidRPr="00A36050">
        <w:rPr>
          <w:rFonts w:ascii="Times New Roman" w:hAnsi="Times New Roman"/>
        </w:rPr>
        <w:t>reatinin-clearance-t)</w:t>
      </w:r>
      <w:r w:rsidR="003307B3">
        <w:rPr>
          <w:rFonts w:ascii="Times New Roman" w:hAnsi="Times New Roman"/>
        </w:rPr>
        <w:t>,</w:t>
      </w:r>
      <w:r w:rsidRPr="00A36050">
        <w:rPr>
          <w:rFonts w:ascii="Times New Roman" w:hAnsi="Times New Roman"/>
        </w:rPr>
        <w:t xml:space="preserve"> és szükség esetén módosítani kell a takrolimusz</w:t>
      </w:r>
      <w:r w:rsidR="003307B3">
        <w:rPr>
          <w:rFonts w:ascii="Times New Roman" w:hAnsi="Times New Roman"/>
        </w:rPr>
        <w:t xml:space="preserve"> dózisát</w:t>
      </w:r>
      <w:r w:rsidRPr="00A36050">
        <w:rPr>
          <w:rFonts w:ascii="Times New Roman" w:hAnsi="Times New Roman"/>
        </w:rPr>
        <w:t>.</w:t>
      </w:r>
    </w:p>
    <w:p w14:paraId="31EA5E25" w14:textId="77777777" w:rsidR="000417CF" w:rsidRPr="00A36050" w:rsidRDefault="000417CF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72A7508" w14:textId="77777777" w:rsidR="00F6400A" w:rsidRPr="00A36050" w:rsidRDefault="00F6400A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</w:rPr>
      </w:pPr>
      <w:r w:rsidRPr="00A36050">
        <w:rPr>
          <w:rFonts w:ascii="Times New Roman" w:hAnsi="Times New Roman"/>
          <w:i/>
        </w:rPr>
        <w:t>Metotrexát</w:t>
      </w:r>
    </w:p>
    <w:p w14:paraId="02D8613E" w14:textId="20BDB215" w:rsidR="00F6400A" w:rsidRPr="00A36050" w:rsidRDefault="003C55E3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3C55E3">
        <w:rPr>
          <w:rFonts w:ascii="Times New Roman" w:hAnsi="Times New Roman"/>
        </w:rPr>
        <w:t>A metotrexátot a protonpumpa</w:t>
      </w:r>
      <w:r>
        <w:rPr>
          <w:rFonts w:ascii="Times New Roman" w:hAnsi="Times New Roman"/>
        </w:rPr>
        <w:t>-</w:t>
      </w:r>
      <w:r w:rsidRPr="003C55E3">
        <w:rPr>
          <w:rFonts w:ascii="Times New Roman" w:hAnsi="Times New Roman"/>
        </w:rPr>
        <w:t>gátlókkal együttadva, a metotrexát-szintek emelkedéséről számoltak be néhány betegnél.</w:t>
      </w:r>
      <w:r w:rsidR="00F6400A" w:rsidRPr="00A3605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Nagy</w:t>
      </w:r>
      <w:r w:rsidR="00F6400A" w:rsidRPr="00A36050">
        <w:rPr>
          <w:rFonts w:ascii="Times New Roman" w:hAnsi="Times New Roman"/>
        </w:rPr>
        <w:t xml:space="preserve"> dózisú metotrexát alkalmazásakor az omeprazol</w:t>
      </w:r>
      <w:r w:rsidR="00952801" w:rsidRPr="00A36050">
        <w:rPr>
          <w:rFonts w:ascii="Times New Roman" w:hAnsi="Times New Roman"/>
        </w:rPr>
        <w:t>-</w:t>
      </w:r>
      <w:r w:rsidR="00F6400A" w:rsidRPr="00A36050">
        <w:rPr>
          <w:rFonts w:ascii="Times New Roman" w:hAnsi="Times New Roman"/>
        </w:rPr>
        <w:t>kezelés átmeneti felfüggesztésének megfontolására is szükség lehet.</w:t>
      </w:r>
    </w:p>
    <w:p w14:paraId="421736E1" w14:textId="77777777" w:rsidR="008B2319" w:rsidRPr="00A36050" w:rsidRDefault="008B2319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FA127CA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Más hatóanyagok hatása az omeprazol farmakokinetikájára</w:t>
      </w:r>
    </w:p>
    <w:p w14:paraId="348036E4" w14:textId="77777777" w:rsidR="00306A4A" w:rsidRPr="00A36050" w:rsidRDefault="00306A4A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</w:p>
    <w:p w14:paraId="35C69FBF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u w:val="single"/>
        </w:rPr>
      </w:pPr>
      <w:r w:rsidRPr="00A36050">
        <w:rPr>
          <w:rFonts w:ascii="Times New Roman" w:hAnsi="Times New Roman"/>
          <w:i/>
          <w:iCs/>
          <w:u w:val="single"/>
        </w:rPr>
        <w:t>CYP2C19 és/vagy CYP3A4 inhibitorok</w:t>
      </w:r>
    </w:p>
    <w:p w14:paraId="194917F0" w14:textId="4AD7F09F" w:rsidR="00CE0EEB" w:rsidRPr="00CE0EEB" w:rsidRDefault="001C0BD1" w:rsidP="00CE0EE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Mivel az omeprazol a CYP2C19 és a CYP3A4 enzimek útján metabolizálódik, </w:t>
      </w:r>
      <w:r w:rsidR="00CE0EEB" w:rsidRPr="00CE0EEB">
        <w:rPr>
          <w:rFonts w:ascii="Times New Roman" w:hAnsi="Times New Roman"/>
        </w:rPr>
        <w:t xml:space="preserve">az olyan hatóanyagok, melyekről ismert, hogy gátolják a CYP2C19 és CYP3A4 enzimeket </w:t>
      </w:r>
      <w:r w:rsidRPr="00A36050">
        <w:rPr>
          <w:rFonts w:ascii="Times New Roman" w:hAnsi="Times New Roman"/>
        </w:rPr>
        <w:t xml:space="preserve">(mint </w:t>
      </w:r>
      <w:r w:rsidR="00E04C6B">
        <w:rPr>
          <w:rFonts w:ascii="Times New Roman" w:hAnsi="Times New Roman"/>
        </w:rPr>
        <w:t>például</w:t>
      </w:r>
      <w:r w:rsidRPr="00E04C6B">
        <w:rPr>
          <w:rFonts w:ascii="Times New Roman" w:hAnsi="Times New Roman"/>
        </w:rPr>
        <w:t xml:space="preserve"> a klaritromicin vagy a vorikonazol)</w:t>
      </w:r>
      <w:r w:rsidR="00CE0EEB">
        <w:rPr>
          <w:rFonts w:ascii="Times New Roman" w:hAnsi="Times New Roman"/>
        </w:rPr>
        <w:t>,</w:t>
      </w:r>
      <w:r w:rsidRPr="00E04C6B">
        <w:rPr>
          <w:rFonts w:ascii="Times New Roman" w:hAnsi="Times New Roman"/>
        </w:rPr>
        <w:t xml:space="preserve"> az</w:t>
      </w:r>
      <w:r w:rsidR="000417CF" w:rsidRPr="00E04C6B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omeprazol</w:t>
      </w:r>
      <w:r w:rsidR="000417CF" w:rsidRPr="00A3605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metabolizmus mértékének csökkentése miatt az omeprazol szérumszintjének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megemelkedését eredményezhetik. Vorikonazollal történő együttadásakor több mint kétszeres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omeprazol</w:t>
      </w:r>
      <w:r w:rsidR="00952801" w:rsidRPr="00A36050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 xml:space="preserve">expozíciót tapasztaltak. </w:t>
      </w:r>
      <w:r w:rsidR="00CE0EEB" w:rsidRPr="00CE0EEB">
        <w:rPr>
          <w:rFonts w:ascii="Times New Roman" w:hAnsi="Times New Roman"/>
        </w:rPr>
        <w:t>Tekintettel arra, hogy a betegek jól tolerálták az omeprazol nagy dózisait, az omeprazol adagolásának módosítása általában nem szükséges. Amennyiben azonban a beteg súlyos májkárosodásban szenved, vagy ha hosszú távú kezelés indokolt, megfontolandó az adagolás módosítása.</w:t>
      </w:r>
    </w:p>
    <w:p w14:paraId="1CBD6267" w14:textId="77777777" w:rsidR="00306A4A" w:rsidRPr="00A36050" w:rsidRDefault="00306A4A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</w:p>
    <w:p w14:paraId="2874C909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u w:val="single"/>
        </w:rPr>
      </w:pPr>
      <w:r w:rsidRPr="00A36050">
        <w:rPr>
          <w:rFonts w:ascii="Times New Roman" w:hAnsi="Times New Roman"/>
          <w:i/>
          <w:iCs/>
          <w:u w:val="single"/>
        </w:rPr>
        <w:t>CYP2C19 és/vagy CYP3A4 induktorok</w:t>
      </w:r>
    </w:p>
    <w:p w14:paraId="52560354" w14:textId="4C992FFB" w:rsidR="00973DB8" w:rsidRPr="00A36050" w:rsidRDefault="00973DB8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73DB8">
        <w:rPr>
          <w:rFonts w:ascii="Times New Roman" w:hAnsi="Times New Roman"/>
        </w:rPr>
        <w:t>Olyan hatóanyagok, melyekről tudjuk, hogy indukálják a CYP2C19 enzimet vagy a CYP3A4 enzimet, illetve mindkettőt (pl. rifampicin és a közönséges orbáncfű), az omeprazol metabolizmusának fokozásával az omeprazol szérumszintjének csökkenéséhez vezethetnek.</w:t>
      </w:r>
    </w:p>
    <w:p w14:paraId="795BEFF5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</w:p>
    <w:p w14:paraId="571194EB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A36050">
        <w:rPr>
          <w:rFonts w:ascii="Times New Roman" w:hAnsi="Times New Roman"/>
          <w:b/>
          <w:bCs/>
        </w:rPr>
        <w:t>4.6</w:t>
      </w:r>
      <w:r w:rsidR="008E0539" w:rsidRPr="00A36050">
        <w:rPr>
          <w:rFonts w:ascii="Times New Roman" w:hAnsi="Times New Roman"/>
          <w:b/>
          <w:bCs/>
        </w:rPr>
        <w:tab/>
        <w:t>Termékenység, t</w:t>
      </w:r>
      <w:r w:rsidRPr="00A36050">
        <w:rPr>
          <w:rFonts w:ascii="Times New Roman" w:hAnsi="Times New Roman"/>
          <w:b/>
          <w:bCs/>
        </w:rPr>
        <w:t>erhesség és szoptatás</w:t>
      </w:r>
    </w:p>
    <w:p w14:paraId="588AF295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5891797" w14:textId="77777777" w:rsidR="008B2319" w:rsidRPr="00A36050" w:rsidRDefault="008B2319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Terhesség</w:t>
      </w:r>
    </w:p>
    <w:p w14:paraId="575AF769" w14:textId="3CA719D5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Három prospektív epidemiológiai vizsgálat </w:t>
      </w:r>
      <w:r w:rsidR="00634B9E">
        <w:rPr>
          <w:rFonts w:ascii="Times New Roman" w:hAnsi="Times New Roman"/>
        </w:rPr>
        <w:t>eredményei</w:t>
      </w:r>
      <w:r w:rsidRPr="00A36050">
        <w:rPr>
          <w:rFonts w:ascii="Times New Roman" w:hAnsi="Times New Roman"/>
        </w:rPr>
        <w:t xml:space="preserve"> (több mint 1000 </w:t>
      </w:r>
      <w:r w:rsidR="00634B9E">
        <w:rPr>
          <w:rFonts w:ascii="Times New Roman" w:hAnsi="Times New Roman"/>
        </w:rPr>
        <w:t>vizsgálati eredmény</w:t>
      </w:r>
      <w:r w:rsidRPr="00A36050">
        <w:rPr>
          <w:rFonts w:ascii="Times New Roman" w:hAnsi="Times New Roman"/>
        </w:rPr>
        <w:t>) nem utalnak arra,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hogy az omeprazol káros hatással lenne a terhességre vagy a magzat</w:t>
      </w:r>
      <w:r w:rsidR="00634B9E">
        <w:rPr>
          <w:rFonts w:ascii="Times New Roman" w:hAnsi="Times New Roman"/>
        </w:rPr>
        <w:t>, illetve az újszülött egészségére</w:t>
      </w:r>
      <w:r w:rsidRPr="00A36050">
        <w:rPr>
          <w:rFonts w:ascii="Times New Roman" w:hAnsi="Times New Roman"/>
        </w:rPr>
        <w:t>. Az omeprazol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alkalmazható</w:t>
      </w:r>
      <w:r w:rsidR="00634B9E">
        <w:rPr>
          <w:rFonts w:ascii="Times New Roman" w:hAnsi="Times New Roman"/>
        </w:rPr>
        <w:t xml:space="preserve"> a</w:t>
      </w:r>
      <w:r w:rsidR="00634B9E" w:rsidRPr="00634B9E">
        <w:rPr>
          <w:rFonts w:ascii="Times New Roman" w:hAnsi="Times New Roman"/>
        </w:rPr>
        <w:t xml:space="preserve"> </w:t>
      </w:r>
      <w:r w:rsidR="00634B9E" w:rsidRPr="00A36050">
        <w:rPr>
          <w:rFonts w:ascii="Times New Roman" w:hAnsi="Times New Roman"/>
        </w:rPr>
        <w:t>terhesség alatt</w:t>
      </w:r>
      <w:r w:rsidR="00634B9E">
        <w:rPr>
          <w:rFonts w:ascii="Times New Roman" w:hAnsi="Times New Roman"/>
        </w:rPr>
        <w:t>.</w:t>
      </w:r>
    </w:p>
    <w:p w14:paraId="57D26523" w14:textId="77777777" w:rsidR="000417CF" w:rsidRPr="00A36050" w:rsidRDefault="000417CF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D7EE26E" w14:textId="77777777" w:rsidR="008B2319" w:rsidRPr="00A36050" w:rsidRDefault="008B2319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Szoptatás</w:t>
      </w:r>
    </w:p>
    <w:p w14:paraId="47C17352" w14:textId="400E0CBF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Az omeprazol kiválasztódik az anyatejbe, de terápiás dózisban </w:t>
      </w:r>
      <w:r w:rsidR="00EC5F77">
        <w:rPr>
          <w:rFonts w:ascii="Times New Roman" w:hAnsi="Times New Roman"/>
        </w:rPr>
        <w:t xml:space="preserve">történő </w:t>
      </w:r>
      <w:r w:rsidRPr="00A36050">
        <w:rPr>
          <w:rFonts w:ascii="Times New Roman" w:hAnsi="Times New Roman"/>
        </w:rPr>
        <w:t>alkalmaz</w:t>
      </w:r>
      <w:r w:rsidR="00EC5F77">
        <w:rPr>
          <w:rFonts w:ascii="Times New Roman" w:hAnsi="Times New Roman"/>
        </w:rPr>
        <w:t>ása</w:t>
      </w:r>
      <w:r w:rsidRPr="00A36050">
        <w:rPr>
          <w:rFonts w:ascii="Times New Roman" w:hAnsi="Times New Roman"/>
        </w:rPr>
        <w:t xml:space="preserve"> valószínűleg nincs hatással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a </w:t>
      </w:r>
      <w:r w:rsidR="00EC5F77">
        <w:rPr>
          <w:rFonts w:ascii="Times New Roman" w:hAnsi="Times New Roman"/>
        </w:rPr>
        <w:t>csecsemőre.</w:t>
      </w:r>
    </w:p>
    <w:p w14:paraId="6371F710" w14:textId="77777777" w:rsidR="00952801" w:rsidRPr="00A36050" w:rsidRDefault="0095280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6201EB2" w14:textId="77777777" w:rsidR="00971AD7" w:rsidRPr="00A36050" w:rsidRDefault="00971AD7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Termékenység</w:t>
      </w:r>
    </w:p>
    <w:p w14:paraId="0FB93F09" w14:textId="17D52AAA" w:rsidR="00EC5F77" w:rsidRPr="00A36050" w:rsidRDefault="00EC5F77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EC5F77">
        <w:rPr>
          <w:rFonts w:ascii="Times New Roman" w:hAnsi="Times New Roman"/>
        </w:rPr>
        <w:t xml:space="preserve">Állatkísérletek során az omeprazol orálisan beadott racém elegye nem mutatott a termékenységre </w:t>
      </w:r>
      <w:r w:rsidRPr="00EC5F77">
        <w:rPr>
          <w:rFonts w:ascii="Times New Roman" w:hAnsi="Times New Roman"/>
        </w:rPr>
        <w:lastRenderedPageBreak/>
        <w:t>gyakorolt hatásokat.</w:t>
      </w:r>
    </w:p>
    <w:p w14:paraId="58E39A67" w14:textId="77777777" w:rsidR="00257D43" w:rsidRPr="00A36050" w:rsidRDefault="00257D43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EA74A65" w14:textId="77777777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4.7</w:t>
      </w:r>
      <w:r w:rsidR="00605A36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 xml:space="preserve">A készítmény hatásai a gépjárművezetéshez és </w:t>
      </w:r>
      <w:r w:rsidR="008B2319" w:rsidRPr="00A36050">
        <w:rPr>
          <w:rFonts w:ascii="Times New Roman" w:hAnsi="Times New Roman"/>
          <w:b/>
        </w:rPr>
        <w:t xml:space="preserve">a </w:t>
      </w:r>
      <w:r w:rsidRPr="00A36050">
        <w:rPr>
          <w:rFonts w:ascii="Times New Roman" w:hAnsi="Times New Roman"/>
          <w:b/>
        </w:rPr>
        <w:t>gépek kezeléséhez szükséges képességekre</w:t>
      </w:r>
    </w:p>
    <w:p w14:paraId="62DDCA86" w14:textId="77777777" w:rsidR="00EE09C2" w:rsidRPr="00A36050" w:rsidRDefault="00EE09C2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F5A3CD8" w14:textId="2C7494EF" w:rsidR="00EE09C2" w:rsidRDefault="001C0BD1" w:rsidP="006974F4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</w:t>
      </w:r>
      <w:r w:rsidR="00EE38CA">
        <w:rPr>
          <w:rFonts w:ascii="Times New Roman" w:hAnsi="Times New Roman"/>
        </w:rPr>
        <w:t>z</w:t>
      </w:r>
      <w:r w:rsidRPr="00A36050">
        <w:rPr>
          <w:rFonts w:ascii="Times New Roman" w:hAnsi="Times New Roman"/>
        </w:rPr>
        <w:t xml:space="preserve"> </w:t>
      </w:r>
      <w:r w:rsidR="00EE38CA">
        <w:rPr>
          <w:rFonts w:ascii="Times New Roman" w:hAnsi="Times New Roman"/>
        </w:rPr>
        <w:t>omeprazol</w:t>
      </w:r>
      <w:r w:rsidR="00EE38CA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valószínűleg nem befolyásolja a gépjárművezetéshez és </w:t>
      </w:r>
      <w:r w:rsidR="002E1CCF" w:rsidRPr="00A36050">
        <w:rPr>
          <w:rFonts w:ascii="Times New Roman" w:hAnsi="Times New Roman"/>
        </w:rPr>
        <w:t xml:space="preserve">a </w:t>
      </w:r>
      <w:r w:rsidRPr="00A36050">
        <w:rPr>
          <w:rFonts w:ascii="Times New Roman" w:hAnsi="Times New Roman"/>
        </w:rPr>
        <w:t>gépek kezeléséhez szükséges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képességeket. </w:t>
      </w:r>
      <w:r w:rsidR="006974F4">
        <w:rPr>
          <w:rFonts w:ascii="Times New Roman" w:hAnsi="Times New Roman"/>
        </w:rPr>
        <w:t xml:space="preserve">Nemkívánatos </w:t>
      </w:r>
      <w:r w:rsidR="006974F4" w:rsidRPr="00A36050">
        <w:rPr>
          <w:rFonts w:ascii="Times New Roman" w:hAnsi="Times New Roman"/>
        </w:rPr>
        <w:t>hatások</w:t>
      </w:r>
      <w:r w:rsidRPr="00A36050">
        <w:rPr>
          <w:rFonts w:ascii="Times New Roman" w:hAnsi="Times New Roman"/>
        </w:rPr>
        <w:t xml:space="preserve">, mint </w:t>
      </w:r>
      <w:r w:rsidR="00E04C6B">
        <w:rPr>
          <w:rFonts w:ascii="Times New Roman" w:hAnsi="Times New Roman"/>
        </w:rPr>
        <w:t>például</w:t>
      </w:r>
      <w:r w:rsidRPr="00E04C6B">
        <w:rPr>
          <w:rFonts w:ascii="Times New Roman" w:hAnsi="Times New Roman"/>
        </w:rPr>
        <w:t xml:space="preserve"> szédülés és látászavarok előfordulhatnak (lásd 4.8</w:t>
      </w:r>
      <w:r w:rsidR="002E1CCF" w:rsidRPr="00E04C6B">
        <w:rPr>
          <w:rFonts w:ascii="Times New Roman" w:hAnsi="Times New Roman"/>
        </w:rPr>
        <w:t> </w:t>
      </w:r>
      <w:r w:rsidRPr="00E04C6B">
        <w:rPr>
          <w:rFonts w:ascii="Times New Roman" w:hAnsi="Times New Roman"/>
        </w:rPr>
        <w:t>pont). Amennyiben a beteg ezt tapasztalja, nem szabad gépjárművet v</w:t>
      </w:r>
      <w:r w:rsidRPr="00A36050">
        <w:rPr>
          <w:rFonts w:ascii="Times New Roman" w:hAnsi="Times New Roman"/>
        </w:rPr>
        <w:t xml:space="preserve">ezetnie, </w:t>
      </w:r>
      <w:r w:rsidR="006974F4">
        <w:rPr>
          <w:rFonts w:ascii="Times New Roman" w:hAnsi="Times New Roman"/>
        </w:rPr>
        <w:t>vagy gépeket kezelnie.</w:t>
      </w:r>
    </w:p>
    <w:p w14:paraId="1B76DCA7" w14:textId="77777777" w:rsidR="006974F4" w:rsidRPr="00A36050" w:rsidRDefault="006974F4" w:rsidP="009E1E8A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3DD2E44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4.8</w:t>
      </w:r>
      <w:r w:rsidR="00605A36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Nemkívánatos hatások, mellékhatások</w:t>
      </w:r>
    </w:p>
    <w:p w14:paraId="0744D407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686C49D" w14:textId="77777777" w:rsidR="00DA3883" w:rsidRPr="00A36050" w:rsidRDefault="00971AD7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A gyógyszerbiztonsági profil összefoglalása</w:t>
      </w:r>
    </w:p>
    <w:p w14:paraId="2B31C475" w14:textId="0F82563D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 leggyakoribb mellékhatások (a betegek 1</w:t>
      </w:r>
      <w:r w:rsidR="002D2E86" w:rsidRPr="00A3605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10%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 xml:space="preserve">ánál) a fejfájás, </w:t>
      </w:r>
      <w:r w:rsidR="00605A36" w:rsidRPr="00A36050">
        <w:rPr>
          <w:rFonts w:ascii="Times New Roman" w:hAnsi="Times New Roman"/>
        </w:rPr>
        <w:t xml:space="preserve">a </w:t>
      </w:r>
      <w:r w:rsidRPr="00A36050">
        <w:rPr>
          <w:rFonts w:ascii="Times New Roman" w:hAnsi="Times New Roman"/>
        </w:rPr>
        <w:t xml:space="preserve">hasi fájdalom, </w:t>
      </w:r>
      <w:r w:rsidR="00605A36" w:rsidRPr="00A36050">
        <w:rPr>
          <w:rFonts w:ascii="Times New Roman" w:hAnsi="Times New Roman"/>
        </w:rPr>
        <w:t xml:space="preserve">a </w:t>
      </w:r>
      <w:r w:rsidRPr="00A36050">
        <w:rPr>
          <w:rFonts w:ascii="Times New Roman" w:hAnsi="Times New Roman"/>
        </w:rPr>
        <w:t>székrekedés,</w:t>
      </w:r>
      <w:r w:rsidR="000417CF" w:rsidRPr="00A36050">
        <w:rPr>
          <w:rFonts w:ascii="Times New Roman" w:hAnsi="Times New Roman"/>
        </w:rPr>
        <w:t xml:space="preserve"> </w:t>
      </w:r>
      <w:r w:rsidR="00605A36" w:rsidRPr="00A36050">
        <w:rPr>
          <w:rFonts w:ascii="Times New Roman" w:hAnsi="Times New Roman"/>
        </w:rPr>
        <w:t xml:space="preserve">a </w:t>
      </w:r>
      <w:r w:rsidRPr="00A36050">
        <w:rPr>
          <w:rFonts w:ascii="Times New Roman" w:hAnsi="Times New Roman"/>
        </w:rPr>
        <w:t xml:space="preserve">hasmenés, </w:t>
      </w:r>
      <w:r w:rsidR="00605A36" w:rsidRPr="00A36050">
        <w:rPr>
          <w:rFonts w:ascii="Times New Roman" w:hAnsi="Times New Roman"/>
        </w:rPr>
        <w:t xml:space="preserve">a </w:t>
      </w:r>
      <w:r w:rsidRPr="00A36050">
        <w:rPr>
          <w:rFonts w:ascii="Times New Roman" w:hAnsi="Times New Roman"/>
        </w:rPr>
        <w:t xml:space="preserve">puffadás és </w:t>
      </w:r>
      <w:r w:rsidR="00605A36" w:rsidRPr="00A36050">
        <w:rPr>
          <w:rFonts w:ascii="Times New Roman" w:hAnsi="Times New Roman"/>
        </w:rPr>
        <w:t xml:space="preserve">a </w:t>
      </w:r>
      <w:r w:rsidRPr="00A36050">
        <w:rPr>
          <w:rFonts w:ascii="Times New Roman" w:hAnsi="Times New Roman"/>
        </w:rPr>
        <w:t>hányinger/hányás.</w:t>
      </w:r>
    </w:p>
    <w:p w14:paraId="2F4A7513" w14:textId="77777777" w:rsidR="00A25F2C" w:rsidRPr="00A36050" w:rsidRDefault="00A25F2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67A390F" w14:textId="4B875AAB" w:rsidR="00A25F2C" w:rsidRPr="00A36050" w:rsidRDefault="00A25F2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Az omeprazol-kezeléssel </w:t>
      </w:r>
      <w:r w:rsidR="006F65A3" w:rsidRPr="00A36050">
        <w:rPr>
          <w:rFonts w:ascii="Times New Roman" w:hAnsi="Times New Roman"/>
        </w:rPr>
        <w:t>összefüggésben</w:t>
      </w:r>
      <w:r w:rsidRPr="00A36050">
        <w:rPr>
          <w:rFonts w:ascii="Times New Roman" w:hAnsi="Times New Roman"/>
        </w:rPr>
        <w:t xml:space="preserve"> súlyos bőrreakciókról (SCAR), köztük Stevens</w:t>
      </w:r>
      <w:r w:rsidR="00BF6481" w:rsidRPr="00A36050">
        <w:rPr>
          <w:rFonts w:ascii="Times New Roman" w:hAnsi="Times New Roman"/>
        </w:rPr>
        <w:t>‒</w:t>
      </w:r>
      <w:r w:rsidRPr="00A36050">
        <w:rPr>
          <w:rFonts w:ascii="Times New Roman" w:hAnsi="Times New Roman"/>
        </w:rPr>
        <w:t>Johnson-szindrómáról (SJS), toxi</w:t>
      </w:r>
      <w:r w:rsidR="00FC3A5C" w:rsidRPr="00A36050">
        <w:rPr>
          <w:rFonts w:ascii="Times New Roman" w:hAnsi="Times New Roman"/>
        </w:rPr>
        <w:t>c</w:t>
      </w:r>
      <w:r w:rsidRPr="00A36050">
        <w:rPr>
          <w:rFonts w:ascii="Times New Roman" w:hAnsi="Times New Roman"/>
        </w:rPr>
        <w:t>us epiderm</w:t>
      </w:r>
      <w:r w:rsidR="00FC3A5C" w:rsidRPr="00A36050">
        <w:rPr>
          <w:rFonts w:ascii="Times New Roman" w:hAnsi="Times New Roman"/>
        </w:rPr>
        <w:t>a</w:t>
      </w:r>
      <w:r w:rsidRPr="00A36050">
        <w:rPr>
          <w:rFonts w:ascii="Times New Roman" w:hAnsi="Times New Roman"/>
        </w:rPr>
        <w:t>lis ne</w:t>
      </w:r>
      <w:r w:rsidR="00FC3A5C" w:rsidRPr="00A36050">
        <w:rPr>
          <w:rFonts w:ascii="Times New Roman" w:hAnsi="Times New Roman"/>
        </w:rPr>
        <w:t>c</w:t>
      </w:r>
      <w:r w:rsidRPr="00A36050">
        <w:rPr>
          <w:rFonts w:ascii="Times New Roman" w:hAnsi="Times New Roman"/>
        </w:rPr>
        <w:t>rol</w:t>
      </w:r>
      <w:r w:rsidR="00FC3A5C" w:rsidRPr="00A36050">
        <w:rPr>
          <w:rFonts w:ascii="Times New Roman" w:hAnsi="Times New Roman"/>
        </w:rPr>
        <w:t>ys</w:t>
      </w:r>
      <w:r w:rsidRPr="00A36050">
        <w:rPr>
          <w:rFonts w:ascii="Times New Roman" w:hAnsi="Times New Roman"/>
        </w:rPr>
        <w:t>isről (TEN), eo</w:t>
      </w:r>
      <w:r w:rsidR="00FC3A5C" w:rsidRPr="00A36050">
        <w:rPr>
          <w:rFonts w:ascii="Times New Roman" w:hAnsi="Times New Roman"/>
        </w:rPr>
        <w:t>s</w:t>
      </w:r>
      <w:r w:rsidRPr="00A36050">
        <w:rPr>
          <w:rFonts w:ascii="Times New Roman" w:hAnsi="Times New Roman"/>
        </w:rPr>
        <w:t>ino</w:t>
      </w:r>
      <w:r w:rsidR="00C878B3" w:rsidRPr="00A36050">
        <w:rPr>
          <w:rFonts w:ascii="Times New Roman" w:hAnsi="Times New Roman"/>
        </w:rPr>
        <w:t>phi</w:t>
      </w:r>
      <w:r w:rsidRPr="00A36050">
        <w:rPr>
          <w:rFonts w:ascii="Times New Roman" w:hAnsi="Times New Roman"/>
        </w:rPr>
        <w:t>liá</w:t>
      </w:r>
      <w:r w:rsidR="006F65A3" w:rsidRPr="00A36050">
        <w:rPr>
          <w:rFonts w:ascii="Times New Roman" w:hAnsi="Times New Roman"/>
        </w:rPr>
        <w:t>val</w:t>
      </w:r>
      <w:r w:rsidRPr="00A36050">
        <w:rPr>
          <w:rFonts w:ascii="Times New Roman" w:hAnsi="Times New Roman"/>
        </w:rPr>
        <w:t xml:space="preserve"> és szisztémás tünetekkel járó gyógyszerreakcióról (DRESS)</w:t>
      </w:r>
      <w:r w:rsidR="009B7F1D" w:rsidRPr="00A36050">
        <w:rPr>
          <w:rFonts w:ascii="Times New Roman" w:hAnsi="Times New Roman"/>
        </w:rPr>
        <w:t>,</w:t>
      </w:r>
      <w:r w:rsidRPr="00A36050">
        <w:rPr>
          <w:rFonts w:ascii="Times New Roman" w:hAnsi="Times New Roman"/>
        </w:rPr>
        <w:t xml:space="preserve"> </w:t>
      </w:r>
      <w:r w:rsidR="009B7F1D" w:rsidRPr="00A36050">
        <w:rPr>
          <w:rFonts w:ascii="Times New Roman" w:hAnsi="Times New Roman"/>
        </w:rPr>
        <w:t>valamint</w:t>
      </w:r>
      <w:r w:rsidRPr="00A36050">
        <w:rPr>
          <w:rFonts w:ascii="Times New Roman" w:hAnsi="Times New Roman"/>
        </w:rPr>
        <w:t xml:space="preserve"> akut generalizált exant</w:t>
      </w:r>
      <w:r w:rsidR="00FC3A5C" w:rsidRPr="00A36050">
        <w:rPr>
          <w:rFonts w:ascii="Times New Roman" w:hAnsi="Times New Roman"/>
        </w:rPr>
        <w:t>h</w:t>
      </w:r>
      <w:r w:rsidRPr="00A36050">
        <w:rPr>
          <w:rFonts w:ascii="Times New Roman" w:hAnsi="Times New Roman"/>
        </w:rPr>
        <w:t>emat</w:t>
      </w:r>
      <w:r w:rsidR="00FC3A5C" w:rsidRPr="00A36050">
        <w:rPr>
          <w:rFonts w:ascii="Times New Roman" w:hAnsi="Times New Roman"/>
        </w:rPr>
        <w:t>os</w:t>
      </w:r>
      <w:r w:rsidRPr="00A36050">
        <w:rPr>
          <w:rFonts w:ascii="Times New Roman" w:hAnsi="Times New Roman"/>
        </w:rPr>
        <w:t>us pustul</w:t>
      </w:r>
      <w:r w:rsidR="00FC3A5C" w:rsidRPr="00A36050">
        <w:rPr>
          <w:rFonts w:ascii="Times New Roman" w:hAnsi="Times New Roman"/>
        </w:rPr>
        <w:t>os</w:t>
      </w:r>
      <w:r w:rsidRPr="00A36050">
        <w:rPr>
          <w:rFonts w:ascii="Times New Roman" w:hAnsi="Times New Roman"/>
        </w:rPr>
        <w:t>isról (AGEP) számoltak be (lásd 4.4.</w:t>
      </w:r>
      <w:r w:rsidR="00EE38CA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pont).</w:t>
      </w:r>
    </w:p>
    <w:p w14:paraId="29EBE884" w14:textId="77777777" w:rsidR="00A25F2C" w:rsidRPr="00A36050" w:rsidRDefault="00A25F2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A43D14A" w14:textId="77777777" w:rsidR="00971AD7" w:rsidRPr="00A36050" w:rsidRDefault="00971AD7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A mellékhatások táblázatos felsorolása</w:t>
      </w:r>
    </w:p>
    <w:p w14:paraId="76C0ECB4" w14:textId="7F5FE804" w:rsidR="00605A36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Az omeprazollal </w:t>
      </w:r>
      <w:r w:rsidR="00EE38CA">
        <w:rPr>
          <w:rFonts w:ascii="Times New Roman" w:hAnsi="Times New Roman"/>
        </w:rPr>
        <w:t xml:space="preserve">végzett </w:t>
      </w:r>
      <w:r w:rsidRPr="00A36050">
        <w:rPr>
          <w:rFonts w:ascii="Times New Roman" w:hAnsi="Times New Roman"/>
        </w:rPr>
        <w:t>klinikai vizsgálatokban és a posztmarketing alkalmazás során a következő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mellékhatások esetében igazolódott, vagy merült fel annak gyanúja, hogy összefüggésben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vannak a kezeléssel. Egyik </w:t>
      </w:r>
      <w:r w:rsidR="00D35BCC">
        <w:rPr>
          <w:rFonts w:ascii="Times New Roman" w:hAnsi="Times New Roman"/>
        </w:rPr>
        <w:t xml:space="preserve">mellékhatás </w:t>
      </w:r>
      <w:r w:rsidRPr="00A36050">
        <w:rPr>
          <w:rFonts w:ascii="Times New Roman" w:hAnsi="Times New Roman"/>
        </w:rPr>
        <w:t>sem volt dózisfüggő.</w:t>
      </w:r>
    </w:p>
    <w:p w14:paraId="6245BA03" w14:textId="441C19FF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Az alább felsorolt mellékhatásokat a gyakoriság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alapján és a szervrendszerek szerint csoportosították. A gyakorisági kategóriákat az alábbi konvenciók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alapján határozták meg: nagyon gyakori (≥1/10), gyakori (≥1/100</w:t>
      </w:r>
      <w:r w:rsidR="00414D4D" w:rsidRPr="00A36050">
        <w:rPr>
          <w:rFonts w:ascii="Times New Roman" w:hAnsi="Times New Roman"/>
        </w:rPr>
        <w:t> </w:t>
      </w:r>
      <w:r w:rsidR="00533B18">
        <w:rPr>
          <w:rFonts w:ascii="Times New Roman" w:hAnsi="Times New Roman"/>
        </w:rPr>
        <w:noBreakHyphen/>
      </w:r>
      <w:r w:rsidR="00414D4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&lt;1/10), nem gyakori (</w:t>
      </w:r>
      <w:r w:rsidR="000417CF" w:rsidRPr="00A36050">
        <w:rPr>
          <w:rFonts w:ascii="Times New Roman" w:hAnsi="Times New Roman"/>
        </w:rPr>
        <w:t>≥</w:t>
      </w:r>
      <w:r w:rsidRPr="00A36050">
        <w:rPr>
          <w:rFonts w:ascii="Times New Roman" w:hAnsi="Times New Roman"/>
        </w:rPr>
        <w:t>1/1000</w:t>
      </w:r>
      <w:r w:rsidR="000417CF" w:rsidRPr="00A36050">
        <w:rPr>
          <w:rFonts w:ascii="Times New Roman" w:hAnsi="Times New Roman"/>
        </w:rPr>
        <w:t> </w:t>
      </w:r>
      <w:r w:rsidR="000417CF" w:rsidRPr="00A36050">
        <w:rPr>
          <w:rFonts w:ascii="Times New Roman" w:hAnsi="Times New Roman"/>
        </w:rPr>
        <w:noBreakHyphen/>
        <w:t> </w:t>
      </w:r>
      <w:r w:rsidRPr="00A36050">
        <w:rPr>
          <w:rFonts w:ascii="Times New Roman" w:hAnsi="Times New Roman"/>
        </w:rPr>
        <w:t>&lt;1/100), ritka (</w:t>
      </w:r>
      <w:r w:rsidR="000417CF" w:rsidRPr="00A36050">
        <w:rPr>
          <w:rFonts w:ascii="Times New Roman" w:hAnsi="Times New Roman"/>
        </w:rPr>
        <w:t>≥</w:t>
      </w:r>
      <w:r w:rsidRPr="00A36050">
        <w:rPr>
          <w:rFonts w:ascii="Times New Roman" w:hAnsi="Times New Roman"/>
        </w:rPr>
        <w:t>1/10</w:t>
      </w:r>
      <w:r w:rsidR="002E1CCF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000</w:t>
      </w:r>
      <w:r w:rsidR="00414D4D" w:rsidRPr="00A36050">
        <w:rPr>
          <w:rFonts w:ascii="Times New Roman" w:hAnsi="Times New Roman"/>
        </w:rPr>
        <w:t> </w:t>
      </w:r>
      <w:r w:rsidR="00533B18">
        <w:rPr>
          <w:rFonts w:ascii="Times New Roman" w:hAnsi="Times New Roman"/>
        </w:rPr>
        <w:noBreakHyphen/>
      </w:r>
      <w:r w:rsidR="00414D4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&lt;1/1000), nagyon ritka (&lt;1/10</w:t>
      </w:r>
      <w:r w:rsidR="002E1CCF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000), nem ismert (a</w:t>
      </w:r>
      <w:r w:rsidR="00A97DCD" w:rsidRPr="00A36050">
        <w:rPr>
          <w:rFonts w:ascii="Times New Roman" w:hAnsi="Times New Roman"/>
        </w:rPr>
        <w:t xml:space="preserve"> gyakoriság a</w:t>
      </w:r>
      <w:r w:rsidRPr="00A36050">
        <w:rPr>
          <w:rFonts w:ascii="Times New Roman" w:hAnsi="Times New Roman"/>
        </w:rPr>
        <w:t xml:space="preserve"> rendelkezésre álló</w:t>
      </w:r>
      <w:r w:rsidR="000417C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adatokból nem állapítható meg).</w:t>
      </w:r>
    </w:p>
    <w:p w14:paraId="27FDF269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92"/>
        <w:gridCol w:w="6260"/>
      </w:tblGrid>
      <w:tr w:rsidR="0022614C" w:rsidRPr="00A36050" w14:paraId="33F7FAF8" w14:textId="77777777" w:rsidTr="00A36050">
        <w:trPr>
          <w:trHeight w:val="399"/>
          <w:tblHeader/>
        </w:trPr>
        <w:tc>
          <w:tcPr>
            <w:tcW w:w="2694" w:type="dxa"/>
          </w:tcPr>
          <w:p w14:paraId="54498082" w14:textId="77777777" w:rsidR="0022614C" w:rsidRPr="00A36050" w:rsidRDefault="0022614C" w:rsidP="00A36050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36050">
              <w:rPr>
                <w:rFonts w:ascii="Times New Roman" w:hAnsi="Times New Roman"/>
                <w:b/>
                <w:bCs/>
              </w:rPr>
              <w:t>Szervrendszer/gyakoriság</w:t>
            </w:r>
          </w:p>
        </w:tc>
        <w:tc>
          <w:tcPr>
            <w:tcW w:w="6483" w:type="dxa"/>
          </w:tcPr>
          <w:p w14:paraId="22D3D751" w14:textId="77777777" w:rsidR="0022614C" w:rsidRPr="00A36050" w:rsidRDefault="0022614C" w:rsidP="00A36050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36050">
              <w:rPr>
                <w:rFonts w:ascii="Times New Roman" w:hAnsi="Times New Roman"/>
                <w:b/>
                <w:bCs/>
              </w:rPr>
              <w:t>Mellékhatás</w:t>
            </w:r>
          </w:p>
        </w:tc>
      </w:tr>
      <w:tr w:rsidR="0022614C" w:rsidRPr="00A36050" w14:paraId="4EBA1304" w14:textId="77777777" w:rsidTr="00A36050">
        <w:trPr>
          <w:cantSplit/>
        </w:trPr>
        <w:tc>
          <w:tcPr>
            <w:tcW w:w="9177" w:type="dxa"/>
            <w:gridSpan w:val="2"/>
          </w:tcPr>
          <w:p w14:paraId="4B63CCF1" w14:textId="77777777" w:rsidR="0022614C" w:rsidRPr="00A36050" w:rsidRDefault="0022614C" w:rsidP="00A36050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36050">
              <w:rPr>
                <w:rFonts w:ascii="Times New Roman" w:hAnsi="Times New Roman"/>
                <w:b/>
                <w:bCs/>
              </w:rPr>
              <w:t>Vérképzőszervi és nyirokrendszeri betegségek és tünetek</w:t>
            </w:r>
          </w:p>
        </w:tc>
      </w:tr>
      <w:tr w:rsidR="0022614C" w:rsidRPr="00A36050" w14:paraId="59E42B8A" w14:textId="77777777" w:rsidTr="00A36050">
        <w:tc>
          <w:tcPr>
            <w:tcW w:w="2694" w:type="dxa"/>
          </w:tcPr>
          <w:p w14:paraId="537855A5" w14:textId="77777777" w:rsidR="0022614C" w:rsidRPr="00A36050" w:rsidRDefault="0022614C" w:rsidP="00A36050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Ritka:</w:t>
            </w:r>
          </w:p>
        </w:tc>
        <w:tc>
          <w:tcPr>
            <w:tcW w:w="6483" w:type="dxa"/>
          </w:tcPr>
          <w:p w14:paraId="4A7A88F0" w14:textId="77777777" w:rsidR="0022614C" w:rsidRPr="00A36050" w:rsidRDefault="0022614C" w:rsidP="00A36050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leukopenia, thrombocytopenia</w:t>
            </w:r>
          </w:p>
        </w:tc>
      </w:tr>
      <w:tr w:rsidR="0022614C" w:rsidRPr="00A36050" w14:paraId="674C6C3D" w14:textId="77777777" w:rsidTr="00A36050">
        <w:tc>
          <w:tcPr>
            <w:tcW w:w="2694" w:type="dxa"/>
          </w:tcPr>
          <w:p w14:paraId="21672A7F" w14:textId="77777777" w:rsidR="0022614C" w:rsidRPr="00A36050" w:rsidRDefault="0022614C" w:rsidP="00A36050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Nagyon ritka:</w:t>
            </w:r>
          </w:p>
        </w:tc>
        <w:tc>
          <w:tcPr>
            <w:tcW w:w="6483" w:type="dxa"/>
          </w:tcPr>
          <w:p w14:paraId="0DD60A0E" w14:textId="77777777" w:rsidR="0022614C" w:rsidRPr="00A36050" w:rsidRDefault="0022614C" w:rsidP="00A36050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agranulocytosis, pancytopenia</w:t>
            </w:r>
          </w:p>
        </w:tc>
      </w:tr>
      <w:tr w:rsidR="0022614C" w:rsidRPr="00A36050" w14:paraId="5160D953" w14:textId="77777777" w:rsidTr="00A36050">
        <w:trPr>
          <w:cantSplit/>
        </w:trPr>
        <w:tc>
          <w:tcPr>
            <w:tcW w:w="9177" w:type="dxa"/>
            <w:gridSpan w:val="2"/>
          </w:tcPr>
          <w:p w14:paraId="79E13FFD" w14:textId="77777777" w:rsidR="0022614C" w:rsidRPr="00A36050" w:rsidRDefault="0022614C" w:rsidP="00A36050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36050">
              <w:rPr>
                <w:rFonts w:ascii="Times New Roman" w:hAnsi="Times New Roman"/>
                <w:b/>
                <w:bCs/>
              </w:rPr>
              <w:t>Immunrendszeri betegségek és tünetek</w:t>
            </w:r>
          </w:p>
        </w:tc>
      </w:tr>
      <w:tr w:rsidR="0022614C" w:rsidRPr="00A36050" w14:paraId="6E5AC9FF" w14:textId="77777777" w:rsidTr="00A36050">
        <w:tc>
          <w:tcPr>
            <w:tcW w:w="2694" w:type="dxa"/>
          </w:tcPr>
          <w:p w14:paraId="0B7E2E48" w14:textId="77777777" w:rsidR="0022614C" w:rsidRPr="00A36050" w:rsidRDefault="0022614C" w:rsidP="00A36050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Ritka:</w:t>
            </w:r>
          </w:p>
        </w:tc>
        <w:tc>
          <w:tcPr>
            <w:tcW w:w="6483" w:type="dxa"/>
          </w:tcPr>
          <w:p w14:paraId="02C22D91" w14:textId="77777777" w:rsidR="0022614C" w:rsidRPr="00A36050" w:rsidRDefault="0022614C" w:rsidP="00A36050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 xml:space="preserve">túlérzékenységi reakciók, </w:t>
            </w:r>
            <w:r w:rsidR="00E04C6B">
              <w:rPr>
                <w:rFonts w:ascii="Times New Roman" w:hAnsi="Times New Roman"/>
              </w:rPr>
              <w:t>például</w:t>
            </w:r>
            <w:r w:rsidRPr="00E04C6B">
              <w:rPr>
                <w:rFonts w:ascii="Times New Roman" w:hAnsi="Times New Roman"/>
              </w:rPr>
              <w:t xml:space="preserve"> lá</w:t>
            </w:r>
            <w:r w:rsidRPr="00A36050">
              <w:rPr>
                <w:rFonts w:ascii="Times New Roman" w:hAnsi="Times New Roman"/>
              </w:rPr>
              <w:t>z, angio</w:t>
            </w:r>
            <w:r w:rsidR="00354FA2" w:rsidRPr="00A36050">
              <w:rPr>
                <w:rFonts w:ascii="Times New Roman" w:hAnsi="Times New Roman"/>
              </w:rPr>
              <w:t>o</w:t>
            </w:r>
            <w:r w:rsidRPr="00A36050">
              <w:rPr>
                <w:rFonts w:ascii="Times New Roman" w:hAnsi="Times New Roman"/>
              </w:rPr>
              <w:t xml:space="preserve">edema, </w:t>
            </w:r>
            <w:r w:rsidR="00C63340" w:rsidRPr="00A36050">
              <w:rPr>
                <w:rFonts w:ascii="Times New Roman" w:hAnsi="Times New Roman"/>
              </w:rPr>
              <w:t>anaphylaxiás</w:t>
            </w:r>
            <w:r w:rsidRPr="00A36050">
              <w:rPr>
                <w:rFonts w:ascii="Times New Roman" w:hAnsi="Times New Roman"/>
              </w:rPr>
              <w:t xml:space="preserve"> reakció/shock</w:t>
            </w:r>
          </w:p>
        </w:tc>
      </w:tr>
      <w:tr w:rsidR="0022614C" w:rsidRPr="00A36050" w14:paraId="37AF846B" w14:textId="77777777" w:rsidTr="00A36050">
        <w:trPr>
          <w:cantSplit/>
        </w:trPr>
        <w:tc>
          <w:tcPr>
            <w:tcW w:w="9177" w:type="dxa"/>
            <w:gridSpan w:val="2"/>
          </w:tcPr>
          <w:p w14:paraId="2C042FEE" w14:textId="77777777" w:rsidR="0022614C" w:rsidRPr="00A36050" w:rsidRDefault="0022614C" w:rsidP="00A36050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36050">
              <w:rPr>
                <w:rFonts w:ascii="Times New Roman" w:hAnsi="Times New Roman"/>
                <w:b/>
                <w:bCs/>
              </w:rPr>
              <w:t>Anyagcsere- és táplálkozási betegségek és tünetek</w:t>
            </w:r>
          </w:p>
        </w:tc>
      </w:tr>
      <w:tr w:rsidR="0022614C" w:rsidRPr="00A36050" w14:paraId="2C276502" w14:textId="77777777" w:rsidTr="00A36050">
        <w:tc>
          <w:tcPr>
            <w:tcW w:w="2694" w:type="dxa"/>
          </w:tcPr>
          <w:p w14:paraId="6377D73C" w14:textId="77777777" w:rsidR="0022614C" w:rsidRPr="00A36050" w:rsidRDefault="0022614C" w:rsidP="00A36050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Ritka:</w:t>
            </w:r>
          </w:p>
        </w:tc>
        <w:tc>
          <w:tcPr>
            <w:tcW w:w="6483" w:type="dxa"/>
          </w:tcPr>
          <w:p w14:paraId="0788F4E3" w14:textId="77777777" w:rsidR="0022614C" w:rsidRPr="00A36050" w:rsidRDefault="0022614C" w:rsidP="00A36050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hyponatraemia</w:t>
            </w:r>
          </w:p>
        </w:tc>
      </w:tr>
      <w:tr w:rsidR="0022614C" w:rsidRPr="00A36050" w14:paraId="157B37FF" w14:textId="77777777" w:rsidTr="00A36050">
        <w:tc>
          <w:tcPr>
            <w:tcW w:w="2694" w:type="dxa"/>
          </w:tcPr>
          <w:p w14:paraId="7E5ACE92" w14:textId="77777777" w:rsidR="0022614C" w:rsidRPr="00A36050" w:rsidRDefault="0022614C" w:rsidP="00A36050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Nem ismert:</w:t>
            </w:r>
          </w:p>
        </w:tc>
        <w:tc>
          <w:tcPr>
            <w:tcW w:w="6483" w:type="dxa"/>
          </w:tcPr>
          <w:p w14:paraId="7CB3B6DD" w14:textId="57BAB48F" w:rsidR="0022614C" w:rsidRPr="00A36050" w:rsidRDefault="0022614C" w:rsidP="00A36050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hypomagnesaemia</w:t>
            </w:r>
            <w:r w:rsidR="00AB2F8D" w:rsidRPr="00A36050">
              <w:rPr>
                <w:rFonts w:ascii="Times New Roman" w:hAnsi="Times New Roman"/>
              </w:rPr>
              <w:t>;</w:t>
            </w:r>
            <w:r w:rsidR="00E92449" w:rsidRPr="00A36050">
              <w:rPr>
                <w:rFonts w:ascii="Times New Roman" w:hAnsi="Times New Roman"/>
              </w:rPr>
              <w:t xml:space="preserve"> súlyos hypomagnesaemia</w:t>
            </w:r>
            <w:r w:rsidR="002E1CCF" w:rsidRPr="00A36050">
              <w:rPr>
                <w:rFonts w:ascii="Times New Roman" w:hAnsi="Times New Roman"/>
              </w:rPr>
              <w:t xml:space="preserve">, </w:t>
            </w:r>
            <w:r w:rsidR="00D35BCC">
              <w:rPr>
                <w:rFonts w:ascii="Times New Roman" w:hAnsi="Times New Roman"/>
              </w:rPr>
              <w:t>(</w:t>
            </w:r>
            <w:r w:rsidR="00D35BCC" w:rsidRPr="00D35BCC">
              <w:rPr>
                <w:rFonts w:ascii="Times New Roman" w:hAnsi="Times New Roman"/>
              </w:rPr>
              <w:t>a súlyos hypomagnesemia hypocalcaemia</w:t>
            </w:r>
            <w:r w:rsidR="00533B18">
              <w:rPr>
                <w:rFonts w:ascii="Times New Roman" w:hAnsi="Times New Roman"/>
              </w:rPr>
              <w:noBreakHyphen/>
            </w:r>
            <w:r w:rsidR="00D35BCC" w:rsidRPr="00D35BCC">
              <w:rPr>
                <w:rFonts w:ascii="Times New Roman" w:hAnsi="Times New Roman"/>
              </w:rPr>
              <w:t>t eredményezhet</w:t>
            </w:r>
            <w:r w:rsidR="00D35BCC">
              <w:rPr>
                <w:rFonts w:ascii="Times New Roman" w:hAnsi="Times New Roman"/>
              </w:rPr>
              <w:t>),</w:t>
            </w:r>
            <w:r w:rsidR="00E92449" w:rsidRPr="00A36050">
              <w:rPr>
                <w:rFonts w:ascii="Times New Roman" w:hAnsi="Times New Roman"/>
              </w:rPr>
              <w:t xml:space="preserve"> hypokalaemi</w:t>
            </w:r>
            <w:r w:rsidR="00D35BCC">
              <w:rPr>
                <w:rFonts w:ascii="Times New Roman" w:hAnsi="Times New Roman"/>
              </w:rPr>
              <w:t>a</w:t>
            </w:r>
          </w:p>
        </w:tc>
      </w:tr>
      <w:tr w:rsidR="0022614C" w:rsidRPr="00A36050" w14:paraId="69046272" w14:textId="77777777" w:rsidTr="00A36050">
        <w:trPr>
          <w:cantSplit/>
        </w:trPr>
        <w:tc>
          <w:tcPr>
            <w:tcW w:w="9177" w:type="dxa"/>
            <w:gridSpan w:val="2"/>
          </w:tcPr>
          <w:p w14:paraId="331FE0EB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  <w:r w:rsidRPr="00A36050">
              <w:rPr>
                <w:rFonts w:ascii="Times New Roman" w:hAnsi="Times New Roman"/>
                <w:b/>
              </w:rPr>
              <w:t>Pszichiátriai kórképek</w:t>
            </w:r>
          </w:p>
        </w:tc>
      </w:tr>
      <w:tr w:rsidR="0022614C" w:rsidRPr="00A36050" w14:paraId="297DE9B6" w14:textId="77777777" w:rsidTr="00A36050">
        <w:tc>
          <w:tcPr>
            <w:tcW w:w="2694" w:type="dxa"/>
          </w:tcPr>
          <w:p w14:paraId="6841AFC4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</w:rPr>
            </w:pPr>
            <w:r w:rsidRPr="00A36050">
              <w:rPr>
                <w:rFonts w:ascii="Times New Roman" w:hAnsi="Times New Roman"/>
                <w:bCs/>
              </w:rPr>
              <w:t>Nem gyakori:</w:t>
            </w:r>
          </w:p>
        </w:tc>
        <w:tc>
          <w:tcPr>
            <w:tcW w:w="6483" w:type="dxa"/>
          </w:tcPr>
          <w:p w14:paraId="3B00D1D0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</w:rPr>
            </w:pPr>
            <w:r w:rsidRPr="00A36050">
              <w:rPr>
                <w:rFonts w:ascii="Times New Roman" w:hAnsi="Times New Roman"/>
                <w:bCs/>
              </w:rPr>
              <w:t>álmatlanság</w:t>
            </w:r>
          </w:p>
        </w:tc>
      </w:tr>
      <w:tr w:rsidR="0022614C" w:rsidRPr="00A36050" w14:paraId="2B541818" w14:textId="77777777" w:rsidTr="00A36050">
        <w:tc>
          <w:tcPr>
            <w:tcW w:w="2694" w:type="dxa"/>
          </w:tcPr>
          <w:p w14:paraId="5E7BBA17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</w:rPr>
            </w:pPr>
            <w:r w:rsidRPr="00A36050">
              <w:rPr>
                <w:rFonts w:ascii="Times New Roman" w:hAnsi="Times New Roman"/>
                <w:bCs/>
              </w:rPr>
              <w:t>Ritka:</w:t>
            </w:r>
          </w:p>
        </w:tc>
        <w:tc>
          <w:tcPr>
            <w:tcW w:w="6483" w:type="dxa"/>
          </w:tcPr>
          <w:p w14:paraId="4B9EEF6D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</w:rPr>
            </w:pPr>
            <w:r w:rsidRPr="00A36050">
              <w:rPr>
                <w:rFonts w:ascii="Times New Roman" w:hAnsi="Times New Roman"/>
                <w:bCs/>
              </w:rPr>
              <w:t>agitáció, zavartság, depresszió</w:t>
            </w:r>
          </w:p>
        </w:tc>
      </w:tr>
      <w:tr w:rsidR="0022614C" w:rsidRPr="00A36050" w14:paraId="4C2F5263" w14:textId="77777777" w:rsidTr="00A36050">
        <w:tc>
          <w:tcPr>
            <w:tcW w:w="2694" w:type="dxa"/>
          </w:tcPr>
          <w:p w14:paraId="542D0EFC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  <w:bCs/>
              </w:rPr>
              <w:t>Nagyon ritka:</w:t>
            </w:r>
          </w:p>
        </w:tc>
        <w:tc>
          <w:tcPr>
            <w:tcW w:w="6483" w:type="dxa"/>
          </w:tcPr>
          <w:p w14:paraId="5FA4B136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</w:rPr>
            </w:pPr>
            <w:r w:rsidRPr="00A36050">
              <w:rPr>
                <w:rFonts w:ascii="Times New Roman" w:hAnsi="Times New Roman"/>
                <w:bCs/>
              </w:rPr>
              <w:t>agresszió, hallucinációk</w:t>
            </w:r>
          </w:p>
        </w:tc>
      </w:tr>
      <w:tr w:rsidR="0022614C" w:rsidRPr="00A36050" w14:paraId="7F7DFEA6" w14:textId="77777777" w:rsidTr="00A36050">
        <w:trPr>
          <w:cantSplit/>
        </w:trPr>
        <w:tc>
          <w:tcPr>
            <w:tcW w:w="9177" w:type="dxa"/>
            <w:gridSpan w:val="2"/>
          </w:tcPr>
          <w:p w14:paraId="4E787DC6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  <w:r w:rsidRPr="00A36050">
              <w:rPr>
                <w:rFonts w:ascii="Times New Roman" w:hAnsi="Times New Roman"/>
                <w:b/>
              </w:rPr>
              <w:t>Idegrendszeri betegségek és tünetek</w:t>
            </w:r>
          </w:p>
        </w:tc>
      </w:tr>
      <w:tr w:rsidR="0022614C" w:rsidRPr="00A36050" w14:paraId="79C3F82C" w14:textId="77777777" w:rsidTr="00A36050">
        <w:tc>
          <w:tcPr>
            <w:tcW w:w="2694" w:type="dxa"/>
          </w:tcPr>
          <w:p w14:paraId="1F9F31D3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</w:rPr>
            </w:pPr>
            <w:r w:rsidRPr="00A36050">
              <w:rPr>
                <w:rFonts w:ascii="Times New Roman" w:hAnsi="Times New Roman"/>
                <w:bCs/>
              </w:rPr>
              <w:t>Gyakori:</w:t>
            </w:r>
          </w:p>
        </w:tc>
        <w:tc>
          <w:tcPr>
            <w:tcW w:w="6483" w:type="dxa"/>
          </w:tcPr>
          <w:p w14:paraId="39472785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</w:rPr>
            </w:pPr>
            <w:r w:rsidRPr="00A36050">
              <w:rPr>
                <w:rFonts w:ascii="Times New Roman" w:hAnsi="Times New Roman"/>
                <w:bCs/>
              </w:rPr>
              <w:t>fejfájás</w:t>
            </w:r>
          </w:p>
        </w:tc>
      </w:tr>
      <w:tr w:rsidR="0022614C" w:rsidRPr="00A36050" w14:paraId="73EC18E9" w14:textId="77777777" w:rsidTr="00A36050">
        <w:tc>
          <w:tcPr>
            <w:tcW w:w="2694" w:type="dxa"/>
          </w:tcPr>
          <w:p w14:paraId="6E14AE89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</w:rPr>
            </w:pPr>
            <w:r w:rsidRPr="00A36050">
              <w:rPr>
                <w:rFonts w:ascii="Times New Roman" w:hAnsi="Times New Roman"/>
                <w:bCs/>
              </w:rPr>
              <w:t>Nem gyakori:</w:t>
            </w:r>
          </w:p>
        </w:tc>
        <w:tc>
          <w:tcPr>
            <w:tcW w:w="6483" w:type="dxa"/>
          </w:tcPr>
          <w:p w14:paraId="2A78B608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</w:rPr>
            </w:pPr>
            <w:r w:rsidRPr="00A36050">
              <w:rPr>
                <w:rFonts w:ascii="Times New Roman" w:hAnsi="Times New Roman"/>
                <w:bCs/>
              </w:rPr>
              <w:t>szédülés, paraesthesia, somnolentia</w:t>
            </w:r>
          </w:p>
        </w:tc>
      </w:tr>
      <w:tr w:rsidR="0022614C" w:rsidRPr="00A36050" w14:paraId="39A9B913" w14:textId="77777777" w:rsidTr="00A36050">
        <w:tc>
          <w:tcPr>
            <w:tcW w:w="2694" w:type="dxa"/>
          </w:tcPr>
          <w:p w14:paraId="438491D7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  <w:bCs/>
              </w:rPr>
              <w:t>Ritka:</w:t>
            </w:r>
          </w:p>
        </w:tc>
        <w:tc>
          <w:tcPr>
            <w:tcW w:w="6483" w:type="dxa"/>
          </w:tcPr>
          <w:p w14:paraId="4FDBADDC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</w:rPr>
            </w:pPr>
            <w:r w:rsidRPr="00A36050">
              <w:rPr>
                <w:rFonts w:ascii="Times New Roman" w:hAnsi="Times New Roman"/>
                <w:bCs/>
              </w:rPr>
              <w:t>ízérzés zavarai</w:t>
            </w:r>
          </w:p>
        </w:tc>
      </w:tr>
      <w:tr w:rsidR="0022614C" w:rsidRPr="00A36050" w14:paraId="5C239818" w14:textId="77777777" w:rsidTr="00A36050">
        <w:trPr>
          <w:cantSplit/>
        </w:trPr>
        <w:tc>
          <w:tcPr>
            <w:tcW w:w="9177" w:type="dxa"/>
            <w:gridSpan w:val="2"/>
          </w:tcPr>
          <w:p w14:paraId="3F2DD3D0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  <w:r w:rsidRPr="00A36050">
              <w:rPr>
                <w:rFonts w:ascii="Times New Roman" w:hAnsi="Times New Roman"/>
                <w:b/>
              </w:rPr>
              <w:t>Szembetegségek és szemészeti tünetek</w:t>
            </w:r>
          </w:p>
        </w:tc>
      </w:tr>
      <w:tr w:rsidR="0022614C" w:rsidRPr="00A36050" w14:paraId="70AC2AA9" w14:textId="77777777" w:rsidTr="00A36050">
        <w:tc>
          <w:tcPr>
            <w:tcW w:w="2694" w:type="dxa"/>
          </w:tcPr>
          <w:p w14:paraId="5C8EC023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Ritka:</w:t>
            </w:r>
          </w:p>
        </w:tc>
        <w:tc>
          <w:tcPr>
            <w:tcW w:w="6483" w:type="dxa"/>
          </w:tcPr>
          <w:p w14:paraId="6B6DDC5F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homályos látás</w:t>
            </w:r>
          </w:p>
        </w:tc>
      </w:tr>
      <w:tr w:rsidR="0022614C" w:rsidRPr="00A36050" w14:paraId="0DC240AA" w14:textId="77777777" w:rsidTr="00A36050">
        <w:trPr>
          <w:cantSplit/>
        </w:trPr>
        <w:tc>
          <w:tcPr>
            <w:tcW w:w="9177" w:type="dxa"/>
            <w:gridSpan w:val="2"/>
          </w:tcPr>
          <w:p w14:paraId="17ED82DE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  <w:r w:rsidRPr="00A36050">
              <w:rPr>
                <w:rFonts w:ascii="Times New Roman" w:hAnsi="Times New Roman"/>
                <w:b/>
              </w:rPr>
              <w:t>A fül és az egyensúly-érzékelő szerv betegségei és tünetei</w:t>
            </w:r>
          </w:p>
        </w:tc>
      </w:tr>
      <w:tr w:rsidR="0022614C" w:rsidRPr="00A36050" w14:paraId="2255FDA4" w14:textId="77777777" w:rsidTr="00A36050">
        <w:tc>
          <w:tcPr>
            <w:tcW w:w="2694" w:type="dxa"/>
          </w:tcPr>
          <w:p w14:paraId="70376E34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Nem gyakori:</w:t>
            </w:r>
          </w:p>
        </w:tc>
        <w:tc>
          <w:tcPr>
            <w:tcW w:w="6483" w:type="dxa"/>
          </w:tcPr>
          <w:p w14:paraId="198BC6CA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vertigo</w:t>
            </w:r>
          </w:p>
        </w:tc>
      </w:tr>
      <w:tr w:rsidR="0022614C" w:rsidRPr="00A36050" w14:paraId="3478FA5F" w14:textId="77777777" w:rsidTr="00A36050">
        <w:trPr>
          <w:cantSplit/>
        </w:trPr>
        <w:tc>
          <w:tcPr>
            <w:tcW w:w="9177" w:type="dxa"/>
            <w:gridSpan w:val="2"/>
          </w:tcPr>
          <w:p w14:paraId="57F03047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36050">
              <w:rPr>
                <w:rFonts w:ascii="Times New Roman" w:hAnsi="Times New Roman"/>
                <w:b/>
                <w:bCs/>
              </w:rPr>
              <w:t>Légzőrendszeri, mellkasi és mediastinalis betegségek és tünetek</w:t>
            </w:r>
          </w:p>
        </w:tc>
      </w:tr>
      <w:tr w:rsidR="0022614C" w:rsidRPr="00A36050" w14:paraId="7B63B23B" w14:textId="77777777" w:rsidTr="00A36050">
        <w:tc>
          <w:tcPr>
            <w:tcW w:w="2694" w:type="dxa"/>
          </w:tcPr>
          <w:p w14:paraId="2029DB8A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Ritka:</w:t>
            </w:r>
          </w:p>
        </w:tc>
        <w:tc>
          <w:tcPr>
            <w:tcW w:w="6483" w:type="dxa"/>
          </w:tcPr>
          <w:p w14:paraId="00D80C7C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bronchospasmus</w:t>
            </w:r>
          </w:p>
        </w:tc>
      </w:tr>
      <w:tr w:rsidR="0022614C" w:rsidRPr="00A36050" w14:paraId="79D765B0" w14:textId="77777777" w:rsidTr="00A36050">
        <w:trPr>
          <w:cantSplit/>
        </w:trPr>
        <w:tc>
          <w:tcPr>
            <w:tcW w:w="9177" w:type="dxa"/>
            <w:gridSpan w:val="2"/>
          </w:tcPr>
          <w:p w14:paraId="3AB982B0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36050">
              <w:rPr>
                <w:rFonts w:ascii="Times New Roman" w:hAnsi="Times New Roman"/>
                <w:b/>
                <w:bCs/>
              </w:rPr>
              <w:t>Emésztőrendszeri betegségek és tünetek</w:t>
            </w:r>
          </w:p>
        </w:tc>
      </w:tr>
      <w:tr w:rsidR="0022614C" w:rsidRPr="00A36050" w14:paraId="5ED5D01B" w14:textId="77777777" w:rsidTr="00A36050">
        <w:tc>
          <w:tcPr>
            <w:tcW w:w="2694" w:type="dxa"/>
          </w:tcPr>
          <w:p w14:paraId="57650347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lastRenderedPageBreak/>
              <w:t>Gyakori:</w:t>
            </w:r>
          </w:p>
        </w:tc>
        <w:tc>
          <w:tcPr>
            <w:tcW w:w="6483" w:type="dxa"/>
          </w:tcPr>
          <w:p w14:paraId="593B9BD3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 xml:space="preserve">hasi fájdalom, székrekedés, hasmenés, </w:t>
            </w:r>
            <w:r w:rsidR="00C63340" w:rsidRPr="00A36050">
              <w:rPr>
                <w:rFonts w:ascii="Times New Roman" w:hAnsi="Times New Roman"/>
              </w:rPr>
              <w:t>flatulentia</w:t>
            </w:r>
            <w:r w:rsidRPr="00A36050">
              <w:rPr>
                <w:rFonts w:ascii="Times New Roman" w:hAnsi="Times New Roman"/>
              </w:rPr>
              <w:t>, hányinger/hányás</w:t>
            </w:r>
            <w:r w:rsidR="00355BB9" w:rsidRPr="00A36050">
              <w:rPr>
                <w:rFonts w:ascii="Times New Roman" w:hAnsi="Times New Roman"/>
              </w:rPr>
              <w:t>, fundus mirigy polipok (benignus)</w:t>
            </w:r>
          </w:p>
        </w:tc>
      </w:tr>
      <w:tr w:rsidR="0022614C" w:rsidRPr="00A36050" w14:paraId="04569862" w14:textId="77777777" w:rsidTr="00A36050">
        <w:tc>
          <w:tcPr>
            <w:tcW w:w="2694" w:type="dxa"/>
          </w:tcPr>
          <w:p w14:paraId="4B9D8F93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Ritka:</w:t>
            </w:r>
          </w:p>
        </w:tc>
        <w:tc>
          <w:tcPr>
            <w:tcW w:w="6483" w:type="dxa"/>
          </w:tcPr>
          <w:p w14:paraId="7699C63A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szájszárazság, stomatitis, gastrointestinalis candidiasis</w:t>
            </w:r>
          </w:p>
        </w:tc>
      </w:tr>
      <w:tr w:rsidR="00C57BC1" w:rsidRPr="00A36050" w14:paraId="65D89F34" w14:textId="77777777" w:rsidTr="00A36050">
        <w:tc>
          <w:tcPr>
            <w:tcW w:w="2694" w:type="dxa"/>
          </w:tcPr>
          <w:p w14:paraId="09209E14" w14:textId="77777777" w:rsidR="00C57BC1" w:rsidRPr="00A36050" w:rsidRDefault="00C57BC1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Nem ismert:</w:t>
            </w:r>
          </w:p>
        </w:tc>
        <w:tc>
          <w:tcPr>
            <w:tcW w:w="6483" w:type="dxa"/>
          </w:tcPr>
          <w:p w14:paraId="435D1AC4" w14:textId="77777777" w:rsidR="00C57BC1" w:rsidRPr="00A36050" w:rsidRDefault="00C57BC1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mikroszkópos colitis</w:t>
            </w:r>
          </w:p>
        </w:tc>
      </w:tr>
      <w:tr w:rsidR="0022614C" w:rsidRPr="00A36050" w14:paraId="07F99CCA" w14:textId="77777777" w:rsidTr="00A36050">
        <w:trPr>
          <w:cantSplit/>
        </w:trPr>
        <w:tc>
          <w:tcPr>
            <w:tcW w:w="9177" w:type="dxa"/>
            <w:gridSpan w:val="2"/>
          </w:tcPr>
          <w:p w14:paraId="42606B1A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36050">
              <w:rPr>
                <w:rFonts w:ascii="Times New Roman" w:hAnsi="Times New Roman"/>
                <w:b/>
                <w:bCs/>
              </w:rPr>
              <w:t>Máj- és epebetegségek, illetve tünetek</w:t>
            </w:r>
          </w:p>
        </w:tc>
      </w:tr>
      <w:tr w:rsidR="0022614C" w:rsidRPr="00A36050" w14:paraId="21EB16F9" w14:textId="77777777" w:rsidTr="00A36050">
        <w:tc>
          <w:tcPr>
            <w:tcW w:w="2694" w:type="dxa"/>
          </w:tcPr>
          <w:p w14:paraId="0E00AAC8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Nem gyakori:</w:t>
            </w:r>
          </w:p>
        </w:tc>
        <w:tc>
          <w:tcPr>
            <w:tcW w:w="6483" w:type="dxa"/>
          </w:tcPr>
          <w:p w14:paraId="4AA47360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emelkedett májenzim</w:t>
            </w:r>
            <w:r w:rsidR="00F6630E" w:rsidRPr="00A36050">
              <w:rPr>
                <w:rFonts w:ascii="Times New Roman" w:hAnsi="Times New Roman"/>
              </w:rPr>
              <w:t>szint</w:t>
            </w:r>
            <w:r w:rsidRPr="00A36050">
              <w:rPr>
                <w:rFonts w:ascii="Times New Roman" w:hAnsi="Times New Roman"/>
              </w:rPr>
              <w:t>ek</w:t>
            </w:r>
          </w:p>
        </w:tc>
      </w:tr>
      <w:tr w:rsidR="0022614C" w:rsidRPr="00A36050" w14:paraId="0E1CCA4A" w14:textId="77777777" w:rsidTr="00A36050">
        <w:tc>
          <w:tcPr>
            <w:tcW w:w="2694" w:type="dxa"/>
          </w:tcPr>
          <w:p w14:paraId="52DD13EA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Ritka:</w:t>
            </w:r>
          </w:p>
        </w:tc>
        <w:tc>
          <w:tcPr>
            <w:tcW w:w="6483" w:type="dxa"/>
          </w:tcPr>
          <w:p w14:paraId="0651E076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sárgasággal járó vagy anélkül jelentkező hepatitis</w:t>
            </w:r>
          </w:p>
        </w:tc>
      </w:tr>
      <w:tr w:rsidR="0022614C" w:rsidRPr="00A36050" w14:paraId="40B2FCD0" w14:textId="77777777" w:rsidTr="00A36050">
        <w:tc>
          <w:tcPr>
            <w:tcW w:w="2694" w:type="dxa"/>
          </w:tcPr>
          <w:p w14:paraId="01892DF0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Nagyon ritka:</w:t>
            </w:r>
          </w:p>
        </w:tc>
        <w:tc>
          <w:tcPr>
            <w:tcW w:w="6483" w:type="dxa"/>
          </w:tcPr>
          <w:p w14:paraId="06B3F462" w14:textId="77777777" w:rsidR="0022614C" w:rsidRPr="00A36050" w:rsidRDefault="008B2319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m</w:t>
            </w:r>
            <w:r w:rsidR="0022614C" w:rsidRPr="00A36050">
              <w:rPr>
                <w:rFonts w:ascii="Times New Roman" w:hAnsi="Times New Roman"/>
              </w:rPr>
              <w:t>ájelégtelenség, encephalopathia a már fennálló májbetegségben szenvedő betegeknél</w:t>
            </w:r>
          </w:p>
        </w:tc>
      </w:tr>
      <w:tr w:rsidR="0022614C" w:rsidRPr="00A36050" w14:paraId="789570BD" w14:textId="77777777" w:rsidTr="00A36050">
        <w:trPr>
          <w:cantSplit/>
        </w:trPr>
        <w:tc>
          <w:tcPr>
            <w:tcW w:w="9177" w:type="dxa"/>
            <w:gridSpan w:val="2"/>
          </w:tcPr>
          <w:p w14:paraId="2D999928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36050">
              <w:rPr>
                <w:rFonts w:ascii="Times New Roman" w:hAnsi="Times New Roman"/>
                <w:b/>
                <w:bCs/>
              </w:rPr>
              <w:t>A bőr és a bőr alatti szövet betegségei és tünetei</w:t>
            </w:r>
          </w:p>
        </w:tc>
      </w:tr>
      <w:tr w:rsidR="0022614C" w:rsidRPr="00A36050" w14:paraId="1C448F74" w14:textId="77777777" w:rsidTr="00A36050">
        <w:tc>
          <w:tcPr>
            <w:tcW w:w="2694" w:type="dxa"/>
          </w:tcPr>
          <w:p w14:paraId="1813015E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Nem gyakori:</w:t>
            </w:r>
          </w:p>
        </w:tc>
        <w:tc>
          <w:tcPr>
            <w:tcW w:w="6483" w:type="dxa"/>
          </w:tcPr>
          <w:p w14:paraId="2C282C9F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dermatitis, pruritus, kiütés, urticaria</w:t>
            </w:r>
          </w:p>
        </w:tc>
      </w:tr>
      <w:tr w:rsidR="0022614C" w:rsidRPr="00A36050" w14:paraId="0AE984D9" w14:textId="77777777" w:rsidTr="00A36050">
        <w:tc>
          <w:tcPr>
            <w:tcW w:w="2694" w:type="dxa"/>
          </w:tcPr>
          <w:p w14:paraId="0D4017C1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Ritka:</w:t>
            </w:r>
          </w:p>
        </w:tc>
        <w:tc>
          <w:tcPr>
            <w:tcW w:w="6483" w:type="dxa"/>
          </w:tcPr>
          <w:p w14:paraId="6EDC0CF2" w14:textId="77777777" w:rsidR="0022614C" w:rsidRPr="00E04C6B" w:rsidRDefault="0022614C" w:rsidP="00A36050">
            <w:pPr>
              <w:widowControl w:val="0"/>
              <w:tabs>
                <w:tab w:val="center" w:pos="3133"/>
              </w:tabs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alopecia, fényérzékenység</w:t>
            </w:r>
            <w:r w:rsidR="00C878B3" w:rsidRPr="00A36050">
              <w:rPr>
                <w:rFonts w:ascii="Times New Roman" w:hAnsi="Times New Roman"/>
              </w:rPr>
              <w:t xml:space="preserve">, </w:t>
            </w:r>
            <w:r w:rsidR="00C878B3" w:rsidRPr="00A36050">
              <w:rPr>
                <w:rStyle w:val="jlqj4b"/>
                <w:rFonts w:ascii="Times New Roman" w:hAnsi="Times New Roman"/>
              </w:rPr>
              <w:t>akut generalizált exanthem</w:t>
            </w:r>
            <w:r w:rsidR="00FC3A5C" w:rsidRPr="00E04C6B">
              <w:rPr>
                <w:rStyle w:val="jlqj4b"/>
                <w:rFonts w:ascii="Times New Roman" w:hAnsi="Times New Roman"/>
              </w:rPr>
              <w:t>atosus</w:t>
            </w:r>
            <w:r w:rsidR="00C878B3" w:rsidRPr="00A36050">
              <w:rPr>
                <w:rStyle w:val="jlqj4b"/>
                <w:rFonts w:ascii="Times New Roman" w:hAnsi="Times New Roman"/>
              </w:rPr>
              <w:t xml:space="preserve"> pustul</w:t>
            </w:r>
            <w:r w:rsidR="00FC3A5C" w:rsidRPr="00E04C6B">
              <w:rPr>
                <w:rStyle w:val="jlqj4b"/>
                <w:rFonts w:ascii="Times New Roman" w:hAnsi="Times New Roman"/>
              </w:rPr>
              <w:t>os</w:t>
            </w:r>
            <w:r w:rsidR="00C878B3" w:rsidRPr="00A36050">
              <w:rPr>
                <w:rStyle w:val="jlqj4b"/>
                <w:rFonts w:ascii="Times New Roman" w:hAnsi="Times New Roman"/>
              </w:rPr>
              <w:t xml:space="preserve">is (AGEP), </w:t>
            </w:r>
            <w:r w:rsidR="00C878B3" w:rsidRPr="00A36050">
              <w:rPr>
                <w:rFonts w:ascii="Times New Roman" w:hAnsi="Times New Roman"/>
              </w:rPr>
              <w:t>eosinophiliával és szisztémás tünetekkel járó gyógyszerreakció (DRESS)</w:t>
            </w:r>
          </w:p>
        </w:tc>
      </w:tr>
      <w:tr w:rsidR="0022614C" w:rsidRPr="00A36050" w14:paraId="30532C45" w14:textId="77777777" w:rsidTr="00A36050">
        <w:tc>
          <w:tcPr>
            <w:tcW w:w="2694" w:type="dxa"/>
          </w:tcPr>
          <w:p w14:paraId="3B9A1FB8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Nagyon ritka:</w:t>
            </w:r>
          </w:p>
        </w:tc>
        <w:tc>
          <w:tcPr>
            <w:tcW w:w="6483" w:type="dxa"/>
          </w:tcPr>
          <w:p w14:paraId="22BFBA1A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erythema multiforme, Stevens</w:t>
            </w:r>
            <w:r w:rsidR="006E1E5C" w:rsidRPr="00A36050">
              <w:rPr>
                <w:rFonts w:ascii="Times New Roman" w:hAnsi="Times New Roman"/>
              </w:rPr>
              <w:t>–</w:t>
            </w:r>
            <w:r w:rsidRPr="00A36050">
              <w:rPr>
                <w:rFonts w:ascii="Times New Roman" w:hAnsi="Times New Roman"/>
              </w:rPr>
              <w:t>Johnson</w:t>
            </w:r>
            <w:r w:rsidR="006E1E5C" w:rsidRPr="00A36050">
              <w:rPr>
                <w:rFonts w:ascii="Times New Roman" w:hAnsi="Times New Roman"/>
              </w:rPr>
              <w:t>-</w:t>
            </w:r>
            <w:r w:rsidRPr="00A36050">
              <w:rPr>
                <w:rFonts w:ascii="Times New Roman" w:hAnsi="Times New Roman"/>
              </w:rPr>
              <w:t>szindróma, toxicus epidermalis necrolysis (TEN)</w:t>
            </w:r>
          </w:p>
        </w:tc>
      </w:tr>
      <w:tr w:rsidR="00EB3331" w:rsidRPr="00A36050" w14:paraId="6D3715DC" w14:textId="77777777" w:rsidTr="00A36050">
        <w:tc>
          <w:tcPr>
            <w:tcW w:w="2694" w:type="dxa"/>
          </w:tcPr>
          <w:p w14:paraId="01D62F15" w14:textId="77777777" w:rsidR="00EB3331" w:rsidRPr="00A36050" w:rsidRDefault="00EB3331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Nem ismert:</w:t>
            </w:r>
          </w:p>
        </w:tc>
        <w:tc>
          <w:tcPr>
            <w:tcW w:w="6483" w:type="dxa"/>
          </w:tcPr>
          <w:p w14:paraId="10D8EE35" w14:textId="30ADC27E" w:rsidR="00EB3331" w:rsidRPr="00A36050" w:rsidRDefault="005A4413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s</w:t>
            </w:r>
            <w:r w:rsidR="00EB3331" w:rsidRPr="00A36050">
              <w:rPr>
                <w:rFonts w:ascii="Times New Roman" w:hAnsi="Times New Roman"/>
              </w:rPr>
              <w:t xml:space="preserve">zubakut </w:t>
            </w:r>
            <w:r w:rsidR="00032C49" w:rsidRPr="00A36050">
              <w:rPr>
                <w:rFonts w:ascii="Times New Roman" w:hAnsi="Times New Roman"/>
              </w:rPr>
              <w:t>cutan lupus erythematosus</w:t>
            </w:r>
            <w:r w:rsidR="00EB3331" w:rsidRPr="00A36050">
              <w:rPr>
                <w:rFonts w:ascii="Times New Roman" w:hAnsi="Times New Roman"/>
              </w:rPr>
              <w:t xml:space="preserve"> (lásd 4.4</w:t>
            </w:r>
            <w:r w:rsidR="00533B18">
              <w:rPr>
                <w:rFonts w:ascii="Times New Roman" w:hAnsi="Times New Roman"/>
              </w:rPr>
              <w:t> </w:t>
            </w:r>
            <w:r w:rsidR="00EB3331" w:rsidRPr="00A36050">
              <w:rPr>
                <w:rFonts w:ascii="Times New Roman" w:hAnsi="Times New Roman"/>
              </w:rPr>
              <w:t>pont)</w:t>
            </w:r>
          </w:p>
        </w:tc>
      </w:tr>
      <w:tr w:rsidR="0022614C" w:rsidRPr="00A36050" w14:paraId="60EB2E1A" w14:textId="77777777" w:rsidTr="00A36050">
        <w:trPr>
          <w:cantSplit/>
        </w:trPr>
        <w:tc>
          <w:tcPr>
            <w:tcW w:w="9177" w:type="dxa"/>
            <w:gridSpan w:val="2"/>
          </w:tcPr>
          <w:p w14:paraId="754E8903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  <w:r w:rsidRPr="00A36050">
              <w:rPr>
                <w:rFonts w:ascii="Times New Roman" w:hAnsi="Times New Roman"/>
                <w:b/>
              </w:rPr>
              <w:t>A csont- és izomrendszer, valamint a kötőszövet betegségei és tünetei</w:t>
            </w:r>
          </w:p>
        </w:tc>
      </w:tr>
      <w:tr w:rsidR="0022614C" w:rsidRPr="00A36050" w14:paraId="164CBB62" w14:textId="77777777" w:rsidTr="00A36050">
        <w:tc>
          <w:tcPr>
            <w:tcW w:w="2694" w:type="dxa"/>
          </w:tcPr>
          <w:p w14:paraId="39547895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Nem gyakori:</w:t>
            </w:r>
          </w:p>
        </w:tc>
        <w:tc>
          <w:tcPr>
            <w:tcW w:w="6483" w:type="dxa"/>
          </w:tcPr>
          <w:p w14:paraId="78A2BD7F" w14:textId="6911E558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csípő-, csukló-, vagy gerinctörés</w:t>
            </w:r>
          </w:p>
        </w:tc>
      </w:tr>
      <w:tr w:rsidR="0022614C" w:rsidRPr="00A36050" w14:paraId="17260F5D" w14:textId="77777777" w:rsidTr="00A36050">
        <w:tc>
          <w:tcPr>
            <w:tcW w:w="2694" w:type="dxa"/>
          </w:tcPr>
          <w:p w14:paraId="18BD5706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Ritka:</w:t>
            </w:r>
          </w:p>
        </w:tc>
        <w:tc>
          <w:tcPr>
            <w:tcW w:w="6483" w:type="dxa"/>
          </w:tcPr>
          <w:p w14:paraId="32C05267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arthralgia, myalgia</w:t>
            </w:r>
          </w:p>
        </w:tc>
      </w:tr>
      <w:tr w:rsidR="0022614C" w:rsidRPr="00A36050" w14:paraId="54DCE158" w14:textId="77777777" w:rsidTr="00A36050">
        <w:tc>
          <w:tcPr>
            <w:tcW w:w="2694" w:type="dxa"/>
          </w:tcPr>
          <w:p w14:paraId="2A282360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Nagyon ritka:</w:t>
            </w:r>
          </w:p>
        </w:tc>
        <w:tc>
          <w:tcPr>
            <w:tcW w:w="6483" w:type="dxa"/>
          </w:tcPr>
          <w:p w14:paraId="60E1E361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izomgyengeség</w:t>
            </w:r>
          </w:p>
        </w:tc>
      </w:tr>
      <w:tr w:rsidR="0022614C" w:rsidRPr="00A36050" w14:paraId="65D6A9F8" w14:textId="77777777" w:rsidTr="00A36050">
        <w:trPr>
          <w:cantSplit/>
        </w:trPr>
        <w:tc>
          <w:tcPr>
            <w:tcW w:w="9177" w:type="dxa"/>
            <w:gridSpan w:val="2"/>
          </w:tcPr>
          <w:p w14:paraId="38BDD665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  <w:r w:rsidRPr="00A36050">
              <w:rPr>
                <w:rFonts w:ascii="Times New Roman" w:hAnsi="Times New Roman"/>
                <w:b/>
              </w:rPr>
              <w:t>Vese- és húgyúti betegségek és tünetek</w:t>
            </w:r>
          </w:p>
        </w:tc>
      </w:tr>
      <w:tr w:rsidR="0022614C" w:rsidRPr="00A36050" w14:paraId="5A4FE372" w14:textId="77777777" w:rsidTr="00A36050">
        <w:tc>
          <w:tcPr>
            <w:tcW w:w="2694" w:type="dxa"/>
          </w:tcPr>
          <w:p w14:paraId="774381A8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  <w:bCs/>
              </w:rPr>
              <w:t>Ritka:</w:t>
            </w:r>
          </w:p>
        </w:tc>
        <w:tc>
          <w:tcPr>
            <w:tcW w:w="6483" w:type="dxa"/>
          </w:tcPr>
          <w:p w14:paraId="73D1FFD1" w14:textId="0A22B150" w:rsidR="0022614C" w:rsidRPr="00E04C6B" w:rsidRDefault="00EE38CA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</w:t>
            </w:r>
            <w:r w:rsidR="002C0E13" w:rsidRPr="00A36050">
              <w:rPr>
                <w:rFonts w:ascii="Times New Roman" w:hAnsi="Times New Roman"/>
                <w:bCs/>
              </w:rPr>
              <w:t>ubulo</w:t>
            </w:r>
            <w:r w:rsidR="0022614C" w:rsidRPr="00A36050">
              <w:rPr>
                <w:rFonts w:ascii="Times New Roman" w:hAnsi="Times New Roman"/>
                <w:bCs/>
              </w:rPr>
              <w:t>interstitialis nephritis</w:t>
            </w:r>
            <w:r w:rsidR="002C0E13" w:rsidRPr="00A36050">
              <w:rPr>
                <w:rFonts w:ascii="Times New Roman" w:hAnsi="Times New Roman"/>
                <w:bCs/>
              </w:rPr>
              <w:t xml:space="preserve"> (veseelégtelenségbe progrediálhat)</w:t>
            </w:r>
          </w:p>
        </w:tc>
      </w:tr>
      <w:tr w:rsidR="0022614C" w:rsidRPr="00A36050" w14:paraId="264DA276" w14:textId="77777777" w:rsidTr="00A36050">
        <w:trPr>
          <w:cantSplit/>
        </w:trPr>
        <w:tc>
          <w:tcPr>
            <w:tcW w:w="9177" w:type="dxa"/>
            <w:gridSpan w:val="2"/>
          </w:tcPr>
          <w:p w14:paraId="45D56342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  <w:r w:rsidRPr="00A36050">
              <w:rPr>
                <w:rFonts w:ascii="Times New Roman" w:hAnsi="Times New Roman"/>
                <w:b/>
              </w:rPr>
              <w:t>A nemi szervekkel és az emlőkkel kapcsolatos betegségek és tünetek</w:t>
            </w:r>
          </w:p>
        </w:tc>
      </w:tr>
      <w:tr w:rsidR="0022614C" w:rsidRPr="00A36050" w14:paraId="772F4A00" w14:textId="77777777" w:rsidTr="00A36050">
        <w:tc>
          <w:tcPr>
            <w:tcW w:w="2694" w:type="dxa"/>
          </w:tcPr>
          <w:p w14:paraId="0B5E4749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  <w:bCs/>
              </w:rPr>
              <w:t>Nagyon ritka:</w:t>
            </w:r>
          </w:p>
        </w:tc>
        <w:tc>
          <w:tcPr>
            <w:tcW w:w="6483" w:type="dxa"/>
          </w:tcPr>
          <w:p w14:paraId="3AE17AC2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</w:rPr>
            </w:pPr>
            <w:r w:rsidRPr="00A36050">
              <w:rPr>
                <w:rFonts w:ascii="Times New Roman" w:hAnsi="Times New Roman"/>
                <w:bCs/>
              </w:rPr>
              <w:t>gynaecomastia</w:t>
            </w:r>
          </w:p>
        </w:tc>
      </w:tr>
      <w:tr w:rsidR="0022614C" w:rsidRPr="00A36050" w14:paraId="1145CE91" w14:textId="77777777" w:rsidTr="00A36050">
        <w:trPr>
          <w:cantSplit/>
        </w:trPr>
        <w:tc>
          <w:tcPr>
            <w:tcW w:w="9177" w:type="dxa"/>
            <w:gridSpan w:val="2"/>
          </w:tcPr>
          <w:p w14:paraId="6C36E6EC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A36050">
              <w:rPr>
                <w:rFonts w:ascii="Times New Roman" w:hAnsi="Times New Roman"/>
                <w:b/>
                <w:bCs/>
              </w:rPr>
              <w:t>Általános tünetek, az alkalmazás helyén fellépő reakciók</w:t>
            </w:r>
          </w:p>
        </w:tc>
      </w:tr>
      <w:tr w:rsidR="0022614C" w:rsidRPr="00A36050" w14:paraId="6519F1B1" w14:textId="77777777" w:rsidTr="00A36050">
        <w:tc>
          <w:tcPr>
            <w:tcW w:w="2694" w:type="dxa"/>
          </w:tcPr>
          <w:p w14:paraId="3E125AA1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 xml:space="preserve">Nem gyakori: </w:t>
            </w:r>
          </w:p>
        </w:tc>
        <w:tc>
          <w:tcPr>
            <w:tcW w:w="6483" w:type="dxa"/>
          </w:tcPr>
          <w:p w14:paraId="612BB70A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általános rossz közérzet, peripheri</w:t>
            </w:r>
            <w:r w:rsidR="00F6630E" w:rsidRPr="00A36050">
              <w:rPr>
                <w:rFonts w:ascii="Times New Roman" w:hAnsi="Times New Roman"/>
              </w:rPr>
              <w:t>a</w:t>
            </w:r>
            <w:r w:rsidRPr="00A36050">
              <w:rPr>
                <w:rFonts w:ascii="Times New Roman" w:hAnsi="Times New Roman"/>
              </w:rPr>
              <w:t>s oedema</w:t>
            </w:r>
          </w:p>
        </w:tc>
      </w:tr>
      <w:tr w:rsidR="0022614C" w:rsidRPr="00A36050" w14:paraId="4FAA190B" w14:textId="77777777" w:rsidTr="00A36050">
        <w:tc>
          <w:tcPr>
            <w:tcW w:w="2694" w:type="dxa"/>
          </w:tcPr>
          <w:p w14:paraId="2F5A0531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Ritka:</w:t>
            </w:r>
          </w:p>
        </w:tc>
        <w:tc>
          <w:tcPr>
            <w:tcW w:w="6483" w:type="dxa"/>
          </w:tcPr>
          <w:p w14:paraId="2B86063D" w14:textId="77777777" w:rsidR="0022614C" w:rsidRPr="00A36050" w:rsidRDefault="0022614C" w:rsidP="00E04C6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36050">
              <w:rPr>
                <w:rFonts w:ascii="Times New Roman" w:hAnsi="Times New Roman"/>
              </w:rPr>
              <w:t>fokozott izzadás</w:t>
            </w:r>
          </w:p>
        </w:tc>
      </w:tr>
    </w:tbl>
    <w:p w14:paraId="4B8F8E64" w14:textId="77777777" w:rsidR="00F6630E" w:rsidRPr="00A36050" w:rsidRDefault="00F6630E" w:rsidP="00E04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</w:rPr>
      </w:pPr>
    </w:p>
    <w:p w14:paraId="5D567289" w14:textId="77777777" w:rsidR="001C0BD1" w:rsidRPr="00A36050" w:rsidRDefault="001C0BD1" w:rsidP="00E04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Gyermek</w:t>
      </w:r>
      <w:r w:rsidR="00F6630E" w:rsidRPr="00A36050">
        <w:rPr>
          <w:rFonts w:ascii="Times New Roman" w:hAnsi="Times New Roman"/>
          <w:u w:val="single"/>
        </w:rPr>
        <w:t>ek</w:t>
      </w:r>
      <w:r w:rsidR="00A97DCD" w:rsidRPr="00A36050">
        <w:rPr>
          <w:rFonts w:ascii="Times New Roman" w:hAnsi="Times New Roman"/>
          <w:u w:val="single"/>
        </w:rPr>
        <w:t xml:space="preserve"> és serdülők</w:t>
      </w:r>
    </w:p>
    <w:p w14:paraId="5874D44D" w14:textId="6E9853FB" w:rsidR="001C0BD1" w:rsidRPr="00A36050" w:rsidRDefault="001C0BD1" w:rsidP="00E04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Az omeprazol biztonságosságát összesen 310, 0</w:t>
      </w:r>
      <w:r w:rsidR="002D2E86" w:rsidRPr="00A3605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16</w:t>
      </w:r>
      <w:r w:rsidR="005A4413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év közötti, gyomorsavtermeléssel összefüggő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betegségben szenvedő gyermeknél vizsgálták. A hosszú</w:t>
      </w:r>
      <w:r w:rsidR="00414D4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távú alkalmazás biztonságosságára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vonatkozóan csak korlátozott számú adat áll rendelkezésre egy olyan klinikai vizsgálatból, melyben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súlyos er</w:t>
      </w:r>
      <w:r w:rsidR="00B20E48" w:rsidRPr="00A36050">
        <w:rPr>
          <w:rFonts w:ascii="Times New Roman" w:hAnsi="Times New Roman"/>
        </w:rPr>
        <w:t>o</w:t>
      </w:r>
      <w:r w:rsidR="00F6630E" w:rsidRPr="00A36050">
        <w:rPr>
          <w:rFonts w:ascii="Times New Roman" w:hAnsi="Times New Roman"/>
        </w:rPr>
        <w:t>zí</w:t>
      </w:r>
      <w:r w:rsidRPr="00A36050">
        <w:rPr>
          <w:rFonts w:ascii="Times New Roman" w:hAnsi="Times New Roman"/>
        </w:rPr>
        <w:t>v oesophagitisben szenvedő gyermek</w:t>
      </w:r>
      <w:r w:rsidR="00187816">
        <w:rPr>
          <w:rFonts w:ascii="Times New Roman" w:hAnsi="Times New Roman"/>
        </w:rPr>
        <w:t>ek</w:t>
      </w:r>
      <w:r w:rsidRPr="00A36050">
        <w:rPr>
          <w:rFonts w:ascii="Times New Roman" w:hAnsi="Times New Roman"/>
        </w:rPr>
        <w:t xml:space="preserve"> </w:t>
      </w:r>
      <w:r w:rsidR="00F6630E" w:rsidRPr="00A36050">
        <w:rPr>
          <w:rFonts w:ascii="Times New Roman" w:hAnsi="Times New Roman"/>
        </w:rPr>
        <w:t xml:space="preserve">legfeljebb </w:t>
      </w:r>
      <w:r w:rsidRPr="00A36050">
        <w:rPr>
          <w:rFonts w:ascii="Times New Roman" w:hAnsi="Times New Roman"/>
        </w:rPr>
        <w:t>749</w:t>
      </w:r>
      <w:r w:rsidR="005A4413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napig kap</w:t>
      </w:r>
      <w:r w:rsidR="00187816">
        <w:rPr>
          <w:rFonts w:ascii="Times New Roman" w:hAnsi="Times New Roman"/>
        </w:rPr>
        <w:t>tak</w:t>
      </w:r>
      <w:r w:rsidRPr="00A36050">
        <w:rPr>
          <w:rFonts w:ascii="Times New Roman" w:hAnsi="Times New Roman"/>
        </w:rPr>
        <w:t xml:space="preserve"> omeprazol fenntartó terápiát. A</w:t>
      </w:r>
      <w:r w:rsidR="00062A9E" w:rsidRPr="00A36050">
        <w:rPr>
          <w:rFonts w:ascii="Times New Roman" w:hAnsi="Times New Roman"/>
        </w:rPr>
        <w:t xml:space="preserve"> </w:t>
      </w:r>
      <w:r w:rsidR="00EE38CA">
        <w:rPr>
          <w:rFonts w:ascii="Times New Roman" w:hAnsi="Times New Roman"/>
        </w:rPr>
        <w:t>mellékhatás</w:t>
      </w:r>
      <w:r w:rsidRPr="00A36050">
        <w:rPr>
          <w:rFonts w:ascii="Times New Roman" w:hAnsi="Times New Roman"/>
        </w:rPr>
        <w:t xml:space="preserve">profil általánosságban </w:t>
      </w:r>
      <w:r w:rsidR="00F6630E" w:rsidRPr="00A36050">
        <w:rPr>
          <w:rFonts w:ascii="Times New Roman" w:hAnsi="Times New Roman"/>
        </w:rPr>
        <w:t xml:space="preserve">azonos </w:t>
      </w:r>
      <w:r w:rsidRPr="00A36050">
        <w:rPr>
          <w:rFonts w:ascii="Times New Roman" w:hAnsi="Times New Roman"/>
        </w:rPr>
        <w:t>volt a felnőttek rövid- és hosszú</w:t>
      </w:r>
      <w:r w:rsidR="00414D4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távú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kezelésében tapasztaltakéhoz. Nincsenek hosszú</w:t>
      </w:r>
      <w:r w:rsidR="00414D4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távú adatok az omeprazolnak a pubertásra és a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növekedésre kifejtett hatásaira vonatkozóan.</w:t>
      </w:r>
    </w:p>
    <w:p w14:paraId="15016258" w14:textId="77777777" w:rsidR="00E323BC" w:rsidRPr="00A36050" w:rsidRDefault="00E323BC" w:rsidP="00E04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12691AC" w14:textId="77777777" w:rsidR="00D504E8" w:rsidRPr="00A36050" w:rsidRDefault="00D504E8" w:rsidP="00E04C6B">
      <w:pPr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Feltételezett mellékhatások bejelentése</w:t>
      </w:r>
    </w:p>
    <w:p w14:paraId="6FAF6D2A" w14:textId="77777777" w:rsidR="00032C49" w:rsidRPr="00A36050" w:rsidRDefault="00D504E8" w:rsidP="00A36050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 gyógyszer engedélyezését követően lényeges a feltételezett mellékhatások bejelentése, mert ez fontos eszköze annak, hogy a gyógyszer előny/kockázat profilját folyamatosan figyelemmel lehessen kísérni.</w:t>
      </w:r>
      <w:r w:rsidR="004674CF" w:rsidRPr="00A36050">
        <w:rPr>
          <w:rFonts w:ascii="Times New Roman" w:hAnsi="Times New Roman"/>
        </w:rPr>
        <w:t xml:space="preserve"> </w:t>
      </w:r>
    </w:p>
    <w:p w14:paraId="37FBE3DD" w14:textId="64DABD6A" w:rsidR="00E323BC" w:rsidRPr="00E04C6B" w:rsidRDefault="00D504E8" w:rsidP="00A36050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Az egészségügyi szakembereket kérjük, hogy jelentsék be a feltételezett mellékhatásokat a hatóság részére az </w:t>
      </w:r>
      <w:hyperlink r:id="rId10" w:history="1">
        <w:r w:rsidRPr="00E04C6B">
          <w:rPr>
            <w:rStyle w:val="Hiperhivatkozs"/>
            <w:rFonts w:ascii="Times New Roman" w:hAnsi="Times New Roman"/>
            <w:highlight w:val="lightGray"/>
          </w:rPr>
          <w:t>V. függelékben</w:t>
        </w:r>
      </w:hyperlink>
      <w:r w:rsidRPr="00E04C6B">
        <w:rPr>
          <w:rFonts w:ascii="Times New Roman" w:hAnsi="Times New Roman"/>
          <w:highlight w:val="lightGray"/>
        </w:rPr>
        <w:t xml:space="preserve"> található elérhetőségek valamelyikén keresztül</w:t>
      </w:r>
      <w:r w:rsidRPr="00E04C6B">
        <w:rPr>
          <w:rFonts w:ascii="Times New Roman" w:hAnsi="Times New Roman"/>
        </w:rPr>
        <w:t>.</w:t>
      </w:r>
    </w:p>
    <w:p w14:paraId="556155A6" w14:textId="77777777" w:rsidR="00EE09C2" w:rsidRPr="00E04C6B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</w:p>
    <w:p w14:paraId="121F9C45" w14:textId="77777777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E04C6B">
        <w:rPr>
          <w:rFonts w:ascii="Times New Roman" w:hAnsi="Times New Roman"/>
          <w:b/>
          <w:bCs/>
        </w:rPr>
        <w:t>4.9</w:t>
      </w:r>
      <w:r w:rsidR="00F6630E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  <w:bCs/>
        </w:rPr>
        <w:t>Túladagolás</w:t>
      </w:r>
    </w:p>
    <w:p w14:paraId="61BACA2C" w14:textId="77777777" w:rsidR="00EE09C2" w:rsidRPr="00A36050" w:rsidRDefault="00EE09C2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5EAE249" w14:textId="63C0D530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Korlátozott számú adat áll rendelkezésre az omeprazol</w:t>
      </w:r>
      <w:r w:rsidR="00E53C10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túladagolás hatásairól emberben. Az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irodalomban </w:t>
      </w:r>
      <w:r w:rsidR="00D31A68" w:rsidRPr="00D31A68">
        <w:rPr>
          <w:rFonts w:ascii="Times New Roman" w:hAnsi="Times New Roman"/>
        </w:rPr>
        <w:t>560 mg</w:t>
      </w:r>
      <w:r w:rsidR="00533B18">
        <w:rPr>
          <w:rFonts w:ascii="Times New Roman" w:hAnsi="Times New Roman"/>
        </w:rPr>
        <w:noBreakHyphen/>
      </w:r>
      <w:r w:rsidR="00D31A68" w:rsidRPr="00D31A68">
        <w:rPr>
          <w:rFonts w:ascii="Times New Roman" w:hAnsi="Times New Roman"/>
        </w:rPr>
        <w:t>ig terjedő adagok alkalmazásáról van leírás</w:t>
      </w:r>
      <w:r w:rsidRPr="00A36050">
        <w:rPr>
          <w:rFonts w:ascii="Times New Roman" w:hAnsi="Times New Roman"/>
        </w:rPr>
        <w:t xml:space="preserve">, és az eseti jelentések szerint az egyszeri </w:t>
      </w:r>
      <w:r w:rsidRPr="00A36050">
        <w:rPr>
          <w:rFonts w:ascii="Times New Roman" w:hAnsi="Times New Roman"/>
          <w:i/>
          <w:iCs/>
        </w:rPr>
        <w:t>per os</w:t>
      </w:r>
      <w:r w:rsidR="00062A9E" w:rsidRPr="00A36050">
        <w:rPr>
          <w:rFonts w:ascii="Times New Roman" w:hAnsi="Times New Roman"/>
          <w:i/>
          <w:iCs/>
        </w:rPr>
        <w:t xml:space="preserve"> </w:t>
      </w:r>
      <w:r w:rsidRPr="00A36050">
        <w:rPr>
          <w:rFonts w:ascii="Times New Roman" w:hAnsi="Times New Roman"/>
        </w:rPr>
        <w:t>omeprazol</w:t>
      </w:r>
      <w:r w:rsidR="00D31A68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adagok elérték a 2400</w:t>
      </w:r>
      <w:r w:rsidR="00F6630E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ot (ami a szokásos javasolt klinikai dózis 120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szorosa). Az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omeprazol</w:t>
      </w:r>
      <w:r w:rsidR="00D31A68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túladagolás következményeként jelentkező hányingerről, hányásról, szédülésről, hasi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fájdalmakról, hasmenésről és fejfájásr</w:t>
      </w:r>
      <w:r w:rsidR="00062A9E" w:rsidRPr="00A36050">
        <w:rPr>
          <w:rFonts w:ascii="Times New Roman" w:hAnsi="Times New Roman"/>
        </w:rPr>
        <w:t>ó</w:t>
      </w:r>
      <w:r w:rsidRPr="00A36050">
        <w:rPr>
          <w:rFonts w:ascii="Times New Roman" w:hAnsi="Times New Roman"/>
        </w:rPr>
        <w:t>l számoltak be. Néhány esetben apathia, depressio és confusio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is előfordult.</w:t>
      </w:r>
    </w:p>
    <w:p w14:paraId="2EF7DE5E" w14:textId="77777777" w:rsidR="00D504E8" w:rsidRPr="00A36050" w:rsidRDefault="00D504E8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61A7970" w14:textId="0958870D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</w:t>
      </w:r>
      <w:r w:rsidR="00D504E8" w:rsidRPr="00A36050">
        <w:rPr>
          <w:rFonts w:ascii="Times New Roman" w:hAnsi="Times New Roman"/>
        </w:rPr>
        <w:t xml:space="preserve">z </w:t>
      </w:r>
      <w:r w:rsidR="00D504E8" w:rsidRPr="00E04C6B">
        <w:rPr>
          <w:rFonts w:ascii="Times New Roman" w:hAnsi="Times New Roman"/>
        </w:rPr>
        <w:t>omeprazol</w:t>
      </w:r>
      <w:r w:rsidR="00D31A68">
        <w:rPr>
          <w:rFonts w:ascii="Times New Roman" w:hAnsi="Times New Roman"/>
        </w:rPr>
        <w:t>-</w:t>
      </w:r>
      <w:r w:rsidR="00D504E8" w:rsidRPr="00E04C6B">
        <w:rPr>
          <w:rFonts w:ascii="Times New Roman" w:hAnsi="Times New Roman"/>
        </w:rPr>
        <w:t>túladagolással kapcsolatban</w:t>
      </w:r>
      <w:r w:rsidRPr="00E04C6B">
        <w:rPr>
          <w:rFonts w:ascii="Times New Roman" w:hAnsi="Times New Roman"/>
        </w:rPr>
        <w:t xml:space="preserve"> leírt tünetek átmenetiek voltak, súlyos kimenetelű esetről </w:t>
      </w:r>
      <w:r w:rsidRPr="00E04C6B">
        <w:rPr>
          <w:rFonts w:ascii="Times New Roman" w:hAnsi="Times New Roman"/>
        </w:rPr>
        <w:lastRenderedPageBreak/>
        <w:t>nem számoltak be. Az elimináció</w:t>
      </w:r>
      <w:r w:rsidR="00062A9E" w:rsidRPr="00E04C6B">
        <w:rPr>
          <w:rFonts w:ascii="Times New Roman" w:hAnsi="Times New Roman"/>
        </w:rPr>
        <w:t xml:space="preserve"> </w:t>
      </w:r>
      <w:r w:rsidRPr="00E04C6B">
        <w:rPr>
          <w:rFonts w:ascii="Times New Roman" w:hAnsi="Times New Roman"/>
        </w:rPr>
        <w:t>mértéke növelt dózisok esetén változatlan maradt (elsőrendű k</w:t>
      </w:r>
      <w:r w:rsidRPr="00A36050">
        <w:rPr>
          <w:rFonts w:ascii="Times New Roman" w:hAnsi="Times New Roman"/>
        </w:rPr>
        <w:t>inetika). A kezelés, amennyiben arra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szükség van, tüneti.</w:t>
      </w:r>
    </w:p>
    <w:p w14:paraId="70B1ADDA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B678140" w14:textId="77777777" w:rsidR="00FD0D49" w:rsidRPr="00A36050" w:rsidRDefault="00FD0D49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CD6543B" w14:textId="77777777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5.</w:t>
      </w:r>
      <w:r w:rsidR="00F6630E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FARMAKOLÓGIAI TULAJDONSÁGOK</w:t>
      </w:r>
    </w:p>
    <w:p w14:paraId="456A4F7F" w14:textId="77777777" w:rsidR="00EE09C2" w:rsidRPr="00A36050" w:rsidRDefault="00EE09C2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</w:p>
    <w:p w14:paraId="1A78A2EA" w14:textId="77777777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  <w:bCs/>
        </w:rPr>
        <w:t>5.</w:t>
      </w:r>
      <w:r w:rsidRPr="00A36050">
        <w:rPr>
          <w:rFonts w:ascii="Times New Roman" w:hAnsi="Times New Roman"/>
          <w:b/>
        </w:rPr>
        <w:t>1</w:t>
      </w:r>
      <w:r w:rsidR="00F6630E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Farmakodinámiás tulajdonságok</w:t>
      </w:r>
    </w:p>
    <w:p w14:paraId="210EB471" w14:textId="77777777" w:rsidR="0012728F" w:rsidRPr="00A36050" w:rsidRDefault="0012728F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C2D06D3" w14:textId="2441A7E9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Farmakoterápiás csoport:</w:t>
      </w:r>
      <w:r w:rsidR="00E92449" w:rsidRPr="00A36050">
        <w:rPr>
          <w:rFonts w:ascii="Times New Roman" w:hAnsi="Times New Roman"/>
        </w:rPr>
        <w:t xml:space="preserve"> </w:t>
      </w:r>
      <w:r w:rsidR="000B48BE" w:rsidRPr="00A36050">
        <w:rPr>
          <w:rFonts w:ascii="Times New Roman" w:hAnsi="Times New Roman"/>
        </w:rPr>
        <w:t>S</w:t>
      </w:r>
      <w:r w:rsidR="00E92449" w:rsidRPr="00A36050">
        <w:rPr>
          <w:rFonts w:ascii="Times New Roman" w:hAnsi="Times New Roman"/>
        </w:rPr>
        <w:t>avtermelés zavarával járó betegségek gyógyszerei,</w:t>
      </w:r>
      <w:r w:rsidRPr="00A36050">
        <w:rPr>
          <w:rFonts w:ascii="Times New Roman" w:hAnsi="Times New Roman"/>
        </w:rPr>
        <w:t xml:space="preserve"> </w:t>
      </w:r>
      <w:r w:rsidR="002540CD">
        <w:rPr>
          <w:rFonts w:ascii="Times New Roman" w:hAnsi="Times New Roman"/>
        </w:rPr>
        <w:t>protonpumpa-gátló</w:t>
      </w:r>
      <w:r w:rsidRPr="00A36050">
        <w:rPr>
          <w:rFonts w:ascii="Times New Roman" w:hAnsi="Times New Roman"/>
        </w:rPr>
        <w:t>k</w:t>
      </w:r>
      <w:r w:rsidR="00D504E8" w:rsidRPr="00A36050">
        <w:rPr>
          <w:rFonts w:ascii="Times New Roman" w:hAnsi="Times New Roman"/>
        </w:rPr>
        <w:t xml:space="preserve">, </w:t>
      </w:r>
      <w:r w:rsidRPr="00A36050">
        <w:rPr>
          <w:rFonts w:ascii="Times New Roman" w:hAnsi="Times New Roman"/>
        </w:rPr>
        <w:t>ATC kód: A02BC01</w:t>
      </w:r>
    </w:p>
    <w:p w14:paraId="766BBA32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</w:rPr>
      </w:pPr>
    </w:p>
    <w:p w14:paraId="1DD2FF6F" w14:textId="77777777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Hatásmechanizmus</w:t>
      </w:r>
    </w:p>
    <w:p w14:paraId="429E151F" w14:textId="10787AB0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Az omeprazol, mely két enantiom</w:t>
      </w:r>
      <w:r w:rsidR="0012728F" w:rsidRPr="00A36050">
        <w:rPr>
          <w:rFonts w:ascii="Times New Roman" w:hAnsi="Times New Roman"/>
        </w:rPr>
        <w:t>e</w:t>
      </w:r>
      <w:r w:rsidRPr="00A36050">
        <w:rPr>
          <w:rFonts w:ascii="Times New Roman" w:hAnsi="Times New Roman"/>
        </w:rPr>
        <w:t>r molekula racém elegye, a gyomorsav-szekréciót célzott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hatásmechanizmuson keresztül csökkenti. A</w:t>
      </w:r>
      <w:r w:rsidR="00CD7018">
        <w:rPr>
          <w:rFonts w:ascii="Times New Roman" w:hAnsi="Times New Roman"/>
        </w:rPr>
        <w:t>z omeprazol a</w:t>
      </w:r>
      <w:r w:rsidRPr="00A36050">
        <w:rPr>
          <w:rFonts w:ascii="Times New Roman" w:hAnsi="Times New Roman"/>
        </w:rPr>
        <w:t xml:space="preserve"> parietális sejtben lévő protonpumpa speciális inhibitora.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Gyorsan hat, és a gyomorsav-szekréció reverzibilis gátlásával napi egyszeri adagolás mellett biztosítja</w:t>
      </w:r>
      <w:r w:rsidR="0012728F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 savkontrollt.</w:t>
      </w:r>
    </w:p>
    <w:p w14:paraId="459D3142" w14:textId="77777777" w:rsidR="00062A9E" w:rsidRPr="00A36050" w:rsidRDefault="00062A9E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A779981" w14:textId="35F7B074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Az omeprazol gyenge bázis, ami a parietális sejt intracelluláris canaliculusának </w:t>
      </w:r>
      <w:r w:rsidR="006870D0" w:rsidRPr="00A36050">
        <w:rPr>
          <w:rFonts w:ascii="Times New Roman" w:hAnsi="Times New Roman"/>
        </w:rPr>
        <w:t xml:space="preserve">erősen </w:t>
      </w:r>
      <w:r w:rsidRPr="00A36050">
        <w:rPr>
          <w:rFonts w:ascii="Times New Roman" w:hAnsi="Times New Roman"/>
        </w:rPr>
        <w:t>savas környezetében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koncentrálódik és </w:t>
      </w:r>
      <w:r w:rsidR="00CD7018">
        <w:rPr>
          <w:rFonts w:ascii="Times New Roman" w:hAnsi="Times New Roman"/>
        </w:rPr>
        <w:t>átalakul aktív formává</w:t>
      </w:r>
      <w:r w:rsidRPr="00A36050">
        <w:rPr>
          <w:rFonts w:ascii="Times New Roman" w:hAnsi="Times New Roman"/>
        </w:rPr>
        <w:t>, ahol a H</w:t>
      </w:r>
      <w:r w:rsidRPr="00A36050">
        <w:rPr>
          <w:rFonts w:ascii="Times New Roman" w:hAnsi="Times New Roman"/>
          <w:vertAlign w:val="superscript"/>
        </w:rPr>
        <w:t>+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K</w:t>
      </w:r>
      <w:r w:rsidRPr="00A36050">
        <w:rPr>
          <w:rFonts w:ascii="Times New Roman" w:hAnsi="Times New Roman"/>
          <w:vertAlign w:val="superscript"/>
        </w:rPr>
        <w:t>+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ATP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áz enzimet, azaz a protonpumpa működését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gátolja.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 gyomorsavképződés utolsó fázisára kifejtett hatása dózisfüggő, és igen hat</w:t>
      </w:r>
      <w:r w:rsidR="00C15983">
        <w:rPr>
          <w:rFonts w:ascii="Times New Roman" w:hAnsi="Times New Roman"/>
        </w:rPr>
        <w:t>ékonyan</w:t>
      </w:r>
      <w:r w:rsidRPr="00A36050">
        <w:rPr>
          <w:rFonts w:ascii="Times New Roman" w:hAnsi="Times New Roman"/>
        </w:rPr>
        <w:t xml:space="preserve"> gátolja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mind a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bazális, mind az inger hatására </w:t>
      </w:r>
      <w:r w:rsidR="00C15983">
        <w:rPr>
          <w:rFonts w:ascii="Times New Roman" w:hAnsi="Times New Roman"/>
        </w:rPr>
        <w:t>bekövetkező</w:t>
      </w:r>
      <w:r w:rsidRPr="00A36050">
        <w:rPr>
          <w:rFonts w:ascii="Times New Roman" w:hAnsi="Times New Roman"/>
        </w:rPr>
        <w:t xml:space="preserve"> savtermelést, a stimulációtól függetlenül.</w:t>
      </w:r>
    </w:p>
    <w:p w14:paraId="1948AC41" w14:textId="77777777" w:rsidR="00062A9E" w:rsidRPr="00A36050" w:rsidRDefault="00062A9E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404EA8B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Farmakodinámiás hatás</w:t>
      </w:r>
      <w:r w:rsidR="006870D0" w:rsidRPr="00A36050">
        <w:rPr>
          <w:rFonts w:ascii="Times New Roman" w:hAnsi="Times New Roman"/>
          <w:u w:val="single"/>
        </w:rPr>
        <w:t>ok</w:t>
      </w:r>
    </w:p>
    <w:p w14:paraId="6F1BBE39" w14:textId="01F070F2" w:rsidR="001A311D" w:rsidRPr="00A36050" w:rsidRDefault="001A311D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A311D">
        <w:rPr>
          <w:rFonts w:ascii="Times New Roman" w:hAnsi="Times New Roman"/>
        </w:rPr>
        <w:t>Az omeprazol összes megfigyelt farmakodinámiás hatása a gyomorsav-elválasztásra gyakorolt hatásával magyarázható.</w:t>
      </w:r>
    </w:p>
    <w:p w14:paraId="628B9EA6" w14:textId="77777777" w:rsidR="00EE09C2" w:rsidRPr="00A36050" w:rsidRDefault="00EE09C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</w:p>
    <w:p w14:paraId="21522E28" w14:textId="77777777" w:rsidR="001C0BD1" w:rsidRPr="00AE7C84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u w:val="single"/>
        </w:rPr>
      </w:pPr>
      <w:r w:rsidRPr="00AE7C84">
        <w:rPr>
          <w:rFonts w:ascii="Times New Roman" w:hAnsi="Times New Roman"/>
          <w:i/>
          <w:iCs/>
          <w:u w:val="single"/>
        </w:rPr>
        <w:t>A gyomorsav-szekrécióra gyakorolt hatás</w:t>
      </w:r>
    </w:p>
    <w:p w14:paraId="68C184ED" w14:textId="0029A239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Az omeprazol napi egyszeri, </w:t>
      </w:r>
      <w:r w:rsidRPr="00A36050">
        <w:rPr>
          <w:rFonts w:ascii="Times New Roman" w:hAnsi="Times New Roman"/>
          <w:i/>
          <w:iCs/>
        </w:rPr>
        <w:t>per os</w:t>
      </w:r>
      <w:r w:rsidRPr="00A36050">
        <w:rPr>
          <w:rFonts w:ascii="Times New Roman" w:hAnsi="Times New Roman"/>
        </w:rPr>
        <w:t xml:space="preserve"> alkalmazott </w:t>
      </w:r>
      <w:r w:rsidR="001A311D">
        <w:rPr>
          <w:rFonts w:ascii="Times New Roman" w:hAnsi="Times New Roman"/>
        </w:rPr>
        <w:t>dózisa</w:t>
      </w:r>
      <w:r w:rsidRPr="00A36050">
        <w:rPr>
          <w:rFonts w:ascii="Times New Roman" w:hAnsi="Times New Roman"/>
        </w:rPr>
        <w:t>, gyorsan és hatékonyan gátolja, mind a nappali,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mind pedig az éjjeli gyomorsav</w:t>
      </w:r>
      <w:r w:rsidR="006870D0" w:rsidRPr="00A36050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szekréciót; a terápia megkezdése után 4</w:t>
      </w:r>
      <w:r w:rsidR="005A4413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napon belül eléri a maximális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hatást. 20</w:t>
      </w:r>
      <w:r w:rsidR="006870D0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 omeprazollal 24</w:t>
      </w:r>
      <w:r w:rsidR="00C26380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órán keresztül fenntartható a nyombélfekélyes betegek intragastri</w:t>
      </w:r>
      <w:r w:rsidR="006870D0" w:rsidRPr="00A36050">
        <w:rPr>
          <w:rFonts w:ascii="Times New Roman" w:hAnsi="Times New Roman"/>
        </w:rPr>
        <w:t>c</w:t>
      </w:r>
      <w:r w:rsidRPr="00A36050">
        <w:rPr>
          <w:rFonts w:ascii="Times New Roman" w:hAnsi="Times New Roman"/>
        </w:rPr>
        <w:t>us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aciditásának átlagosan legalább 80%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os csökkenése. 24</w:t>
      </w:r>
      <w:r w:rsidR="00C26380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órával az adag beadása után a pentagasztrin</w:t>
      </w:r>
      <w:r w:rsidR="005D060D" w:rsidRPr="00A3605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stimulációt követő savtermelés csúcsának átlagos csökkenése legalább 70%.</w:t>
      </w:r>
    </w:p>
    <w:p w14:paraId="6315747A" w14:textId="77777777" w:rsidR="00062A9E" w:rsidRPr="00A36050" w:rsidRDefault="00062A9E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9225A3D" w14:textId="506BC3FC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Duodenalis fekélybetegeknél az omeprazol 20</w:t>
      </w:r>
      <w:r w:rsidR="006870D0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os adagja a 24</w:t>
      </w:r>
      <w:r w:rsidR="00C26380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órás periódusból átlagosan 17</w:t>
      </w:r>
      <w:r w:rsidR="00C26380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órán át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≥3 értéken tartja az intragastri</w:t>
      </w:r>
      <w:r w:rsidR="006870D0" w:rsidRPr="00A36050">
        <w:rPr>
          <w:rFonts w:ascii="Times New Roman" w:hAnsi="Times New Roman"/>
        </w:rPr>
        <w:t>c</w:t>
      </w:r>
      <w:r w:rsidRPr="00A36050">
        <w:rPr>
          <w:rFonts w:ascii="Times New Roman" w:hAnsi="Times New Roman"/>
        </w:rPr>
        <w:t>us pH</w:t>
      </w:r>
      <w:r w:rsidR="008C30A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t.</w:t>
      </w:r>
    </w:p>
    <w:p w14:paraId="45ECC1E8" w14:textId="77777777" w:rsidR="00062A9E" w:rsidRPr="00A36050" w:rsidRDefault="00062A9E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6D7C2C4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 lecsökkent savszekréció és intragastri</w:t>
      </w:r>
      <w:r w:rsidR="006870D0" w:rsidRPr="00A36050">
        <w:rPr>
          <w:rFonts w:ascii="Times New Roman" w:hAnsi="Times New Roman"/>
        </w:rPr>
        <w:t>c</w:t>
      </w:r>
      <w:r w:rsidRPr="00A36050">
        <w:rPr>
          <w:rFonts w:ascii="Times New Roman" w:hAnsi="Times New Roman"/>
        </w:rPr>
        <w:t>us aciditás következtében az omeprazol a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gastro-oesophagealis refluxbetegekben dózisfüggően csökkenti/normalizálja az oesophagus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savexpozícióját. A savszekréció gátlása nem a plazmakoncentráció pillanatnyi értékével, hanem az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omeprazol idő</w:t>
      </w:r>
      <w:r w:rsidR="00062A9E" w:rsidRPr="00A3605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plazmakoncentráció függvényének görbe alatti területével (AUC) arányos.</w:t>
      </w:r>
    </w:p>
    <w:p w14:paraId="3E5798BE" w14:textId="77777777" w:rsidR="00062A9E" w:rsidRPr="00A36050" w:rsidRDefault="00062A9E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18B8C10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Omeprazol</w:t>
      </w:r>
      <w:r w:rsidR="00C26380" w:rsidRPr="00A36050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kezelés ideje alatt nem tapasztaltak tachyphylaxiát.</w:t>
      </w:r>
    </w:p>
    <w:p w14:paraId="21890FE4" w14:textId="77777777" w:rsidR="00F23B51" w:rsidRPr="00A36050" w:rsidRDefault="00F23B5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</w:p>
    <w:p w14:paraId="2AC694BA" w14:textId="55BF5AEE" w:rsidR="00AE3D92" w:rsidRPr="00A36050" w:rsidRDefault="00AE3D92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E3D92">
        <w:rPr>
          <w:rFonts w:ascii="Times New Roman" w:hAnsi="Times New Roman"/>
          <w:i/>
          <w:iCs/>
        </w:rPr>
        <w:t xml:space="preserve">A Helicobacter pylori baktériumra gyakorolt hatás </w:t>
      </w:r>
    </w:p>
    <w:p w14:paraId="274F9D2A" w14:textId="09A8E361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A </w:t>
      </w:r>
      <w:r w:rsidRPr="00A36050">
        <w:rPr>
          <w:rFonts w:ascii="Times New Roman" w:hAnsi="Times New Roman"/>
          <w:i/>
          <w:iCs/>
        </w:rPr>
        <w:t xml:space="preserve">H. pylori </w:t>
      </w:r>
      <w:r w:rsidRPr="00A36050">
        <w:rPr>
          <w:rFonts w:ascii="Times New Roman" w:hAnsi="Times New Roman"/>
        </w:rPr>
        <w:t xml:space="preserve">fertőzés </w:t>
      </w:r>
      <w:r w:rsidR="00AE3D92" w:rsidRPr="00AE3D92">
        <w:rPr>
          <w:rFonts w:ascii="Times New Roman" w:hAnsi="Times New Roman"/>
        </w:rPr>
        <w:t>a peptikus fekélybetegség – ezen belül a gyomorfekély és a nyombélfekély – velejárója</w:t>
      </w:r>
      <w:r w:rsidRPr="00A36050">
        <w:rPr>
          <w:rFonts w:ascii="Times New Roman" w:hAnsi="Times New Roman"/>
        </w:rPr>
        <w:t xml:space="preserve">. A </w:t>
      </w:r>
      <w:r w:rsidRPr="00A36050">
        <w:rPr>
          <w:rFonts w:ascii="Times New Roman" w:hAnsi="Times New Roman"/>
          <w:i/>
          <w:iCs/>
        </w:rPr>
        <w:t>H. pylori</w:t>
      </w:r>
      <w:r w:rsidR="006870D0" w:rsidRPr="00A36050">
        <w:rPr>
          <w:rFonts w:ascii="Times New Roman" w:hAnsi="Times New Roman"/>
          <w:i/>
          <w:iCs/>
        </w:rPr>
        <w:t xml:space="preserve"> </w:t>
      </w:r>
      <w:r w:rsidR="00AE3D92">
        <w:rPr>
          <w:rFonts w:ascii="Times New Roman" w:hAnsi="Times New Roman"/>
          <w:iCs/>
        </w:rPr>
        <w:t xml:space="preserve">jelentős szerepet játszik </w:t>
      </w:r>
      <w:r w:rsidRPr="00A36050">
        <w:rPr>
          <w:rFonts w:ascii="Times New Roman" w:hAnsi="Times New Roman"/>
        </w:rPr>
        <w:t xml:space="preserve">a gastritis kialakulásában. A </w:t>
      </w:r>
      <w:r w:rsidRPr="00A36050">
        <w:rPr>
          <w:rFonts w:ascii="Times New Roman" w:hAnsi="Times New Roman"/>
          <w:i/>
          <w:iCs/>
        </w:rPr>
        <w:t xml:space="preserve">H. pylori </w:t>
      </w:r>
      <w:r w:rsidRPr="00A36050">
        <w:rPr>
          <w:rFonts w:ascii="Times New Roman" w:hAnsi="Times New Roman"/>
        </w:rPr>
        <w:t xml:space="preserve">és a gyomorsav </w:t>
      </w:r>
      <w:r w:rsidR="00D07108" w:rsidRPr="00D07108">
        <w:rPr>
          <w:rFonts w:ascii="Times New Roman" w:hAnsi="Times New Roman"/>
        </w:rPr>
        <w:t>együtt a peptikus fekélybetegség kialakulásának legfőbb tényezői.</w:t>
      </w:r>
      <w:r w:rsidRPr="00A36050">
        <w:rPr>
          <w:rFonts w:ascii="Times New Roman" w:hAnsi="Times New Roman"/>
        </w:rPr>
        <w:t xml:space="preserve"> A </w:t>
      </w:r>
      <w:r w:rsidRPr="00A36050">
        <w:rPr>
          <w:rFonts w:ascii="Times New Roman" w:hAnsi="Times New Roman"/>
          <w:i/>
          <w:iCs/>
        </w:rPr>
        <w:t xml:space="preserve">H. pylori </w:t>
      </w:r>
      <w:r w:rsidR="00D07108" w:rsidRPr="00D07108">
        <w:rPr>
          <w:rFonts w:ascii="Times New Roman" w:hAnsi="Times New Roman"/>
        </w:rPr>
        <w:t>továbbá fontos tényezője az atrófiás gastritis kialakulásának is</w:t>
      </w:r>
      <w:r w:rsidRPr="00A36050">
        <w:rPr>
          <w:rFonts w:ascii="Times New Roman" w:hAnsi="Times New Roman"/>
        </w:rPr>
        <w:t>, mely a gyomorrák kialakulásának megnövekedett kockázatát hordozza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magában.</w:t>
      </w:r>
    </w:p>
    <w:p w14:paraId="344D0E07" w14:textId="77777777" w:rsidR="00062A9E" w:rsidRPr="00A36050" w:rsidRDefault="00062A9E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B1FFE1C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Az omeprazollal és antimikrobás szerrel végezett </w:t>
      </w:r>
      <w:r w:rsidRPr="00A36050">
        <w:rPr>
          <w:rFonts w:ascii="Times New Roman" w:hAnsi="Times New Roman"/>
          <w:i/>
          <w:iCs/>
        </w:rPr>
        <w:t xml:space="preserve">H. pylori </w:t>
      </w:r>
      <w:r w:rsidRPr="00A36050">
        <w:rPr>
          <w:rFonts w:ascii="Times New Roman" w:hAnsi="Times New Roman"/>
        </w:rPr>
        <w:t xml:space="preserve">eradikáció esetén jó </w:t>
      </w:r>
      <w:r w:rsidR="006870D0" w:rsidRPr="00A36050">
        <w:rPr>
          <w:rFonts w:ascii="Times New Roman" w:hAnsi="Times New Roman"/>
        </w:rPr>
        <w:t xml:space="preserve">a </w:t>
      </w:r>
      <w:r w:rsidRPr="00A36050">
        <w:rPr>
          <w:rFonts w:ascii="Times New Roman" w:hAnsi="Times New Roman"/>
        </w:rPr>
        <w:t>gyógyulási arány, és a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peptikus fekély hosszú</w:t>
      </w:r>
      <w:r w:rsidR="005D060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távú remissziója tapasztalható.</w:t>
      </w:r>
    </w:p>
    <w:p w14:paraId="65642A4C" w14:textId="77777777" w:rsidR="00062A9E" w:rsidRPr="00A36050" w:rsidRDefault="00062A9E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EB7934E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 kettős terápiákat vizsgálva azt találták, hogy kevésbé bizonyultak hatásosnak, mint a hármas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kombinációk. Ugyanakkor alkalmazásuk megfontolandó azon esetekben, amikor az ismert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túlérzékenység kizárja bármely hármas kombináció alkalmazását.</w:t>
      </w:r>
    </w:p>
    <w:p w14:paraId="739AEE2D" w14:textId="77777777" w:rsidR="00F23B51" w:rsidRPr="00A36050" w:rsidRDefault="00F23B5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</w:p>
    <w:p w14:paraId="19B02232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>Egyéb, a savszekréció-gátlással kapcsolatos hatások</w:t>
      </w:r>
    </w:p>
    <w:p w14:paraId="151C96BB" w14:textId="2F27BC2F" w:rsidR="001C0BD1" w:rsidRPr="00A36050" w:rsidRDefault="00745FD3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Hosszú távú</w:t>
      </w:r>
      <w:r w:rsidRPr="00A36050">
        <w:rPr>
          <w:rFonts w:ascii="Times New Roman" w:hAnsi="Times New Roman"/>
        </w:rPr>
        <w:t xml:space="preserve"> </w:t>
      </w:r>
      <w:r w:rsidR="001C0BD1" w:rsidRPr="00A36050">
        <w:rPr>
          <w:rFonts w:ascii="Times New Roman" w:hAnsi="Times New Roman"/>
        </w:rPr>
        <w:t>kezelés során valamivel gyakrabban fordultak elő glandularis cysták a gyomorban. Ezek az</w:t>
      </w:r>
      <w:r w:rsidR="00062A9E" w:rsidRPr="00A36050">
        <w:rPr>
          <w:rFonts w:ascii="Times New Roman" w:hAnsi="Times New Roman"/>
        </w:rPr>
        <w:t xml:space="preserve"> </w:t>
      </w:r>
      <w:r w:rsidR="001C0BD1" w:rsidRPr="00A36050">
        <w:rPr>
          <w:rFonts w:ascii="Times New Roman" w:hAnsi="Times New Roman"/>
        </w:rPr>
        <w:t>erőteljes savszekréció-gátlás következményeként kialakuló jóindulatú, és reverzibilisnek tűnő</w:t>
      </w:r>
      <w:r w:rsidR="00062A9E" w:rsidRPr="00A36050">
        <w:rPr>
          <w:rFonts w:ascii="Times New Roman" w:hAnsi="Times New Roman"/>
        </w:rPr>
        <w:t xml:space="preserve"> </w:t>
      </w:r>
      <w:r w:rsidR="001C0BD1" w:rsidRPr="00A36050">
        <w:rPr>
          <w:rFonts w:ascii="Times New Roman" w:hAnsi="Times New Roman"/>
        </w:rPr>
        <w:t>fiziológiai elváltozások.</w:t>
      </w:r>
    </w:p>
    <w:p w14:paraId="04CF511D" w14:textId="77777777" w:rsidR="004F61BF" w:rsidRPr="00A36050" w:rsidRDefault="004F61BF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0677C76" w14:textId="77777777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 bármely okból bekövetkező gyomorsavcsökkenés, beleértve a protonpumpa</w:t>
      </w:r>
      <w:r w:rsidR="004674CF" w:rsidRPr="00A36050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gátlók alkalmazását is,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azt eredményezi, hogy a gastrointestinalis tra</w:t>
      </w:r>
      <w:r w:rsidR="006870D0" w:rsidRPr="00A36050">
        <w:rPr>
          <w:rFonts w:ascii="Times New Roman" w:hAnsi="Times New Roman"/>
        </w:rPr>
        <w:t>c</w:t>
      </w:r>
      <w:r w:rsidRPr="00A36050">
        <w:rPr>
          <w:rFonts w:ascii="Times New Roman" w:hAnsi="Times New Roman"/>
        </w:rPr>
        <w:t>tusban normál állapotban is jelenlévő baktériumok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száma megnövekszik a gyomorban. A savcsökkentő terápia kismértékben növelheti bizonyos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gastrointestinalis fertőzések, mint </w:t>
      </w:r>
      <w:r w:rsidR="00E04C6B">
        <w:rPr>
          <w:rFonts w:ascii="Times New Roman" w:hAnsi="Times New Roman"/>
        </w:rPr>
        <w:t>például</w:t>
      </w:r>
      <w:r w:rsidRPr="00E04C6B">
        <w:rPr>
          <w:rFonts w:ascii="Times New Roman" w:hAnsi="Times New Roman"/>
        </w:rPr>
        <w:t xml:space="preserve"> a </w:t>
      </w:r>
      <w:r w:rsidRPr="00E04C6B">
        <w:rPr>
          <w:rFonts w:ascii="Times New Roman" w:hAnsi="Times New Roman"/>
          <w:i/>
          <w:iCs/>
        </w:rPr>
        <w:t xml:space="preserve">Salmonella </w:t>
      </w:r>
      <w:r w:rsidRPr="00A36050">
        <w:rPr>
          <w:rFonts w:ascii="Times New Roman" w:hAnsi="Times New Roman"/>
        </w:rPr>
        <w:t xml:space="preserve">vagy a </w:t>
      </w:r>
      <w:r w:rsidRPr="00A36050">
        <w:rPr>
          <w:rFonts w:ascii="Times New Roman" w:hAnsi="Times New Roman"/>
          <w:i/>
          <w:iCs/>
        </w:rPr>
        <w:t xml:space="preserve">Campylobacter </w:t>
      </w:r>
      <w:r w:rsidRPr="00A36050">
        <w:rPr>
          <w:rFonts w:ascii="Times New Roman" w:hAnsi="Times New Roman"/>
        </w:rPr>
        <w:t>fertőzés kialakulásának</w:t>
      </w:r>
      <w:r w:rsidR="00062A9E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kockázatát</w:t>
      </w:r>
      <w:r w:rsidR="001928BC" w:rsidRPr="00A36050">
        <w:rPr>
          <w:rFonts w:ascii="Times New Roman" w:eastAsia="Times New Roman" w:hAnsi="Times New Roman"/>
          <w:lang w:eastAsia="hu-HU"/>
        </w:rPr>
        <w:t xml:space="preserve"> </w:t>
      </w:r>
      <w:r w:rsidR="001928BC" w:rsidRPr="00A36050">
        <w:rPr>
          <w:rFonts w:ascii="Times New Roman" w:hAnsi="Times New Roman"/>
        </w:rPr>
        <w:t xml:space="preserve">és a kórházi ellátásban részesülő betegeknél esetleg a </w:t>
      </w:r>
      <w:r w:rsidR="001928BC" w:rsidRPr="00A36050">
        <w:rPr>
          <w:rFonts w:ascii="Times New Roman" w:hAnsi="Times New Roman"/>
          <w:i/>
          <w:iCs/>
        </w:rPr>
        <w:t xml:space="preserve">Clostridium difficile </w:t>
      </w:r>
      <w:r w:rsidR="001928BC" w:rsidRPr="00A36050">
        <w:rPr>
          <w:rFonts w:ascii="Times New Roman" w:hAnsi="Times New Roman"/>
        </w:rPr>
        <w:t>fertőzés kockázatát is</w:t>
      </w:r>
      <w:r w:rsidRPr="00A36050">
        <w:rPr>
          <w:rFonts w:ascii="Times New Roman" w:hAnsi="Times New Roman"/>
        </w:rPr>
        <w:t>.</w:t>
      </w:r>
    </w:p>
    <w:p w14:paraId="3D1E73D0" w14:textId="77777777" w:rsidR="007219D8" w:rsidRPr="00A36050" w:rsidRDefault="007219D8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44DCE33" w14:textId="514A7908" w:rsidR="009C7696" w:rsidRPr="00A36050" w:rsidRDefault="003F4E47" w:rsidP="00A36050">
      <w:pPr>
        <w:widowControl w:val="0"/>
        <w:suppressAutoHyphens/>
        <w:spacing w:after="0" w:line="240" w:lineRule="auto"/>
        <w:rPr>
          <w:rFonts w:ascii="Times New Roman" w:eastAsia="Times New Roman" w:hAnsi="Times New Roman"/>
        </w:rPr>
      </w:pPr>
      <w:r w:rsidRPr="00A36050">
        <w:rPr>
          <w:rFonts w:ascii="Times New Roman" w:eastAsia="Times New Roman" w:hAnsi="Times New Roman"/>
        </w:rPr>
        <w:t xml:space="preserve">A szekréciót gátló gyógyszerekkel végzett kezelés alatt a savszekréció csökkenésére adott válaszként a szérumgasztrinszint emelkedik. </w:t>
      </w:r>
      <w:r w:rsidR="009C7696" w:rsidRPr="00A36050">
        <w:rPr>
          <w:rFonts w:ascii="Times New Roman" w:eastAsia="Times New Roman" w:hAnsi="Times New Roman"/>
        </w:rPr>
        <w:t xml:space="preserve">A gyomor csökkent aciditása miatt a </w:t>
      </w:r>
      <w:r w:rsidRPr="00A36050">
        <w:rPr>
          <w:rFonts w:ascii="Times New Roman" w:eastAsia="Times New Roman" w:hAnsi="Times New Roman"/>
        </w:rPr>
        <w:t>CgA is emelkedik</w:t>
      </w:r>
      <w:r w:rsidR="003D7C63" w:rsidRPr="00A36050">
        <w:rPr>
          <w:rFonts w:ascii="Times New Roman" w:eastAsia="Times New Roman" w:hAnsi="Times New Roman"/>
        </w:rPr>
        <w:t xml:space="preserve">. A megnövekedett </w:t>
      </w:r>
      <w:r w:rsidRPr="00A36050">
        <w:rPr>
          <w:rFonts w:ascii="Times New Roman" w:eastAsia="Times New Roman" w:hAnsi="Times New Roman"/>
        </w:rPr>
        <w:t>CgA</w:t>
      </w:r>
      <w:r w:rsidR="00C61D9C">
        <w:rPr>
          <w:rFonts w:ascii="Times New Roman" w:eastAsia="Times New Roman" w:hAnsi="Times New Roman"/>
        </w:rPr>
        <w:noBreakHyphen/>
      </w:r>
      <w:r w:rsidRPr="00A36050">
        <w:rPr>
          <w:rFonts w:ascii="Times New Roman" w:eastAsia="Times New Roman" w:hAnsi="Times New Roman"/>
        </w:rPr>
        <w:t>szint zavarhatja a neuroendokrin tumorok vizsgálatait.</w:t>
      </w:r>
    </w:p>
    <w:p w14:paraId="47EC59FC" w14:textId="77777777" w:rsidR="009C7696" w:rsidRPr="00A36050" w:rsidRDefault="009C7696" w:rsidP="00A36050">
      <w:pPr>
        <w:widowControl w:val="0"/>
        <w:suppressAutoHyphens/>
        <w:spacing w:after="0" w:line="240" w:lineRule="auto"/>
        <w:rPr>
          <w:rFonts w:ascii="Times New Roman" w:eastAsia="Times New Roman" w:hAnsi="Times New Roman"/>
        </w:rPr>
      </w:pPr>
    </w:p>
    <w:p w14:paraId="5145021F" w14:textId="014C8035" w:rsidR="003F4E47" w:rsidRPr="00A36050" w:rsidRDefault="009C7696" w:rsidP="00A36050">
      <w:pPr>
        <w:widowControl w:val="0"/>
        <w:suppressAutoHyphens/>
        <w:spacing w:after="0" w:line="240" w:lineRule="auto"/>
        <w:rPr>
          <w:rFonts w:ascii="Times New Roman" w:eastAsia="Times New Roman" w:hAnsi="Times New Roman"/>
        </w:rPr>
      </w:pPr>
      <w:r w:rsidRPr="00A36050">
        <w:rPr>
          <w:rFonts w:ascii="Times New Roman" w:eastAsia="Times New Roman" w:hAnsi="Times New Roman"/>
        </w:rPr>
        <w:t xml:space="preserve">A rendelkezésre álló, publikált bizonyítékok arra utalnak, hogy a </w:t>
      </w:r>
      <w:r w:rsidR="002540CD">
        <w:rPr>
          <w:rFonts w:ascii="Times New Roman" w:eastAsia="Times New Roman" w:hAnsi="Times New Roman"/>
        </w:rPr>
        <w:t>protonpumpa-gátló</w:t>
      </w:r>
      <w:r w:rsidRPr="00A36050">
        <w:rPr>
          <w:rFonts w:ascii="Times New Roman" w:eastAsia="Times New Roman" w:hAnsi="Times New Roman"/>
        </w:rPr>
        <w:t>kat a CgA mérések előtt 5</w:t>
      </w:r>
      <w:r w:rsidR="00533B18">
        <w:rPr>
          <w:rFonts w:ascii="Times New Roman" w:eastAsia="Times New Roman" w:hAnsi="Times New Roman"/>
        </w:rPr>
        <w:noBreakHyphen/>
      </w:r>
      <w:r w:rsidRPr="00A36050">
        <w:rPr>
          <w:rFonts w:ascii="Times New Roman" w:eastAsia="Times New Roman" w:hAnsi="Times New Roman"/>
        </w:rPr>
        <w:t>14</w:t>
      </w:r>
      <w:r w:rsidR="00C26380" w:rsidRPr="00A36050">
        <w:rPr>
          <w:rFonts w:ascii="Times New Roman" w:eastAsia="Times New Roman" w:hAnsi="Times New Roman"/>
        </w:rPr>
        <w:t> </w:t>
      </w:r>
      <w:r w:rsidRPr="00A36050">
        <w:rPr>
          <w:rFonts w:ascii="Times New Roman" w:eastAsia="Times New Roman" w:hAnsi="Times New Roman"/>
        </w:rPr>
        <w:t xml:space="preserve">nappal </w:t>
      </w:r>
      <w:r w:rsidR="003F4E47" w:rsidRPr="00A36050">
        <w:rPr>
          <w:rFonts w:ascii="Times New Roman" w:eastAsia="Times New Roman" w:hAnsi="Times New Roman"/>
        </w:rPr>
        <w:t xml:space="preserve">fel kell függeszteni. </w:t>
      </w:r>
      <w:r w:rsidR="00450DFB" w:rsidRPr="00A36050">
        <w:rPr>
          <w:rFonts w:ascii="Times New Roman" w:eastAsia="Times New Roman" w:hAnsi="Times New Roman"/>
        </w:rPr>
        <w:t>E</w:t>
      </w:r>
      <w:r w:rsidRPr="00A36050">
        <w:rPr>
          <w:rFonts w:ascii="Times New Roman" w:eastAsia="Times New Roman" w:hAnsi="Times New Roman"/>
        </w:rPr>
        <w:t>z lehetővé teszi, hogy a PPI kezelést követően esetleg hamisan emelkedett CgA</w:t>
      </w:r>
      <w:r w:rsidR="00C61D9C">
        <w:rPr>
          <w:rFonts w:ascii="Times New Roman" w:eastAsia="Times New Roman" w:hAnsi="Times New Roman"/>
        </w:rPr>
        <w:noBreakHyphen/>
      </w:r>
      <w:r w:rsidRPr="00A36050">
        <w:rPr>
          <w:rFonts w:ascii="Times New Roman" w:eastAsia="Times New Roman" w:hAnsi="Times New Roman"/>
        </w:rPr>
        <w:t>szint visszatérjen a referenciatartományba.</w:t>
      </w:r>
      <w:r w:rsidR="00C26380" w:rsidRPr="00A36050">
        <w:rPr>
          <w:rFonts w:ascii="Times New Roman" w:eastAsia="Times New Roman" w:hAnsi="Times New Roman"/>
        </w:rPr>
        <w:t xml:space="preserve"> </w:t>
      </w:r>
    </w:p>
    <w:p w14:paraId="5F6F367A" w14:textId="77777777" w:rsidR="001928BC" w:rsidRPr="00A36050" w:rsidRDefault="001928B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889D0A5" w14:textId="77777777" w:rsidR="001928BC" w:rsidRPr="00A36050" w:rsidRDefault="001928B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 hosszú távú omeprazol</w:t>
      </w:r>
      <w:r w:rsidRPr="00A36050">
        <w:rPr>
          <w:rFonts w:ascii="Times New Roman" w:hAnsi="Times New Roman"/>
        </w:rPr>
        <w:noBreakHyphen/>
        <w:t>kezelés alatt a betegek egy részénél (mind a gyermekek, mind a felnőttek esetében) az ECL sejtek számának valószínűleg a megemelkedett szérumgasztrinszinttel összefüggő növekedését figyelték meg. Az eredményeknek megítélés szerint nincs klinikai jelentőségük.</w:t>
      </w:r>
    </w:p>
    <w:p w14:paraId="6A161A1D" w14:textId="77777777" w:rsidR="00D504E8" w:rsidRPr="00A36050" w:rsidRDefault="00D504E8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CF4B202" w14:textId="77777777" w:rsidR="003D7AD3" w:rsidRPr="00A36050" w:rsidRDefault="00705B94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Gyermek</w:t>
      </w:r>
      <w:r w:rsidR="00661A24" w:rsidRPr="00A36050">
        <w:rPr>
          <w:rFonts w:ascii="Times New Roman" w:hAnsi="Times New Roman"/>
          <w:u w:val="single"/>
        </w:rPr>
        <w:t>ek és serdülők</w:t>
      </w:r>
    </w:p>
    <w:p w14:paraId="025DF103" w14:textId="13D09CEF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Egy nem kontrol</w:t>
      </w:r>
      <w:r w:rsidR="00705B94" w:rsidRPr="00A36050">
        <w:rPr>
          <w:rFonts w:ascii="Times New Roman" w:hAnsi="Times New Roman"/>
        </w:rPr>
        <w:t>l</w:t>
      </w:r>
      <w:r w:rsidRPr="00A36050">
        <w:rPr>
          <w:rFonts w:ascii="Times New Roman" w:hAnsi="Times New Roman"/>
        </w:rPr>
        <w:t xml:space="preserve">ált vizsgálatban, súlyos reflux oesophagitisben szenvedő </w:t>
      </w:r>
      <w:r w:rsidR="00705B94" w:rsidRPr="00A36050">
        <w:rPr>
          <w:rFonts w:ascii="Times New Roman" w:hAnsi="Times New Roman"/>
        </w:rPr>
        <w:t>(1</w:t>
      </w:r>
      <w:r w:rsidR="00C61D9C">
        <w:rPr>
          <w:rFonts w:ascii="Times New Roman" w:hAnsi="Times New Roman"/>
        </w:rPr>
        <w:noBreakHyphen/>
      </w:r>
      <w:r w:rsidR="00705B94" w:rsidRPr="00A36050">
        <w:rPr>
          <w:rFonts w:ascii="Times New Roman" w:hAnsi="Times New Roman"/>
        </w:rPr>
        <w:t>16</w:t>
      </w:r>
      <w:r w:rsidR="00EC777A" w:rsidRPr="00A36050">
        <w:rPr>
          <w:rFonts w:ascii="Times New Roman" w:hAnsi="Times New Roman"/>
        </w:rPr>
        <w:t> </w:t>
      </w:r>
      <w:r w:rsidR="00705B94" w:rsidRPr="00A36050">
        <w:rPr>
          <w:rFonts w:ascii="Times New Roman" w:hAnsi="Times New Roman"/>
        </w:rPr>
        <w:t xml:space="preserve">éves) </w:t>
      </w:r>
      <w:r w:rsidRPr="00A36050">
        <w:rPr>
          <w:rFonts w:ascii="Times New Roman" w:hAnsi="Times New Roman"/>
        </w:rPr>
        <w:t>gyermekeknél 0,7</w:t>
      </w:r>
      <w:r w:rsidR="00C61D9C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1,4</w:t>
      </w:r>
      <w:r w:rsidR="00EA1EA7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mg/</w:t>
      </w:r>
      <w:r w:rsidR="00BC7FED" w:rsidRPr="00A36050">
        <w:rPr>
          <w:rFonts w:ascii="Times New Roman" w:hAnsi="Times New Roman"/>
        </w:rPr>
        <w:t>tt</w:t>
      </w:r>
      <w:r w:rsidRPr="00A36050">
        <w:rPr>
          <w:rFonts w:ascii="Times New Roman" w:hAnsi="Times New Roman"/>
        </w:rPr>
        <w:t>kg dózisban alkalmazott omeprazol az esetek 90%</w:t>
      </w:r>
      <w:r w:rsidR="00C61D9C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ában az oesophagitis javulását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eredményezte, és jelentősen csökkentette a reflux tüneteit. Egy szimpla-vak vizsgálatban,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0</w:t>
      </w:r>
      <w:r w:rsidR="00705B94" w:rsidRPr="00A3605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24</w:t>
      </w:r>
      <w:r w:rsidR="00BC7FE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 xml:space="preserve">hónapos, klinikailag diagnosztizált </w:t>
      </w:r>
      <w:r w:rsidR="00562425" w:rsidRPr="00A36050">
        <w:rPr>
          <w:rFonts w:ascii="Times New Roman" w:hAnsi="Times New Roman"/>
        </w:rPr>
        <w:t>gastro</w:t>
      </w:r>
      <w:r w:rsidR="00661A24" w:rsidRPr="00A36050">
        <w:rPr>
          <w:rFonts w:ascii="Times New Roman" w:hAnsi="Times New Roman"/>
        </w:rPr>
        <w:t>-</w:t>
      </w:r>
      <w:r w:rsidR="00562425" w:rsidRPr="00A36050">
        <w:rPr>
          <w:rFonts w:ascii="Times New Roman" w:hAnsi="Times New Roman"/>
        </w:rPr>
        <w:t>oesophagealis refluxbetegségben (</w:t>
      </w:r>
      <w:r w:rsidR="00963D2A" w:rsidRPr="00A36050">
        <w:rPr>
          <w:rFonts w:ascii="Times New Roman" w:hAnsi="Times New Roman"/>
        </w:rPr>
        <w:t>GERD</w:t>
      </w:r>
      <w:r w:rsidR="00562425" w:rsidRPr="00A36050">
        <w:rPr>
          <w:rFonts w:ascii="Times New Roman" w:hAnsi="Times New Roman"/>
        </w:rPr>
        <w:t>)</w:t>
      </w:r>
      <w:r w:rsidRPr="00A36050">
        <w:rPr>
          <w:rFonts w:ascii="Times New Roman" w:hAnsi="Times New Roman"/>
        </w:rPr>
        <w:t xml:space="preserve"> szenvedő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gyermekeket kezeltek 0,5</w:t>
      </w:r>
      <w:r w:rsidR="007B04D9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mg/</w:t>
      </w:r>
      <w:r w:rsidR="00BC7FED" w:rsidRPr="00A36050">
        <w:rPr>
          <w:rFonts w:ascii="Times New Roman" w:hAnsi="Times New Roman"/>
        </w:rPr>
        <w:t>tt</w:t>
      </w:r>
      <w:r w:rsidRPr="00A36050">
        <w:rPr>
          <w:rFonts w:ascii="Times New Roman" w:hAnsi="Times New Roman"/>
        </w:rPr>
        <w:t>kg, 1,0</w:t>
      </w:r>
      <w:r w:rsidR="007B04D9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mg/</w:t>
      </w:r>
      <w:r w:rsidR="00BC7FED" w:rsidRPr="00A36050">
        <w:rPr>
          <w:rFonts w:ascii="Times New Roman" w:hAnsi="Times New Roman"/>
        </w:rPr>
        <w:t>tt</w:t>
      </w:r>
      <w:r w:rsidRPr="00A36050">
        <w:rPr>
          <w:rFonts w:ascii="Times New Roman" w:hAnsi="Times New Roman"/>
        </w:rPr>
        <w:t>kg, vagy 1,5</w:t>
      </w:r>
      <w:r w:rsidR="007B04D9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mg/</w:t>
      </w:r>
      <w:r w:rsidR="00BC7FED" w:rsidRPr="00A36050">
        <w:rPr>
          <w:rFonts w:ascii="Times New Roman" w:hAnsi="Times New Roman"/>
        </w:rPr>
        <w:t>tt</w:t>
      </w:r>
      <w:r w:rsidRPr="00A36050">
        <w:rPr>
          <w:rFonts w:ascii="Times New Roman" w:hAnsi="Times New Roman"/>
        </w:rPr>
        <w:t>kg omeprazollal. Az alkalmazott dózis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nagyságától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függetlenül a kezelés 8.</w:t>
      </w:r>
      <w:r w:rsidR="00C26380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hetét követően a hányás/regurgitatio gyakorisága 50%</w:t>
      </w:r>
      <w:r w:rsidR="00C61D9C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kal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csökkent.</w:t>
      </w:r>
    </w:p>
    <w:p w14:paraId="68F3C459" w14:textId="77777777" w:rsidR="00F23B51" w:rsidRPr="00A36050" w:rsidRDefault="00F23B5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</w:p>
    <w:p w14:paraId="6AC07661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A36050">
        <w:rPr>
          <w:rFonts w:ascii="Times New Roman" w:hAnsi="Times New Roman"/>
          <w:i/>
          <w:iCs/>
        </w:rPr>
        <w:t>H</w:t>
      </w:r>
      <w:r w:rsidR="00963D2A" w:rsidRPr="00A36050">
        <w:rPr>
          <w:rFonts w:ascii="Times New Roman" w:hAnsi="Times New Roman"/>
          <w:i/>
          <w:iCs/>
        </w:rPr>
        <w:t>elicobacter</w:t>
      </w:r>
      <w:r w:rsidRPr="00A36050">
        <w:rPr>
          <w:rFonts w:ascii="Times New Roman" w:hAnsi="Times New Roman"/>
          <w:i/>
          <w:iCs/>
        </w:rPr>
        <w:t xml:space="preserve"> pylori eradikációja gyermekek</w:t>
      </w:r>
      <w:r w:rsidR="00FA5CA9" w:rsidRPr="00A36050">
        <w:rPr>
          <w:rFonts w:ascii="Times New Roman" w:hAnsi="Times New Roman"/>
          <w:i/>
          <w:iCs/>
        </w:rPr>
        <w:t>nél</w:t>
      </w:r>
    </w:p>
    <w:p w14:paraId="748A553B" w14:textId="278891A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Egy randomizált</w:t>
      </w:r>
      <w:r w:rsidR="00C26380" w:rsidRPr="00A36050">
        <w:rPr>
          <w:rFonts w:ascii="Times New Roman" w:hAnsi="Times New Roman"/>
        </w:rPr>
        <w:t>,</w:t>
      </w:r>
      <w:r w:rsidRPr="00A36050">
        <w:rPr>
          <w:rFonts w:ascii="Times New Roman" w:hAnsi="Times New Roman"/>
        </w:rPr>
        <w:t xml:space="preserve"> </w:t>
      </w:r>
      <w:r w:rsidR="007B04D9" w:rsidRPr="00A36050">
        <w:rPr>
          <w:rFonts w:ascii="Times New Roman" w:hAnsi="Times New Roman"/>
        </w:rPr>
        <w:t>kettős</w:t>
      </w:r>
      <w:r w:rsidR="002B195D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vak klinikai vizsgálat (Héliot</w:t>
      </w:r>
      <w:r w:rsidR="00661A24" w:rsidRPr="00A36050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vizsgálat) megállapította</w:t>
      </w:r>
      <w:r w:rsidR="000718FB" w:rsidRPr="00A36050">
        <w:rPr>
          <w:rFonts w:ascii="Times New Roman" w:hAnsi="Times New Roman"/>
        </w:rPr>
        <w:t>, hogy</w:t>
      </w:r>
      <w:r w:rsidRPr="00A36050">
        <w:rPr>
          <w:rFonts w:ascii="Times New Roman" w:hAnsi="Times New Roman"/>
        </w:rPr>
        <w:t xml:space="preserve"> a</w:t>
      </w:r>
      <w:r w:rsidR="00562425" w:rsidRPr="00A36050">
        <w:rPr>
          <w:rFonts w:ascii="Times New Roman" w:hAnsi="Times New Roman"/>
        </w:rPr>
        <w:t>z omeprazol</w:t>
      </w:r>
      <w:r w:rsidRPr="00A36050">
        <w:rPr>
          <w:rFonts w:ascii="Times New Roman" w:hAnsi="Times New Roman"/>
        </w:rPr>
        <w:t xml:space="preserve"> két antibiotikummal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(amoxicillin</w:t>
      </w:r>
      <w:r w:rsidR="00661A24" w:rsidRPr="00A36050">
        <w:rPr>
          <w:rFonts w:ascii="Times New Roman" w:hAnsi="Times New Roman"/>
        </w:rPr>
        <w:t>nel</w:t>
      </w:r>
      <w:r w:rsidRPr="00A36050">
        <w:rPr>
          <w:rFonts w:ascii="Times New Roman" w:hAnsi="Times New Roman"/>
        </w:rPr>
        <w:t xml:space="preserve"> és klaritromicin</w:t>
      </w:r>
      <w:r w:rsidR="00661A24" w:rsidRPr="00A36050">
        <w:rPr>
          <w:rFonts w:ascii="Times New Roman" w:hAnsi="Times New Roman"/>
        </w:rPr>
        <w:t>nel</w:t>
      </w:r>
      <w:r w:rsidRPr="00A36050">
        <w:rPr>
          <w:rFonts w:ascii="Times New Roman" w:hAnsi="Times New Roman"/>
        </w:rPr>
        <w:t>) kombiná</w:t>
      </w:r>
      <w:r w:rsidR="00562425" w:rsidRPr="00A36050">
        <w:rPr>
          <w:rFonts w:ascii="Times New Roman" w:hAnsi="Times New Roman"/>
        </w:rPr>
        <w:t>lva</w:t>
      </w:r>
      <w:r w:rsidRPr="00A36050">
        <w:rPr>
          <w:rFonts w:ascii="Times New Roman" w:hAnsi="Times New Roman"/>
        </w:rPr>
        <w:t xml:space="preserve"> </w:t>
      </w:r>
      <w:r w:rsidR="00562425" w:rsidRPr="00A36050">
        <w:rPr>
          <w:rFonts w:ascii="Times New Roman" w:hAnsi="Times New Roman"/>
        </w:rPr>
        <w:t>biztonságos és hatékony</w:t>
      </w:r>
      <w:r w:rsidR="00E04C6B">
        <w:rPr>
          <w:rFonts w:ascii="Times New Roman" w:hAnsi="Times New Roman"/>
        </w:rPr>
        <w:t xml:space="preserve"> </w:t>
      </w:r>
      <w:r w:rsidR="00661A24" w:rsidRPr="00A36050">
        <w:rPr>
          <w:rFonts w:ascii="Times New Roman" w:hAnsi="Times New Roman"/>
        </w:rPr>
        <w:t>a</w:t>
      </w:r>
      <w:r w:rsidR="00BC7FED" w:rsidRPr="00A36050">
        <w:rPr>
          <w:rFonts w:ascii="Times New Roman" w:hAnsi="Times New Roman"/>
          <w:i/>
          <w:iCs/>
        </w:rPr>
        <w:t xml:space="preserve"> </w:t>
      </w:r>
      <w:r w:rsidRPr="00A36050">
        <w:rPr>
          <w:rFonts w:ascii="Times New Roman" w:hAnsi="Times New Roman"/>
          <w:i/>
          <w:iCs/>
        </w:rPr>
        <w:t>H</w:t>
      </w:r>
      <w:r w:rsidR="002172FF" w:rsidRPr="00A36050">
        <w:rPr>
          <w:rFonts w:ascii="Times New Roman" w:hAnsi="Times New Roman"/>
          <w:i/>
          <w:iCs/>
        </w:rPr>
        <w:t>elicobacter</w:t>
      </w:r>
      <w:r w:rsidRPr="00A36050">
        <w:rPr>
          <w:rFonts w:ascii="Times New Roman" w:hAnsi="Times New Roman"/>
          <w:i/>
          <w:iCs/>
        </w:rPr>
        <w:t xml:space="preserve"> pylori </w:t>
      </w:r>
      <w:r w:rsidRPr="00A36050">
        <w:rPr>
          <w:rFonts w:ascii="Times New Roman" w:hAnsi="Times New Roman"/>
        </w:rPr>
        <w:t>fertőzés kezelésében 4</w:t>
      </w:r>
      <w:r w:rsidR="00C26380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éves és annál idősebb, gastritisben szenvedő gyermekeknél</w:t>
      </w:r>
      <w:r w:rsidR="00661A24" w:rsidRPr="00A36050">
        <w:rPr>
          <w:rFonts w:ascii="Times New Roman" w:hAnsi="Times New Roman"/>
        </w:rPr>
        <w:t>.</w:t>
      </w:r>
      <w:r w:rsidRPr="00A36050">
        <w:rPr>
          <w:rFonts w:ascii="Times New Roman" w:hAnsi="Times New Roman"/>
        </w:rPr>
        <w:t xml:space="preserve"> </w:t>
      </w:r>
      <w:r w:rsidR="00661A24" w:rsidRPr="00A36050">
        <w:rPr>
          <w:rFonts w:ascii="Times New Roman" w:hAnsi="Times New Roman"/>
        </w:rPr>
        <w:t>A</w:t>
      </w:r>
      <w:r w:rsidR="00BC7FED" w:rsidRPr="00A36050">
        <w:rPr>
          <w:rFonts w:ascii="Times New Roman" w:hAnsi="Times New Roman"/>
          <w:i/>
          <w:iCs/>
        </w:rPr>
        <w:t xml:space="preserve"> </w:t>
      </w:r>
      <w:r w:rsidRPr="00A36050">
        <w:rPr>
          <w:rFonts w:ascii="Times New Roman" w:hAnsi="Times New Roman"/>
          <w:i/>
          <w:iCs/>
        </w:rPr>
        <w:t>H</w:t>
      </w:r>
      <w:r w:rsidR="002172FF" w:rsidRPr="00A36050">
        <w:rPr>
          <w:rFonts w:ascii="Times New Roman" w:hAnsi="Times New Roman"/>
          <w:i/>
          <w:iCs/>
        </w:rPr>
        <w:t>elicobacter</w:t>
      </w:r>
      <w:r w:rsidR="00BC7FED" w:rsidRPr="00A36050">
        <w:rPr>
          <w:rFonts w:ascii="Times New Roman" w:hAnsi="Times New Roman"/>
          <w:i/>
          <w:iCs/>
        </w:rPr>
        <w:t> </w:t>
      </w:r>
      <w:r w:rsidRPr="00A36050">
        <w:rPr>
          <w:rFonts w:ascii="Times New Roman" w:hAnsi="Times New Roman"/>
          <w:i/>
          <w:iCs/>
        </w:rPr>
        <w:t xml:space="preserve">pylori </w:t>
      </w:r>
      <w:r w:rsidRPr="00A36050">
        <w:rPr>
          <w:rFonts w:ascii="Times New Roman" w:hAnsi="Times New Roman"/>
        </w:rPr>
        <w:t>eradikációs ráta az omeprazol + amoxicillin + klaritromicin csoportban 74,2% (23/31</w:t>
      </w:r>
      <w:r w:rsidR="00C61D9C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beteg),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míg az amoxicillin + klaritromicin csoportban 9,4% (3/32</w:t>
      </w:r>
      <w:r w:rsidR="00C61D9C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beteg) volt. Azonban dyspepsiás tünetek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tekintetében klinikai előnyt nem bizonyítottak. Ezen vizsgálat eredményei nem vonatkoztathatók négy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év alatti gyermekekre.</w:t>
      </w:r>
    </w:p>
    <w:p w14:paraId="79F4AB25" w14:textId="77777777" w:rsidR="00562425" w:rsidRPr="00A36050" w:rsidRDefault="00562425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A56AE3E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  <w:bCs/>
        </w:rPr>
        <w:t>5.2</w:t>
      </w:r>
      <w:r w:rsidR="007B04D9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Farmakokinetikai tulajdonságok</w:t>
      </w:r>
    </w:p>
    <w:p w14:paraId="2A67477B" w14:textId="77777777" w:rsidR="00F23B51" w:rsidRPr="00A36050" w:rsidRDefault="00F23B5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72E140C" w14:textId="77777777" w:rsidR="007B04D9" w:rsidRPr="00A36050" w:rsidRDefault="007B04D9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Felszívódás</w:t>
      </w:r>
    </w:p>
    <w:p w14:paraId="1DC3EC73" w14:textId="1A32E17C" w:rsidR="001C0BD1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Az omeprazol sav hatására bomlik, ezért </w:t>
      </w:r>
      <w:r w:rsidR="007473ED" w:rsidRPr="00A36050">
        <w:rPr>
          <w:rFonts w:ascii="Times New Roman" w:hAnsi="Times New Roman"/>
          <w:i/>
          <w:iCs/>
        </w:rPr>
        <w:t>per os</w:t>
      </w:r>
      <w:r w:rsidR="007473ED" w:rsidRPr="00A36050">
        <w:rPr>
          <w:rFonts w:ascii="Times New Roman" w:hAnsi="Times New Roman"/>
        </w:rPr>
        <w:t xml:space="preserve">, </w:t>
      </w:r>
      <w:r w:rsidR="009E1BBC">
        <w:rPr>
          <w:rFonts w:ascii="Times New Roman" w:hAnsi="Times New Roman"/>
        </w:rPr>
        <w:t>puffer oldatban</w:t>
      </w:r>
      <w:r w:rsidRPr="00A36050">
        <w:rPr>
          <w:rFonts w:ascii="Times New Roman" w:hAnsi="Times New Roman"/>
        </w:rPr>
        <w:t xml:space="preserve"> alkalmazzák. </w:t>
      </w:r>
      <w:r w:rsidR="009E1BBC" w:rsidRPr="009E1BBC">
        <w:rPr>
          <w:rFonts w:ascii="Times New Roman" w:hAnsi="Times New Roman"/>
        </w:rPr>
        <w:t xml:space="preserve">A puffer megvédi az omeprazolt a savas lebomlástól, elősegítve a felszívódását. </w:t>
      </w:r>
      <w:r w:rsidR="009E1BBC" w:rsidRPr="00A36050">
        <w:rPr>
          <w:rFonts w:ascii="Times New Roman" w:hAnsi="Times New Roman"/>
        </w:rPr>
        <w:t>A</w:t>
      </w:r>
      <w:r w:rsidR="009E1BBC">
        <w:rPr>
          <w:rFonts w:ascii="Times New Roman" w:hAnsi="Times New Roman"/>
        </w:rPr>
        <w:t xml:space="preserve"> </w:t>
      </w:r>
      <w:r w:rsidR="009E1BBC" w:rsidRPr="009E1BBC">
        <w:rPr>
          <w:rFonts w:ascii="Times New Roman" w:hAnsi="Times New Roman"/>
        </w:rPr>
        <w:t>Lappoxo</w:t>
      </w:r>
      <w:r w:rsidR="00C61D9C">
        <w:rPr>
          <w:rFonts w:ascii="Times New Roman" w:hAnsi="Times New Roman"/>
        </w:rPr>
        <w:noBreakHyphen/>
      </w:r>
      <w:r w:rsidR="009E1BBC">
        <w:rPr>
          <w:rFonts w:ascii="Times New Roman" w:hAnsi="Times New Roman"/>
        </w:rPr>
        <w:t>ból az</w:t>
      </w:r>
      <w:r w:rsidR="009E1BBC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omeprazol felszívódása gyors, a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csúcs-plazmakoncentráció az adagolást követően megközelítőleg </w:t>
      </w:r>
      <w:r w:rsidR="009E1BBC">
        <w:rPr>
          <w:rFonts w:ascii="Times New Roman" w:hAnsi="Times New Roman"/>
        </w:rPr>
        <w:t>0,33 (0,17</w:t>
      </w:r>
      <w:r w:rsidR="00C61D9C">
        <w:rPr>
          <w:rFonts w:ascii="Times New Roman" w:hAnsi="Times New Roman"/>
        </w:rPr>
        <w:noBreakHyphen/>
      </w:r>
      <w:r w:rsidR="009E1BBC">
        <w:rPr>
          <w:rFonts w:ascii="Times New Roman" w:hAnsi="Times New Roman"/>
        </w:rPr>
        <w:t>1,50)*</w:t>
      </w:r>
      <w:r w:rsidR="00C26380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óra múlva alakul ki. Az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omeprazol a vékonybélből szívódik fel, általában 3</w:t>
      </w:r>
      <w:r w:rsidR="00C61D9C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6</w:t>
      </w:r>
      <w:r w:rsidR="00C26380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óra alatt. Egyidejű táplálékfelvétel a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biohasznosulást nem befolyásolja. Egyszeri, </w:t>
      </w:r>
      <w:r w:rsidRPr="00A36050">
        <w:rPr>
          <w:rFonts w:ascii="Times New Roman" w:hAnsi="Times New Roman"/>
          <w:i/>
          <w:iCs/>
        </w:rPr>
        <w:t>per os</w:t>
      </w:r>
      <w:r w:rsidRPr="00A36050">
        <w:rPr>
          <w:rFonts w:ascii="Times New Roman" w:hAnsi="Times New Roman"/>
        </w:rPr>
        <w:t xml:space="preserve"> adagot követően az omeprazol szisztémás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hasznosulása (biohasznosulás) kb. 40%. Ismételt, napi egyszeri adagolás után a biohasznosulás kb.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60%</w:t>
      </w:r>
      <w:r w:rsidR="00C61D9C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ra emelkedik.</w:t>
      </w:r>
    </w:p>
    <w:p w14:paraId="7A1A5BD3" w14:textId="451B44A0" w:rsidR="009E1BBC" w:rsidRPr="00A36050" w:rsidRDefault="009E1BBC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E1BBC">
        <w:rPr>
          <w:rFonts w:ascii="Times New Roman" w:eastAsia="Times New Roman" w:hAnsi="Times New Roman"/>
        </w:rPr>
        <w:t>*medián (min.–max.)</w:t>
      </w:r>
    </w:p>
    <w:p w14:paraId="0052B453" w14:textId="77777777" w:rsidR="00F23B51" w:rsidRPr="00A36050" w:rsidRDefault="00F23B5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FDC7EA2" w14:textId="77777777" w:rsidR="001C0BD1" w:rsidRPr="00A36050" w:rsidRDefault="007473ED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Eloszlás</w:t>
      </w:r>
    </w:p>
    <w:p w14:paraId="48F30CAE" w14:textId="2D011DF3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Egészséges egyénekben a látszólagos megoszlási térfogat kb. 0,3</w:t>
      </w:r>
      <w:r w:rsidR="005313E1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l/ttkg. Az omeprazol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lastRenderedPageBreak/>
        <w:t>plazmafehérje</w:t>
      </w:r>
      <w:r w:rsidR="005D060D" w:rsidRPr="00A3605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kötődésének mértéke kb. 97%</w:t>
      </w:r>
      <w:r w:rsidR="00C61D9C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os.</w:t>
      </w:r>
    </w:p>
    <w:p w14:paraId="2F3A52CB" w14:textId="77777777" w:rsidR="00F23B51" w:rsidRPr="00A36050" w:rsidRDefault="00F23B5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B86F894" w14:textId="77777777" w:rsidR="001C0BD1" w:rsidRPr="00A36050" w:rsidRDefault="00456392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Biotranszformáció</w:t>
      </w:r>
    </w:p>
    <w:p w14:paraId="33FB46DE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Az omeprazol teljes mértékben metabolizálódik a citokróm P450 enzimrendszeren (CYP) keresztül.</w:t>
      </w:r>
    </w:p>
    <w:p w14:paraId="49DA8B4A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Metabolizmusának fő része, a plazma fő metabolitjának, a hidroxi-omeprazol kialakulásáért felelős,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polimorfikusan meghatározott CYP2C19 enzimtől függ. A fennmaradó rész, egy másik specifikus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i</w:t>
      </w:r>
      <w:r w:rsidR="00EC777A" w:rsidRPr="00A36050">
        <w:rPr>
          <w:rFonts w:ascii="Times New Roman" w:hAnsi="Times New Roman"/>
        </w:rPr>
        <w:t>z</w:t>
      </w:r>
      <w:r w:rsidRPr="00A36050">
        <w:rPr>
          <w:rFonts w:ascii="Times New Roman" w:hAnsi="Times New Roman"/>
        </w:rPr>
        <w:t>oform</w:t>
      </w:r>
      <w:r w:rsidR="00E24149" w:rsidRPr="00A36050">
        <w:rPr>
          <w:rFonts w:ascii="Times New Roman" w:hAnsi="Times New Roman"/>
        </w:rPr>
        <w:t>a</w:t>
      </w:r>
      <w:r w:rsidRPr="00A36050">
        <w:rPr>
          <w:rFonts w:ascii="Times New Roman" w:hAnsi="Times New Roman"/>
        </w:rPr>
        <w:t>, az omeprazol-szulfon kialakulásáért felelős CYP3A4 függvénye. Az omeprazolnak a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CYP2C19 enzimhez való erős affinitása következményeként a CYP2C19 enzim egyéb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szubsztrátjaival </w:t>
      </w:r>
      <w:r w:rsidR="00E24149" w:rsidRPr="00A36050">
        <w:rPr>
          <w:rFonts w:ascii="Times New Roman" w:hAnsi="Times New Roman"/>
        </w:rPr>
        <w:t xml:space="preserve">a </w:t>
      </w:r>
      <w:r w:rsidRPr="00A36050">
        <w:rPr>
          <w:rFonts w:ascii="Times New Roman" w:hAnsi="Times New Roman"/>
        </w:rPr>
        <w:t xml:space="preserve">kompetitív inhibíció és </w:t>
      </w:r>
      <w:r w:rsidR="00E24149" w:rsidRPr="00A36050">
        <w:rPr>
          <w:rFonts w:ascii="Times New Roman" w:hAnsi="Times New Roman"/>
        </w:rPr>
        <w:t xml:space="preserve">a </w:t>
      </w:r>
      <w:r w:rsidRPr="00A36050">
        <w:rPr>
          <w:rFonts w:ascii="Times New Roman" w:hAnsi="Times New Roman"/>
        </w:rPr>
        <w:t>metabolikus gyógyszer-gyógyszer interakció lehetősége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fennáll. Ugyanakkor a CYP3A4 enzimhez való gyenge kötődése miatt az omeprazol nem gátolja a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CYP3A4 egyéb szubsztrátjainak metabolizmusát. Emellett az omeprazol nem fejt ki gátló hatást a</w:t>
      </w:r>
      <w:r w:rsidR="00BC7FED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legfontosabb CYP enzimekre.</w:t>
      </w:r>
    </w:p>
    <w:p w14:paraId="601E6B26" w14:textId="77777777" w:rsidR="00BC7FED" w:rsidRPr="00A36050" w:rsidRDefault="00BC7FED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A0185C5" w14:textId="3F9D4D64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 xml:space="preserve">A kaukázusi </w:t>
      </w:r>
      <w:r w:rsidR="00D022FA">
        <w:rPr>
          <w:rFonts w:ascii="Times New Roman" w:hAnsi="Times New Roman"/>
        </w:rPr>
        <w:t>populáció</w:t>
      </w:r>
      <w:r w:rsidRPr="00A36050">
        <w:rPr>
          <w:rFonts w:ascii="Times New Roman" w:hAnsi="Times New Roman"/>
        </w:rPr>
        <w:t xml:space="preserve"> mintegy 3%</w:t>
      </w:r>
      <w:r w:rsidR="00533B18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 xml:space="preserve">ánál, az ázsiai </w:t>
      </w:r>
      <w:r w:rsidR="00B81986" w:rsidRPr="00A36050">
        <w:rPr>
          <w:rFonts w:ascii="Times New Roman" w:hAnsi="Times New Roman"/>
        </w:rPr>
        <w:t xml:space="preserve">rasszhoz tartozó </w:t>
      </w:r>
      <w:r w:rsidRPr="00A36050">
        <w:rPr>
          <w:rFonts w:ascii="Times New Roman" w:hAnsi="Times New Roman"/>
        </w:rPr>
        <w:t>lakosság megközelítőleg 15</w:t>
      </w:r>
      <w:r w:rsidR="005D060D" w:rsidRPr="00A3605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20%</w:t>
      </w:r>
      <w:r w:rsidR="00C61D9C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ánál hiányzik a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funkcionáló CYP2C19 enzim</w:t>
      </w:r>
      <w:r w:rsidR="00B81986" w:rsidRPr="00A36050">
        <w:rPr>
          <w:rFonts w:ascii="Times New Roman" w:hAnsi="Times New Roman"/>
        </w:rPr>
        <w:t xml:space="preserve"> -</w:t>
      </w:r>
      <w:r w:rsidRPr="00A36050">
        <w:rPr>
          <w:rFonts w:ascii="Times New Roman" w:hAnsi="Times New Roman"/>
        </w:rPr>
        <w:t xml:space="preserve"> őket lassú metabolizálóknak nevezzük. Ezeknél az egyéneknél az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omeprazol metabolizmusát valószínűleg elsősorban a CYP3A4 katalizálja. Napi egyszeri 20</w:t>
      </w:r>
      <w:r w:rsidR="00B81986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mg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omeprazol ismételt adása után az átlagos AUC körülbelül 5</w:t>
      </w:r>
      <w:r w:rsidR="002D2E86" w:rsidRPr="00A3605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10-szer volt magasabb a lassú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metabolizálókban, mint a funkcionáló CYP2C19 enzimmel rendelkező egyénekben (gyors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metabolizálók). Az átlagos csúcs-plazmakoncentrációk is mintegy 3</w:t>
      </w:r>
      <w:r w:rsidR="002D2E86" w:rsidRPr="00A36050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5</w:t>
      </w:r>
      <w:r w:rsidR="00C61D9C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szörösére növekedtek. Ezeknek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az eredményeknek nincs jelentőségük az omeprazol adagolására vonatkozóan.</w:t>
      </w:r>
    </w:p>
    <w:p w14:paraId="77759ECB" w14:textId="77777777" w:rsidR="00F23B51" w:rsidRPr="00A36050" w:rsidRDefault="00F23B5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659D5D7" w14:textId="77777777" w:rsidR="001C0BD1" w:rsidRPr="00A36050" w:rsidRDefault="00D504E8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Elimináció</w:t>
      </w:r>
    </w:p>
    <w:p w14:paraId="6F6DA24C" w14:textId="0C232953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Az omeprazol plazma eliminációs féléletideje rendszerint kevesebb, mint egy óra mind egyszeri,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mind napi egyszeri ismételt </w:t>
      </w:r>
      <w:r w:rsidRPr="00A36050">
        <w:rPr>
          <w:rFonts w:ascii="Times New Roman" w:hAnsi="Times New Roman"/>
          <w:i/>
          <w:iCs/>
        </w:rPr>
        <w:t>per os</w:t>
      </w:r>
      <w:r w:rsidRPr="00A36050">
        <w:rPr>
          <w:rFonts w:ascii="Times New Roman" w:hAnsi="Times New Roman"/>
        </w:rPr>
        <w:t xml:space="preserve"> adagolást követően. Az omeprazol az egymást követő adagok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között teljesen kiürül a plazmából, és napi egyszeri alkalmazás mellett nem mutat hajlamot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akkumulációra. Az omeprazol orális adagjának majdnem 80%</w:t>
      </w:r>
      <w:r w:rsidR="00C61D9C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a a vizelettel választódik ki metabolitok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formájában, a maradék pedig elsősorban az epekiválasztás útján, széklettel ürül.</w:t>
      </w:r>
    </w:p>
    <w:p w14:paraId="5BF82DED" w14:textId="77777777" w:rsidR="00BC7FED" w:rsidRPr="00A36050" w:rsidRDefault="00BC7FED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B06C1BA" w14:textId="77777777" w:rsidR="000D6CBA" w:rsidRPr="00A36050" w:rsidRDefault="000D6CBA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u w:val="single"/>
        </w:rPr>
      </w:pPr>
      <w:r w:rsidRPr="00A36050">
        <w:rPr>
          <w:rFonts w:ascii="Times New Roman" w:hAnsi="Times New Roman"/>
          <w:iCs/>
          <w:u w:val="single"/>
        </w:rPr>
        <w:t>Linearitás/nem-linearitás</w:t>
      </w:r>
    </w:p>
    <w:p w14:paraId="2D42D43D" w14:textId="77777777" w:rsidR="001C0BD1" w:rsidRPr="00E04C6B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Az omeprazol AUC értéke az ismételt alkalmazás során megnövekszik. Ez a növekedés dózisfüggő, és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ismételt adagolás után nem lineáris dózis-AUC emelkedést eredményez. Ez az idő- és dózisfüggés a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first pass metabolizmus és a szisztémás clearance csökkenésének tulajdonítható, melyet valószínűleg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az omeprazol és/vagy annak metabolitjai (</w:t>
      </w:r>
      <w:r w:rsidR="00E04C6B">
        <w:rPr>
          <w:rFonts w:ascii="Times New Roman" w:hAnsi="Times New Roman"/>
        </w:rPr>
        <w:t>például</w:t>
      </w:r>
      <w:r w:rsidRPr="00E04C6B">
        <w:rPr>
          <w:rFonts w:ascii="Times New Roman" w:hAnsi="Times New Roman"/>
        </w:rPr>
        <w:t xml:space="preserve"> a szulfon) okozhatnak a CYP2C19 enzim gátlásával.</w:t>
      </w:r>
    </w:p>
    <w:p w14:paraId="77D4EF90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E04C6B">
        <w:rPr>
          <w:rFonts w:ascii="Times New Roman" w:hAnsi="Times New Roman"/>
        </w:rPr>
        <w:t>A metabolitok nincsenek hatással a gyo</w:t>
      </w:r>
      <w:r w:rsidRPr="00A36050">
        <w:rPr>
          <w:rFonts w:ascii="Times New Roman" w:hAnsi="Times New Roman"/>
        </w:rPr>
        <w:t>morsav-szekrécióra.</w:t>
      </w:r>
    </w:p>
    <w:p w14:paraId="3EF76B7D" w14:textId="77777777" w:rsidR="00F23B51" w:rsidRPr="00A36050" w:rsidRDefault="00F23B5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4E35DC6" w14:textId="77777777" w:rsidR="001C0BD1" w:rsidRPr="00A36050" w:rsidRDefault="00FA5CA9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A36050">
        <w:rPr>
          <w:rFonts w:ascii="Times New Roman" w:hAnsi="Times New Roman"/>
          <w:u w:val="single"/>
        </w:rPr>
        <w:t>Különleges betegcsoportok</w:t>
      </w:r>
    </w:p>
    <w:p w14:paraId="119133B9" w14:textId="77777777" w:rsidR="00F23B51" w:rsidRPr="00A36050" w:rsidRDefault="00F23B5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</w:p>
    <w:p w14:paraId="0A79FBEE" w14:textId="77777777" w:rsidR="001C0BD1" w:rsidRPr="00A36050" w:rsidRDefault="00FA5CA9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u w:val="single"/>
        </w:rPr>
      </w:pPr>
      <w:r w:rsidRPr="00A36050">
        <w:rPr>
          <w:rFonts w:ascii="Times New Roman" w:hAnsi="Times New Roman"/>
          <w:i/>
          <w:iCs/>
          <w:u w:val="single"/>
        </w:rPr>
        <w:t>Májkárosodás</w:t>
      </w:r>
    </w:p>
    <w:p w14:paraId="04C28406" w14:textId="10AEC2A9" w:rsidR="001C0BD1" w:rsidRPr="00E04C6B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E04C6B">
        <w:rPr>
          <w:rFonts w:ascii="Times New Roman" w:hAnsi="Times New Roman"/>
        </w:rPr>
        <w:t xml:space="preserve">Az omeprazol metabolizmusa </w:t>
      </w:r>
      <w:r w:rsidR="00FA5CA9" w:rsidRPr="00E04C6B">
        <w:rPr>
          <w:rFonts w:ascii="Times New Roman" w:hAnsi="Times New Roman"/>
        </w:rPr>
        <w:t>májkárosodás</w:t>
      </w:r>
      <w:r w:rsidRPr="00E04C6B">
        <w:rPr>
          <w:rFonts w:ascii="Times New Roman" w:hAnsi="Times New Roman"/>
        </w:rPr>
        <w:t xml:space="preserve"> esetén csökken, ami az AUC növekedését</w:t>
      </w:r>
      <w:r w:rsidR="00F85873" w:rsidRPr="00E04C6B">
        <w:rPr>
          <w:rFonts w:ascii="Times New Roman" w:hAnsi="Times New Roman"/>
        </w:rPr>
        <w:t xml:space="preserve"> </w:t>
      </w:r>
      <w:r w:rsidRPr="00E04C6B">
        <w:rPr>
          <w:rFonts w:ascii="Times New Roman" w:hAnsi="Times New Roman"/>
        </w:rPr>
        <w:t>eredményezi. Az omeprazol napi egyszeri adagolás mellett nem mutat akkumulációra való hajlamot.</w:t>
      </w:r>
    </w:p>
    <w:p w14:paraId="354F9440" w14:textId="77777777" w:rsidR="00F23B51" w:rsidRPr="00E04C6B" w:rsidRDefault="00F23B5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</w:p>
    <w:p w14:paraId="48F72C52" w14:textId="77777777" w:rsidR="001C0BD1" w:rsidRPr="00A36050" w:rsidRDefault="007E1E55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u w:val="single"/>
        </w:rPr>
      </w:pPr>
      <w:r w:rsidRPr="00A36050">
        <w:rPr>
          <w:rFonts w:ascii="Times New Roman" w:hAnsi="Times New Roman"/>
          <w:i/>
          <w:iCs/>
          <w:u w:val="single"/>
        </w:rPr>
        <w:t>Vesekárosodás</w:t>
      </w:r>
    </w:p>
    <w:p w14:paraId="4D6C3428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E04C6B">
        <w:rPr>
          <w:rFonts w:ascii="Times New Roman" w:hAnsi="Times New Roman"/>
        </w:rPr>
        <w:t>Az omeprazol farmakokinetikája, úgymint a szisztémás biohasznosulás és az elimináció sebessége</w:t>
      </w:r>
      <w:r w:rsidR="00F85873" w:rsidRPr="00E04C6B">
        <w:rPr>
          <w:rFonts w:ascii="Times New Roman" w:hAnsi="Times New Roman"/>
        </w:rPr>
        <w:t xml:space="preserve"> </w:t>
      </w:r>
      <w:r w:rsidRPr="00E04C6B">
        <w:rPr>
          <w:rFonts w:ascii="Times New Roman" w:hAnsi="Times New Roman"/>
        </w:rPr>
        <w:t xml:space="preserve">nem változik </w:t>
      </w:r>
      <w:r w:rsidR="007E1E55" w:rsidRPr="00A36050">
        <w:rPr>
          <w:rFonts w:ascii="Times New Roman" w:hAnsi="Times New Roman"/>
        </w:rPr>
        <w:t>vesekárosodásban szenvedő</w:t>
      </w:r>
      <w:r w:rsidRPr="00A36050">
        <w:rPr>
          <w:rFonts w:ascii="Times New Roman" w:hAnsi="Times New Roman"/>
        </w:rPr>
        <w:t xml:space="preserve"> betegeknél.</w:t>
      </w:r>
    </w:p>
    <w:p w14:paraId="4B19D1B9" w14:textId="77777777" w:rsidR="00F23B51" w:rsidRPr="00A36050" w:rsidRDefault="00F23B5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88F9554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u w:val="single"/>
        </w:rPr>
      </w:pPr>
      <w:r w:rsidRPr="00A36050">
        <w:rPr>
          <w:rFonts w:ascii="Times New Roman" w:hAnsi="Times New Roman"/>
          <w:i/>
          <w:u w:val="single"/>
        </w:rPr>
        <w:t>Idős</w:t>
      </w:r>
      <w:r w:rsidR="00D504E8" w:rsidRPr="00A36050">
        <w:rPr>
          <w:rFonts w:ascii="Times New Roman" w:hAnsi="Times New Roman"/>
          <w:i/>
          <w:u w:val="single"/>
        </w:rPr>
        <w:t>ek</w:t>
      </w:r>
    </w:p>
    <w:p w14:paraId="7760794D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E04C6B">
        <w:rPr>
          <w:rFonts w:ascii="Times New Roman" w:hAnsi="Times New Roman"/>
        </w:rPr>
        <w:t>Az omeprazol metabolizmusa valamelyest csökken idős egyéneknél (75</w:t>
      </w:r>
      <w:r w:rsidR="002D2E86" w:rsidRPr="00E04C6B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79</w:t>
      </w:r>
      <w:r w:rsidR="00964E2D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éveseknél).</w:t>
      </w:r>
    </w:p>
    <w:p w14:paraId="4B1A6B3E" w14:textId="77777777" w:rsidR="00F23B51" w:rsidRPr="00A36050" w:rsidRDefault="00F23B5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</w:p>
    <w:p w14:paraId="4F91157F" w14:textId="77777777" w:rsidR="001C0BD1" w:rsidRPr="00A36050" w:rsidRDefault="001C0BD1" w:rsidP="00A36050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u w:val="single"/>
        </w:rPr>
      </w:pPr>
      <w:r w:rsidRPr="00A36050">
        <w:rPr>
          <w:rFonts w:ascii="Times New Roman" w:hAnsi="Times New Roman"/>
          <w:i/>
          <w:iCs/>
          <w:u w:val="single"/>
        </w:rPr>
        <w:t>Gyermek</w:t>
      </w:r>
      <w:r w:rsidR="002B5901" w:rsidRPr="00A36050">
        <w:rPr>
          <w:rFonts w:ascii="Times New Roman" w:hAnsi="Times New Roman"/>
          <w:i/>
          <w:iCs/>
          <w:u w:val="single"/>
        </w:rPr>
        <w:t>ek</w:t>
      </w:r>
    </w:p>
    <w:p w14:paraId="0BF2792A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E04C6B">
        <w:rPr>
          <w:rFonts w:ascii="Times New Roman" w:hAnsi="Times New Roman"/>
        </w:rPr>
        <w:t>1</w:t>
      </w:r>
      <w:r w:rsidR="00A90EF7" w:rsidRPr="00E04C6B">
        <w:rPr>
          <w:rFonts w:ascii="Times New Roman" w:hAnsi="Times New Roman"/>
        </w:rPr>
        <w:t> </w:t>
      </w:r>
      <w:r w:rsidRPr="00E04C6B">
        <w:rPr>
          <w:rFonts w:ascii="Times New Roman" w:hAnsi="Times New Roman"/>
        </w:rPr>
        <w:t>év</w:t>
      </w:r>
      <w:r w:rsidR="00DE69DF" w:rsidRPr="00E04C6B">
        <w:rPr>
          <w:rFonts w:ascii="Times New Roman" w:hAnsi="Times New Roman"/>
        </w:rPr>
        <w:t>es</w:t>
      </w:r>
      <w:r w:rsidRPr="00E04C6B">
        <w:rPr>
          <w:rFonts w:ascii="Times New Roman" w:hAnsi="Times New Roman"/>
        </w:rPr>
        <w:t>nél idősebb gyermekeknél, a gyermekeknek javasolt adagolással</w:t>
      </w:r>
      <w:r w:rsidRPr="00A36050">
        <w:rPr>
          <w:rFonts w:ascii="Times New Roman" w:hAnsi="Times New Roman"/>
        </w:rPr>
        <w:t xml:space="preserve"> végzett terápia során a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felnőttekéhez hasonló plazmakoncentráció alakult ki. 6</w:t>
      </w:r>
      <w:r w:rsidR="00A90EF7" w:rsidRPr="00A36050">
        <w:rPr>
          <w:rFonts w:ascii="Times New Roman" w:hAnsi="Times New Roman"/>
        </w:rPr>
        <w:t> </w:t>
      </w:r>
      <w:r w:rsidRPr="00A36050">
        <w:rPr>
          <w:rFonts w:ascii="Times New Roman" w:hAnsi="Times New Roman"/>
        </w:rPr>
        <w:t>hónap</w:t>
      </w:r>
      <w:r w:rsidR="00DE69DF" w:rsidRPr="00A36050">
        <w:rPr>
          <w:rFonts w:ascii="Times New Roman" w:hAnsi="Times New Roman"/>
        </w:rPr>
        <w:t>os</w:t>
      </w:r>
      <w:r w:rsidRPr="00A36050">
        <w:rPr>
          <w:rFonts w:ascii="Times New Roman" w:hAnsi="Times New Roman"/>
        </w:rPr>
        <w:t>nál fiatalabb csecsemőknél az omeprazol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clearance</w:t>
      </w:r>
      <w:r w:rsidR="002B5901" w:rsidRPr="00A36050">
        <w:rPr>
          <w:rFonts w:ascii="Times New Roman" w:hAnsi="Times New Roman"/>
        </w:rPr>
        <w:t>-e</w:t>
      </w:r>
      <w:r w:rsidRPr="00A36050">
        <w:rPr>
          <w:rFonts w:ascii="Times New Roman" w:hAnsi="Times New Roman"/>
        </w:rPr>
        <w:t xml:space="preserve"> alacsony a még éretlen omeprazol</w:t>
      </w:r>
      <w:r w:rsidR="00A90EF7" w:rsidRPr="00A36050">
        <w:rPr>
          <w:rFonts w:ascii="Times New Roman" w:hAnsi="Times New Roman"/>
        </w:rPr>
        <w:t>-</w:t>
      </w:r>
      <w:r w:rsidRPr="00A36050">
        <w:rPr>
          <w:rFonts w:ascii="Times New Roman" w:hAnsi="Times New Roman"/>
        </w:rPr>
        <w:t>metabolizmus miatt.</w:t>
      </w:r>
    </w:p>
    <w:p w14:paraId="701EF36E" w14:textId="77777777" w:rsidR="00F23B51" w:rsidRPr="00A36050" w:rsidRDefault="00F23B5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</w:p>
    <w:p w14:paraId="6E6DC57C" w14:textId="77777777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5.3</w:t>
      </w:r>
      <w:r w:rsidR="002B5901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A preklinikai biztonságossági vizsgálatok eredményei</w:t>
      </w:r>
    </w:p>
    <w:p w14:paraId="043E1013" w14:textId="77777777" w:rsidR="00F23B51" w:rsidRPr="00A36050" w:rsidRDefault="00F23B5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BFB5D47" w14:textId="1B6E775B" w:rsidR="001C0BD1" w:rsidRPr="00A36050" w:rsidRDefault="001C0BD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36050">
        <w:rPr>
          <w:rFonts w:ascii="Times New Roman" w:hAnsi="Times New Roman"/>
        </w:rPr>
        <w:t>Élethosszig tartó vizsgálatokban</w:t>
      </w:r>
      <w:r w:rsidR="002B5901" w:rsidRPr="00A36050">
        <w:rPr>
          <w:rFonts w:ascii="Times New Roman" w:hAnsi="Times New Roman"/>
        </w:rPr>
        <w:t xml:space="preserve"> az</w:t>
      </w:r>
      <w:r w:rsidRPr="00A36050">
        <w:rPr>
          <w:rFonts w:ascii="Times New Roman" w:hAnsi="Times New Roman"/>
        </w:rPr>
        <w:t xml:space="preserve"> omeprazollal kezelt patkányoknál gasztrikus ECL</w:t>
      </w:r>
      <w:r w:rsidR="00C61D9C">
        <w:rPr>
          <w:rFonts w:ascii="Times New Roman" w:hAnsi="Times New Roman"/>
        </w:rPr>
        <w:noBreakHyphen/>
      </w:r>
      <w:r w:rsidRPr="00A36050">
        <w:rPr>
          <w:rFonts w:ascii="Times New Roman" w:hAnsi="Times New Roman"/>
        </w:rPr>
        <w:t>sejt hyperplasia és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 xml:space="preserve">carcinoidok megjelenése volt tapasztalható. Ezek az elváltozások a savszekréció-gátlás </w:t>
      </w:r>
      <w:r w:rsidRPr="00A36050">
        <w:rPr>
          <w:rFonts w:ascii="Times New Roman" w:hAnsi="Times New Roman"/>
        </w:rPr>
        <w:lastRenderedPageBreak/>
        <w:t>következtében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kialakult tartós hypergastrinaemia következtében alakulnak ki. H</w:t>
      </w:r>
      <w:r w:rsidRPr="00A36050">
        <w:rPr>
          <w:rFonts w:ascii="Times New Roman" w:hAnsi="Times New Roman"/>
          <w:vertAlign w:val="subscript"/>
        </w:rPr>
        <w:t>2</w:t>
      </w:r>
      <w:r w:rsidRPr="00A36050">
        <w:rPr>
          <w:rFonts w:ascii="Times New Roman" w:hAnsi="Times New Roman"/>
        </w:rPr>
        <w:t>-receptor antagonistákkal</w:t>
      </w:r>
      <w:r w:rsidR="000D5B91" w:rsidRPr="00A36050">
        <w:rPr>
          <w:rFonts w:ascii="Times New Roman" w:hAnsi="Times New Roman"/>
        </w:rPr>
        <w:t xml:space="preserve"> és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protonpumpa</w:t>
      </w:r>
      <w:r w:rsidR="001E316C">
        <w:rPr>
          <w:rFonts w:ascii="Times New Roman" w:hAnsi="Times New Roman"/>
        </w:rPr>
        <w:t>-gátlókkal</w:t>
      </w:r>
      <w:r w:rsidRPr="00A36050">
        <w:rPr>
          <w:rFonts w:ascii="Times New Roman" w:hAnsi="Times New Roman"/>
        </w:rPr>
        <w:t xml:space="preserve"> végzett kezelést</w:t>
      </w:r>
      <w:r w:rsidR="000D5B91" w:rsidRPr="00A36050">
        <w:rPr>
          <w:rFonts w:ascii="Times New Roman" w:hAnsi="Times New Roman"/>
        </w:rPr>
        <w:t>,</w:t>
      </w:r>
      <w:r w:rsidRPr="00A36050">
        <w:rPr>
          <w:rFonts w:ascii="Times New Roman" w:hAnsi="Times New Roman"/>
        </w:rPr>
        <w:t xml:space="preserve"> </w:t>
      </w:r>
      <w:r w:rsidR="000D5B91" w:rsidRPr="00A36050">
        <w:rPr>
          <w:rFonts w:ascii="Times New Roman" w:hAnsi="Times New Roman"/>
        </w:rPr>
        <w:t>valamint</w:t>
      </w:r>
      <w:r w:rsidRPr="00A36050">
        <w:rPr>
          <w:rFonts w:ascii="Times New Roman" w:hAnsi="Times New Roman"/>
        </w:rPr>
        <w:t xml:space="preserve"> részleges fundectomiát követően hasonló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elváltozásokat tapasztaltak. Így ezek az elváltozások nem egy bizonyos szer közvetlen hatásának</w:t>
      </w:r>
      <w:r w:rsidR="00F85873" w:rsidRPr="00A36050">
        <w:rPr>
          <w:rFonts w:ascii="Times New Roman" w:hAnsi="Times New Roman"/>
        </w:rPr>
        <w:t xml:space="preserve"> </w:t>
      </w:r>
      <w:r w:rsidRPr="00A36050">
        <w:rPr>
          <w:rFonts w:ascii="Times New Roman" w:hAnsi="Times New Roman"/>
        </w:rPr>
        <w:t>következményei.</w:t>
      </w:r>
    </w:p>
    <w:p w14:paraId="5536455B" w14:textId="77777777" w:rsidR="00F23B51" w:rsidRPr="00A36050" w:rsidRDefault="00F23B51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E0FA8B9" w14:textId="77777777" w:rsidR="003D7AD3" w:rsidRPr="00A36050" w:rsidRDefault="003D7AD3" w:rsidP="00A3605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9C893ED" w14:textId="77777777" w:rsidR="001C0BD1" w:rsidRPr="00A36050" w:rsidRDefault="001C0BD1" w:rsidP="00A36050">
      <w:pPr>
        <w:pStyle w:val="Nincstrkz"/>
        <w:keepNext/>
        <w:widowControl w:val="0"/>
        <w:suppressAutoHyphens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6</w:t>
      </w:r>
      <w:r w:rsidRPr="00A36050">
        <w:rPr>
          <w:rFonts w:ascii="Times New Roman" w:hAnsi="Times New Roman"/>
          <w:b/>
          <w:bCs/>
        </w:rPr>
        <w:t>.</w:t>
      </w:r>
      <w:r w:rsidR="000D5B91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GYÓGYSZERÉSZETI JELLEMZŐK</w:t>
      </w:r>
    </w:p>
    <w:p w14:paraId="7EDFD950" w14:textId="77777777" w:rsidR="00F23B51" w:rsidRPr="00A36050" w:rsidRDefault="00F23B51" w:rsidP="00A36050">
      <w:pPr>
        <w:pStyle w:val="Nincstrkz"/>
        <w:keepNext/>
        <w:widowControl w:val="0"/>
        <w:suppressAutoHyphens/>
        <w:rPr>
          <w:rFonts w:ascii="Times New Roman" w:hAnsi="Times New Roman"/>
        </w:rPr>
      </w:pPr>
    </w:p>
    <w:p w14:paraId="6CA0D9AE" w14:textId="77777777" w:rsidR="001C0BD1" w:rsidRPr="00A36050" w:rsidRDefault="001C0BD1" w:rsidP="00A36050">
      <w:pPr>
        <w:pStyle w:val="Nincstrkz"/>
        <w:keepNext/>
        <w:widowControl w:val="0"/>
        <w:suppressAutoHyphens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6.1</w:t>
      </w:r>
      <w:r w:rsidR="000D5B91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Segédanyagok felsorolása</w:t>
      </w:r>
    </w:p>
    <w:p w14:paraId="71CBDFB8" w14:textId="77777777" w:rsidR="00C7253B" w:rsidRPr="00A36050" w:rsidRDefault="00C7253B" w:rsidP="00A36050">
      <w:pPr>
        <w:pStyle w:val="Nincstrkz"/>
        <w:keepNext/>
        <w:widowControl w:val="0"/>
        <w:suppressAutoHyphens/>
        <w:rPr>
          <w:rFonts w:ascii="Times New Roman" w:hAnsi="Times New Roman"/>
        </w:rPr>
      </w:pPr>
    </w:p>
    <w:p w14:paraId="1E2B098C" w14:textId="77777777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>glicerin (E422)</w:t>
      </w:r>
    </w:p>
    <w:p w14:paraId="741A0A1C" w14:textId="77777777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>xantángumi (E415)</w:t>
      </w:r>
    </w:p>
    <w:p w14:paraId="2602D49A" w14:textId="77DCD555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>poliszorbát</w:t>
      </w:r>
      <w:r w:rsidR="00C61D9C">
        <w:rPr>
          <w:rFonts w:ascii="Times New Roman" w:eastAsia="Times New Roman" w:hAnsi="Times New Roman"/>
        </w:rPr>
        <w:t> </w:t>
      </w:r>
      <w:r w:rsidRPr="0049438E">
        <w:rPr>
          <w:rFonts w:ascii="Times New Roman" w:eastAsia="Times New Roman" w:hAnsi="Times New Roman"/>
        </w:rPr>
        <w:t>80 (E433)</w:t>
      </w:r>
    </w:p>
    <w:p w14:paraId="55A2D84F" w14:textId="77777777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>dinátrium-edetát</w:t>
      </w:r>
    </w:p>
    <w:p w14:paraId="635129A9" w14:textId="77777777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>acetilcisztein</w:t>
      </w:r>
    </w:p>
    <w:p w14:paraId="3BB825DE" w14:textId="77777777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>nátrium-dihidrogén-foszfát-dihidrát</w:t>
      </w:r>
    </w:p>
    <w:p w14:paraId="22917796" w14:textId="77777777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>nátrium-hidroxid</w:t>
      </w:r>
    </w:p>
    <w:p w14:paraId="41A58956" w14:textId="0B728555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>szimetikon emulzió 30% (</w:t>
      </w:r>
      <w:r>
        <w:rPr>
          <w:rFonts w:ascii="Times New Roman" w:eastAsia="Times New Roman" w:hAnsi="Times New Roman"/>
        </w:rPr>
        <w:t xml:space="preserve">amely tartalmaz: </w:t>
      </w:r>
      <w:r w:rsidRPr="0049438E">
        <w:rPr>
          <w:rFonts w:ascii="Times New Roman" w:eastAsia="Times New Roman" w:hAnsi="Times New Roman"/>
        </w:rPr>
        <w:t>szimetikon, poliszorbát 65, metilcellulóz, polioxil 8-sztearát, glicerin-monosztearát, xantángumi, benzoesav [E210], szorbinsav, kénsav, tisztított víz)</w:t>
      </w:r>
    </w:p>
    <w:p w14:paraId="06928BE7" w14:textId="77777777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>tisztított víz</w:t>
      </w:r>
    </w:p>
    <w:p w14:paraId="3F0DC05C" w14:textId="212A83E6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>karmellóz</w:t>
      </w:r>
      <w:r>
        <w:rPr>
          <w:rFonts w:ascii="Times New Roman" w:eastAsia="Times New Roman" w:hAnsi="Times New Roman"/>
        </w:rPr>
        <w:noBreakHyphen/>
      </w:r>
      <w:r w:rsidRPr="0049438E">
        <w:rPr>
          <w:rFonts w:ascii="Times New Roman" w:eastAsia="Times New Roman" w:hAnsi="Times New Roman"/>
        </w:rPr>
        <w:t>nátrium (E468)</w:t>
      </w:r>
    </w:p>
    <w:p w14:paraId="0D99600B" w14:textId="77777777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>szukralóz (E955)</w:t>
      </w:r>
    </w:p>
    <w:p w14:paraId="50063892" w14:textId="77777777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>nátrium-hidrogén-karbonát</w:t>
      </w:r>
    </w:p>
    <w:p w14:paraId="19B52A2F" w14:textId="77777777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>domifen-bromid</w:t>
      </w:r>
    </w:p>
    <w:p w14:paraId="56200B30" w14:textId="27D82E1A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>mentol</w:t>
      </w:r>
      <w:r>
        <w:rPr>
          <w:rFonts w:ascii="Times New Roman" w:eastAsia="Times New Roman" w:hAnsi="Times New Roman"/>
        </w:rPr>
        <w:t xml:space="preserve"> aroma</w:t>
      </w:r>
    </w:p>
    <w:p w14:paraId="265A2088" w14:textId="7444E59D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ab/>
        <w:t>gumiarábikum (E414)</w:t>
      </w:r>
    </w:p>
    <w:p w14:paraId="6A9ED10E" w14:textId="23BD63D7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ab/>
      </w:r>
      <w:r w:rsidR="003A5188">
        <w:rPr>
          <w:rFonts w:ascii="Times New Roman" w:eastAsia="Times New Roman" w:hAnsi="Times New Roman"/>
        </w:rPr>
        <w:t xml:space="preserve">ízesítő </w:t>
      </w:r>
      <w:r w:rsidRPr="0049438E">
        <w:rPr>
          <w:rFonts w:ascii="Times New Roman" w:eastAsia="Times New Roman" w:hAnsi="Times New Roman"/>
        </w:rPr>
        <w:t>összetevők</w:t>
      </w:r>
    </w:p>
    <w:p w14:paraId="69C6E325" w14:textId="153CC16D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>ízfedő aroma</w:t>
      </w:r>
    </w:p>
    <w:p w14:paraId="0E04F336" w14:textId="77777777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ab/>
        <w:t>víz</w:t>
      </w:r>
    </w:p>
    <w:p w14:paraId="6EF32040" w14:textId="77E5AD1B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ab/>
        <w:t>propilénglikol (E1520)</w:t>
      </w:r>
    </w:p>
    <w:p w14:paraId="00293BF4" w14:textId="79EE376E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ab/>
      </w:r>
      <w:r w:rsidR="003A5188">
        <w:rPr>
          <w:rFonts w:ascii="Times New Roman" w:eastAsia="Times New Roman" w:hAnsi="Times New Roman"/>
        </w:rPr>
        <w:t xml:space="preserve">ízesítő </w:t>
      </w:r>
      <w:r w:rsidRPr="0049438E">
        <w:rPr>
          <w:rFonts w:ascii="Times New Roman" w:eastAsia="Times New Roman" w:hAnsi="Times New Roman"/>
        </w:rPr>
        <w:t>összetevők</w:t>
      </w:r>
    </w:p>
    <w:p w14:paraId="48EDA721" w14:textId="577CF9B1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 xml:space="preserve">citrom </w:t>
      </w:r>
      <w:r w:rsidR="003A5188">
        <w:rPr>
          <w:rFonts w:ascii="Times New Roman" w:eastAsia="Times New Roman" w:hAnsi="Times New Roman"/>
        </w:rPr>
        <w:t xml:space="preserve">aroma </w:t>
      </w:r>
      <w:r w:rsidRPr="0049438E">
        <w:rPr>
          <w:rFonts w:ascii="Times New Roman" w:eastAsia="Times New Roman" w:hAnsi="Times New Roman"/>
        </w:rPr>
        <w:t>(a 20 mg/15 ml esetén)</w:t>
      </w:r>
    </w:p>
    <w:p w14:paraId="60316C43" w14:textId="257E57A2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ab/>
      </w:r>
      <w:r w:rsidR="003A5188">
        <w:rPr>
          <w:rFonts w:ascii="Times New Roman" w:eastAsia="Times New Roman" w:hAnsi="Times New Roman"/>
        </w:rPr>
        <w:t xml:space="preserve">kukorica </w:t>
      </w:r>
      <w:r w:rsidR="008D278D">
        <w:rPr>
          <w:rFonts w:ascii="Times New Roman" w:eastAsia="Times New Roman" w:hAnsi="Times New Roman"/>
        </w:rPr>
        <w:t xml:space="preserve">eredetű </w:t>
      </w:r>
      <w:r w:rsidRPr="0049438E">
        <w:rPr>
          <w:rFonts w:ascii="Times New Roman" w:eastAsia="Times New Roman" w:hAnsi="Times New Roman"/>
        </w:rPr>
        <w:t>maltodextrin</w:t>
      </w:r>
    </w:p>
    <w:p w14:paraId="6313354F" w14:textId="6E693A62" w:rsidR="0049438E" w:rsidRPr="0049438E" w:rsidRDefault="0049438E" w:rsidP="0049438E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49438E">
        <w:rPr>
          <w:rFonts w:ascii="Times New Roman" w:eastAsia="Times New Roman" w:hAnsi="Times New Roman"/>
        </w:rPr>
        <w:tab/>
      </w:r>
      <w:r w:rsidR="003A5188" w:rsidRPr="003A5188">
        <w:rPr>
          <w:rFonts w:ascii="Times New Roman" w:eastAsia="Times New Roman" w:hAnsi="Times New Roman"/>
        </w:rPr>
        <w:t xml:space="preserve">ízesítő </w:t>
      </w:r>
      <w:r w:rsidRPr="0049438E">
        <w:rPr>
          <w:rFonts w:ascii="Times New Roman" w:eastAsia="Times New Roman" w:hAnsi="Times New Roman"/>
        </w:rPr>
        <w:t>összetevők</w:t>
      </w:r>
    </w:p>
    <w:p w14:paraId="1D9EFE4C" w14:textId="77777777" w:rsidR="00F23B51" w:rsidRPr="00A36050" w:rsidRDefault="00F23B51" w:rsidP="00A36050">
      <w:pPr>
        <w:pStyle w:val="Nincstrkz"/>
        <w:widowControl w:val="0"/>
        <w:suppressAutoHyphens/>
        <w:rPr>
          <w:rFonts w:ascii="Times New Roman" w:hAnsi="Times New Roman"/>
        </w:rPr>
      </w:pPr>
    </w:p>
    <w:p w14:paraId="778E610E" w14:textId="77777777" w:rsidR="001C0BD1" w:rsidRPr="00A36050" w:rsidRDefault="001C0BD1" w:rsidP="00A36050">
      <w:pPr>
        <w:pStyle w:val="Nincstrkz"/>
        <w:widowControl w:val="0"/>
        <w:suppressAutoHyphens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6.2</w:t>
      </w:r>
      <w:r w:rsidR="00ED0B9E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Inkompatibilitások</w:t>
      </w:r>
    </w:p>
    <w:p w14:paraId="2C2E3FD0" w14:textId="77777777" w:rsidR="00F23B51" w:rsidRPr="00A36050" w:rsidRDefault="00F23B51" w:rsidP="00A36050">
      <w:pPr>
        <w:pStyle w:val="Nincstrkz"/>
        <w:widowControl w:val="0"/>
        <w:suppressAutoHyphens/>
        <w:rPr>
          <w:rFonts w:ascii="Times New Roman" w:hAnsi="Times New Roman"/>
        </w:rPr>
      </w:pPr>
    </w:p>
    <w:p w14:paraId="0552CD6E" w14:textId="77777777" w:rsidR="00C7253B" w:rsidRPr="00A36050" w:rsidRDefault="00C7253B" w:rsidP="00A36050">
      <w:pPr>
        <w:pStyle w:val="Nincstrkz"/>
        <w:widowControl w:val="0"/>
        <w:suppressAutoHyphens/>
        <w:rPr>
          <w:rFonts w:ascii="Times New Roman" w:hAnsi="Times New Roman"/>
        </w:rPr>
      </w:pPr>
      <w:r w:rsidRPr="00A36050">
        <w:rPr>
          <w:rFonts w:ascii="Times New Roman" w:hAnsi="Times New Roman"/>
        </w:rPr>
        <w:t>Nem értelmezhető</w:t>
      </w:r>
      <w:r w:rsidR="005D060D" w:rsidRPr="00A36050">
        <w:rPr>
          <w:rFonts w:ascii="Times New Roman" w:hAnsi="Times New Roman"/>
        </w:rPr>
        <w:t>.</w:t>
      </w:r>
    </w:p>
    <w:p w14:paraId="549FB7A5" w14:textId="77777777" w:rsidR="00306A4A" w:rsidRPr="00A36050" w:rsidRDefault="00306A4A" w:rsidP="00A36050">
      <w:pPr>
        <w:pStyle w:val="Nincstrkz"/>
        <w:widowControl w:val="0"/>
        <w:suppressAutoHyphens/>
        <w:rPr>
          <w:rFonts w:ascii="Times New Roman" w:hAnsi="Times New Roman"/>
        </w:rPr>
      </w:pPr>
    </w:p>
    <w:p w14:paraId="0E55281C" w14:textId="77777777" w:rsidR="001C0BD1" w:rsidRPr="00A36050" w:rsidRDefault="001C0BD1" w:rsidP="00A36050">
      <w:pPr>
        <w:pStyle w:val="Nincstrkz"/>
        <w:widowControl w:val="0"/>
        <w:suppressAutoHyphens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6.3</w:t>
      </w:r>
      <w:r w:rsidR="00ED0B9E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Felhasználhatósági időtartam</w:t>
      </w:r>
    </w:p>
    <w:p w14:paraId="73F0749D" w14:textId="77777777" w:rsidR="00F23B51" w:rsidRPr="00A36050" w:rsidRDefault="00F23B51" w:rsidP="00A36050">
      <w:pPr>
        <w:pStyle w:val="Nincstrkz"/>
        <w:widowControl w:val="0"/>
        <w:suppressAutoHyphens/>
        <w:rPr>
          <w:rFonts w:ascii="Times New Roman" w:hAnsi="Times New Roman"/>
        </w:rPr>
      </w:pPr>
    </w:p>
    <w:p w14:paraId="6AB69EF2" w14:textId="7BA99FA4" w:rsidR="00C7253B" w:rsidRPr="00A36050" w:rsidRDefault="00026BF4" w:rsidP="00A36050">
      <w:pPr>
        <w:pStyle w:val="Nincstrkz"/>
        <w:widowControl w:val="0"/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2 </w:t>
      </w:r>
      <w:r w:rsidR="00C7253B" w:rsidRPr="00A36050">
        <w:rPr>
          <w:rFonts w:ascii="Times New Roman" w:hAnsi="Times New Roman"/>
        </w:rPr>
        <w:t>év</w:t>
      </w:r>
    </w:p>
    <w:p w14:paraId="7AFCAA1D" w14:textId="77777777" w:rsidR="00306A4A" w:rsidRPr="00A36050" w:rsidRDefault="00306A4A" w:rsidP="00A36050">
      <w:pPr>
        <w:pStyle w:val="Nincstrkz"/>
        <w:widowControl w:val="0"/>
        <w:suppressAutoHyphens/>
        <w:rPr>
          <w:rFonts w:ascii="Times New Roman" w:hAnsi="Times New Roman"/>
        </w:rPr>
      </w:pPr>
    </w:p>
    <w:p w14:paraId="4A171292" w14:textId="77777777" w:rsidR="001C0BD1" w:rsidRPr="00A36050" w:rsidRDefault="001C0BD1" w:rsidP="00A36050">
      <w:pPr>
        <w:pStyle w:val="Nincstrkz"/>
        <w:widowControl w:val="0"/>
        <w:suppressAutoHyphens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6.4</w:t>
      </w:r>
      <w:r w:rsidR="00ED0B9E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Különleges tárolási előírások</w:t>
      </w:r>
    </w:p>
    <w:p w14:paraId="72304493" w14:textId="77777777" w:rsidR="00F23B51" w:rsidRPr="00A36050" w:rsidRDefault="00F23B51" w:rsidP="00A36050">
      <w:pPr>
        <w:pStyle w:val="Nincstrkz"/>
        <w:widowControl w:val="0"/>
        <w:suppressAutoHyphens/>
        <w:rPr>
          <w:rFonts w:ascii="Times New Roman" w:hAnsi="Times New Roman"/>
        </w:rPr>
      </w:pPr>
    </w:p>
    <w:p w14:paraId="2567DD55" w14:textId="2A60C052" w:rsidR="00026BF4" w:rsidRPr="00026BF4" w:rsidRDefault="00026BF4" w:rsidP="00026BF4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noProof/>
        </w:rPr>
      </w:pPr>
      <w:bookmarkStart w:id="5" w:name="_Hlk159409174"/>
      <w:r w:rsidRPr="00026BF4">
        <w:rPr>
          <w:rFonts w:ascii="Times New Roman" w:eastAsia="Times New Roman" w:hAnsi="Times New Roman"/>
          <w:noProof/>
        </w:rPr>
        <w:t>Hűtőszekrényben (2°C</w:t>
      </w:r>
      <w:r w:rsidR="003B151C">
        <w:rPr>
          <w:rFonts w:ascii="Times New Roman" w:eastAsia="Times New Roman" w:hAnsi="Times New Roman"/>
          <w:noProof/>
        </w:rPr>
        <w:noBreakHyphen/>
      </w:r>
      <w:r w:rsidRPr="00026BF4">
        <w:rPr>
          <w:rFonts w:ascii="Times New Roman" w:eastAsia="Times New Roman" w:hAnsi="Times New Roman"/>
          <w:noProof/>
        </w:rPr>
        <w:t>8°C) tárolandó.</w:t>
      </w:r>
    </w:p>
    <w:p w14:paraId="1CA2B9CF" w14:textId="77777777" w:rsidR="00026BF4" w:rsidRPr="00026BF4" w:rsidRDefault="00026BF4" w:rsidP="00026BF4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noProof/>
        </w:rPr>
      </w:pPr>
      <w:r w:rsidRPr="00026BF4">
        <w:rPr>
          <w:rFonts w:ascii="Times New Roman" w:eastAsia="Times New Roman" w:hAnsi="Times New Roman"/>
          <w:noProof/>
        </w:rPr>
        <w:t>A fénytől való védelem érdekében az eredeti csomagolásban tárolandó.</w:t>
      </w:r>
    </w:p>
    <w:p w14:paraId="627A099F" w14:textId="77777777" w:rsidR="00DA5567" w:rsidRPr="00DA5567" w:rsidRDefault="00DA5567" w:rsidP="00DA5567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noProof/>
        </w:rPr>
      </w:pPr>
      <w:r w:rsidRPr="00DA5567">
        <w:rPr>
          <w:rFonts w:ascii="Times New Roman" w:eastAsia="Times New Roman" w:hAnsi="Times New Roman"/>
          <w:noProof/>
        </w:rPr>
        <w:t>A készítmény a hűtőszekrényből (2°C – 8°C) kivéve és szobahőmérsékleten (15°C – 25°C) bontatlanul tárolva, 28 napig használható fel.</w:t>
      </w:r>
    </w:p>
    <w:p w14:paraId="676823A5" w14:textId="5EE150EE" w:rsidR="00DA5567" w:rsidRPr="00026BF4" w:rsidRDefault="00DA5567" w:rsidP="00DA5567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noProof/>
        </w:rPr>
      </w:pPr>
      <w:r w:rsidRPr="00DA5567">
        <w:rPr>
          <w:rFonts w:ascii="Times New Roman" w:eastAsia="Times New Roman" w:hAnsi="Times New Roman"/>
          <w:noProof/>
        </w:rPr>
        <w:t>A készítményt a beadás előtti összekeverést követően legfeljebb 20</w:t>
      </w:r>
      <w:r w:rsidR="00533B18">
        <w:rPr>
          <w:rFonts w:ascii="Times New Roman" w:eastAsia="Times New Roman" w:hAnsi="Times New Roman"/>
          <w:noProof/>
        </w:rPr>
        <w:t> </w:t>
      </w:r>
      <w:r w:rsidRPr="00DA5567">
        <w:rPr>
          <w:rFonts w:ascii="Times New Roman" w:eastAsia="Times New Roman" w:hAnsi="Times New Roman"/>
          <w:noProof/>
        </w:rPr>
        <w:t>percen belül fel kell használni.</w:t>
      </w:r>
    </w:p>
    <w:bookmarkEnd w:id="5"/>
    <w:p w14:paraId="40544057" w14:textId="77777777" w:rsidR="00C7253B" w:rsidRPr="00A36050" w:rsidRDefault="00C7253B" w:rsidP="00A36050">
      <w:pPr>
        <w:pStyle w:val="Nincstrkz"/>
        <w:widowControl w:val="0"/>
        <w:suppressAutoHyphens/>
        <w:rPr>
          <w:rFonts w:ascii="Times New Roman" w:hAnsi="Times New Roman"/>
        </w:rPr>
      </w:pPr>
    </w:p>
    <w:p w14:paraId="7B3514FB" w14:textId="77777777" w:rsidR="001C0BD1" w:rsidRPr="00A36050" w:rsidRDefault="001C0BD1" w:rsidP="00A36050">
      <w:pPr>
        <w:pStyle w:val="Nincstrkz"/>
        <w:widowControl w:val="0"/>
        <w:suppressAutoHyphens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6.5</w:t>
      </w:r>
      <w:r w:rsidR="00ED0B9E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Csomagolás típusa és kiszerelése</w:t>
      </w:r>
    </w:p>
    <w:p w14:paraId="3E72D70C" w14:textId="77777777" w:rsidR="00F23B51" w:rsidRPr="00A36050" w:rsidRDefault="00F23B51" w:rsidP="00A36050">
      <w:pPr>
        <w:pStyle w:val="Nincstrkz"/>
        <w:widowControl w:val="0"/>
        <w:suppressAutoHyphens/>
        <w:rPr>
          <w:rFonts w:ascii="Times New Roman" w:hAnsi="Times New Roman"/>
        </w:rPr>
      </w:pPr>
      <w:bookmarkStart w:id="6" w:name="_Hlk159414119"/>
    </w:p>
    <w:p w14:paraId="61AB04A5" w14:textId="0909783D" w:rsidR="00026BF4" w:rsidRPr="00026BF4" w:rsidRDefault="00026BF4" w:rsidP="00026BF4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9E1E8A">
        <w:rPr>
          <w:rFonts w:ascii="Times New Roman" w:eastAsia="Times New Roman" w:hAnsi="Times New Roman"/>
          <w:u w:val="single"/>
        </w:rPr>
        <w:t>A Lappoxo 10 mg/15 ml, 15 ml</w:t>
      </w:r>
      <w:r w:rsidR="00746CE8" w:rsidRPr="009E1E8A">
        <w:rPr>
          <w:rFonts w:ascii="Times New Roman" w:eastAsia="Times New Roman" w:hAnsi="Times New Roman"/>
          <w:u w:val="single"/>
        </w:rPr>
        <w:t>, kétkamrás elsődleges csomagolás részei</w:t>
      </w:r>
      <w:r w:rsidR="00746CE8" w:rsidRPr="00746CE8">
        <w:rPr>
          <w:rFonts w:ascii="Times New Roman" w:eastAsia="Times New Roman" w:hAnsi="Times New Roman"/>
        </w:rPr>
        <w:t>:</w:t>
      </w:r>
    </w:p>
    <w:p w14:paraId="78DE0634" w14:textId="77777777" w:rsidR="00026BF4" w:rsidRPr="00026BF4" w:rsidRDefault="00026BF4" w:rsidP="00026BF4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</w:p>
    <w:p w14:paraId="7A4D7BD5" w14:textId="4BBE0C24" w:rsidR="00204508" w:rsidRPr="00204508" w:rsidRDefault="00DE2954" w:rsidP="009E1E8A">
      <w:pPr>
        <w:numPr>
          <w:ilvl w:val="0"/>
          <w:numId w:val="20"/>
        </w:numPr>
        <w:spacing w:after="0" w:line="240" w:lineRule="auto"/>
        <w:ind w:left="567" w:hanging="567"/>
        <w:contextualSpacing/>
        <w:rPr>
          <w:rFonts w:ascii="Times New Roman" w:eastAsia="Times New Roman" w:hAnsi="Times New Roman"/>
        </w:rPr>
      </w:pPr>
      <w:r w:rsidRPr="00026BF4">
        <w:rPr>
          <w:rFonts w:ascii="Times New Roman" w:eastAsia="Times New Roman" w:hAnsi="Times New Roman"/>
        </w:rPr>
        <w:t>5 ml</w:t>
      </w:r>
      <w:r>
        <w:rPr>
          <w:rFonts w:ascii="Times New Roman" w:eastAsia="Times New Roman" w:hAnsi="Times New Roman"/>
        </w:rPr>
        <w:t>,</w:t>
      </w:r>
      <w:r w:rsidRPr="00026BF4">
        <w:rPr>
          <w:rFonts w:ascii="Times New Roman" w:eastAsia="Times New Roman" w:hAnsi="Times New Roman"/>
        </w:rPr>
        <w:t xml:space="preserve"> 2 mg/ml koncentrátum</w:t>
      </w:r>
      <w:r>
        <w:rPr>
          <w:rFonts w:ascii="Times New Roman" w:eastAsia="Times New Roman" w:hAnsi="Times New Roman"/>
        </w:rPr>
        <w:t>ot tartalmazó,</w:t>
      </w:r>
      <w:r w:rsidRPr="00026BF4">
        <w:rPr>
          <w:rFonts w:ascii="Times New Roman" w:eastAsia="Times New Roman" w:hAnsi="Times New Roman"/>
        </w:rPr>
        <w:t xml:space="preserve"> </w:t>
      </w:r>
      <w:r w:rsidR="00026BF4" w:rsidRPr="00026BF4">
        <w:rPr>
          <w:rFonts w:ascii="Times New Roman" w:eastAsia="Times New Roman" w:hAnsi="Times New Roman"/>
        </w:rPr>
        <w:t xml:space="preserve">PP </w:t>
      </w:r>
      <w:r w:rsidR="00204508" w:rsidRPr="00204508">
        <w:rPr>
          <w:rFonts w:ascii="Times New Roman" w:eastAsia="Times New Roman" w:hAnsi="Times New Roman"/>
        </w:rPr>
        <w:t>csatlakoztató egység, garanciazáras gyűrűvel ellátott, PE membránnal lezárt 10</w:t>
      </w:r>
      <w:r w:rsidR="00204508">
        <w:rPr>
          <w:rFonts w:ascii="Times New Roman" w:eastAsia="Times New Roman" w:hAnsi="Times New Roman"/>
        </w:rPr>
        <w:t> </w:t>
      </w:r>
      <w:r w:rsidR="00204508" w:rsidRPr="00204508">
        <w:rPr>
          <w:rFonts w:ascii="Times New Roman" w:eastAsia="Times New Roman" w:hAnsi="Times New Roman"/>
        </w:rPr>
        <w:t>ml</w:t>
      </w:r>
      <w:r w:rsidR="00533B18">
        <w:rPr>
          <w:rFonts w:ascii="Times New Roman" w:eastAsia="Times New Roman" w:hAnsi="Times New Roman"/>
        </w:rPr>
        <w:noBreakHyphen/>
      </w:r>
      <w:r w:rsidR="00204508" w:rsidRPr="00204508">
        <w:rPr>
          <w:rFonts w:ascii="Times New Roman" w:eastAsia="Times New Roman" w:hAnsi="Times New Roman"/>
        </w:rPr>
        <w:t>es HDPE kupakban és</w:t>
      </w:r>
    </w:p>
    <w:p w14:paraId="0994A18E" w14:textId="54E4930C" w:rsidR="00204508" w:rsidRPr="00204508" w:rsidRDefault="00204508" w:rsidP="009E1E8A">
      <w:pPr>
        <w:numPr>
          <w:ilvl w:val="0"/>
          <w:numId w:val="20"/>
        </w:numPr>
        <w:spacing w:after="0" w:line="240" w:lineRule="auto"/>
        <w:ind w:left="567" w:hanging="567"/>
        <w:contextualSpacing/>
        <w:rPr>
          <w:rFonts w:ascii="Times New Roman" w:eastAsia="Times New Roman" w:hAnsi="Times New Roman"/>
        </w:rPr>
      </w:pPr>
      <w:r w:rsidRPr="00204508">
        <w:rPr>
          <w:rFonts w:ascii="Times New Roman" w:eastAsia="Times New Roman" w:hAnsi="Times New Roman"/>
        </w:rPr>
        <w:lastRenderedPageBreak/>
        <w:t>10</w:t>
      </w:r>
      <w:r w:rsidR="00960896">
        <w:rPr>
          <w:rFonts w:ascii="Times New Roman" w:eastAsia="Times New Roman" w:hAnsi="Times New Roman"/>
        </w:rPr>
        <w:t> </w:t>
      </w:r>
      <w:r w:rsidRPr="00204508">
        <w:rPr>
          <w:rFonts w:ascii="Times New Roman" w:eastAsia="Times New Roman" w:hAnsi="Times New Roman"/>
        </w:rPr>
        <w:t>ml oldószert tartalmazó 25</w:t>
      </w:r>
      <w:r>
        <w:rPr>
          <w:rFonts w:ascii="Times New Roman" w:eastAsia="Times New Roman" w:hAnsi="Times New Roman"/>
        </w:rPr>
        <w:t> </w:t>
      </w:r>
      <w:r w:rsidRPr="00204508">
        <w:rPr>
          <w:rFonts w:ascii="Times New Roman" w:eastAsia="Times New Roman" w:hAnsi="Times New Roman"/>
        </w:rPr>
        <w:t>ml</w:t>
      </w:r>
      <w:r w:rsidR="00533B18">
        <w:rPr>
          <w:rFonts w:ascii="Times New Roman" w:eastAsia="Times New Roman" w:hAnsi="Times New Roman"/>
        </w:rPr>
        <w:noBreakHyphen/>
      </w:r>
      <w:r w:rsidRPr="00204508">
        <w:rPr>
          <w:rFonts w:ascii="Times New Roman" w:eastAsia="Times New Roman" w:hAnsi="Times New Roman"/>
        </w:rPr>
        <w:t>es HDPE tartály.</w:t>
      </w:r>
    </w:p>
    <w:p w14:paraId="3ECE1D2A" w14:textId="77777777" w:rsidR="00423A1A" w:rsidRPr="00026BF4" w:rsidRDefault="00423A1A" w:rsidP="009E1E8A">
      <w:pPr>
        <w:spacing w:after="0" w:line="240" w:lineRule="auto"/>
        <w:contextualSpacing/>
        <w:rPr>
          <w:rFonts w:ascii="Times New Roman" w:eastAsia="Times New Roman" w:hAnsi="Times New Roman"/>
        </w:rPr>
      </w:pPr>
    </w:p>
    <w:p w14:paraId="20528FDA" w14:textId="296E9894" w:rsidR="00423A1A" w:rsidRPr="00026BF4" w:rsidRDefault="00423A1A" w:rsidP="009E1E8A">
      <w:pPr>
        <w:spacing w:after="0" w:line="240" w:lineRule="auto"/>
        <w:contextualSpacing/>
        <w:rPr>
          <w:rFonts w:ascii="Times New Roman" w:eastAsia="Times New Roman" w:hAnsi="Times New Roman"/>
        </w:rPr>
      </w:pPr>
      <w:r w:rsidRPr="00423A1A">
        <w:rPr>
          <w:rFonts w:ascii="Times New Roman" w:eastAsia="Times New Roman" w:hAnsi="Times New Roman"/>
        </w:rPr>
        <w:t>A 10</w:t>
      </w:r>
      <w:r w:rsidR="00533B18">
        <w:rPr>
          <w:rFonts w:ascii="Times New Roman" w:eastAsia="Times New Roman" w:hAnsi="Times New Roman"/>
        </w:rPr>
        <w:t> </w:t>
      </w:r>
      <w:r w:rsidRPr="00423A1A">
        <w:rPr>
          <w:rFonts w:ascii="Times New Roman" w:eastAsia="Times New Roman" w:hAnsi="Times New Roman"/>
        </w:rPr>
        <w:t>mg/15</w:t>
      </w:r>
      <w:r w:rsidR="00533B18">
        <w:rPr>
          <w:rFonts w:ascii="Times New Roman" w:eastAsia="Times New Roman" w:hAnsi="Times New Roman"/>
        </w:rPr>
        <w:t> </w:t>
      </w:r>
      <w:r w:rsidRPr="00423A1A">
        <w:rPr>
          <w:rFonts w:ascii="Times New Roman" w:eastAsia="Times New Roman" w:hAnsi="Times New Roman"/>
        </w:rPr>
        <w:t>ml</w:t>
      </w:r>
      <w:r w:rsidR="00533B18">
        <w:rPr>
          <w:rFonts w:ascii="Times New Roman" w:eastAsia="Times New Roman" w:hAnsi="Times New Roman"/>
        </w:rPr>
        <w:noBreakHyphen/>
      </w:r>
      <w:r w:rsidRPr="00423A1A">
        <w:rPr>
          <w:rFonts w:ascii="Times New Roman" w:eastAsia="Times New Roman" w:hAnsi="Times New Roman"/>
        </w:rPr>
        <w:t>es hatáserősség LPDE adagolópipettával, dobozban. Az adagolópipetta polisztirol (PS) dugattyúval és 0,5</w:t>
      </w:r>
      <w:r w:rsidR="00533B18">
        <w:rPr>
          <w:rFonts w:ascii="Times New Roman" w:eastAsia="Times New Roman" w:hAnsi="Times New Roman"/>
        </w:rPr>
        <w:t> </w:t>
      </w:r>
      <w:r w:rsidRPr="00423A1A">
        <w:rPr>
          <w:rFonts w:ascii="Times New Roman" w:eastAsia="Times New Roman" w:hAnsi="Times New Roman"/>
        </w:rPr>
        <w:t>ml</w:t>
      </w:r>
      <w:r w:rsidR="00533B18">
        <w:rPr>
          <w:rFonts w:ascii="Times New Roman" w:eastAsia="Times New Roman" w:hAnsi="Times New Roman"/>
        </w:rPr>
        <w:noBreakHyphen/>
      </w:r>
      <w:r w:rsidRPr="00423A1A">
        <w:rPr>
          <w:rFonts w:ascii="Times New Roman" w:eastAsia="Times New Roman" w:hAnsi="Times New Roman"/>
        </w:rPr>
        <w:t>es beosztással van ellátva.</w:t>
      </w:r>
    </w:p>
    <w:p w14:paraId="2D2FEE32" w14:textId="77777777" w:rsidR="00026BF4" w:rsidRPr="00026BF4" w:rsidRDefault="00026BF4" w:rsidP="009E1E8A">
      <w:pPr>
        <w:spacing w:after="0" w:line="240" w:lineRule="auto"/>
        <w:contextualSpacing/>
        <w:rPr>
          <w:rFonts w:ascii="Times New Roman" w:eastAsia="Times New Roman" w:hAnsi="Times New Roman"/>
        </w:rPr>
      </w:pPr>
    </w:p>
    <w:p w14:paraId="296E563F" w14:textId="643AA56C" w:rsidR="00204508" w:rsidRPr="009E1E8A" w:rsidRDefault="00026BF4" w:rsidP="00026BF4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u w:val="single"/>
        </w:rPr>
      </w:pPr>
      <w:r w:rsidRPr="009E1E8A">
        <w:rPr>
          <w:rFonts w:ascii="Times New Roman" w:eastAsia="Times New Roman" w:hAnsi="Times New Roman"/>
          <w:u w:val="single"/>
        </w:rPr>
        <w:t>A Lappoxo 20 mg/15 ml, 15 ml</w:t>
      </w:r>
      <w:r w:rsidR="00533B18">
        <w:rPr>
          <w:rFonts w:ascii="Times New Roman" w:eastAsia="Times New Roman" w:hAnsi="Times New Roman"/>
          <w:u w:val="single"/>
        </w:rPr>
        <w:t>,</w:t>
      </w:r>
      <w:r w:rsidRPr="009E1E8A">
        <w:rPr>
          <w:rFonts w:ascii="Times New Roman" w:eastAsia="Times New Roman" w:hAnsi="Times New Roman"/>
          <w:u w:val="single"/>
        </w:rPr>
        <w:t xml:space="preserve"> </w:t>
      </w:r>
      <w:r w:rsidR="00204508" w:rsidRPr="009E1E8A">
        <w:rPr>
          <w:rFonts w:ascii="Times New Roman" w:eastAsia="Times New Roman" w:hAnsi="Times New Roman"/>
          <w:u w:val="single"/>
        </w:rPr>
        <w:t>kétkamrás elsődleges csomagolás részei:</w:t>
      </w:r>
    </w:p>
    <w:p w14:paraId="63BF4638" w14:textId="77777777" w:rsidR="00026BF4" w:rsidRPr="00026BF4" w:rsidRDefault="00026BF4" w:rsidP="00026BF4">
      <w:pPr>
        <w:tabs>
          <w:tab w:val="left" w:pos="567"/>
        </w:tabs>
        <w:spacing w:after="0" w:line="240" w:lineRule="auto"/>
        <w:rPr>
          <w:rFonts w:ascii="Times New Roman" w:hAnsi="Times New Roman"/>
          <w:highlight w:val="lightGray"/>
        </w:rPr>
      </w:pPr>
    </w:p>
    <w:p w14:paraId="49E0D3E3" w14:textId="38E90C95" w:rsidR="00204508" w:rsidRPr="00204508" w:rsidRDefault="00E90383" w:rsidP="009E1E8A">
      <w:pPr>
        <w:numPr>
          <w:ilvl w:val="0"/>
          <w:numId w:val="20"/>
        </w:numPr>
        <w:spacing w:after="0" w:line="240" w:lineRule="auto"/>
        <w:ind w:left="567" w:hanging="567"/>
        <w:contextualSpacing/>
        <w:rPr>
          <w:rFonts w:ascii="Times New Roman" w:eastAsia="Times New Roman" w:hAnsi="Times New Roman"/>
        </w:rPr>
      </w:pPr>
      <w:r w:rsidRPr="00026BF4">
        <w:rPr>
          <w:rFonts w:ascii="Times New Roman" w:eastAsia="Times New Roman" w:hAnsi="Times New Roman"/>
        </w:rPr>
        <w:t>5 ml</w:t>
      </w:r>
      <w:r>
        <w:rPr>
          <w:rFonts w:ascii="Times New Roman" w:eastAsia="Times New Roman" w:hAnsi="Times New Roman"/>
        </w:rPr>
        <w:t>,</w:t>
      </w:r>
      <w:r w:rsidRPr="00026BF4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4</w:t>
      </w:r>
      <w:r w:rsidRPr="00026BF4">
        <w:rPr>
          <w:rFonts w:ascii="Times New Roman" w:eastAsia="Times New Roman" w:hAnsi="Times New Roman"/>
        </w:rPr>
        <w:t xml:space="preserve"> mg/ml </w:t>
      </w:r>
      <w:r>
        <w:rPr>
          <w:rFonts w:ascii="Times New Roman" w:eastAsia="Times New Roman" w:hAnsi="Times New Roman"/>
        </w:rPr>
        <w:t xml:space="preserve">omeprazol </w:t>
      </w:r>
      <w:r w:rsidRPr="00026BF4">
        <w:rPr>
          <w:rFonts w:ascii="Times New Roman" w:eastAsia="Times New Roman" w:hAnsi="Times New Roman"/>
        </w:rPr>
        <w:t>koncentrátum</w:t>
      </w:r>
      <w:r>
        <w:rPr>
          <w:rFonts w:ascii="Times New Roman" w:eastAsia="Times New Roman" w:hAnsi="Times New Roman"/>
        </w:rPr>
        <w:t>ot tartalmazó,</w:t>
      </w:r>
      <w:r w:rsidRPr="00026BF4">
        <w:rPr>
          <w:rFonts w:ascii="Times New Roman" w:eastAsia="Times New Roman" w:hAnsi="Times New Roman"/>
        </w:rPr>
        <w:t xml:space="preserve"> PP </w:t>
      </w:r>
      <w:r w:rsidR="00204508" w:rsidRPr="00204508">
        <w:rPr>
          <w:rFonts w:ascii="Times New Roman" w:eastAsia="Times New Roman" w:hAnsi="Times New Roman"/>
        </w:rPr>
        <w:t>csatlakoztató egység, garanciazáras gyűrűvel ellátott, PE membránnal lezárt 10</w:t>
      </w:r>
      <w:r w:rsidR="00204508">
        <w:rPr>
          <w:rFonts w:ascii="Times New Roman" w:eastAsia="Times New Roman" w:hAnsi="Times New Roman"/>
        </w:rPr>
        <w:t> </w:t>
      </w:r>
      <w:r w:rsidR="00204508" w:rsidRPr="00204508">
        <w:rPr>
          <w:rFonts w:ascii="Times New Roman" w:eastAsia="Times New Roman" w:hAnsi="Times New Roman"/>
        </w:rPr>
        <w:t>ml</w:t>
      </w:r>
      <w:r w:rsidR="00533B18">
        <w:rPr>
          <w:rFonts w:ascii="Times New Roman" w:eastAsia="Times New Roman" w:hAnsi="Times New Roman"/>
        </w:rPr>
        <w:noBreakHyphen/>
      </w:r>
      <w:r w:rsidR="00204508" w:rsidRPr="00204508">
        <w:rPr>
          <w:rFonts w:ascii="Times New Roman" w:eastAsia="Times New Roman" w:hAnsi="Times New Roman"/>
        </w:rPr>
        <w:t>es HDPE kupakban és</w:t>
      </w:r>
    </w:p>
    <w:p w14:paraId="512D85E7" w14:textId="5F947CA1" w:rsidR="00204508" w:rsidRPr="00204508" w:rsidRDefault="00204508" w:rsidP="009E1E8A">
      <w:pPr>
        <w:numPr>
          <w:ilvl w:val="0"/>
          <w:numId w:val="20"/>
        </w:numPr>
        <w:spacing w:after="0" w:line="240" w:lineRule="auto"/>
        <w:ind w:left="567" w:hanging="567"/>
        <w:contextualSpacing/>
        <w:rPr>
          <w:rFonts w:ascii="Times New Roman" w:eastAsia="Times New Roman" w:hAnsi="Times New Roman"/>
        </w:rPr>
      </w:pPr>
      <w:r w:rsidRPr="00204508">
        <w:rPr>
          <w:rFonts w:ascii="Times New Roman" w:eastAsia="Times New Roman" w:hAnsi="Times New Roman"/>
        </w:rPr>
        <w:t>10</w:t>
      </w:r>
      <w:r>
        <w:rPr>
          <w:rFonts w:ascii="Times New Roman" w:eastAsia="Times New Roman" w:hAnsi="Times New Roman"/>
        </w:rPr>
        <w:t> </w:t>
      </w:r>
      <w:r w:rsidRPr="00204508">
        <w:rPr>
          <w:rFonts w:ascii="Times New Roman" w:eastAsia="Times New Roman" w:hAnsi="Times New Roman"/>
        </w:rPr>
        <w:t>ml oldószert tartalmazó 25</w:t>
      </w:r>
      <w:r>
        <w:rPr>
          <w:rFonts w:ascii="Times New Roman" w:eastAsia="Times New Roman" w:hAnsi="Times New Roman"/>
        </w:rPr>
        <w:t> </w:t>
      </w:r>
      <w:r w:rsidRPr="00204508">
        <w:rPr>
          <w:rFonts w:ascii="Times New Roman" w:eastAsia="Times New Roman" w:hAnsi="Times New Roman"/>
        </w:rPr>
        <w:t>ml</w:t>
      </w:r>
      <w:r w:rsidR="00533B18">
        <w:rPr>
          <w:rFonts w:ascii="Times New Roman" w:eastAsia="Times New Roman" w:hAnsi="Times New Roman"/>
        </w:rPr>
        <w:noBreakHyphen/>
      </w:r>
      <w:r w:rsidRPr="00204508">
        <w:rPr>
          <w:rFonts w:ascii="Times New Roman" w:eastAsia="Times New Roman" w:hAnsi="Times New Roman"/>
        </w:rPr>
        <w:t>es HDPE tartály.</w:t>
      </w:r>
    </w:p>
    <w:p w14:paraId="6C1A21FA" w14:textId="77777777" w:rsidR="00960896" w:rsidRPr="00026BF4" w:rsidRDefault="00960896" w:rsidP="009E1E8A">
      <w:pPr>
        <w:tabs>
          <w:tab w:val="left" w:pos="567"/>
        </w:tabs>
        <w:spacing w:after="0" w:line="240" w:lineRule="auto"/>
        <w:ind w:left="567"/>
        <w:contextualSpacing/>
        <w:rPr>
          <w:rFonts w:ascii="Times New Roman" w:eastAsia="Times New Roman" w:hAnsi="Times New Roman"/>
        </w:rPr>
      </w:pPr>
    </w:p>
    <w:p w14:paraId="5FE4FF82" w14:textId="2A881ED0" w:rsidR="00960896" w:rsidRPr="009E1E8A" w:rsidRDefault="00960896" w:rsidP="009E1E8A">
      <w:pPr>
        <w:tabs>
          <w:tab w:val="left" w:pos="0"/>
        </w:tabs>
        <w:spacing w:after="0" w:line="240" w:lineRule="auto"/>
        <w:contextualSpacing/>
        <w:rPr>
          <w:rFonts w:ascii="Times New Roman" w:eastAsia="Times New Roman" w:hAnsi="Times New Roman"/>
        </w:rPr>
      </w:pPr>
      <w:bookmarkStart w:id="7" w:name="_Hlk159414219"/>
      <w:r w:rsidRPr="009E1E8A">
        <w:rPr>
          <w:rFonts w:ascii="Times New Roman" w:eastAsia="Times New Roman" w:hAnsi="Times New Roman"/>
        </w:rPr>
        <w:t>14</w:t>
      </w:r>
      <w:r w:rsidR="00533B18">
        <w:rPr>
          <w:rFonts w:ascii="Times New Roman" w:eastAsia="Times New Roman" w:hAnsi="Times New Roman"/>
        </w:rPr>
        <w:t> </w:t>
      </w:r>
      <w:r w:rsidRPr="009E1E8A">
        <w:rPr>
          <w:rFonts w:ascii="Times New Roman" w:eastAsia="Times New Roman" w:hAnsi="Times New Roman"/>
        </w:rPr>
        <w:t>db egyadagos, kétkamrás HDPE tartály PVC tálcán, használati utasítással, dobozban.</w:t>
      </w:r>
    </w:p>
    <w:bookmarkEnd w:id="6"/>
    <w:p w14:paraId="07D12895" w14:textId="77777777" w:rsidR="00C7253B" w:rsidRPr="00A36050" w:rsidRDefault="00C7253B" w:rsidP="009E1E8A">
      <w:pPr>
        <w:pStyle w:val="Nincstrkz"/>
        <w:widowControl w:val="0"/>
        <w:tabs>
          <w:tab w:val="left" w:pos="0"/>
        </w:tabs>
        <w:suppressAutoHyphens/>
        <w:rPr>
          <w:rFonts w:ascii="Times New Roman" w:hAnsi="Times New Roman"/>
          <w:snapToGrid w:val="0"/>
        </w:rPr>
      </w:pPr>
    </w:p>
    <w:p w14:paraId="7E0EA029" w14:textId="77777777" w:rsidR="00C7253B" w:rsidRPr="00A36050" w:rsidRDefault="00C7253B" w:rsidP="00A36050">
      <w:pPr>
        <w:pStyle w:val="Nincstrkz"/>
        <w:widowControl w:val="0"/>
        <w:suppressAutoHyphens/>
        <w:rPr>
          <w:rFonts w:ascii="Times New Roman" w:hAnsi="Times New Roman"/>
        </w:rPr>
      </w:pPr>
      <w:r w:rsidRPr="00A36050">
        <w:rPr>
          <w:rFonts w:ascii="Times New Roman" w:hAnsi="Times New Roman"/>
        </w:rPr>
        <w:t>Nem feltétlenül mindegyik kiszerelés kerül kereskedelmi forgalomba.</w:t>
      </w:r>
    </w:p>
    <w:bookmarkEnd w:id="7"/>
    <w:p w14:paraId="12234267" w14:textId="77777777" w:rsidR="00271698" w:rsidRPr="00A36050" w:rsidRDefault="00271698" w:rsidP="00A36050">
      <w:pPr>
        <w:pStyle w:val="Nincstrkz"/>
        <w:widowControl w:val="0"/>
        <w:suppressAutoHyphens/>
        <w:rPr>
          <w:rFonts w:ascii="Times New Roman" w:hAnsi="Times New Roman"/>
          <w:bCs/>
        </w:rPr>
      </w:pPr>
    </w:p>
    <w:p w14:paraId="6DB7267B" w14:textId="77777777" w:rsidR="001C0BD1" w:rsidRPr="00A36050" w:rsidRDefault="001C0BD1" w:rsidP="00A36050">
      <w:pPr>
        <w:pStyle w:val="Nincstrkz"/>
        <w:keepNext/>
        <w:widowControl w:val="0"/>
        <w:suppressAutoHyphens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6</w:t>
      </w:r>
      <w:r w:rsidRPr="00A36050">
        <w:rPr>
          <w:rFonts w:ascii="Times New Roman" w:hAnsi="Times New Roman"/>
          <w:b/>
          <w:bCs/>
        </w:rPr>
        <w:t>.6</w:t>
      </w:r>
      <w:r w:rsidR="00ED0B9E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A megsemmisítésre vonatkozó különleges óvintézkedések</w:t>
      </w:r>
      <w:r w:rsidR="00F85873" w:rsidRPr="00A36050">
        <w:rPr>
          <w:rFonts w:ascii="Times New Roman" w:hAnsi="Times New Roman"/>
          <w:b/>
        </w:rPr>
        <w:t xml:space="preserve"> </w:t>
      </w:r>
      <w:r w:rsidR="00C7253B" w:rsidRPr="00A36050">
        <w:rPr>
          <w:rFonts w:ascii="Times New Roman" w:hAnsi="Times New Roman"/>
          <w:b/>
          <w:bCs/>
        </w:rPr>
        <w:t>és egyéb, a készítmény kezelésével kapcsolatos információk</w:t>
      </w:r>
    </w:p>
    <w:p w14:paraId="264C3E50" w14:textId="77777777" w:rsidR="00F23B51" w:rsidRPr="00A36050" w:rsidRDefault="00F23B51" w:rsidP="00A36050">
      <w:pPr>
        <w:pStyle w:val="Nincstrkz"/>
        <w:keepNext/>
        <w:widowControl w:val="0"/>
        <w:suppressAutoHyphens/>
        <w:rPr>
          <w:rFonts w:ascii="Times New Roman" w:hAnsi="Times New Roman"/>
        </w:rPr>
      </w:pPr>
    </w:p>
    <w:p w14:paraId="19AF4EA9" w14:textId="77777777" w:rsidR="003B151C" w:rsidRPr="003B151C" w:rsidRDefault="003B151C" w:rsidP="003B151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</w:p>
    <w:p w14:paraId="7569572C" w14:textId="77777777" w:rsidR="003B151C" w:rsidRPr="003B151C" w:rsidRDefault="003B151C" w:rsidP="003B151C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/>
          <w:b/>
          <w:bCs/>
        </w:rPr>
      </w:pPr>
      <w:r w:rsidRPr="003B151C">
        <w:rPr>
          <w:rFonts w:ascii="Times New Roman" w:eastAsia="Times New Roman" w:hAnsi="Times New Roman"/>
          <w:b/>
          <w:bCs/>
        </w:rPr>
        <w:t>A belsőleges oldat elkészítése és bevétele</w:t>
      </w:r>
    </w:p>
    <w:p w14:paraId="65423283" w14:textId="77777777" w:rsidR="003B151C" w:rsidRPr="003B151C" w:rsidRDefault="003B151C" w:rsidP="003B151C">
      <w:pPr>
        <w:spacing w:after="0" w:line="240" w:lineRule="auto"/>
        <w:outlineLvl w:val="0"/>
        <w:rPr>
          <w:rFonts w:ascii="Times New Roman" w:eastAsia="Times New Roman" w:hAnsi="Times New Roman"/>
          <w:bCs/>
        </w:rPr>
      </w:pPr>
      <w:r w:rsidRPr="003B151C">
        <w:rPr>
          <w:rFonts w:ascii="Times New Roman" w:eastAsia="Times New Roman" w:hAnsi="Times New Roman"/>
          <w:bCs/>
        </w:rPr>
        <w:t>Az oldatot tartalmazó tartály egy két rekeszből álló rendszer, amelyben a kupak a koncentrátumot a palack pedig az oldószert tartalmazza. A koncentrátumot és az oldószert először össze kell keverni, és azután kell bevenni.</w:t>
      </w:r>
    </w:p>
    <w:p w14:paraId="3798AB6D" w14:textId="77777777" w:rsidR="003B151C" w:rsidRPr="003B151C" w:rsidRDefault="003B151C" w:rsidP="003B151C">
      <w:pPr>
        <w:spacing w:after="0" w:line="240" w:lineRule="auto"/>
        <w:outlineLvl w:val="0"/>
        <w:rPr>
          <w:rFonts w:ascii="Times New Roman" w:eastAsia="Times New Roman" w:hAnsi="Times New Roman"/>
          <w:bCs/>
        </w:rPr>
      </w:pPr>
      <w:r w:rsidRPr="003B151C">
        <w:rPr>
          <w:rFonts w:ascii="Times New Roman" w:eastAsia="Times New Roman" w:hAnsi="Times New Roman"/>
          <w:bCs/>
        </w:rPr>
        <w:t>A koncentrátum és az oldószer összekeverését követően a készítményt legkésőbb 20 percen belül fel kell használni.</w:t>
      </w:r>
    </w:p>
    <w:p w14:paraId="37E3BD7F" w14:textId="77777777" w:rsidR="003B151C" w:rsidRPr="003B151C" w:rsidRDefault="003B151C" w:rsidP="003B151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</w:p>
    <w:p w14:paraId="36E9770C" w14:textId="77777777" w:rsidR="003B151C" w:rsidRPr="003B151C" w:rsidRDefault="003B151C" w:rsidP="003B151C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/>
          <w:b/>
          <w:bCs/>
        </w:rPr>
      </w:pPr>
      <w:r w:rsidRPr="003B151C">
        <w:rPr>
          <w:rFonts w:ascii="Times New Roman" w:eastAsia="Times New Roman" w:hAnsi="Times New Roman"/>
          <w:b/>
          <w:bCs/>
        </w:rPr>
        <w:t>Utasítások a használatra kész belsőleges oldat elkészítéséhez</w:t>
      </w:r>
    </w:p>
    <w:p w14:paraId="3588CCE5" w14:textId="77777777" w:rsidR="003B151C" w:rsidRPr="003B151C" w:rsidRDefault="003B151C" w:rsidP="003B151C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/>
          <w:bCs/>
        </w:rPr>
      </w:pPr>
    </w:p>
    <w:p w14:paraId="5C29363F" w14:textId="77777777" w:rsidR="003B151C" w:rsidRPr="003B151C" w:rsidRDefault="003B151C" w:rsidP="003B151C">
      <w:pPr>
        <w:numPr>
          <w:ilvl w:val="0"/>
          <w:numId w:val="24"/>
        </w:numPr>
        <w:tabs>
          <w:tab w:val="left" w:pos="567"/>
        </w:tabs>
        <w:spacing w:after="0" w:line="240" w:lineRule="auto"/>
        <w:ind w:left="567" w:hanging="567"/>
        <w:contextualSpacing/>
        <w:outlineLvl w:val="0"/>
        <w:rPr>
          <w:rFonts w:ascii="Times New Roman" w:eastAsia="Times New Roman" w:hAnsi="Times New Roman"/>
          <w:bCs/>
        </w:rPr>
      </w:pPr>
      <w:r w:rsidRPr="003B151C">
        <w:rPr>
          <w:rFonts w:ascii="Times New Roman" w:eastAsia="Times New Roman" w:hAnsi="Times New Roman"/>
          <w:bCs/>
        </w:rPr>
        <w:t>Távolítsa el a biztonsági gyűrűt.</w:t>
      </w:r>
    </w:p>
    <w:p w14:paraId="3412EC8C" w14:textId="77777777" w:rsidR="003B151C" w:rsidRPr="003B151C" w:rsidRDefault="003B151C" w:rsidP="00AE7C84">
      <w:pPr>
        <w:numPr>
          <w:ilvl w:val="0"/>
          <w:numId w:val="24"/>
        </w:numPr>
        <w:tabs>
          <w:tab w:val="left" w:pos="567"/>
        </w:tabs>
        <w:spacing w:after="0" w:line="240" w:lineRule="auto"/>
        <w:ind w:left="567" w:hanging="567"/>
        <w:contextualSpacing/>
        <w:outlineLvl w:val="0"/>
        <w:rPr>
          <w:rFonts w:ascii="Times New Roman" w:eastAsia="Times New Roman" w:hAnsi="Times New Roman"/>
          <w:bCs/>
        </w:rPr>
      </w:pPr>
      <w:r w:rsidRPr="003B151C">
        <w:rPr>
          <w:rFonts w:ascii="Times New Roman" w:eastAsia="Times New Roman" w:hAnsi="Times New Roman"/>
          <w:bCs/>
        </w:rPr>
        <w:t>Nyomja le és csavarja el a kupakot az óramutató járásával egyező irányba a palack nyakán lévő csavaros rész aljáig.</w:t>
      </w:r>
    </w:p>
    <w:p w14:paraId="550992A5" w14:textId="77777777" w:rsidR="003B151C" w:rsidRPr="003B151C" w:rsidRDefault="003B151C" w:rsidP="00AE7C84">
      <w:pPr>
        <w:numPr>
          <w:ilvl w:val="0"/>
          <w:numId w:val="24"/>
        </w:numPr>
        <w:tabs>
          <w:tab w:val="left" w:pos="567"/>
        </w:tabs>
        <w:spacing w:after="0" w:line="240" w:lineRule="auto"/>
        <w:ind w:left="567" w:hanging="567"/>
        <w:contextualSpacing/>
        <w:outlineLvl w:val="0"/>
        <w:rPr>
          <w:rFonts w:ascii="Times New Roman" w:eastAsia="Times New Roman" w:hAnsi="Times New Roman"/>
          <w:bCs/>
        </w:rPr>
      </w:pPr>
      <w:r w:rsidRPr="003B151C">
        <w:rPr>
          <w:rFonts w:ascii="Times New Roman" w:eastAsia="Times New Roman" w:hAnsi="Times New Roman"/>
          <w:bCs/>
        </w:rPr>
        <w:t>A koncentrátum és az oldószer összekeveréséhez alaposan, legalább 15 másodpercig rázogassa.</w:t>
      </w:r>
    </w:p>
    <w:p w14:paraId="6B4BB156" w14:textId="77777777" w:rsidR="003B151C" w:rsidRPr="003B151C" w:rsidRDefault="003B151C" w:rsidP="00AE7C84">
      <w:pPr>
        <w:numPr>
          <w:ilvl w:val="0"/>
          <w:numId w:val="24"/>
        </w:numPr>
        <w:tabs>
          <w:tab w:val="left" w:pos="567"/>
        </w:tabs>
        <w:spacing w:after="0" w:line="240" w:lineRule="auto"/>
        <w:ind w:left="567" w:hanging="567"/>
        <w:contextualSpacing/>
        <w:outlineLvl w:val="0"/>
        <w:rPr>
          <w:rFonts w:ascii="Times New Roman" w:eastAsia="Times New Roman" w:hAnsi="Times New Roman"/>
          <w:bCs/>
        </w:rPr>
      </w:pPr>
      <w:r w:rsidRPr="003B151C">
        <w:rPr>
          <w:rFonts w:ascii="Times New Roman" w:eastAsia="Times New Roman" w:hAnsi="Times New Roman"/>
          <w:bCs/>
        </w:rPr>
        <w:t>Hagyja a belsőleges oldatot 60 másodpercig állni.</w:t>
      </w:r>
    </w:p>
    <w:p w14:paraId="51DF1193" w14:textId="77777777" w:rsidR="003B151C" w:rsidRPr="003B151C" w:rsidRDefault="003B151C" w:rsidP="00AE7C84">
      <w:pPr>
        <w:numPr>
          <w:ilvl w:val="0"/>
          <w:numId w:val="24"/>
        </w:numPr>
        <w:tabs>
          <w:tab w:val="left" w:pos="567"/>
        </w:tabs>
        <w:spacing w:after="0" w:line="240" w:lineRule="auto"/>
        <w:ind w:left="567" w:hanging="567"/>
        <w:contextualSpacing/>
        <w:outlineLvl w:val="0"/>
        <w:rPr>
          <w:rFonts w:ascii="Times New Roman" w:eastAsia="Times New Roman" w:hAnsi="Times New Roman"/>
          <w:bCs/>
        </w:rPr>
      </w:pPr>
      <w:r w:rsidRPr="003B151C">
        <w:rPr>
          <w:rFonts w:ascii="Times New Roman" w:eastAsia="Times New Roman" w:hAnsi="Times New Roman"/>
          <w:bCs/>
        </w:rPr>
        <w:t>Az óramutató járásával ellentétes irányba csavarva vegye le a műanyag kupakot.</w:t>
      </w:r>
    </w:p>
    <w:p w14:paraId="75B20C71" w14:textId="77777777" w:rsidR="003B151C" w:rsidRPr="003B151C" w:rsidRDefault="003B151C" w:rsidP="00AE7C84">
      <w:pPr>
        <w:numPr>
          <w:ilvl w:val="0"/>
          <w:numId w:val="24"/>
        </w:numPr>
        <w:tabs>
          <w:tab w:val="left" w:pos="567"/>
        </w:tabs>
        <w:spacing w:after="0" w:line="240" w:lineRule="auto"/>
        <w:ind w:left="567" w:hanging="567"/>
        <w:contextualSpacing/>
        <w:outlineLvl w:val="0"/>
        <w:rPr>
          <w:rFonts w:ascii="Times New Roman" w:eastAsia="Times New Roman" w:hAnsi="Times New Roman"/>
          <w:bCs/>
        </w:rPr>
      </w:pPr>
      <w:r w:rsidRPr="003B151C">
        <w:rPr>
          <w:rFonts w:ascii="Times New Roman" w:eastAsia="Times New Roman" w:hAnsi="Times New Roman"/>
          <w:bCs/>
        </w:rPr>
        <w:t>Ellenőrizze, hogy a kupak alsó felszíne valóban átszúródott és kinyílt.</w:t>
      </w:r>
    </w:p>
    <w:p w14:paraId="4A94354C" w14:textId="77777777" w:rsidR="003B151C" w:rsidRPr="003B151C" w:rsidRDefault="003B151C" w:rsidP="00AE7C84">
      <w:pPr>
        <w:numPr>
          <w:ilvl w:val="0"/>
          <w:numId w:val="24"/>
        </w:numPr>
        <w:tabs>
          <w:tab w:val="left" w:pos="567"/>
        </w:tabs>
        <w:spacing w:after="0" w:line="240" w:lineRule="auto"/>
        <w:ind w:left="567" w:hanging="567"/>
        <w:contextualSpacing/>
        <w:outlineLvl w:val="0"/>
        <w:rPr>
          <w:rFonts w:ascii="Times New Roman" w:eastAsia="Times New Roman" w:hAnsi="Times New Roman"/>
          <w:bCs/>
        </w:rPr>
      </w:pPr>
      <w:r w:rsidRPr="003B151C">
        <w:rPr>
          <w:rFonts w:ascii="Times New Roman" w:eastAsia="Times New Roman" w:hAnsi="Times New Roman"/>
          <w:bCs/>
        </w:rPr>
        <w:t>Közvetlenül a palackból vegye be/adja be az oldatot.</w:t>
      </w:r>
    </w:p>
    <w:p w14:paraId="32CD9454" w14:textId="77777777" w:rsidR="003B151C" w:rsidRPr="003B151C" w:rsidRDefault="003B151C" w:rsidP="003B151C">
      <w:pPr>
        <w:spacing w:after="0" w:line="240" w:lineRule="auto"/>
        <w:outlineLvl w:val="0"/>
        <w:rPr>
          <w:rFonts w:ascii="Times New Roman" w:eastAsia="Times New Roman" w:hAnsi="Times New Roman"/>
          <w:bCs/>
        </w:rPr>
      </w:pPr>
    </w:p>
    <w:p w14:paraId="13C02DB0" w14:textId="77777777" w:rsidR="003B151C" w:rsidRPr="003B151C" w:rsidRDefault="003B151C" w:rsidP="003B151C">
      <w:pPr>
        <w:tabs>
          <w:tab w:val="left" w:pos="567"/>
        </w:tabs>
        <w:spacing w:after="0" w:line="240" w:lineRule="auto"/>
        <w:ind w:left="567" w:hanging="567"/>
        <w:jc w:val="center"/>
        <w:outlineLvl w:val="0"/>
        <w:rPr>
          <w:rFonts w:ascii="Times New Roman" w:eastAsia="Times New Roman" w:hAnsi="Times New Roman"/>
          <w:bCs/>
        </w:rPr>
      </w:pPr>
      <w:r w:rsidRPr="003B151C">
        <w:rPr>
          <w:rFonts w:ascii="Times New Roman" w:eastAsia="Times New Roman" w:hAnsi="Times New Roman"/>
          <w:b/>
          <w:bCs/>
          <w:noProof/>
          <w:lang w:eastAsia="hu-HU"/>
        </w:rPr>
        <w:drawing>
          <wp:inline distT="0" distB="0" distL="0" distR="0" wp14:anchorId="1C85931F" wp14:editId="4B69D3D1">
            <wp:extent cx="4489673" cy="318135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856" cy="318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5843D" w14:textId="77777777" w:rsidR="003B151C" w:rsidRPr="003B151C" w:rsidRDefault="003B151C" w:rsidP="003B151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</w:p>
    <w:p w14:paraId="3ECF070E" w14:textId="5702BC1B" w:rsidR="003B151C" w:rsidRPr="009E1E8A" w:rsidRDefault="003B151C" w:rsidP="003B151C">
      <w:pPr>
        <w:spacing w:after="0" w:line="240" w:lineRule="auto"/>
        <w:outlineLvl w:val="0"/>
        <w:rPr>
          <w:rFonts w:ascii="Times New Roman" w:eastAsia="Times New Roman" w:hAnsi="Times New Roman"/>
          <w:b/>
          <w:bCs/>
          <w:iCs/>
          <w:noProof/>
          <w:szCs w:val="20"/>
          <w:lang w:val="en-US"/>
        </w:rPr>
      </w:pPr>
      <w:r w:rsidRPr="009E1E8A">
        <w:rPr>
          <w:rFonts w:ascii="Times New Roman" w:eastAsia="Times New Roman" w:hAnsi="Times New Roman"/>
          <w:b/>
          <w:bCs/>
          <w:iCs/>
          <w:noProof/>
          <w:szCs w:val="20"/>
          <w:lang w:val="en-US"/>
        </w:rPr>
        <w:t>A 10 mg</w:t>
      </w:r>
      <w:r w:rsidRPr="009E1E8A">
        <w:rPr>
          <w:rFonts w:ascii="Times New Roman" w:eastAsia="Times New Roman" w:hAnsi="Times New Roman"/>
          <w:b/>
          <w:bCs/>
          <w:iCs/>
          <w:noProof/>
          <w:szCs w:val="20"/>
          <w:lang w:val="en-US"/>
        </w:rPr>
        <w:noBreakHyphen/>
        <w:t>os és annál kisebb adagokhoz (1 évesnél fiatalabb és 10 kg vagy annál kisebb test</w:t>
      </w:r>
      <w:r w:rsidR="00CB4373">
        <w:rPr>
          <w:rFonts w:ascii="Times New Roman" w:eastAsia="Times New Roman" w:hAnsi="Times New Roman"/>
          <w:b/>
          <w:bCs/>
          <w:iCs/>
          <w:noProof/>
          <w:szCs w:val="20"/>
          <w:lang w:val="en-US"/>
        </w:rPr>
        <w:t>tömegű</w:t>
      </w:r>
      <w:r w:rsidRPr="009E1E8A">
        <w:rPr>
          <w:rFonts w:ascii="Times New Roman" w:eastAsia="Times New Roman" w:hAnsi="Times New Roman"/>
          <w:b/>
          <w:bCs/>
          <w:iCs/>
          <w:noProof/>
          <w:szCs w:val="20"/>
          <w:lang w:val="en-US"/>
        </w:rPr>
        <w:t xml:space="preserve"> gyermekeknél) használja a 10 mg/15 ml</w:t>
      </w:r>
      <w:r w:rsidRPr="009E1E8A">
        <w:rPr>
          <w:rFonts w:ascii="Times New Roman" w:eastAsia="Times New Roman" w:hAnsi="Times New Roman"/>
          <w:b/>
          <w:bCs/>
          <w:iCs/>
          <w:noProof/>
          <w:szCs w:val="20"/>
          <w:lang w:val="en-US"/>
        </w:rPr>
        <w:noBreakHyphen/>
        <w:t>es hatáserősségű oldat csomagolásában található pipettát.</w:t>
      </w:r>
    </w:p>
    <w:p w14:paraId="274E7755" w14:textId="77777777" w:rsidR="003B151C" w:rsidRPr="009E1E8A" w:rsidRDefault="003B151C" w:rsidP="003B151C">
      <w:pPr>
        <w:spacing w:after="0" w:line="240" w:lineRule="auto"/>
        <w:outlineLvl w:val="0"/>
        <w:rPr>
          <w:rFonts w:ascii="Times New Roman" w:eastAsia="Times New Roman" w:hAnsi="Times New Roman"/>
        </w:rPr>
      </w:pPr>
    </w:p>
    <w:p w14:paraId="0844CA27" w14:textId="77777777" w:rsidR="003B151C" w:rsidRPr="009E1E8A" w:rsidRDefault="003B151C" w:rsidP="003B151C">
      <w:pPr>
        <w:numPr>
          <w:ilvl w:val="0"/>
          <w:numId w:val="25"/>
        </w:numPr>
        <w:tabs>
          <w:tab w:val="left" w:pos="567"/>
        </w:tabs>
        <w:spacing w:after="0" w:line="260" w:lineRule="exact"/>
        <w:ind w:left="567" w:hanging="425"/>
        <w:rPr>
          <w:rFonts w:ascii="Times New Roman" w:eastAsia="Times New Roman" w:hAnsi="Times New Roman"/>
          <w:iCs/>
          <w:noProof/>
          <w:szCs w:val="20"/>
          <w:lang w:val="en-US"/>
        </w:rPr>
      </w:pPr>
      <w:r w:rsidRPr="009E1E8A">
        <w:rPr>
          <w:rFonts w:ascii="Times New Roman" w:eastAsia="Times New Roman" w:hAnsi="Times New Roman"/>
          <w:iCs/>
          <w:noProof/>
          <w:szCs w:val="20"/>
          <w:lang w:val="en-US"/>
        </w:rPr>
        <w:t>Távolítsa el a biztonsági gyűrűt.</w:t>
      </w:r>
    </w:p>
    <w:p w14:paraId="520BFE94" w14:textId="77777777" w:rsidR="003B151C" w:rsidRPr="009E1E8A" w:rsidRDefault="003B151C" w:rsidP="00AE7C84">
      <w:pPr>
        <w:numPr>
          <w:ilvl w:val="0"/>
          <w:numId w:val="25"/>
        </w:numPr>
        <w:tabs>
          <w:tab w:val="left" w:pos="567"/>
        </w:tabs>
        <w:spacing w:after="0" w:line="260" w:lineRule="exact"/>
        <w:ind w:left="567" w:hanging="425"/>
        <w:rPr>
          <w:rFonts w:ascii="Times New Roman" w:eastAsia="Times New Roman" w:hAnsi="Times New Roman"/>
          <w:iCs/>
          <w:noProof/>
          <w:szCs w:val="20"/>
          <w:lang w:val="en-US"/>
        </w:rPr>
      </w:pPr>
      <w:r w:rsidRPr="009E1E8A">
        <w:rPr>
          <w:rFonts w:ascii="Times New Roman" w:eastAsia="Times New Roman" w:hAnsi="Times New Roman"/>
          <w:iCs/>
          <w:noProof/>
          <w:szCs w:val="20"/>
          <w:lang w:val="en-US"/>
        </w:rPr>
        <w:t>Nyomja le és csavarja el a kupakot az óramutató járásával egyező irányban a palack nyakán lévő csavaros rész aljáig.</w:t>
      </w:r>
    </w:p>
    <w:p w14:paraId="31324763" w14:textId="77777777" w:rsidR="003B151C" w:rsidRPr="009E1E8A" w:rsidRDefault="003B151C" w:rsidP="00AE7C84">
      <w:pPr>
        <w:numPr>
          <w:ilvl w:val="0"/>
          <w:numId w:val="25"/>
        </w:numPr>
        <w:tabs>
          <w:tab w:val="left" w:pos="567"/>
        </w:tabs>
        <w:spacing w:after="0" w:line="240" w:lineRule="auto"/>
        <w:ind w:left="567" w:hanging="425"/>
        <w:contextualSpacing/>
        <w:outlineLvl w:val="0"/>
        <w:rPr>
          <w:rFonts w:ascii="Times New Roman" w:eastAsia="Times New Roman" w:hAnsi="Times New Roman"/>
          <w:bCs/>
        </w:rPr>
      </w:pPr>
      <w:r w:rsidRPr="009E1E8A">
        <w:rPr>
          <w:rFonts w:ascii="Times New Roman" w:eastAsia="Times New Roman" w:hAnsi="Times New Roman"/>
          <w:bCs/>
        </w:rPr>
        <w:t>A koncentrátum és az oldószer összekeveréséhez alaposan, legalább 15 másodpercig rázogassa.</w:t>
      </w:r>
    </w:p>
    <w:p w14:paraId="70E96FB6" w14:textId="77777777" w:rsidR="003B151C" w:rsidRPr="009E1E8A" w:rsidRDefault="003B151C" w:rsidP="00AE7C84">
      <w:pPr>
        <w:numPr>
          <w:ilvl w:val="0"/>
          <w:numId w:val="25"/>
        </w:numPr>
        <w:tabs>
          <w:tab w:val="left" w:pos="567"/>
        </w:tabs>
        <w:spacing w:after="0" w:line="260" w:lineRule="exact"/>
        <w:ind w:left="567" w:hanging="425"/>
        <w:rPr>
          <w:rFonts w:ascii="Times New Roman" w:eastAsia="Times New Roman" w:hAnsi="Times New Roman"/>
          <w:iCs/>
          <w:noProof/>
          <w:szCs w:val="20"/>
          <w:lang w:val="en-US"/>
        </w:rPr>
      </w:pPr>
      <w:r w:rsidRPr="009E1E8A">
        <w:rPr>
          <w:rFonts w:ascii="Times New Roman" w:eastAsia="Times New Roman" w:hAnsi="Times New Roman"/>
          <w:iCs/>
          <w:noProof/>
          <w:szCs w:val="20"/>
          <w:lang w:val="en-US"/>
        </w:rPr>
        <w:t>A pipetta használata előtt, hagyja 5 percig állni a belsőleges oldatot.</w:t>
      </w:r>
    </w:p>
    <w:p w14:paraId="466F95A6" w14:textId="77777777" w:rsidR="003B151C" w:rsidRPr="009E1E8A" w:rsidRDefault="003B151C" w:rsidP="00AE7C84">
      <w:pPr>
        <w:numPr>
          <w:ilvl w:val="0"/>
          <w:numId w:val="25"/>
        </w:numPr>
        <w:tabs>
          <w:tab w:val="left" w:pos="567"/>
        </w:tabs>
        <w:spacing w:after="0" w:line="260" w:lineRule="exact"/>
        <w:ind w:left="567" w:hanging="425"/>
        <w:rPr>
          <w:rFonts w:ascii="Times New Roman" w:eastAsia="Times New Roman" w:hAnsi="Times New Roman"/>
          <w:iCs/>
          <w:noProof/>
          <w:szCs w:val="20"/>
          <w:lang w:val="en-US"/>
        </w:rPr>
      </w:pPr>
      <w:r w:rsidRPr="009E1E8A">
        <w:rPr>
          <w:rFonts w:ascii="Times New Roman" w:eastAsia="Times New Roman" w:hAnsi="Times New Roman"/>
          <w:iCs/>
          <w:noProof/>
          <w:szCs w:val="20"/>
          <w:lang w:val="en-US"/>
        </w:rPr>
        <w:t>Vegye le a pipettáról a kupakot.</w:t>
      </w:r>
    </w:p>
    <w:p w14:paraId="41CCD6F3" w14:textId="77777777" w:rsidR="003B151C" w:rsidRPr="009E1E8A" w:rsidRDefault="003B151C" w:rsidP="00AE7C84">
      <w:pPr>
        <w:numPr>
          <w:ilvl w:val="0"/>
          <w:numId w:val="25"/>
        </w:numPr>
        <w:tabs>
          <w:tab w:val="left" w:pos="567"/>
        </w:tabs>
        <w:spacing w:after="0" w:line="260" w:lineRule="exact"/>
        <w:ind w:left="567" w:hanging="425"/>
        <w:rPr>
          <w:rFonts w:ascii="Times New Roman" w:eastAsia="Times New Roman" w:hAnsi="Times New Roman"/>
          <w:iCs/>
          <w:noProof/>
          <w:szCs w:val="20"/>
          <w:lang w:val="en-US"/>
        </w:rPr>
      </w:pPr>
      <w:r w:rsidRPr="009E1E8A">
        <w:rPr>
          <w:rFonts w:ascii="Times New Roman" w:eastAsia="Times New Roman" w:hAnsi="Times New Roman"/>
          <w:iCs/>
          <w:noProof/>
          <w:szCs w:val="20"/>
          <w:lang w:val="en-US"/>
        </w:rPr>
        <w:t>A palackot stabil, sima felületre állítva helyezze a pipettát a palackba.</w:t>
      </w:r>
    </w:p>
    <w:p w14:paraId="6A5EF35A" w14:textId="1EF73E76" w:rsidR="003B151C" w:rsidRPr="009E1E8A" w:rsidRDefault="003B151C" w:rsidP="00AE7C84">
      <w:pPr>
        <w:numPr>
          <w:ilvl w:val="0"/>
          <w:numId w:val="25"/>
        </w:numPr>
        <w:tabs>
          <w:tab w:val="left" w:pos="567"/>
        </w:tabs>
        <w:spacing w:after="0" w:line="260" w:lineRule="exact"/>
        <w:ind w:left="567" w:hanging="425"/>
        <w:rPr>
          <w:rFonts w:ascii="Times New Roman" w:eastAsia="Times New Roman" w:hAnsi="Times New Roman"/>
          <w:iCs/>
          <w:noProof/>
          <w:szCs w:val="20"/>
          <w:lang w:val="en-US"/>
        </w:rPr>
      </w:pPr>
      <w:r w:rsidRPr="009E1E8A">
        <w:rPr>
          <w:rFonts w:ascii="Times New Roman" w:eastAsia="Times New Roman" w:hAnsi="Times New Roman"/>
          <w:iCs/>
          <w:noProof/>
          <w:szCs w:val="20"/>
          <w:lang w:val="en-US"/>
        </w:rPr>
        <w:t>Lassan húzza fel a pipetta dugattyúját, amíg az el nem éri az adagolási táblázatnak megfelelő milliliter (ml) mennyiségnek megfelelő beosztást.</w:t>
      </w:r>
    </w:p>
    <w:p w14:paraId="57AAC40C" w14:textId="77777777" w:rsidR="003B151C" w:rsidRPr="009E1E8A" w:rsidRDefault="003B151C" w:rsidP="00AE7C84">
      <w:pPr>
        <w:numPr>
          <w:ilvl w:val="0"/>
          <w:numId w:val="25"/>
        </w:numPr>
        <w:tabs>
          <w:tab w:val="left" w:pos="567"/>
        </w:tabs>
        <w:spacing w:after="0" w:line="260" w:lineRule="exact"/>
        <w:ind w:left="567" w:hanging="425"/>
        <w:rPr>
          <w:rFonts w:ascii="Times New Roman" w:eastAsia="Times New Roman" w:hAnsi="Times New Roman"/>
          <w:iCs/>
          <w:noProof/>
          <w:szCs w:val="20"/>
          <w:lang w:val="en-US"/>
        </w:rPr>
      </w:pPr>
      <w:r w:rsidRPr="009E1E8A">
        <w:rPr>
          <w:rFonts w:ascii="Times New Roman" w:eastAsia="Times New Roman" w:hAnsi="Times New Roman"/>
          <w:iCs/>
          <w:noProof/>
          <w:szCs w:val="20"/>
          <w:lang w:val="en-US"/>
        </w:rPr>
        <w:t>Vegye ki a pipettát a palackból.</w:t>
      </w:r>
    </w:p>
    <w:p w14:paraId="4D2FDFF8" w14:textId="77777777" w:rsidR="003B151C" w:rsidRPr="009E1E8A" w:rsidRDefault="003B151C" w:rsidP="00AE7C84">
      <w:pPr>
        <w:numPr>
          <w:ilvl w:val="0"/>
          <w:numId w:val="25"/>
        </w:numPr>
        <w:tabs>
          <w:tab w:val="left" w:pos="567"/>
        </w:tabs>
        <w:spacing w:after="0" w:line="260" w:lineRule="exact"/>
        <w:ind w:left="567" w:hanging="425"/>
        <w:rPr>
          <w:rFonts w:ascii="Times New Roman" w:eastAsia="Times New Roman" w:hAnsi="Times New Roman"/>
          <w:iCs/>
          <w:noProof/>
          <w:szCs w:val="20"/>
          <w:lang w:val="en-US"/>
        </w:rPr>
      </w:pPr>
      <w:r w:rsidRPr="009E1E8A">
        <w:rPr>
          <w:rFonts w:ascii="Times New Roman" w:eastAsia="Times New Roman" w:hAnsi="Times New Roman"/>
          <w:iCs/>
          <w:noProof/>
          <w:szCs w:val="20"/>
          <w:lang w:val="en-US"/>
        </w:rPr>
        <w:t>Ellenőrizze, hogy gyermeke függőleges testhelyzetben legyen.</w:t>
      </w:r>
    </w:p>
    <w:p w14:paraId="40AFFE3E" w14:textId="023081DD" w:rsidR="003B151C" w:rsidRPr="009E1E8A" w:rsidRDefault="003B151C" w:rsidP="00AE7C84">
      <w:pPr>
        <w:numPr>
          <w:ilvl w:val="0"/>
          <w:numId w:val="25"/>
        </w:numPr>
        <w:tabs>
          <w:tab w:val="left" w:pos="567"/>
        </w:tabs>
        <w:spacing w:after="0" w:line="260" w:lineRule="exact"/>
        <w:ind w:left="567" w:hanging="425"/>
        <w:rPr>
          <w:rFonts w:ascii="Times New Roman" w:eastAsia="Times New Roman" w:hAnsi="Times New Roman"/>
          <w:iCs/>
          <w:noProof/>
          <w:szCs w:val="20"/>
          <w:lang w:val="en-US"/>
        </w:rPr>
      </w:pPr>
      <w:r w:rsidRPr="009E1E8A">
        <w:rPr>
          <w:rFonts w:ascii="Times New Roman" w:eastAsia="Times New Roman" w:hAnsi="Times New Roman"/>
          <w:iCs/>
          <w:noProof/>
          <w:szCs w:val="20"/>
          <w:lang w:val="en-US"/>
        </w:rPr>
        <w:t xml:space="preserve">Helyezze a pipetta hegyét a gyermek szájába, és </w:t>
      </w:r>
      <w:r w:rsidR="00CB4373">
        <w:rPr>
          <w:rFonts w:ascii="Times New Roman" w:eastAsia="Times New Roman" w:hAnsi="Times New Roman"/>
          <w:iCs/>
          <w:noProof/>
          <w:szCs w:val="20"/>
          <w:lang w:val="en-US"/>
        </w:rPr>
        <w:t xml:space="preserve">a </w:t>
      </w:r>
      <w:r w:rsidRPr="009E1E8A">
        <w:rPr>
          <w:rFonts w:ascii="Times New Roman" w:eastAsia="Times New Roman" w:hAnsi="Times New Roman"/>
          <w:iCs/>
          <w:noProof/>
          <w:szCs w:val="20"/>
          <w:lang w:val="en-US"/>
        </w:rPr>
        <w:t>pipetta dugattyúját lassan nyomva, óvatosan juttassa be a gyógyszert.</w:t>
      </w:r>
    </w:p>
    <w:p w14:paraId="3AB95F80" w14:textId="77777777" w:rsidR="003B151C" w:rsidRPr="009E1E8A" w:rsidRDefault="003B151C" w:rsidP="00AE7C84">
      <w:pPr>
        <w:numPr>
          <w:ilvl w:val="0"/>
          <w:numId w:val="25"/>
        </w:numPr>
        <w:tabs>
          <w:tab w:val="left" w:pos="567"/>
        </w:tabs>
        <w:spacing w:after="0" w:line="260" w:lineRule="exact"/>
        <w:ind w:left="567" w:hanging="425"/>
        <w:rPr>
          <w:rFonts w:ascii="Times New Roman" w:eastAsia="Times New Roman" w:hAnsi="Times New Roman"/>
          <w:iCs/>
          <w:noProof/>
          <w:szCs w:val="20"/>
          <w:lang w:val="en-US"/>
        </w:rPr>
      </w:pPr>
      <w:r w:rsidRPr="009E1E8A">
        <w:rPr>
          <w:rFonts w:ascii="Times New Roman" w:eastAsia="Times New Roman" w:hAnsi="Times New Roman"/>
          <w:iCs/>
          <w:noProof/>
          <w:szCs w:val="20"/>
          <w:lang w:val="en-US"/>
        </w:rPr>
        <w:t>Hagyjon gyermekének időt ahhoz, hogy lenyelje a gyógyszert.</w:t>
      </w:r>
    </w:p>
    <w:p w14:paraId="74917635" w14:textId="77777777" w:rsidR="003B151C" w:rsidRPr="009E1E8A" w:rsidRDefault="003B151C" w:rsidP="00AE7C84">
      <w:pPr>
        <w:numPr>
          <w:ilvl w:val="0"/>
          <w:numId w:val="25"/>
        </w:numPr>
        <w:tabs>
          <w:tab w:val="left" w:pos="567"/>
        </w:tabs>
        <w:spacing w:after="0" w:line="260" w:lineRule="exact"/>
        <w:ind w:left="567" w:hanging="425"/>
        <w:rPr>
          <w:rFonts w:ascii="Times New Roman" w:eastAsia="Times New Roman" w:hAnsi="Times New Roman"/>
          <w:iCs/>
          <w:noProof/>
          <w:szCs w:val="20"/>
          <w:lang w:val="en-US"/>
        </w:rPr>
      </w:pPr>
      <w:r w:rsidRPr="009E1E8A">
        <w:rPr>
          <w:rFonts w:ascii="Times New Roman" w:eastAsia="Times New Roman" w:hAnsi="Times New Roman"/>
          <w:iCs/>
          <w:noProof/>
          <w:szCs w:val="20"/>
          <w:lang w:val="en-US"/>
        </w:rPr>
        <w:t>Használat után meleg vízzel mossa el a pipettát, és hagyja megszáradni.</w:t>
      </w:r>
    </w:p>
    <w:p w14:paraId="0B70BEC0" w14:textId="77777777" w:rsidR="003B151C" w:rsidRPr="009E1E8A" w:rsidRDefault="003B151C" w:rsidP="00AE7C84">
      <w:pPr>
        <w:numPr>
          <w:ilvl w:val="0"/>
          <w:numId w:val="25"/>
        </w:numPr>
        <w:tabs>
          <w:tab w:val="left" w:pos="567"/>
        </w:tabs>
        <w:spacing w:after="0" w:line="260" w:lineRule="exact"/>
        <w:ind w:left="567" w:hanging="425"/>
        <w:rPr>
          <w:rFonts w:ascii="Times New Roman" w:eastAsia="Times New Roman" w:hAnsi="Times New Roman"/>
          <w:iCs/>
          <w:noProof/>
          <w:szCs w:val="20"/>
          <w:lang w:val="en-US"/>
        </w:rPr>
      </w:pPr>
      <w:r w:rsidRPr="009E1E8A">
        <w:rPr>
          <w:rFonts w:ascii="Times New Roman" w:eastAsia="Times New Roman" w:hAnsi="Times New Roman"/>
          <w:iCs/>
          <w:noProof/>
          <w:szCs w:val="20"/>
          <w:lang w:val="en-US"/>
        </w:rPr>
        <w:t>A használt palackot a benne maradt oldattal együtt dodja ki.</w:t>
      </w:r>
    </w:p>
    <w:p w14:paraId="7F528A03" w14:textId="77777777" w:rsidR="003B151C" w:rsidRDefault="003B151C" w:rsidP="003B151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</w:p>
    <w:p w14:paraId="253CD6E1" w14:textId="7025393A" w:rsidR="003B151C" w:rsidRPr="003B151C" w:rsidRDefault="003B151C" w:rsidP="003B151C">
      <w:pPr>
        <w:spacing w:after="0" w:line="240" w:lineRule="auto"/>
        <w:outlineLvl w:val="0"/>
        <w:rPr>
          <w:rFonts w:ascii="Times New Roman" w:eastAsia="Times New Roman" w:hAnsi="Times New Roman"/>
          <w:b/>
        </w:rPr>
      </w:pPr>
      <w:r w:rsidRPr="003B151C">
        <w:rPr>
          <w:rFonts w:ascii="Times New Roman" w:eastAsia="Times New Roman" w:hAnsi="Times New Roman"/>
          <w:b/>
          <w:bCs/>
        </w:rPr>
        <w:t>Utasítások nasogastricus (NG) szondán vagy per</w:t>
      </w:r>
      <w:r w:rsidRPr="003B151C">
        <w:rPr>
          <w:rFonts w:ascii="Times New Roman" w:eastAsia="Times New Roman" w:hAnsi="Times New Roman"/>
          <w:b/>
        </w:rPr>
        <w:t>cutan endoscopos gastrostom</w:t>
      </w:r>
      <w:r w:rsidR="00530DFA">
        <w:rPr>
          <w:rFonts w:ascii="Times New Roman" w:eastAsia="Times New Roman" w:hAnsi="Times New Roman"/>
          <w:b/>
        </w:rPr>
        <w:t xml:space="preserve">ia </w:t>
      </w:r>
      <w:r w:rsidRPr="003B151C">
        <w:rPr>
          <w:rFonts w:ascii="Times New Roman" w:eastAsia="Times New Roman" w:hAnsi="Times New Roman"/>
          <w:b/>
        </w:rPr>
        <w:t xml:space="preserve">(PEG) </w:t>
      </w:r>
      <w:r w:rsidR="00530DFA">
        <w:rPr>
          <w:rFonts w:ascii="Times New Roman" w:eastAsia="Times New Roman" w:hAnsi="Times New Roman"/>
          <w:b/>
        </w:rPr>
        <w:t xml:space="preserve">szondán </w:t>
      </w:r>
      <w:r w:rsidRPr="003B151C">
        <w:rPr>
          <w:rFonts w:ascii="Times New Roman" w:eastAsia="Times New Roman" w:hAnsi="Times New Roman"/>
          <w:b/>
        </w:rPr>
        <w:t>keresztül</w:t>
      </w:r>
      <w:r>
        <w:rPr>
          <w:rFonts w:ascii="Times New Roman" w:eastAsia="Times New Roman" w:hAnsi="Times New Roman"/>
          <w:b/>
        </w:rPr>
        <w:t>i</w:t>
      </w:r>
      <w:r w:rsidRPr="003B151C"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  <w:b/>
        </w:rPr>
        <w:t xml:space="preserve">beadáshoz </w:t>
      </w:r>
    </w:p>
    <w:p w14:paraId="2A0C3D72" w14:textId="0F18E31C" w:rsidR="003B151C" w:rsidRPr="003B151C" w:rsidRDefault="003B151C" w:rsidP="003B151C">
      <w:pPr>
        <w:spacing w:after="0" w:line="240" w:lineRule="auto"/>
        <w:outlineLvl w:val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Beadás</w:t>
      </w:r>
      <w:r w:rsidRPr="003B151C">
        <w:rPr>
          <w:rFonts w:ascii="Times New Roman" w:eastAsia="Times New Roman" w:hAnsi="Times New Roman"/>
        </w:rPr>
        <w:t xml:space="preserve"> előtt ellenőrizze, hogy az enteralis szonda </w:t>
      </w:r>
      <w:r w:rsidR="00A01E27">
        <w:rPr>
          <w:rFonts w:ascii="Times New Roman" w:eastAsia="Times New Roman" w:hAnsi="Times New Roman"/>
        </w:rPr>
        <w:t>dugulásmentes legyen</w:t>
      </w:r>
      <w:r w:rsidRPr="003B151C">
        <w:rPr>
          <w:rFonts w:ascii="Times New Roman" w:eastAsia="Times New Roman" w:hAnsi="Times New Roman"/>
        </w:rPr>
        <w:t>.</w:t>
      </w:r>
    </w:p>
    <w:p w14:paraId="329E11BC" w14:textId="77777777" w:rsidR="003B151C" w:rsidRPr="003B151C" w:rsidRDefault="003B151C" w:rsidP="00530DFA">
      <w:pPr>
        <w:numPr>
          <w:ilvl w:val="0"/>
          <w:numId w:val="26"/>
        </w:numPr>
        <w:tabs>
          <w:tab w:val="left" w:pos="567"/>
        </w:tabs>
        <w:spacing w:after="0" w:line="240" w:lineRule="auto"/>
        <w:ind w:left="567" w:hanging="567"/>
        <w:contextualSpacing/>
        <w:outlineLvl w:val="0"/>
        <w:rPr>
          <w:rFonts w:ascii="Times New Roman" w:eastAsia="Times New Roman" w:hAnsi="Times New Roman"/>
          <w:bCs/>
        </w:rPr>
      </w:pPr>
      <w:r w:rsidRPr="003B151C">
        <w:rPr>
          <w:rFonts w:ascii="Times New Roman" w:eastAsia="Times New Roman" w:hAnsi="Times New Roman"/>
          <w:bCs/>
        </w:rPr>
        <w:t>5 ml vízzel öblítse át az enteralis szondát.</w:t>
      </w:r>
    </w:p>
    <w:p w14:paraId="751B3289" w14:textId="2C98B943" w:rsidR="003B151C" w:rsidRPr="003B151C" w:rsidRDefault="003B151C" w:rsidP="00AE7C84">
      <w:pPr>
        <w:numPr>
          <w:ilvl w:val="0"/>
          <w:numId w:val="26"/>
        </w:numPr>
        <w:tabs>
          <w:tab w:val="left" w:pos="567"/>
        </w:tabs>
        <w:spacing w:after="0" w:line="240" w:lineRule="auto"/>
        <w:ind w:left="567" w:hanging="567"/>
        <w:contextualSpacing/>
        <w:outlineLvl w:val="0"/>
        <w:rPr>
          <w:rFonts w:ascii="Times New Roman" w:eastAsia="Times New Roman" w:hAnsi="Times New Roman"/>
          <w:bCs/>
        </w:rPr>
      </w:pPr>
      <w:r w:rsidRPr="003B151C">
        <w:rPr>
          <w:rFonts w:ascii="Times New Roman" w:eastAsia="Times New Roman" w:hAnsi="Times New Roman"/>
          <w:bCs/>
        </w:rPr>
        <w:t xml:space="preserve">Az oldat elkészítésétől számított 20 percen belül </w:t>
      </w:r>
      <w:r w:rsidR="00A01E27">
        <w:rPr>
          <w:rFonts w:ascii="Times New Roman" w:eastAsia="Times New Roman" w:hAnsi="Times New Roman"/>
          <w:bCs/>
        </w:rPr>
        <w:t>adja be</w:t>
      </w:r>
      <w:r w:rsidRPr="003B151C">
        <w:rPr>
          <w:rFonts w:ascii="Times New Roman" w:eastAsia="Times New Roman" w:hAnsi="Times New Roman"/>
          <w:bCs/>
        </w:rPr>
        <w:t xml:space="preserve"> a szükséges adag Lappoxo</w:t>
      </w:r>
      <w:r w:rsidRPr="003B151C">
        <w:rPr>
          <w:rFonts w:ascii="Times New Roman" w:eastAsia="Times New Roman" w:hAnsi="Times New Roman"/>
          <w:bCs/>
        </w:rPr>
        <w:noBreakHyphen/>
        <w:t>t egy megfelelő mérőeszközzel.</w:t>
      </w:r>
    </w:p>
    <w:p w14:paraId="2F6E986C" w14:textId="77777777" w:rsidR="003B151C" w:rsidRPr="003B151C" w:rsidRDefault="003B151C" w:rsidP="00AE7C84">
      <w:pPr>
        <w:numPr>
          <w:ilvl w:val="0"/>
          <w:numId w:val="26"/>
        </w:numPr>
        <w:tabs>
          <w:tab w:val="left" w:pos="567"/>
        </w:tabs>
        <w:spacing w:after="0" w:line="240" w:lineRule="auto"/>
        <w:ind w:left="567" w:hanging="567"/>
        <w:contextualSpacing/>
        <w:outlineLvl w:val="0"/>
        <w:rPr>
          <w:rFonts w:ascii="Times New Roman" w:eastAsia="Times New Roman" w:hAnsi="Times New Roman"/>
          <w:bCs/>
        </w:rPr>
      </w:pPr>
      <w:r w:rsidRPr="003B151C">
        <w:rPr>
          <w:rFonts w:ascii="Times New Roman" w:eastAsia="Times New Roman" w:hAnsi="Times New Roman"/>
          <w:bCs/>
        </w:rPr>
        <w:t>Legalább 20 ml vízzel öblítse át az enteralis szondát.</w:t>
      </w:r>
    </w:p>
    <w:p w14:paraId="6F466B84" w14:textId="77777777" w:rsidR="00EE5B15" w:rsidRDefault="00EE5B15" w:rsidP="003B151C">
      <w:pPr>
        <w:spacing w:after="0" w:line="240" w:lineRule="auto"/>
        <w:outlineLvl w:val="0"/>
        <w:rPr>
          <w:rFonts w:ascii="Times New Roman" w:eastAsia="Times New Roman" w:hAnsi="Times New Roman"/>
          <w:bCs/>
        </w:rPr>
      </w:pPr>
    </w:p>
    <w:p w14:paraId="40DA3B61" w14:textId="7B05031A" w:rsidR="003B151C" w:rsidRPr="003B151C" w:rsidRDefault="003B151C" w:rsidP="003B151C">
      <w:pPr>
        <w:spacing w:after="0" w:line="240" w:lineRule="auto"/>
        <w:outlineLvl w:val="0"/>
        <w:rPr>
          <w:rFonts w:ascii="Times New Roman" w:eastAsia="Times New Roman" w:hAnsi="Times New Roman"/>
          <w:bCs/>
        </w:rPr>
      </w:pPr>
      <w:r w:rsidRPr="003B151C">
        <w:rPr>
          <w:rFonts w:ascii="Times New Roman" w:eastAsia="Times New Roman" w:hAnsi="Times New Roman"/>
          <w:bCs/>
        </w:rPr>
        <w:t>Ez a készítmény 6 Fr</w:t>
      </w:r>
      <w:r w:rsidRPr="003B151C">
        <w:rPr>
          <w:rFonts w:ascii="Times New Roman" w:eastAsia="Times New Roman" w:hAnsi="Times New Roman"/>
          <w:bCs/>
        </w:rPr>
        <w:noBreakHyphen/>
        <w:t>15 Fr méretű poliuretán nasogastricus (NG) és percutan endoscopos gastrostomi</w:t>
      </w:r>
      <w:r w:rsidR="00530DFA">
        <w:rPr>
          <w:rFonts w:ascii="Times New Roman" w:eastAsia="Times New Roman" w:hAnsi="Times New Roman"/>
          <w:bCs/>
        </w:rPr>
        <w:t>a</w:t>
      </w:r>
      <w:r w:rsidRPr="003B151C">
        <w:rPr>
          <w:rFonts w:ascii="Times New Roman" w:eastAsia="Times New Roman" w:hAnsi="Times New Roman"/>
          <w:bCs/>
        </w:rPr>
        <w:t xml:space="preserve"> (PEG) szondákkal kompatibilis. A legkisebb átmérőjű (6 Fr) szondákhoz kisebb, 3 ml-es öblítő térfogat alkalmazható a nagyon fiatal gyermekeknél </w:t>
      </w:r>
      <w:r w:rsidR="00EE5B15">
        <w:rPr>
          <w:rFonts w:ascii="Times New Roman" w:eastAsia="Times New Roman" w:hAnsi="Times New Roman"/>
          <w:bCs/>
        </w:rPr>
        <w:t>történő</w:t>
      </w:r>
      <w:r w:rsidRPr="003B151C">
        <w:rPr>
          <w:rFonts w:ascii="Times New Roman" w:eastAsia="Times New Roman" w:hAnsi="Times New Roman"/>
          <w:bCs/>
        </w:rPr>
        <w:t xml:space="preserve"> </w:t>
      </w:r>
      <w:r w:rsidR="00EE5B15">
        <w:rPr>
          <w:rFonts w:ascii="Times New Roman" w:eastAsia="Times New Roman" w:hAnsi="Times New Roman"/>
          <w:bCs/>
        </w:rPr>
        <w:t>alkalmazás</w:t>
      </w:r>
      <w:r w:rsidRPr="003B151C">
        <w:rPr>
          <w:rFonts w:ascii="Times New Roman" w:eastAsia="Times New Roman" w:hAnsi="Times New Roman"/>
          <w:bCs/>
        </w:rPr>
        <w:t xml:space="preserve"> segítése érdekében, ahol a folyadékbevitel korlátozása fontos lehet.</w:t>
      </w:r>
    </w:p>
    <w:p w14:paraId="0F24D168" w14:textId="77777777" w:rsidR="003B151C" w:rsidRPr="003B151C" w:rsidRDefault="003B151C" w:rsidP="003B151C">
      <w:pPr>
        <w:spacing w:after="0" w:line="240" w:lineRule="auto"/>
        <w:outlineLvl w:val="0"/>
        <w:rPr>
          <w:rFonts w:ascii="Times New Roman" w:eastAsia="Times New Roman" w:hAnsi="Times New Roman"/>
          <w:bCs/>
        </w:rPr>
      </w:pPr>
    </w:p>
    <w:p w14:paraId="12823C1B" w14:textId="77777777" w:rsidR="003B151C" w:rsidRPr="003B151C" w:rsidRDefault="003B151C" w:rsidP="003B151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3B151C">
        <w:rPr>
          <w:rFonts w:ascii="Times New Roman" w:eastAsia="Times New Roman" w:hAnsi="Times New Roman"/>
        </w:rPr>
        <w:t>Bármilyen fel nem használt gyógyszer, illetve hulladékanyag megsemmisítését a gyógyszerekre vonatkozó előírások szerint kell végrehajtani.</w:t>
      </w:r>
    </w:p>
    <w:p w14:paraId="4E7CDC81" w14:textId="77777777" w:rsidR="003B151C" w:rsidRPr="003B151C" w:rsidRDefault="003B151C" w:rsidP="003B151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</w:p>
    <w:p w14:paraId="3C408DC5" w14:textId="77777777" w:rsidR="00F85873" w:rsidRPr="00A36050" w:rsidRDefault="00F85873" w:rsidP="00A36050">
      <w:pPr>
        <w:pStyle w:val="Nincstrkz"/>
        <w:keepNext/>
        <w:widowControl w:val="0"/>
        <w:suppressAutoHyphens/>
        <w:rPr>
          <w:rFonts w:ascii="Times New Roman" w:hAnsi="Times New Roman"/>
        </w:rPr>
      </w:pPr>
    </w:p>
    <w:p w14:paraId="138B8BAC" w14:textId="77777777" w:rsidR="00262406" w:rsidRPr="00E04C6B" w:rsidRDefault="00262406" w:rsidP="00A36050">
      <w:pPr>
        <w:pStyle w:val="Nincstrkz"/>
        <w:keepNext/>
        <w:widowControl w:val="0"/>
        <w:suppressAutoHyphens/>
        <w:rPr>
          <w:rFonts w:ascii="Times New Roman" w:hAnsi="Times New Roman"/>
        </w:rPr>
      </w:pPr>
      <w:r w:rsidRPr="00A36050">
        <w:rPr>
          <w:rFonts w:ascii="Times New Roman" w:hAnsi="Times New Roman"/>
          <w:b/>
        </w:rPr>
        <w:t>Megjegyzés:</w:t>
      </w:r>
      <w:r w:rsidRPr="00A36050">
        <w:rPr>
          <w:rFonts w:ascii="Times New Roman" w:hAnsi="Times New Roman"/>
        </w:rPr>
        <w:t xml:space="preserve"> </w:t>
      </w:r>
      <w:r w:rsidR="00D43432" w:rsidRPr="00A36050">
        <w:rPr>
          <w:rFonts w:ascii="Times New Roman" w:hAnsi="Times New Roman"/>
          <w:b/>
        </w:rPr>
        <w:sym w:font="Wingdings" w:char="F058"/>
      </w:r>
      <w:r w:rsidR="00D43432" w:rsidRPr="00E04C6B">
        <w:rPr>
          <w:rFonts w:ascii="Times New Roman" w:hAnsi="Times New Roman"/>
        </w:rPr>
        <w:t xml:space="preserve"> </w:t>
      </w:r>
      <w:r w:rsidRPr="00E04C6B">
        <w:rPr>
          <w:rFonts w:ascii="Times New Roman" w:hAnsi="Times New Roman"/>
        </w:rPr>
        <w:t>(egy kereszt)</w:t>
      </w:r>
    </w:p>
    <w:p w14:paraId="6B79F570" w14:textId="77777777" w:rsidR="00262406" w:rsidRPr="00E04C6B" w:rsidRDefault="00F85873" w:rsidP="00A36050">
      <w:pPr>
        <w:pStyle w:val="Nincstrkz"/>
        <w:keepNext/>
        <w:widowControl w:val="0"/>
        <w:suppressAutoHyphens/>
        <w:rPr>
          <w:rFonts w:ascii="Times New Roman" w:hAnsi="Times New Roman"/>
          <w:b/>
        </w:rPr>
      </w:pPr>
      <w:r w:rsidRPr="00E04C6B">
        <w:rPr>
          <w:rFonts w:ascii="Times New Roman" w:hAnsi="Times New Roman"/>
          <w:b/>
        </w:rPr>
        <w:t xml:space="preserve">Osztályozás: </w:t>
      </w:r>
      <w:r w:rsidR="00262406" w:rsidRPr="00E04C6B">
        <w:rPr>
          <w:rFonts w:ascii="Times New Roman" w:hAnsi="Times New Roman"/>
          <w:b/>
        </w:rPr>
        <w:t>II.</w:t>
      </w:r>
      <w:r w:rsidRPr="00E04C6B">
        <w:rPr>
          <w:rFonts w:ascii="Times New Roman" w:hAnsi="Times New Roman"/>
          <w:b/>
        </w:rPr>
        <w:t xml:space="preserve"> </w:t>
      </w:r>
      <w:r w:rsidR="00262406" w:rsidRPr="00E04C6B">
        <w:rPr>
          <w:rFonts w:ascii="Times New Roman" w:hAnsi="Times New Roman"/>
          <w:b/>
        </w:rPr>
        <w:t>csoport</w:t>
      </w:r>
    </w:p>
    <w:p w14:paraId="40C9AD1E" w14:textId="77777777" w:rsidR="00262406" w:rsidRPr="00E04C6B" w:rsidRDefault="00585F51" w:rsidP="00A36050">
      <w:pPr>
        <w:pStyle w:val="Nincstrkz"/>
        <w:widowControl w:val="0"/>
        <w:suppressAutoHyphens/>
        <w:rPr>
          <w:rFonts w:ascii="Times New Roman" w:hAnsi="Times New Roman"/>
        </w:rPr>
      </w:pPr>
      <w:r w:rsidRPr="00E04C6B">
        <w:rPr>
          <w:rFonts w:ascii="Times New Roman" w:hAnsi="Times New Roman"/>
        </w:rPr>
        <w:t xml:space="preserve">Kizárólag orvosi </w:t>
      </w:r>
      <w:r w:rsidR="00262406" w:rsidRPr="00E04C6B">
        <w:rPr>
          <w:rFonts w:ascii="Times New Roman" w:hAnsi="Times New Roman"/>
        </w:rPr>
        <w:t>rendelvényhez kötött gyógyszer (V).</w:t>
      </w:r>
    </w:p>
    <w:p w14:paraId="1403333D" w14:textId="77777777" w:rsidR="00262406" w:rsidRPr="00E04C6B" w:rsidRDefault="00262406" w:rsidP="00A36050">
      <w:pPr>
        <w:pStyle w:val="Nincstrkz"/>
        <w:widowControl w:val="0"/>
        <w:suppressAutoHyphens/>
        <w:rPr>
          <w:rFonts w:ascii="Times New Roman" w:hAnsi="Times New Roman"/>
        </w:rPr>
      </w:pPr>
    </w:p>
    <w:p w14:paraId="59D16EBF" w14:textId="77777777" w:rsidR="00ED0B9E" w:rsidRPr="00E04C6B" w:rsidRDefault="00ED0B9E" w:rsidP="00A36050">
      <w:pPr>
        <w:pStyle w:val="Nincstrkz"/>
        <w:widowControl w:val="0"/>
        <w:suppressAutoHyphens/>
        <w:rPr>
          <w:rFonts w:ascii="Times New Roman" w:hAnsi="Times New Roman"/>
        </w:rPr>
      </w:pPr>
    </w:p>
    <w:p w14:paraId="52926915" w14:textId="77777777" w:rsidR="001C0BD1" w:rsidRPr="00A36050" w:rsidRDefault="001C0BD1" w:rsidP="00A36050">
      <w:pPr>
        <w:pStyle w:val="Nincstrkz"/>
        <w:keepNext/>
        <w:widowControl w:val="0"/>
        <w:suppressAutoHyphens/>
        <w:ind w:left="567" w:hanging="567"/>
        <w:rPr>
          <w:rFonts w:ascii="Times New Roman" w:hAnsi="Times New Roman"/>
          <w:b/>
        </w:rPr>
      </w:pPr>
      <w:r w:rsidRPr="00E04C6B">
        <w:rPr>
          <w:rFonts w:ascii="Times New Roman" w:hAnsi="Times New Roman"/>
          <w:b/>
        </w:rPr>
        <w:t>7</w:t>
      </w:r>
      <w:r w:rsidRPr="00E04C6B">
        <w:rPr>
          <w:rFonts w:ascii="Times New Roman" w:hAnsi="Times New Roman"/>
          <w:b/>
          <w:bCs/>
        </w:rPr>
        <w:t>.</w:t>
      </w:r>
      <w:r w:rsidR="00ED0B9E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A FORGALOMBA HOZATALI ENGEDÉLY JOGOSULTJA</w:t>
      </w:r>
    </w:p>
    <w:p w14:paraId="55D62059" w14:textId="77777777" w:rsidR="00C7253B" w:rsidRPr="00A36050" w:rsidRDefault="00C7253B" w:rsidP="00A36050">
      <w:pPr>
        <w:pStyle w:val="Nincstrkz"/>
        <w:keepNext/>
        <w:widowControl w:val="0"/>
        <w:suppressAutoHyphens/>
        <w:rPr>
          <w:rFonts w:ascii="Times New Roman" w:hAnsi="Times New Roman"/>
        </w:rPr>
      </w:pPr>
    </w:p>
    <w:p w14:paraId="30A45AF2" w14:textId="77777777" w:rsidR="00966DD6" w:rsidRPr="00966DD6" w:rsidRDefault="00966DD6" w:rsidP="00966DD6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bookmarkStart w:id="8" w:name="_Hlk159414412"/>
      <w:r w:rsidRPr="00966DD6">
        <w:rPr>
          <w:rFonts w:ascii="Times New Roman" w:eastAsia="Times New Roman" w:hAnsi="Times New Roman"/>
        </w:rPr>
        <w:t>Alkaloid-INT d.o.o.</w:t>
      </w:r>
    </w:p>
    <w:p w14:paraId="2C41B561" w14:textId="77777777" w:rsidR="00966DD6" w:rsidRPr="00966DD6" w:rsidRDefault="00966DD6" w:rsidP="00966DD6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966DD6">
        <w:rPr>
          <w:rFonts w:ascii="Times New Roman" w:eastAsia="Times New Roman" w:hAnsi="Times New Roman"/>
        </w:rPr>
        <w:t>Šlandrova ulica 4</w:t>
      </w:r>
    </w:p>
    <w:p w14:paraId="6FD81E4E" w14:textId="77777777" w:rsidR="00966DD6" w:rsidRPr="00966DD6" w:rsidRDefault="00966DD6" w:rsidP="00966DD6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966DD6">
        <w:rPr>
          <w:rFonts w:ascii="Times New Roman" w:eastAsia="Times New Roman" w:hAnsi="Times New Roman"/>
        </w:rPr>
        <w:t>1231 Ljubljana-Črnuče</w:t>
      </w:r>
    </w:p>
    <w:p w14:paraId="510F8EE5" w14:textId="77777777" w:rsidR="00966DD6" w:rsidRPr="00966DD6" w:rsidRDefault="00966DD6" w:rsidP="00966DD6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966DD6">
        <w:rPr>
          <w:rFonts w:ascii="Times New Roman" w:eastAsia="Times New Roman" w:hAnsi="Times New Roman"/>
        </w:rPr>
        <w:t>Szlovénia</w:t>
      </w:r>
    </w:p>
    <w:bookmarkEnd w:id="8"/>
    <w:p w14:paraId="4AFB783E" w14:textId="77777777" w:rsidR="00F23B51" w:rsidRPr="00A36050" w:rsidRDefault="00F23B51" w:rsidP="00A36050">
      <w:pPr>
        <w:pStyle w:val="Nincstrkz"/>
        <w:widowControl w:val="0"/>
        <w:suppressAutoHyphens/>
        <w:rPr>
          <w:rFonts w:ascii="Times New Roman" w:hAnsi="Times New Roman"/>
        </w:rPr>
      </w:pPr>
    </w:p>
    <w:p w14:paraId="2C40CF8C" w14:textId="77777777" w:rsidR="00ED0B9E" w:rsidRPr="00A36050" w:rsidRDefault="00ED0B9E" w:rsidP="00A36050">
      <w:pPr>
        <w:pStyle w:val="Nincstrkz"/>
        <w:widowControl w:val="0"/>
        <w:suppressAutoHyphens/>
        <w:rPr>
          <w:rFonts w:ascii="Times New Roman" w:hAnsi="Times New Roman"/>
        </w:rPr>
      </w:pPr>
    </w:p>
    <w:p w14:paraId="4D66EC59" w14:textId="77777777" w:rsidR="001C0BD1" w:rsidRPr="00A36050" w:rsidRDefault="001C0BD1" w:rsidP="00A36050">
      <w:pPr>
        <w:pStyle w:val="Nincstrkz"/>
        <w:widowControl w:val="0"/>
        <w:suppressAutoHyphens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8.</w:t>
      </w:r>
      <w:r w:rsidR="00ED0B9E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A FORGALOMBA HOZATALI ENGEDÉLY SZÁMA(I)</w:t>
      </w:r>
    </w:p>
    <w:p w14:paraId="0085FEE8" w14:textId="77777777" w:rsidR="00AE6D48" w:rsidRPr="00A36050" w:rsidRDefault="00AE6D48" w:rsidP="00A36050">
      <w:pPr>
        <w:pStyle w:val="Nincstrkz"/>
        <w:widowControl w:val="0"/>
        <w:suppressAutoHyphens/>
        <w:rPr>
          <w:rFonts w:ascii="Times New Roman" w:hAnsi="Times New Roman"/>
          <w:bCs/>
        </w:rPr>
      </w:pPr>
    </w:p>
    <w:p w14:paraId="6E67303A" w14:textId="5CA99478" w:rsidR="00DF14F6" w:rsidRPr="00DF14F6" w:rsidRDefault="00DF14F6" w:rsidP="00DF14F6">
      <w:pPr>
        <w:pStyle w:val="Nincstrkz"/>
        <w:widowControl w:val="0"/>
        <w:suppressAutoHyphens/>
        <w:rPr>
          <w:rFonts w:ascii="Times New Roman" w:hAnsi="Times New Roman"/>
          <w:u w:val="single"/>
        </w:rPr>
      </w:pPr>
      <w:r w:rsidRPr="00DF14F6">
        <w:rPr>
          <w:rFonts w:ascii="Times New Roman" w:hAnsi="Times New Roman"/>
          <w:u w:val="single"/>
        </w:rPr>
        <w:t>Lappoxo 10</w:t>
      </w:r>
      <w:r w:rsidR="00B622DF">
        <w:rPr>
          <w:rFonts w:ascii="Times New Roman" w:hAnsi="Times New Roman"/>
          <w:u w:val="single"/>
        </w:rPr>
        <w:t> </w:t>
      </w:r>
      <w:r w:rsidRPr="00DF14F6">
        <w:rPr>
          <w:rFonts w:ascii="Times New Roman" w:hAnsi="Times New Roman"/>
          <w:u w:val="single"/>
        </w:rPr>
        <w:t>mg/15</w:t>
      </w:r>
      <w:r w:rsidR="00B622DF">
        <w:rPr>
          <w:rFonts w:ascii="Times New Roman" w:hAnsi="Times New Roman"/>
          <w:u w:val="single"/>
        </w:rPr>
        <w:t> </w:t>
      </w:r>
      <w:r w:rsidRPr="00DF14F6">
        <w:rPr>
          <w:rFonts w:ascii="Times New Roman" w:hAnsi="Times New Roman"/>
          <w:u w:val="single"/>
        </w:rPr>
        <w:t>ml belsőleges oldat</w:t>
      </w:r>
    </w:p>
    <w:p w14:paraId="0B18E786" w14:textId="381E7623" w:rsidR="00F04DA0" w:rsidRDefault="00DF14F6" w:rsidP="00DF14F6">
      <w:pPr>
        <w:pStyle w:val="Nincstrkz"/>
        <w:widowControl w:val="0"/>
        <w:tabs>
          <w:tab w:val="left" w:pos="2127"/>
        </w:tabs>
        <w:suppressAutoHyphens/>
        <w:rPr>
          <w:rFonts w:ascii="Times New Roman" w:hAnsi="Times New Roman"/>
        </w:rPr>
      </w:pPr>
      <w:r w:rsidRPr="00DF14F6">
        <w:rPr>
          <w:rFonts w:ascii="Times New Roman" w:hAnsi="Times New Roman"/>
        </w:rPr>
        <w:t>OGYI-T-24391/01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F14F6">
        <w:rPr>
          <w:rFonts w:ascii="Times New Roman" w:hAnsi="Times New Roman"/>
        </w:rPr>
        <w:t>14</w:t>
      </w:r>
      <w:r>
        <w:rPr>
          <w:rFonts w:ascii="Times New Roman" w:hAnsi="Times New Roman"/>
        </w:rPr>
        <w:t>×</w:t>
      </w:r>
      <w:r w:rsidRPr="00DF14F6">
        <w:rPr>
          <w:rFonts w:ascii="Times New Roman" w:hAnsi="Times New Roman"/>
        </w:rPr>
        <w:t>15</w:t>
      </w:r>
      <w:r>
        <w:rPr>
          <w:rFonts w:ascii="Times New Roman" w:hAnsi="Times New Roman"/>
        </w:rPr>
        <w:t> </w:t>
      </w:r>
      <w:r w:rsidRPr="00DF14F6">
        <w:rPr>
          <w:rFonts w:ascii="Times New Roman" w:hAnsi="Times New Roman"/>
        </w:rPr>
        <w:t>ml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F14F6">
        <w:rPr>
          <w:rFonts w:ascii="Times New Roman" w:hAnsi="Times New Roman"/>
        </w:rPr>
        <w:t>HDPE tartályban</w:t>
      </w:r>
    </w:p>
    <w:p w14:paraId="03A6ED57" w14:textId="35EBE72A" w:rsidR="00DF14F6" w:rsidRDefault="00DF14F6" w:rsidP="00DF14F6">
      <w:pPr>
        <w:pStyle w:val="Nincstrkz"/>
        <w:widowControl w:val="0"/>
        <w:tabs>
          <w:tab w:val="left" w:pos="2127"/>
        </w:tabs>
        <w:suppressAutoHyphens/>
        <w:rPr>
          <w:rFonts w:ascii="Times New Roman" w:hAnsi="Times New Roman"/>
        </w:rPr>
      </w:pPr>
    </w:p>
    <w:p w14:paraId="52A99422" w14:textId="5EA5F039" w:rsidR="00DF14F6" w:rsidRPr="00B622DF" w:rsidRDefault="00DF14F6" w:rsidP="00DF14F6">
      <w:pPr>
        <w:pStyle w:val="Nincstrkz"/>
        <w:rPr>
          <w:rFonts w:ascii="Times New Roman" w:hAnsi="Times New Roman"/>
          <w:u w:val="single"/>
        </w:rPr>
      </w:pPr>
      <w:r w:rsidRPr="00B622DF">
        <w:rPr>
          <w:rFonts w:ascii="Times New Roman" w:hAnsi="Times New Roman"/>
          <w:u w:val="single"/>
        </w:rPr>
        <w:lastRenderedPageBreak/>
        <w:t>Lappoxo 20</w:t>
      </w:r>
      <w:r w:rsidR="00B622DF" w:rsidRPr="00B622DF">
        <w:rPr>
          <w:rFonts w:ascii="Times New Roman" w:hAnsi="Times New Roman"/>
          <w:u w:val="single"/>
        </w:rPr>
        <w:t> </w:t>
      </w:r>
      <w:r w:rsidRPr="00B622DF">
        <w:rPr>
          <w:rFonts w:ascii="Times New Roman" w:hAnsi="Times New Roman"/>
          <w:u w:val="single"/>
        </w:rPr>
        <w:t>mg/15</w:t>
      </w:r>
      <w:r w:rsidR="00B622DF" w:rsidRPr="00B622DF">
        <w:rPr>
          <w:rFonts w:ascii="Times New Roman" w:hAnsi="Times New Roman"/>
          <w:u w:val="single"/>
        </w:rPr>
        <w:t> </w:t>
      </w:r>
      <w:r w:rsidRPr="00B622DF">
        <w:rPr>
          <w:rFonts w:ascii="Times New Roman" w:hAnsi="Times New Roman"/>
          <w:u w:val="single"/>
        </w:rPr>
        <w:t>ml belsőleges oldat</w:t>
      </w:r>
    </w:p>
    <w:p w14:paraId="4EA4AC00" w14:textId="034B3E49" w:rsidR="00DF14F6" w:rsidRPr="00DF14F6" w:rsidRDefault="00DF14F6" w:rsidP="00DF14F6">
      <w:pPr>
        <w:pStyle w:val="Nincstrkz"/>
        <w:tabs>
          <w:tab w:val="left" w:pos="1985"/>
        </w:tabs>
        <w:rPr>
          <w:rFonts w:ascii="Times New Roman" w:hAnsi="Times New Roman"/>
          <w:spacing w:val="-3"/>
        </w:rPr>
      </w:pPr>
      <w:r w:rsidRPr="00DF14F6">
        <w:rPr>
          <w:rFonts w:ascii="Times New Roman" w:hAnsi="Times New Roman"/>
        </w:rPr>
        <w:t>OGYI-T-24391/02</w:t>
      </w:r>
      <w:r w:rsidRPr="00DF14F6">
        <w:rPr>
          <w:rFonts w:ascii="Times New Roman" w:hAnsi="Times New Roman"/>
        </w:rPr>
        <w:tab/>
      </w:r>
      <w:r w:rsidRPr="00DF14F6">
        <w:rPr>
          <w:rFonts w:ascii="Times New Roman" w:hAnsi="Times New Roman"/>
        </w:rPr>
        <w:tab/>
        <w:t>14</w:t>
      </w:r>
      <w:r>
        <w:rPr>
          <w:rFonts w:ascii="Times New Roman" w:hAnsi="Times New Roman"/>
        </w:rPr>
        <w:t>×</w:t>
      </w:r>
      <w:r w:rsidRPr="00DF14F6">
        <w:rPr>
          <w:rFonts w:ascii="Times New Roman" w:hAnsi="Times New Roman"/>
        </w:rPr>
        <w:t>15</w:t>
      </w:r>
      <w:r>
        <w:rPr>
          <w:rFonts w:ascii="Times New Roman" w:hAnsi="Times New Roman"/>
        </w:rPr>
        <w:t> </w:t>
      </w:r>
      <w:r w:rsidRPr="00DF14F6">
        <w:rPr>
          <w:rFonts w:ascii="Times New Roman" w:hAnsi="Times New Roman"/>
        </w:rPr>
        <w:t>ml</w:t>
      </w:r>
      <w:r w:rsidRPr="00DF14F6">
        <w:rPr>
          <w:rFonts w:ascii="Times New Roman" w:hAnsi="Times New Roman"/>
        </w:rPr>
        <w:tab/>
      </w:r>
      <w:r w:rsidRPr="00DF14F6">
        <w:rPr>
          <w:rFonts w:ascii="Times New Roman" w:hAnsi="Times New Roman"/>
        </w:rPr>
        <w:tab/>
      </w:r>
      <w:r w:rsidRPr="00DF14F6">
        <w:rPr>
          <w:rFonts w:ascii="Times New Roman" w:hAnsi="Times New Roman"/>
          <w:spacing w:val="-3"/>
        </w:rPr>
        <w:t>HDPE tartályban</w:t>
      </w:r>
    </w:p>
    <w:p w14:paraId="361017D1" w14:textId="77777777" w:rsidR="00DF14F6" w:rsidRDefault="00DF14F6" w:rsidP="00DF14F6">
      <w:pPr>
        <w:pStyle w:val="Nincstrkz"/>
        <w:widowControl w:val="0"/>
        <w:tabs>
          <w:tab w:val="left" w:pos="2127"/>
        </w:tabs>
        <w:suppressAutoHyphens/>
        <w:rPr>
          <w:rFonts w:ascii="Times New Roman" w:hAnsi="Times New Roman"/>
        </w:rPr>
      </w:pPr>
    </w:p>
    <w:p w14:paraId="44A18444" w14:textId="77777777" w:rsidR="00F04DA0" w:rsidRPr="00A36050" w:rsidRDefault="00F04DA0" w:rsidP="00E04C6B">
      <w:pPr>
        <w:pStyle w:val="Nincstrkz"/>
        <w:widowControl w:val="0"/>
        <w:suppressAutoHyphens/>
        <w:rPr>
          <w:rFonts w:ascii="Times New Roman" w:hAnsi="Times New Roman"/>
        </w:rPr>
      </w:pPr>
    </w:p>
    <w:p w14:paraId="31D39FCE" w14:textId="77777777" w:rsidR="001C0BD1" w:rsidRPr="00A36050" w:rsidRDefault="001C0BD1" w:rsidP="00E04C6B">
      <w:pPr>
        <w:pStyle w:val="Nincstrkz"/>
        <w:widowControl w:val="0"/>
        <w:suppressAutoHyphens/>
        <w:ind w:left="567" w:hanging="567"/>
        <w:rPr>
          <w:rFonts w:ascii="Times New Roman" w:hAnsi="Times New Roman"/>
          <w:b/>
        </w:rPr>
      </w:pPr>
      <w:r w:rsidRPr="00A36050">
        <w:rPr>
          <w:rFonts w:ascii="Times New Roman" w:hAnsi="Times New Roman"/>
          <w:b/>
        </w:rPr>
        <w:t>9.</w:t>
      </w:r>
      <w:r w:rsidR="00444D05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A FORGALOMBA HOZATALI ENGEDÉLY ELSŐ KIADÁSÁNAK/</w:t>
      </w:r>
      <w:r w:rsidR="00F7769A" w:rsidRPr="00A36050">
        <w:rPr>
          <w:rFonts w:ascii="Times New Roman" w:hAnsi="Times New Roman"/>
          <w:b/>
        </w:rPr>
        <w:t xml:space="preserve"> </w:t>
      </w:r>
      <w:r w:rsidRPr="00A36050">
        <w:rPr>
          <w:rFonts w:ascii="Times New Roman" w:hAnsi="Times New Roman"/>
          <w:b/>
        </w:rPr>
        <w:t>MEGÚJÍTÁSÁNAK DÁTUMA</w:t>
      </w:r>
    </w:p>
    <w:p w14:paraId="1EA67289" w14:textId="77777777" w:rsidR="00C7253B" w:rsidRPr="00A36050" w:rsidRDefault="00C7253B" w:rsidP="00E04C6B">
      <w:pPr>
        <w:pStyle w:val="Nincstrkz"/>
        <w:widowControl w:val="0"/>
        <w:suppressAutoHyphens/>
        <w:rPr>
          <w:rFonts w:ascii="Times New Roman" w:hAnsi="Times New Roman"/>
        </w:rPr>
      </w:pPr>
    </w:p>
    <w:p w14:paraId="7284BD4B" w14:textId="2ABD5A53" w:rsidR="00E02E56" w:rsidRPr="00A36050" w:rsidRDefault="005D060D" w:rsidP="00E04C6B">
      <w:pPr>
        <w:pStyle w:val="Nincstrkz"/>
        <w:widowControl w:val="0"/>
        <w:suppressAutoHyphens/>
        <w:rPr>
          <w:rFonts w:ascii="Times New Roman" w:hAnsi="Times New Roman"/>
        </w:rPr>
      </w:pPr>
      <w:r w:rsidRPr="00A36050">
        <w:rPr>
          <w:rFonts w:ascii="Times New Roman" w:hAnsi="Times New Roman"/>
        </w:rPr>
        <w:t>A forgalomba hozatali engedély első kiadásának dátuma:</w:t>
      </w:r>
      <w:r w:rsidR="00B11F65">
        <w:rPr>
          <w:rFonts w:ascii="Times New Roman" w:hAnsi="Times New Roman"/>
        </w:rPr>
        <w:t xml:space="preserve"> </w:t>
      </w:r>
      <w:r w:rsidR="00B11F65">
        <w:rPr>
          <w:rFonts w:ascii="Times New Roman" w:hAnsi="Times New Roman"/>
        </w:rPr>
        <w:t>2024.</w:t>
      </w:r>
      <w:r w:rsidR="00B11F65">
        <w:rPr>
          <w:rFonts w:ascii="Times New Roman" w:hAnsi="Times New Roman"/>
        </w:rPr>
        <w:t xml:space="preserve"> május </w:t>
      </w:r>
      <w:r w:rsidR="00B11F65">
        <w:rPr>
          <w:rFonts w:ascii="Times New Roman" w:hAnsi="Times New Roman"/>
        </w:rPr>
        <w:t>28.</w:t>
      </w:r>
    </w:p>
    <w:p w14:paraId="79459550" w14:textId="77777777" w:rsidR="005D060D" w:rsidRPr="00A36050" w:rsidRDefault="005D060D" w:rsidP="00A36050">
      <w:pPr>
        <w:pStyle w:val="Nincstrkz"/>
        <w:widowControl w:val="0"/>
        <w:suppressAutoHyphens/>
        <w:rPr>
          <w:rFonts w:ascii="Times New Roman" w:hAnsi="Times New Roman"/>
        </w:rPr>
      </w:pPr>
    </w:p>
    <w:p w14:paraId="7D7E1EC9" w14:textId="77777777" w:rsidR="005D060D" w:rsidRPr="00A36050" w:rsidRDefault="005D060D" w:rsidP="00A36050">
      <w:pPr>
        <w:pStyle w:val="Nincstrkz"/>
        <w:widowControl w:val="0"/>
        <w:suppressAutoHyphens/>
        <w:rPr>
          <w:rFonts w:ascii="Times New Roman" w:eastAsia="Times New Roman" w:hAnsi="Times New Roman"/>
        </w:rPr>
      </w:pPr>
    </w:p>
    <w:p w14:paraId="6A70079E" w14:textId="77777777" w:rsidR="007C3166" w:rsidRPr="00A36050" w:rsidRDefault="001C0BD1" w:rsidP="00A36050">
      <w:pPr>
        <w:pStyle w:val="Nincstrkz"/>
        <w:widowControl w:val="0"/>
        <w:suppressAutoHyphens/>
        <w:ind w:left="567" w:hanging="567"/>
        <w:rPr>
          <w:rFonts w:ascii="Times New Roman" w:hAnsi="Times New Roman"/>
          <w:b/>
          <w:bCs/>
          <w:caps/>
        </w:rPr>
      </w:pPr>
      <w:r w:rsidRPr="00A36050">
        <w:rPr>
          <w:rFonts w:ascii="Times New Roman" w:hAnsi="Times New Roman"/>
          <w:b/>
        </w:rPr>
        <w:t>10.</w:t>
      </w:r>
      <w:r w:rsidR="00444D05" w:rsidRPr="00A36050">
        <w:rPr>
          <w:rFonts w:ascii="Times New Roman" w:hAnsi="Times New Roman"/>
          <w:b/>
          <w:bCs/>
        </w:rPr>
        <w:tab/>
      </w:r>
      <w:r w:rsidRPr="00A36050">
        <w:rPr>
          <w:rFonts w:ascii="Times New Roman" w:hAnsi="Times New Roman"/>
          <w:b/>
        </w:rPr>
        <w:t>A SZÖVEG ELLENŐRZÉSÉNEK DÁTUMA</w:t>
      </w:r>
    </w:p>
    <w:p w14:paraId="66E12950" w14:textId="77777777" w:rsidR="00F85873" w:rsidRPr="00A36050" w:rsidRDefault="00F85873" w:rsidP="00A36050">
      <w:pPr>
        <w:pStyle w:val="Nincstrkz"/>
        <w:widowControl w:val="0"/>
        <w:suppressAutoHyphens/>
        <w:rPr>
          <w:rFonts w:ascii="Times New Roman" w:hAnsi="Times New Roman"/>
          <w:bCs/>
        </w:rPr>
      </w:pPr>
    </w:p>
    <w:p w14:paraId="66FAD7FF" w14:textId="2A32430E" w:rsidR="001C0BD1" w:rsidRPr="00A36050" w:rsidRDefault="00B11F65" w:rsidP="00A36050">
      <w:pPr>
        <w:pStyle w:val="Nincstrkz"/>
        <w:widowControl w:val="0"/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2024. május 28.</w:t>
      </w:r>
    </w:p>
    <w:sectPr w:rsidR="001C0BD1" w:rsidRPr="00A36050" w:rsidSect="00AA1E58">
      <w:headerReference w:type="default" r:id="rId12"/>
      <w:footerReference w:type="default" r:id="rId13"/>
      <w:footerReference w:type="first" r:id="rId14"/>
      <w:endnotePr>
        <w:numFmt w:val="decimal"/>
      </w:endnotePr>
      <w:type w:val="continuous"/>
      <w:pgSz w:w="11906" w:h="16838" w:code="9"/>
      <w:pgMar w:top="1134" w:right="1418" w:bottom="1134" w:left="1418" w:header="737" w:footer="737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17C103" w14:textId="77777777" w:rsidR="00AA1E58" w:rsidRDefault="00AA1E58" w:rsidP="006907DD">
      <w:pPr>
        <w:spacing w:after="0" w:line="240" w:lineRule="auto"/>
      </w:pPr>
      <w:r>
        <w:separator/>
      </w:r>
    </w:p>
  </w:endnote>
  <w:endnote w:type="continuationSeparator" w:id="0">
    <w:p w14:paraId="7AB8D4EB" w14:textId="77777777" w:rsidR="00AA1E58" w:rsidRDefault="00AA1E58" w:rsidP="00690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25A1ED" w14:textId="77777777" w:rsidR="00DB4147" w:rsidRPr="00781213" w:rsidRDefault="00DB4147" w:rsidP="00781213">
    <w:pPr>
      <w:pStyle w:val="llb"/>
      <w:tabs>
        <w:tab w:val="clear" w:pos="4536"/>
        <w:tab w:val="clear" w:pos="9072"/>
      </w:tabs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BB9DD" w14:textId="7BFBAD2A" w:rsidR="00DB4147" w:rsidRDefault="00DB4147">
    <w:pPr>
      <w:pStyle w:val="llb"/>
      <w:rPr>
        <w:rFonts w:ascii="Times New Roman" w:hAnsi="Times New Roman"/>
        <w:sz w:val="18"/>
        <w:szCs w:val="18"/>
      </w:rPr>
    </w:pPr>
    <w:r w:rsidRPr="009E1E8A">
      <w:rPr>
        <w:rFonts w:ascii="Times New Roman" w:hAnsi="Times New Roman"/>
        <w:sz w:val="18"/>
        <w:szCs w:val="18"/>
      </w:rPr>
      <w:t>OGYÉI/23821/2022</w:t>
    </w:r>
  </w:p>
  <w:p w14:paraId="012F1794" w14:textId="7CD7B46A" w:rsidR="00DB4147" w:rsidRPr="009E1E8A" w:rsidRDefault="00DB4147">
    <w:pPr>
      <w:pStyle w:val="llb"/>
      <w:rPr>
        <w:rFonts w:ascii="Times New Roman" w:hAnsi="Times New Roman"/>
        <w:sz w:val="18"/>
        <w:szCs w:val="18"/>
      </w:rPr>
    </w:pPr>
    <w:r w:rsidRPr="00D703D7">
      <w:rPr>
        <w:rFonts w:ascii="Times New Roman" w:hAnsi="Times New Roman"/>
        <w:sz w:val="18"/>
        <w:szCs w:val="18"/>
      </w:rPr>
      <w:t>OGYÉI/23823/2022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946663" w14:textId="77777777" w:rsidR="00AA1E58" w:rsidRDefault="00AA1E58" w:rsidP="006907DD">
      <w:pPr>
        <w:spacing w:after="0" w:line="240" w:lineRule="auto"/>
      </w:pPr>
      <w:r>
        <w:separator/>
      </w:r>
    </w:p>
  </w:footnote>
  <w:footnote w:type="continuationSeparator" w:id="0">
    <w:p w14:paraId="48290377" w14:textId="77777777" w:rsidR="00AA1E58" w:rsidRDefault="00AA1E58" w:rsidP="00690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7C6CC7" w14:textId="77777777" w:rsidR="00DB4147" w:rsidRPr="00032C49" w:rsidRDefault="00DB4147" w:rsidP="00781213">
    <w:pPr>
      <w:pStyle w:val="lfej"/>
      <w:jc w:val="center"/>
      <w:rPr>
        <w:rFonts w:ascii="Times New Roman" w:hAnsi="Times New Roman"/>
        <w:sz w:val="18"/>
        <w:szCs w:val="18"/>
      </w:rPr>
    </w:pPr>
    <w:r w:rsidRPr="00781213">
      <w:rPr>
        <w:rFonts w:ascii="Times New Roman" w:hAnsi="Times New Roman"/>
        <w:sz w:val="18"/>
        <w:szCs w:val="18"/>
      </w:rPr>
      <w:fldChar w:fldCharType="begin"/>
    </w:r>
    <w:r w:rsidRPr="00781213">
      <w:rPr>
        <w:rFonts w:ascii="Times New Roman" w:hAnsi="Times New Roman"/>
        <w:sz w:val="18"/>
        <w:szCs w:val="18"/>
      </w:rPr>
      <w:instrText xml:space="preserve"> PAGE   \* MERGEFORMAT </w:instrText>
    </w:r>
    <w:r w:rsidRPr="00781213">
      <w:rPr>
        <w:rFonts w:ascii="Times New Roman" w:hAnsi="Times New Roman"/>
        <w:sz w:val="18"/>
        <w:szCs w:val="18"/>
      </w:rPr>
      <w:fldChar w:fldCharType="separate"/>
    </w:r>
    <w:r>
      <w:rPr>
        <w:rFonts w:ascii="Times New Roman" w:hAnsi="Times New Roman"/>
        <w:noProof/>
        <w:sz w:val="18"/>
        <w:szCs w:val="18"/>
      </w:rPr>
      <w:t>14</w:t>
    </w:r>
    <w:r w:rsidRPr="00781213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65CC8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4CD6CDA"/>
    <w:multiLevelType w:val="singleLevel"/>
    <w:tmpl w:val="56C8CE98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</w:abstractNum>
  <w:abstractNum w:abstractNumId="2" w15:restartNumberingAfterBreak="0">
    <w:nsid w:val="06203A5F"/>
    <w:multiLevelType w:val="multilevel"/>
    <w:tmpl w:val="148C90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7B3DA4"/>
    <w:multiLevelType w:val="hybridMultilevel"/>
    <w:tmpl w:val="AF92F1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72EEC"/>
    <w:multiLevelType w:val="multilevel"/>
    <w:tmpl w:val="B6CA010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168B0B7D"/>
    <w:multiLevelType w:val="hybridMultilevel"/>
    <w:tmpl w:val="F492512A"/>
    <w:lvl w:ilvl="0" w:tplc="C4F8D370">
      <w:start w:val="1"/>
      <w:numFmt w:val="bullet"/>
      <w:lvlText w:val="-"/>
      <w:lvlJc w:val="left"/>
      <w:pPr>
        <w:ind w:left="720" w:hanging="360"/>
      </w:pPr>
      <w:rPr>
        <w:rFonts w:ascii="Agency FB" w:hAnsi="Agency FB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60D25"/>
    <w:multiLevelType w:val="hybridMultilevel"/>
    <w:tmpl w:val="0CF21960"/>
    <w:lvl w:ilvl="0" w:tplc="4D66AD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C4452C"/>
    <w:multiLevelType w:val="multilevel"/>
    <w:tmpl w:val="9CAE35B6"/>
    <w:lvl w:ilvl="0">
      <w:numFmt w:val="bullet"/>
      <w:lvlText w:val="-"/>
      <w:lvlJc w:val="left"/>
      <w:pPr>
        <w:tabs>
          <w:tab w:val="num" w:pos="1446"/>
        </w:tabs>
        <w:ind w:left="1446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6"/>
        </w:tabs>
        <w:ind w:left="21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6"/>
        </w:tabs>
        <w:ind w:left="28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6"/>
        </w:tabs>
        <w:ind w:left="36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26"/>
        </w:tabs>
        <w:ind w:left="43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6"/>
        </w:tabs>
        <w:ind w:left="50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66"/>
        </w:tabs>
        <w:ind w:left="57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86"/>
        </w:tabs>
        <w:ind w:left="64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6"/>
        </w:tabs>
        <w:ind w:left="7206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859286E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9" w15:restartNumberingAfterBreak="0">
    <w:nsid w:val="2B48361E"/>
    <w:multiLevelType w:val="singleLevel"/>
    <w:tmpl w:val="D9201FE0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2E512444"/>
    <w:multiLevelType w:val="singleLevel"/>
    <w:tmpl w:val="1E18DB0A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F795FEB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 w15:restartNumberingAfterBreak="0">
    <w:nsid w:val="3BED2353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3" w15:restartNumberingAfterBreak="0">
    <w:nsid w:val="3C81530C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4" w15:restartNumberingAfterBreak="0">
    <w:nsid w:val="43706868"/>
    <w:multiLevelType w:val="hybridMultilevel"/>
    <w:tmpl w:val="AE6608E0"/>
    <w:lvl w:ilvl="0" w:tplc="D048D2AC">
      <w:numFmt w:val="bullet"/>
      <w:lvlText w:val="•"/>
      <w:lvlJc w:val="left"/>
      <w:pPr>
        <w:ind w:left="930" w:hanging="57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A25C5C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6" w15:restartNumberingAfterBreak="0">
    <w:nsid w:val="4F577C3B"/>
    <w:multiLevelType w:val="hybridMultilevel"/>
    <w:tmpl w:val="484ACC3A"/>
    <w:lvl w:ilvl="0" w:tplc="16DA0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770C7C"/>
    <w:multiLevelType w:val="hybridMultilevel"/>
    <w:tmpl w:val="2D0A2CA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B67549E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9" w15:restartNumberingAfterBreak="0">
    <w:nsid w:val="5D0E39EF"/>
    <w:multiLevelType w:val="singleLevel"/>
    <w:tmpl w:val="755E1E9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0" w15:restartNumberingAfterBreak="0">
    <w:nsid w:val="5E813DAB"/>
    <w:multiLevelType w:val="hybridMultilevel"/>
    <w:tmpl w:val="7A34ABA8"/>
    <w:lvl w:ilvl="0" w:tplc="0C0A0001">
      <w:start w:val="1"/>
      <w:numFmt w:val="bullet"/>
      <w:lvlText w:val=""/>
      <w:lvlJc w:val="left"/>
      <w:pPr>
        <w:tabs>
          <w:tab w:val="num" w:pos="1446"/>
        </w:tabs>
        <w:ind w:left="1446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66"/>
        </w:tabs>
        <w:ind w:left="216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86"/>
        </w:tabs>
        <w:ind w:left="2886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606"/>
        </w:tabs>
        <w:ind w:left="3606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26"/>
        </w:tabs>
        <w:ind w:left="432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46"/>
        </w:tabs>
        <w:ind w:left="5046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766"/>
        </w:tabs>
        <w:ind w:left="5766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486"/>
        </w:tabs>
        <w:ind w:left="648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206"/>
        </w:tabs>
        <w:ind w:left="7206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6EC3447"/>
    <w:multiLevelType w:val="hybridMultilevel"/>
    <w:tmpl w:val="9CAE35B6"/>
    <w:lvl w:ilvl="0" w:tplc="61765EE8">
      <w:numFmt w:val="bullet"/>
      <w:lvlText w:val="-"/>
      <w:lvlJc w:val="left"/>
      <w:pPr>
        <w:tabs>
          <w:tab w:val="num" w:pos="1446"/>
        </w:tabs>
        <w:ind w:left="1446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166"/>
        </w:tabs>
        <w:ind w:left="216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86"/>
        </w:tabs>
        <w:ind w:left="2886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606"/>
        </w:tabs>
        <w:ind w:left="3606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26"/>
        </w:tabs>
        <w:ind w:left="432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46"/>
        </w:tabs>
        <w:ind w:left="5046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766"/>
        </w:tabs>
        <w:ind w:left="5766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486"/>
        </w:tabs>
        <w:ind w:left="648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206"/>
        </w:tabs>
        <w:ind w:left="7206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710B1078"/>
    <w:multiLevelType w:val="hybridMultilevel"/>
    <w:tmpl w:val="AF92F1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DC3265"/>
    <w:multiLevelType w:val="hybridMultilevel"/>
    <w:tmpl w:val="00B6B91C"/>
    <w:lvl w:ilvl="0" w:tplc="08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87573D1"/>
    <w:multiLevelType w:val="singleLevel"/>
    <w:tmpl w:val="C87CC42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5" w15:restartNumberingAfterBreak="0">
    <w:nsid w:val="7B257CE0"/>
    <w:multiLevelType w:val="hybridMultilevel"/>
    <w:tmpl w:val="3CE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9"/>
  </w:num>
  <w:num w:numId="4">
    <w:abstractNumId w:val="13"/>
  </w:num>
  <w:num w:numId="5">
    <w:abstractNumId w:val="8"/>
  </w:num>
  <w:num w:numId="6">
    <w:abstractNumId w:val="15"/>
  </w:num>
  <w:num w:numId="7">
    <w:abstractNumId w:val="0"/>
  </w:num>
  <w:num w:numId="8">
    <w:abstractNumId w:val="10"/>
  </w:num>
  <w:num w:numId="9">
    <w:abstractNumId w:val="1"/>
  </w:num>
  <w:num w:numId="10">
    <w:abstractNumId w:val="21"/>
  </w:num>
  <w:num w:numId="11">
    <w:abstractNumId w:val="7"/>
  </w:num>
  <w:num w:numId="12">
    <w:abstractNumId w:val="20"/>
  </w:num>
  <w:num w:numId="13">
    <w:abstractNumId w:val="12"/>
  </w:num>
  <w:num w:numId="14">
    <w:abstractNumId w:val="11"/>
  </w:num>
  <w:num w:numId="15">
    <w:abstractNumId w:val="24"/>
  </w:num>
  <w:num w:numId="16">
    <w:abstractNumId w:val="4"/>
  </w:num>
  <w:num w:numId="17">
    <w:abstractNumId w:val="2"/>
  </w:num>
  <w:num w:numId="18">
    <w:abstractNumId w:val="17"/>
  </w:num>
  <w:num w:numId="19">
    <w:abstractNumId w:val="23"/>
  </w:num>
  <w:num w:numId="20">
    <w:abstractNumId w:val="16"/>
  </w:num>
  <w:num w:numId="21">
    <w:abstractNumId w:val="6"/>
  </w:num>
  <w:num w:numId="22">
    <w:abstractNumId w:val="14"/>
  </w:num>
  <w:num w:numId="23">
    <w:abstractNumId w:val="5"/>
  </w:num>
  <w:num w:numId="24">
    <w:abstractNumId w:val="3"/>
  </w:num>
  <w:num w:numId="25">
    <w:abstractNumId w:val="22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BD1"/>
    <w:rsid w:val="000003F4"/>
    <w:rsid w:val="00000985"/>
    <w:rsid w:val="000026BB"/>
    <w:rsid w:val="00004937"/>
    <w:rsid w:val="0000566C"/>
    <w:rsid w:val="0000602A"/>
    <w:rsid w:val="00011CA8"/>
    <w:rsid w:val="0001668B"/>
    <w:rsid w:val="0002197B"/>
    <w:rsid w:val="0002336A"/>
    <w:rsid w:val="00024CF5"/>
    <w:rsid w:val="0002562B"/>
    <w:rsid w:val="0002602D"/>
    <w:rsid w:val="00026BF4"/>
    <w:rsid w:val="000279F7"/>
    <w:rsid w:val="00031DD2"/>
    <w:rsid w:val="00032C49"/>
    <w:rsid w:val="00033D34"/>
    <w:rsid w:val="000374EC"/>
    <w:rsid w:val="000417CF"/>
    <w:rsid w:val="00043E7C"/>
    <w:rsid w:val="00050990"/>
    <w:rsid w:val="000549A7"/>
    <w:rsid w:val="00055252"/>
    <w:rsid w:val="000554DC"/>
    <w:rsid w:val="00056674"/>
    <w:rsid w:val="00060CFF"/>
    <w:rsid w:val="00062A9E"/>
    <w:rsid w:val="00062F79"/>
    <w:rsid w:val="000649AB"/>
    <w:rsid w:val="000650E5"/>
    <w:rsid w:val="00065947"/>
    <w:rsid w:val="00070D20"/>
    <w:rsid w:val="000718FB"/>
    <w:rsid w:val="000802CD"/>
    <w:rsid w:val="0008795B"/>
    <w:rsid w:val="000A0A9D"/>
    <w:rsid w:val="000A0B3A"/>
    <w:rsid w:val="000A158E"/>
    <w:rsid w:val="000A28CE"/>
    <w:rsid w:val="000A2ADE"/>
    <w:rsid w:val="000A3F28"/>
    <w:rsid w:val="000A690C"/>
    <w:rsid w:val="000B1A97"/>
    <w:rsid w:val="000B48BE"/>
    <w:rsid w:val="000C12C3"/>
    <w:rsid w:val="000C1E3A"/>
    <w:rsid w:val="000C2293"/>
    <w:rsid w:val="000C29A8"/>
    <w:rsid w:val="000C3142"/>
    <w:rsid w:val="000C67B6"/>
    <w:rsid w:val="000D5B91"/>
    <w:rsid w:val="000D6CBA"/>
    <w:rsid w:val="000E3E28"/>
    <w:rsid w:val="000E5E6F"/>
    <w:rsid w:val="000F1156"/>
    <w:rsid w:val="000F1727"/>
    <w:rsid w:val="000F3F0D"/>
    <w:rsid w:val="000F62BF"/>
    <w:rsid w:val="000F6533"/>
    <w:rsid w:val="000F7B49"/>
    <w:rsid w:val="00100BAB"/>
    <w:rsid w:val="001026FD"/>
    <w:rsid w:val="00103D97"/>
    <w:rsid w:val="00105541"/>
    <w:rsid w:val="00106B12"/>
    <w:rsid w:val="0010713F"/>
    <w:rsid w:val="0011211E"/>
    <w:rsid w:val="00122D60"/>
    <w:rsid w:val="0012728F"/>
    <w:rsid w:val="0013515D"/>
    <w:rsid w:val="0013577C"/>
    <w:rsid w:val="00140C20"/>
    <w:rsid w:val="00141E5C"/>
    <w:rsid w:val="00143A85"/>
    <w:rsid w:val="00143E2B"/>
    <w:rsid w:val="00145400"/>
    <w:rsid w:val="00146D97"/>
    <w:rsid w:val="001534C7"/>
    <w:rsid w:val="0016020A"/>
    <w:rsid w:val="00162540"/>
    <w:rsid w:val="00166D18"/>
    <w:rsid w:val="00174BF1"/>
    <w:rsid w:val="00183AA9"/>
    <w:rsid w:val="00184CE3"/>
    <w:rsid w:val="00186301"/>
    <w:rsid w:val="00187816"/>
    <w:rsid w:val="001928BC"/>
    <w:rsid w:val="00192C7A"/>
    <w:rsid w:val="001932ED"/>
    <w:rsid w:val="00193873"/>
    <w:rsid w:val="00194623"/>
    <w:rsid w:val="00194B56"/>
    <w:rsid w:val="001957D1"/>
    <w:rsid w:val="0019718F"/>
    <w:rsid w:val="00197708"/>
    <w:rsid w:val="001A0D22"/>
    <w:rsid w:val="001A24C3"/>
    <w:rsid w:val="001A311D"/>
    <w:rsid w:val="001A4617"/>
    <w:rsid w:val="001B14A2"/>
    <w:rsid w:val="001B221D"/>
    <w:rsid w:val="001B27DB"/>
    <w:rsid w:val="001B636B"/>
    <w:rsid w:val="001B6BC1"/>
    <w:rsid w:val="001C03C5"/>
    <w:rsid w:val="001C0BD1"/>
    <w:rsid w:val="001C12FB"/>
    <w:rsid w:val="001C696D"/>
    <w:rsid w:val="001D298A"/>
    <w:rsid w:val="001D3C5D"/>
    <w:rsid w:val="001D5ADE"/>
    <w:rsid w:val="001E11A4"/>
    <w:rsid w:val="001E316C"/>
    <w:rsid w:val="001E3E91"/>
    <w:rsid w:val="001E4C36"/>
    <w:rsid w:val="001E7324"/>
    <w:rsid w:val="001E74C0"/>
    <w:rsid w:val="001F0EEF"/>
    <w:rsid w:val="001F1743"/>
    <w:rsid w:val="001F5D28"/>
    <w:rsid w:val="00200960"/>
    <w:rsid w:val="00200D32"/>
    <w:rsid w:val="00202E70"/>
    <w:rsid w:val="00204508"/>
    <w:rsid w:val="002072E1"/>
    <w:rsid w:val="00210DB8"/>
    <w:rsid w:val="00211551"/>
    <w:rsid w:val="00213ADD"/>
    <w:rsid w:val="00216AE9"/>
    <w:rsid w:val="002172FF"/>
    <w:rsid w:val="0022614C"/>
    <w:rsid w:val="00231C94"/>
    <w:rsid w:val="00233FE2"/>
    <w:rsid w:val="00242D4A"/>
    <w:rsid w:val="002467DF"/>
    <w:rsid w:val="002469A0"/>
    <w:rsid w:val="00250CB1"/>
    <w:rsid w:val="002540CD"/>
    <w:rsid w:val="0025487A"/>
    <w:rsid w:val="00256444"/>
    <w:rsid w:val="00257D43"/>
    <w:rsid w:val="00262406"/>
    <w:rsid w:val="0026324C"/>
    <w:rsid w:val="00267F71"/>
    <w:rsid w:val="00271698"/>
    <w:rsid w:val="00271ECD"/>
    <w:rsid w:val="00271FAC"/>
    <w:rsid w:val="00281409"/>
    <w:rsid w:val="0028350A"/>
    <w:rsid w:val="0028539E"/>
    <w:rsid w:val="002863EA"/>
    <w:rsid w:val="0029105C"/>
    <w:rsid w:val="00291415"/>
    <w:rsid w:val="00294D29"/>
    <w:rsid w:val="002A282E"/>
    <w:rsid w:val="002A2EBC"/>
    <w:rsid w:val="002B102D"/>
    <w:rsid w:val="002B195D"/>
    <w:rsid w:val="002B4CF1"/>
    <w:rsid w:val="002B5901"/>
    <w:rsid w:val="002B5CD2"/>
    <w:rsid w:val="002C0E13"/>
    <w:rsid w:val="002C126C"/>
    <w:rsid w:val="002C4177"/>
    <w:rsid w:val="002C42C0"/>
    <w:rsid w:val="002C791D"/>
    <w:rsid w:val="002D2E86"/>
    <w:rsid w:val="002D3139"/>
    <w:rsid w:val="002D5E74"/>
    <w:rsid w:val="002D60D5"/>
    <w:rsid w:val="002D640F"/>
    <w:rsid w:val="002E1CCF"/>
    <w:rsid w:val="002F0E3D"/>
    <w:rsid w:val="002F58F4"/>
    <w:rsid w:val="00306A4A"/>
    <w:rsid w:val="00307F47"/>
    <w:rsid w:val="00311306"/>
    <w:rsid w:val="0031170A"/>
    <w:rsid w:val="00311B58"/>
    <w:rsid w:val="00312550"/>
    <w:rsid w:val="003127E8"/>
    <w:rsid w:val="003158BA"/>
    <w:rsid w:val="00316F93"/>
    <w:rsid w:val="00321996"/>
    <w:rsid w:val="0032234E"/>
    <w:rsid w:val="003307B3"/>
    <w:rsid w:val="00330BED"/>
    <w:rsid w:val="00332A24"/>
    <w:rsid w:val="00334EBD"/>
    <w:rsid w:val="00340342"/>
    <w:rsid w:val="00341A61"/>
    <w:rsid w:val="00343E2C"/>
    <w:rsid w:val="003471F6"/>
    <w:rsid w:val="0035108A"/>
    <w:rsid w:val="00351884"/>
    <w:rsid w:val="00354FA2"/>
    <w:rsid w:val="00355358"/>
    <w:rsid w:val="00355BB9"/>
    <w:rsid w:val="0035785E"/>
    <w:rsid w:val="00362053"/>
    <w:rsid w:val="003622B2"/>
    <w:rsid w:val="0037370C"/>
    <w:rsid w:val="003745B9"/>
    <w:rsid w:val="00377CB9"/>
    <w:rsid w:val="00377CCE"/>
    <w:rsid w:val="0038031E"/>
    <w:rsid w:val="00381877"/>
    <w:rsid w:val="00384B44"/>
    <w:rsid w:val="00387E4E"/>
    <w:rsid w:val="00391673"/>
    <w:rsid w:val="003960A0"/>
    <w:rsid w:val="00396FD4"/>
    <w:rsid w:val="003A4A3A"/>
    <w:rsid w:val="003A4C9C"/>
    <w:rsid w:val="003A5188"/>
    <w:rsid w:val="003A5EA1"/>
    <w:rsid w:val="003B0AA5"/>
    <w:rsid w:val="003B151C"/>
    <w:rsid w:val="003B2213"/>
    <w:rsid w:val="003B43E4"/>
    <w:rsid w:val="003B78DF"/>
    <w:rsid w:val="003C16C3"/>
    <w:rsid w:val="003C2298"/>
    <w:rsid w:val="003C32B4"/>
    <w:rsid w:val="003C55E3"/>
    <w:rsid w:val="003D032A"/>
    <w:rsid w:val="003D7772"/>
    <w:rsid w:val="003D7AD3"/>
    <w:rsid w:val="003D7C63"/>
    <w:rsid w:val="003E6351"/>
    <w:rsid w:val="003E7C9A"/>
    <w:rsid w:val="003F3477"/>
    <w:rsid w:val="003F4C10"/>
    <w:rsid w:val="003F4E47"/>
    <w:rsid w:val="00402832"/>
    <w:rsid w:val="00411267"/>
    <w:rsid w:val="0041212A"/>
    <w:rsid w:val="00413AF5"/>
    <w:rsid w:val="00414D4D"/>
    <w:rsid w:val="00421334"/>
    <w:rsid w:val="00423A1A"/>
    <w:rsid w:val="0042573C"/>
    <w:rsid w:val="00431A0B"/>
    <w:rsid w:val="004355FF"/>
    <w:rsid w:val="00442BCB"/>
    <w:rsid w:val="00443995"/>
    <w:rsid w:val="00444B8D"/>
    <w:rsid w:val="00444D05"/>
    <w:rsid w:val="00450DFB"/>
    <w:rsid w:val="00451017"/>
    <w:rsid w:val="00454274"/>
    <w:rsid w:val="00456392"/>
    <w:rsid w:val="00457039"/>
    <w:rsid w:val="004619EB"/>
    <w:rsid w:val="00462664"/>
    <w:rsid w:val="004667B3"/>
    <w:rsid w:val="004674CF"/>
    <w:rsid w:val="00470C92"/>
    <w:rsid w:val="0047639F"/>
    <w:rsid w:val="004820CD"/>
    <w:rsid w:val="00482843"/>
    <w:rsid w:val="0049432A"/>
    <w:rsid w:val="0049438E"/>
    <w:rsid w:val="0049588B"/>
    <w:rsid w:val="004A063D"/>
    <w:rsid w:val="004A31B2"/>
    <w:rsid w:val="004A5700"/>
    <w:rsid w:val="004A7B48"/>
    <w:rsid w:val="004B2357"/>
    <w:rsid w:val="004C27E8"/>
    <w:rsid w:val="004C6CBB"/>
    <w:rsid w:val="004D025B"/>
    <w:rsid w:val="004D27D3"/>
    <w:rsid w:val="004F485B"/>
    <w:rsid w:val="004F4DF2"/>
    <w:rsid w:val="004F61BF"/>
    <w:rsid w:val="005008EC"/>
    <w:rsid w:val="00507930"/>
    <w:rsid w:val="0051129C"/>
    <w:rsid w:val="00524D64"/>
    <w:rsid w:val="005250FA"/>
    <w:rsid w:val="00525817"/>
    <w:rsid w:val="00530DFA"/>
    <w:rsid w:val="005313E1"/>
    <w:rsid w:val="00533B18"/>
    <w:rsid w:val="00535890"/>
    <w:rsid w:val="0054241A"/>
    <w:rsid w:val="00542CF2"/>
    <w:rsid w:val="005431C0"/>
    <w:rsid w:val="005459A2"/>
    <w:rsid w:val="00546600"/>
    <w:rsid w:val="005557D0"/>
    <w:rsid w:val="00557D18"/>
    <w:rsid w:val="00561508"/>
    <w:rsid w:val="00562425"/>
    <w:rsid w:val="0056750B"/>
    <w:rsid w:val="00570438"/>
    <w:rsid w:val="005708F5"/>
    <w:rsid w:val="00572A9E"/>
    <w:rsid w:val="00572C22"/>
    <w:rsid w:val="0057685B"/>
    <w:rsid w:val="00577409"/>
    <w:rsid w:val="005852A3"/>
    <w:rsid w:val="00585F51"/>
    <w:rsid w:val="0058640B"/>
    <w:rsid w:val="00593725"/>
    <w:rsid w:val="00593A13"/>
    <w:rsid w:val="00593E48"/>
    <w:rsid w:val="005A0B9B"/>
    <w:rsid w:val="005A4413"/>
    <w:rsid w:val="005B091F"/>
    <w:rsid w:val="005B36AB"/>
    <w:rsid w:val="005B3B6F"/>
    <w:rsid w:val="005C0232"/>
    <w:rsid w:val="005C143F"/>
    <w:rsid w:val="005C2102"/>
    <w:rsid w:val="005C5A58"/>
    <w:rsid w:val="005D060D"/>
    <w:rsid w:val="005E0527"/>
    <w:rsid w:val="005E7CCD"/>
    <w:rsid w:val="005F2C75"/>
    <w:rsid w:val="00603E68"/>
    <w:rsid w:val="00605A36"/>
    <w:rsid w:val="006102CF"/>
    <w:rsid w:val="00613A49"/>
    <w:rsid w:val="00613F74"/>
    <w:rsid w:val="00615AFB"/>
    <w:rsid w:val="00622D3A"/>
    <w:rsid w:val="00625713"/>
    <w:rsid w:val="00625B16"/>
    <w:rsid w:val="00634B9E"/>
    <w:rsid w:val="00643ACB"/>
    <w:rsid w:val="00643EC2"/>
    <w:rsid w:val="0065460E"/>
    <w:rsid w:val="00654A6C"/>
    <w:rsid w:val="00655A84"/>
    <w:rsid w:val="00655AAE"/>
    <w:rsid w:val="006560A5"/>
    <w:rsid w:val="006570C7"/>
    <w:rsid w:val="00660A49"/>
    <w:rsid w:val="00661A24"/>
    <w:rsid w:val="00662FD8"/>
    <w:rsid w:val="00664108"/>
    <w:rsid w:val="006740C8"/>
    <w:rsid w:val="00674AF8"/>
    <w:rsid w:val="0067550D"/>
    <w:rsid w:val="006858FC"/>
    <w:rsid w:val="00685A1C"/>
    <w:rsid w:val="006870D0"/>
    <w:rsid w:val="006907DD"/>
    <w:rsid w:val="00692CD9"/>
    <w:rsid w:val="0069306F"/>
    <w:rsid w:val="00693EE8"/>
    <w:rsid w:val="00696C3D"/>
    <w:rsid w:val="006974F4"/>
    <w:rsid w:val="006A34AE"/>
    <w:rsid w:val="006A5C7C"/>
    <w:rsid w:val="006B03F2"/>
    <w:rsid w:val="006B6F71"/>
    <w:rsid w:val="006C0189"/>
    <w:rsid w:val="006C2F68"/>
    <w:rsid w:val="006C5150"/>
    <w:rsid w:val="006C55D2"/>
    <w:rsid w:val="006E1E5C"/>
    <w:rsid w:val="006E2576"/>
    <w:rsid w:val="006E3BCD"/>
    <w:rsid w:val="006E43DD"/>
    <w:rsid w:val="006E6C05"/>
    <w:rsid w:val="006E75DA"/>
    <w:rsid w:val="006F10CF"/>
    <w:rsid w:val="006F65A3"/>
    <w:rsid w:val="006F7B4D"/>
    <w:rsid w:val="0070142E"/>
    <w:rsid w:val="00705B94"/>
    <w:rsid w:val="007219D8"/>
    <w:rsid w:val="0072662D"/>
    <w:rsid w:val="0073256F"/>
    <w:rsid w:val="007349C7"/>
    <w:rsid w:val="00742D63"/>
    <w:rsid w:val="007436CF"/>
    <w:rsid w:val="00745BF5"/>
    <w:rsid w:val="00745FD3"/>
    <w:rsid w:val="00746842"/>
    <w:rsid w:val="0074688E"/>
    <w:rsid w:val="00746CE8"/>
    <w:rsid w:val="007473ED"/>
    <w:rsid w:val="0074763A"/>
    <w:rsid w:val="00750981"/>
    <w:rsid w:val="00754B31"/>
    <w:rsid w:val="00755297"/>
    <w:rsid w:val="00755DFF"/>
    <w:rsid w:val="00756656"/>
    <w:rsid w:val="007634F3"/>
    <w:rsid w:val="00767045"/>
    <w:rsid w:val="00772EA9"/>
    <w:rsid w:val="007732B0"/>
    <w:rsid w:val="0077598D"/>
    <w:rsid w:val="00776F60"/>
    <w:rsid w:val="00777D84"/>
    <w:rsid w:val="00781213"/>
    <w:rsid w:val="00782412"/>
    <w:rsid w:val="00791F55"/>
    <w:rsid w:val="00793D6F"/>
    <w:rsid w:val="0079409A"/>
    <w:rsid w:val="0079792F"/>
    <w:rsid w:val="00797DAF"/>
    <w:rsid w:val="007A1BCE"/>
    <w:rsid w:val="007A21D4"/>
    <w:rsid w:val="007A2E0D"/>
    <w:rsid w:val="007A38F7"/>
    <w:rsid w:val="007A4439"/>
    <w:rsid w:val="007A5E9C"/>
    <w:rsid w:val="007A63A0"/>
    <w:rsid w:val="007A7A6C"/>
    <w:rsid w:val="007B04D9"/>
    <w:rsid w:val="007B22F1"/>
    <w:rsid w:val="007B4290"/>
    <w:rsid w:val="007B4E3F"/>
    <w:rsid w:val="007C3166"/>
    <w:rsid w:val="007C4AB8"/>
    <w:rsid w:val="007C4AE7"/>
    <w:rsid w:val="007D2E46"/>
    <w:rsid w:val="007D3E4D"/>
    <w:rsid w:val="007E1E55"/>
    <w:rsid w:val="007F0143"/>
    <w:rsid w:val="007F0506"/>
    <w:rsid w:val="007F0D8A"/>
    <w:rsid w:val="007F0F1C"/>
    <w:rsid w:val="007F38AA"/>
    <w:rsid w:val="007F39D6"/>
    <w:rsid w:val="007F5AE4"/>
    <w:rsid w:val="00800DDA"/>
    <w:rsid w:val="008027B6"/>
    <w:rsid w:val="00803C45"/>
    <w:rsid w:val="008068A4"/>
    <w:rsid w:val="00814D40"/>
    <w:rsid w:val="00823C42"/>
    <w:rsid w:val="0082564D"/>
    <w:rsid w:val="0083698F"/>
    <w:rsid w:val="00841128"/>
    <w:rsid w:val="008509EA"/>
    <w:rsid w:val="008514EA"/>
    <w:rsid w:val="00856A6F"/>
    <w:rsid w:val="00857097"/>
    <w:rsid w:val="00861F45"/>
    <w:rsid w:val="00866865"/>
    <w:rsid w:val="008734BF"/>
    <w:rsid w:val="00877646"/>
    <w:rsid w:val="008802F1"/>
    <w:rsid w:val="008813C5"/>
    <w:rsid w:val="00894A7B"/>
    <w:rsid w:val="00895F1E"/>
    <w:rsid w:val="008A22CC"/>
    <w:rsid w:val="008A2601"/>
    <w:rsid w:val="008A2AAC"/>
    <w:rsid w:val="008A3577"/>
    <w:rsid w:val="008A4AE7"/>
    <w:rsid w:val="008A541D"/>
    <w:rsid w:val="008A5D51"/>
    <w:rsid w:val="008A6023"/>
    <w:rsid w:val="008A612B"/>
    <w:rsid w:val="008B07E7"/>
    <w:rsid w:val="008B2319"/>
    <w:rsid w:val="008B381D"/>
    <w:rsid w:val="008B3D5D"/>
    <w:rsid w:val="008B770D"/>
    <w:rsid w:val="008C30A0"/>
    <w:rsid w:val="008C5166"/>
    <w:rsid w:val="008C73CC"/>
    <w:rsid w:val="008D278D"/>
    <w:rsid w:val="008D30E4"/>
    <w:rsid w:val="008D3934"/>
    <w:rsid w:val="008D4F92"/>
    <w:rsid w:val="008D75F2"/>
    <w:rsid w:val="008D783D"/>
    <w:rsid w:val="008E0539"/>
    <w:rsid w:val="008E060D"/>
    <w:rsid w:val="008E33CE"/>
    <w:rsid w:val="008F2216"/>
    <w:rsid w:val="008F23A5"/>
    <w:rsid w:val="00907529"/>
    <w:rsid w:val="00907F4E"/>
    <w:rsid w:val="00910A6E"/>
    <w:rsid w:val="0091147B"/>
    <w:rsid w:val="00912F2E"/>
    <w:rsid w:val="00913039"/>
    <w:rsid w:val="0091463B"/>
    <w:rsid w:val="009161AA"/>
    <w:rsid w:val="00917ACB"/>
    <w:rsid w:val="00925DE8"/>
    <w:rsid w:val="00933044"/>
    <w:rsid w:val="00933A13"/>
    <w:rsid w:val="009361A3"/>
    <w:rsid w:val="00936DBC"/>
    <w:rsid w:val="00952801"/>
    <w:rsid w:val="00953EC9"/>
    <w:rsid w:val="00957A14"/>
    <w:rsid w:val="00960896"/>
    <w:rsid w:val="00963D2A"/>
    <w:rsid w:val="00964E2D"/>
    <w:rsid w:val="00966BB4"/>
    <w:rsid w:val="00966DD6"/>
    <w:rsid w:val="00971389"/>
    <w:rsid w:val="00971AD7"/>
    <w:rsid w:val="00972425"/>
    <w:rsid w:val="00972C72"/>
    <w:rsid w:val="00973DB8"/>
    <w:rsid w:val="0097474C"/>
    <w:rsid w:val="009805F4"/>
    <w:rsid w:val="00985101"/>
    <w:rsid w:val="00985260"/>
    <w:rsid w:val="00986892"/>
    <w:rsid w:val="00986DF6"/>
    <w:rsid w:val="0099283D"/>
    <w:rsid w:val="00992D74"/>
    <w:rsid w:val="00992F75"/>
    <w:rsid w:val="00993F30"/>
    <w:rsid w:val="009950E9"/>
    <w:rsid w:val="009A2704"/>
    <w:rsid w:val="009A3BD7"/>
    <w:rsid w:val="009A763E"/>
    <w:rsid w:val="009B0596"/>
    <w:rsid w:val="009B14A4"/>
    <w:rsid w:val="009B2D3F"/>
    <w:rsid w:val="009B53A4"/>
    <w:rsid w:val="009B7F1D"/>
    <w:rsid w:val="009C3452"/>
    <w:rsid w:val="009C7696"/>
    <w:rsid w:val="009D034C"/>
    <w:rsid w:val="009D5907"/>
    <w:rsid w:val="009D703E"/>
    <w:rsid w:val="009E1BBC"/>
    <w:rsid w:val="009E1E8A"/>
    <w:rsid w:val="009E241A"/>
    <w:rsid w:val="009E2660"/>
    <w:rsid w:val="009E2B44"/>
    <w:rsid w:val="009E4303"/>
    <w:rsid w:val="009E4A7F"/>
    <w:rsid w:val="009E67C1"/>
    <w:rsid w:val="009F056B"/>
    <w:rsid w:val="009F5578"/>
    <w:rsid w:val="009F7CA2"/>
    <w:rsid w:val="00A01621"/>
    <w:rsid w:val="00A01E27"/>
    <w:rsid w:val="00A02993"/>
    <w:rsid w:val="00A047E6"/>
    <w:rsid w:val="00A0547C"/>
    <w:rsid w:val="00A069D8"/>
    <w:rsid w:val="00A15E24"/>
    <w:rsid w:val="00A1675D"/>
    <w:rsid w:val="00A21AA2"/>
    <w:rsid w:val="00A23AC6"/>
    <w:rsid w:val="00A25F2C"/>
    <w:rsid w:val="00A26F98"/>
    <w:rsid w:val="00A36050"/>
    <w:rsid w:val="00A36DFC"/>
    <w:rsid w:val="00A41687"/>
    <w:rsid w:val="00A46A27"/>
    <w:rsid w:val="00A5467B"/>
    <w:rsid w:val="00A54FEC"/>
    <w:rsid w:val="00A616BB"/>
    <w:rsid w:val="00A63CF8"/>
    <w:rsid w:val="00A720FF"/>
    <w:rsid w:val="00A72C81"/>
    <w:rsid w:val="00A7331E"/>
    <w:rsid w:val="00A73BBB"/>
    <w:rsid w:val="00A73CBF"/>
    <w:rsid w:val="00A7530A"/>
    <w:rsid w:val="00A830BA"/>
    <w:rsid w:val="00A8753E"/>
    <w:rsid w:val="00A90EF7"/>
    <w:rsid w:val="00A9163F"/>
    <w:rsid w:val="00A91831"/>
    <w:rsid w:val="00A92784"/>
    <w:rsid w:val="00A95B1C"/>
    <w:rsid w:val="00A967EE"/>
    <w:rsid w:val="00A97DCD"/>
    <w:rsid w:val="00AA1E58"/>
    <w:rsid w:val="00AA55D5"/>
    <w:rsid w:val="00AA7687"/>
    <w:rsid w:val="00AB0184"/>
    <w:rsid w:val="00AB0DF5"/>
    <w:rsid w:val="00AB141F"/>
    <w:rsid w:val="00AB2D26"/>
    <w:rsid w:val="00AB2F8D"/>
    <w:rsid w:val="00AB41BB"/>
    <w:rsid w:val="00AC0D79"/>
    <w:rsid w:val="00AC4E47"/>
    <w:rsid w:val="00AC5B07"/>
    <w:rsid w:val="00AC71B3"/>
    <w:rsid w:val="00AC7E21"/>
    <w:rsid w:val="00AD07F5"/>
    <w:rsid w:val="00AD3A93"/>
    <w:rsid w:val="00AD47BF"/>
    <w:rsid w:val="00AD53F7"/>
    <w:rsid w:val="00AD5BE4"/>
    <w:rsid w:val="00AE0E79"/>
    <w:rsid w:val="00AE1404"/>
    <w:rsid w:val="00AE29ED"/>
    <w:rsid w:val="00AE3D92"/>
    <w:rsid w:val="00AE6D48"/>
    <w:rsid w:val="00AE7C84"/>
    <w:rsid w:val="00AF27E6"/>
    <w:rsid w:val="00B04681"/>
    <w:rsid w:val="00B11F65"/>
    <w:rsid w:val="00B12F45"/>
    <w:rsid w:val="00B1307A"/>
    <w:rsid w:val="00B1382B"/>
    <w:rsid w:val="00B148EA"/>
    <w:rsid w:val="00B152CA"/>
    <w:rsid w:val="00B20E48"/>
    <w:rsid w:val="00B310CC"/>
    <w:rsid w:val="00B31480"/>
    <w:rsid w:val="00B35F69"/>
    <w:rsid w:val="00B41231"/>
    <w:rsid w:val="00B428EB"/>
    <w:rsid w:val="00B45D66"/>
    <w:rsid w:val="00B56FBA"/>
    <w:rsid w:val="00B6087F"/>
    <w:rsid w:val="00B622DF"/>
    <w:rsid w:val="00B64AF2"/>
    <w:rsid w:val="00B71044"/>
    <w:rsid w:val="00B740EE"/>
    <w:rsid w:val="00B768C8"/>
    <w:rsid w:val="00B77AC8"/>
    <w:rsid w:val="00B80A20"/>
    <w:rsid w:val="00B81986"/>
    <w:rsid w:val="00B83D80"/>
    <w:rsid w:val="00B85302"/>
    <w:rsid w:val="00B8577C"/>
    <w:rsid w:val="00BA0286"/>
    <w:rsid w:val="00BA0455"/>
    <w:rsid w:val="00BA627D"/>
    <w:rsid w:val="00BB2A39"/>
    <w:rsid w:val="00BB3DD7"/>
    <w:rsid w:val="00BB5743"/>
    <w:rsid w:val="00BB6BA5"/>
    <w:rsid w:val="00BB7A55"/>
    <w:rsid w:val="00BC2E3C"/>
    <w:rsid w:val="00BC3F4C"/>
    <w:rsid w:val="00BC5770"/>
    <w:rsid w:val="00BC6E1D"/>
    <w:rsid w:val="00BC7FED"/>
    <w:rsid w:val="00BD326C"/>
    <w:rsid w:val="00BD336D"/>
    <w:rsid w:val="00BD49B5"/>
    <w:rsid w:val="00BD53C3"/>
    <w:rsid w:val="00BD7CE8"/>
    <w:rsid w:val="00BE1D68"/>
    <w:rsid w:val="00BE49EC"/>
    <w:rsid w:val="00BE76CE"/>
    <w:rsid w:val="00BF3300"/>
    <w:rsid w:val="00BF6481"/>
    <w:rsid w:val="00BF7A12"/>
    <w:rsid w:val="00C06C3C"/>
    <w:rsid w:val="00C109CC"/>
    <w:rsid w:val="00C12837"/>
    <w:rsid w:val="00C15983"/>
    <w:rsid w:val="00C217C6"/>
    <w:rsid w:val="00C26380"/>
    <w:rsid w:val="00C317FD"/>
    <w:rsid w:val="00C3197A"/>
    <w:rsid w:val="00C33B6F"/>
    <w:rsid w:val="00C35CFE"/>
    <w:rsid w:val="00C41054"/>
    <w:rsid w:val="00C42F0A"/>
    <w:rsid w:val="00C54B50"/>
    <w:rsid w:val="00C57BC1"/>
    <w:rsid w:val="00C60262"/>
    <w:rsid w:val="00C61D9C"/>
    <w:rsid w:val="00C63340"/>
    <w:rsid w:val="00C649EC"/>
    <w:rsid w:val="00C7253B"/>
    <w:rsid w:val="00C72D44"/>
    <w:rsid w:val="00C74692"/>
    <w:rsid w:val="00C74F82"/>
    <w:rsid w:val="00C77338"/>
    <w:rsid w:val="00C802C0"/>
    <w:rsid w:val="00C8098C"/>
    <w:rsid w:val="00C81D36"/>
    <w:rsid w:val="00C83E03"/>
    <w:rsid w:val="00C84855"/>
    <w:rsid w:val="00C86EF3"/>
    <w:rsid w:val="00C87146"/>
    <w:rsid w:val="00C878B3"/>
    <w:rsid w:val="00C91FCE"/>
    <w:rsid w:val="00CA2C94"/>
    <w:rsid w:val="00CA38AB"/>
    <w:rsid w:val="00CA62C7"/>
    <w:rsid w:val="00CB2785"/>
    <w:rsid w:val="00CB2CE8"/>
    <w:rsid w:val="00CB413A"/>
    <w:rsid w:val="00CB4373"/>
    <w:rsid w:val="00CB55D2"/>
    <w:rsid w:val="00CB791C"/>
    <w:rsid w:val="00CC2D9B"/>
    <w:rsid w:val="00CC3DD2"/>
    <w:rsid w:val="00CC4B11"/>
    <w:rsid w:val="00CC7E20"/>
    <w:rsid w:val="00CD00B6"/>
    <w:rsid w:val="00CD7018"/>
    <w:rsid w:val="00CE0EEB"/>
    <w:rsid w:val="00CE2D3E"/>
    <w:rsid w:val="00CF07A2"/>
    <w:rsid w:val="00CF6E5D"/>
    <w:rsid w:val="00D02050"/>
    <w:rsid w:val="00D022FA"/>
    <w:rsid w:val="00D03881"/>
    <w:rsid w:val="00D04576"/>
    <w:rsid w:val="00D05363"/>
    <w:rsid w:val="00D05503"/>
    <w:rsid w:val="00D07108"/>
    <w:rsid w:val="00D07FD7"/>
    <w:rsid w:val="00D1170B"/>
    <w:rsid w:val="00D11967"/>
    <w:rsid w:val="00D11A25"/>
    <w:rsid w:val="00D128C4"/>
    <w:rsid w:val="00D14984"/>
    <w:rsid w:val="00D1766A"/>
    <w:rsid w:val="00D263D4"/>
    <w:rsid w:val="00D31A68"/>
    <w:rsid w:val="00D322BC"/>
    <w:rsid w:val="00D32647"/>
    <w:rsid w:val="00D32AC5"/>
    <w:rsid w:val="00D32E89"/>
    <w:rsid w:val="00D35BCC"/>
    <w:rsid w:val="00D36A02"/>
    <w:rsid w:val="00D43432"/>
    <w:rsid w:val="00D504E8"/>
    <w:rsid w:val="00D55D57"/>
    <w:rsid w:val="00D56A8A"/>
    <w:rsid w:val="00D60B24"/>
    <w:rsid w:val="00D61A37"/>
    <w:rsid w:val="00D65EF1"/>
    <w:rsid w:val="00D660A4"/>
    <w:rsid w:val="00D66D7C"/>
    <w:rsid w:val="00D672FB"/>
    <w:rsid w:val="00D67FE7"/>
    <w:rsid w:val="00D703D7"/>
    <w:rsid w:val="00D7057F"/>
    <w:rsid w:val="00D706D4"/>
    <w:rsid w:val="00D708EB"/>
    <w:rsid w:val="00D73949"/>
    <w:rsid w:val="00D74270"/>
    <w:rsid w:val="00D81A5B"/>
    <w:rsid w:val="00D82218"/>
    <w:rsid w:val="00D84EAD"/>
    <w:rsid w:val="00D86D62"/>
    <w:rsid w:val="00D9385B"/>
    <w:rsid w:val="00D97264"/>
    <w:rsid w:val="00DA026A"/>
    <w:rsid w:val="00DA35FB"/>
    <w:rsid w:val="00DA3883"/>
    <w:rsid w:val="00DA3C88"/>
    <w:rsid w:val="00DA4A32"/>
    <w:rsid w:val="00DA5567"/>
    <w:rsid w:val="00DB25E0"/>
    <w:rsid w:val="00DB4147"/>
    <w:rsid w:val="00DC04A8"/>
    <w:rsid w:val="00DC21ED"/>
    <w:rsid w:val="00DC3F76"/>
    <w:rsid w:val="00DD0D14"/>
    <w:rsid w:val="00DD1FD3"/>
    <w:rsid w:val="00DD3627"/>
    <w:rsid w:val="00DD5B0B"/>
    <w:rsid w:val="00DE0430"/>
    <w:rsid w:val="00DE2954"/>
    <w:rsid w:val="00DE69DF"/>
    <w:rsid w:val="00DF1319"/>
    <w:rsid w:val="00DF14F6"/>
    <w:rsid w:val="00DF1FA9"/>
    <w:rsid w:val="00DF2793"/>
    <w:rsid w:val="00E02E56"/>
    <w:rsid w:val="00E036B3"/>
    <w:rsid w:val="00E04C6B"/>
    <w:rsid w:val="00E1031F"/>
    <w:rsid w:val="00E14B47"/>
    <w:rsid w:val="00E16073"/>
    <w:rsid w:val="00E1735D"/>
    <w:rsid w:val="00E2262A"/>
    <w:rsid w:val="00E228F8"/>
    <w:rsid w:val="00E24149"/>
    <w:rsid w:val="00E24167"/>
    <w:rsid w:val="00E24DFA"/>
    <w:rsid w:val="00E24E76"/>
    <w:rsid w:val="00E3126F"/>
    <w:rsid w:val="00E323BC"/>
    <w:rsid w:val="00E34238"/>
    <w:rsid w:val="00E442F6"/>
    <w:rsid w:val="00E473E8"/>
    <w:rsid w:val="00E533E5"/>
    <w:rsid w:val="00E53C10"/>
    <w:rsid w:val="00E55505"/>
    <w:rsid w:val="00E5600D"/>
    <w:rsid w:val="00E601FE"/>
    <w:rsid w:val="00E6560B"/>
    <w:rsid w:val="00E66A2E"/>
    <w:rsid w:val="00E66C89"/>
    <w:rsid w:val="00E715B5"/>
    <w:rsid w:val="00E7197F"/>
    <w:rsid w:val="00E77A59"/>
    <w:rsid w:val="00E804C3"/>
    <w:rsid w:val="00E8078D"/>
    <w:rsid w:val="00E81E78"/>
    <w:rsid w:val="00E82852"/>
    <w:rsid w:val="00E83B46"/>
    <w:rsid w:val="00E8536D"/>
    <w:rsid w:val="00E872CF"/>
    <w:rsid w:val="00E90383"/>
    <w:rsid w:val="00E906F7"/>
    <w:rsid w:val="00E92449"/>
    <w:rsid w:val="00E928D1"/>
    <w:rsid w:val="00E9429E"/>
    <w:rsid w:val="00EA1AAF"/>
    <w:rsid w:val="00EA1EA7"/>
    <w:rsid w:val="00EA3348"/>
    <w:rsid w:val="00EA445E"/>
    <w:rsid w:val="00EA7E05"/>
    <w:rsid w:val="00EB01B8"/>
    <w:rsid w:val="00EB2875"/>
    <w:rsid w:val="00EB3331"/>
    <w:rsid w:val="00EB4247"/>
    <w:rsid w:val="00EC2382"/>
    <w:rsid w:val="00EC5F77"/>
    <w:rsid w:val="00EC6EB1"/>
    <w:rsid w:val="00EC777A"/>
    <w:rsid w:val="00ED0B9E"/>
    <w:rsid w:val="00ED3425"/>
    <w:rsid w:val="00ED71B5"/>
    <w:rsid w:val="00ED7FC0"/>
    <w:rsid w:val="00EE09C2"/>
    <w:rsid w:val="00EE0D1C"/>
    <w:rsid w:val="00EE38CA"/>
    <w:rsid w:val="00EE485C"/>
    <w:rsid w:val="00EE5088"/>
    <w:rsid w:val="00EE5B15"/>
    <w:rsid w:val="00EF08B7"/>
    <w:rsid w:val="00EF37C4"/>
    <w:rsid w:val="00EF6C24"/>
    <w:rsid w:val="00EF6E6D"/>
    <w:rsid w:val="00EF71F7"/>
    <w:rsid w:val="00F040B4"/>
    <w:rsid w:val="00F04DA0"/>
    <w:rsid w:val="00F179B3"/>
    <w:rsid w:val="00F17C6F"/>
    <w:rsid w:val="00F20069"/>
    <w:rsid w:val="00F20D92"/>
    <w:rsid w:val="00F23B51"/>
    <w:rsid w:val="00F26F62"/>
    <w:rsid w:val="00F44D08"/>
    <w:rsid w:val="00F45AA8"/>
    <w:rsid w:val="00F45F80"/>
    <w:rsid w:val="00F55D47"/>
    <w:rsid w:val="00F6400A"/>
    <w:rsid w:val="00F6630E"/>
    <w:rsid w:val="00F67EA4"/>
    <w:rsid w:val="00F71206"/>
    <w:rsid w:val="00F756E2"/>
    <w:rsid w:val="00F758E3"/>
    <w:rsid w:val="00F76DFB"/>
    <w:rsid w:val="00F771E3"/>
    <w:rsid w:val="00F7769A"/>
    <w:rsid w:val="00F82D69"/>
    <w:rsid w:val="00F831CB"/>
    <w:rsid w:val="00F847BC"/>
    <w:rsid w:val="00F85873"/>
    <w:rsid w:val="00F917FD"/>
    <w:rsid w:val="00FA01B7"/>
    <w:rsid w:val="00FA5123"/>
    <w:rsid w:val="00FA5CA9"/>
    <w:rsid w:val="00FA6AA5"/>
    <w:rsid w:val="00FB1981"/>
    <w:rsid w:val="00FB6845"/>
    <w:rsid w:val="00FC3A5C"/>
    <w:rsid w:val="00FC40E2"/>
    <w:rsid w:val="00FC62DF"/>
    <w:rsid w:val="00FD034B"/>
    <w:rsid w:val="00FD0D49"/>
    <w:rsid w:val="00FD1722"/>
    <w:rsid w:val="00FD41C6"/>
    <w:rsid w:val="00FD7901"/>
    <w:rsid w:val="00FE4830"/>
    <w:rsid w:val="00FE4F30"/>
    <w:rsid w:val="00FE7629"/>
    <w:rsid w:val="00FF000A"/>
    <w:rsid w:val="00FF36F8"/>
    <w:rsid w:val="00FF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hapeDefaults>
    <o:shapedefaults v:ext="edit" spidmax="2050"/>
    <o:shapelayout v:ext="edit">
      <o:idmap v:ext="edit" data="2"/>
    </o:shapelayout>
  </w:shapeDefaults>
  <w:decimalSymbol w:val=","/>
  <w:listSeparator w:val=";"/>
  <w14:docId w14:val="1B856F64"/>
  <w15:chartTrackingRefBased/>
  <w15:docId w15:val="{9B6E9F60-D940-430E-AF9F-CBA850A2F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072E1"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6907DD"/>
    <w:pPr>
      <w:keepNext/>
      <w:widowControl w:val="0"/>
      <w:tabs>
        <w:tab w:val="left" w:pos="-1440"/>
        <w:tab w:val="left" w:pos="-720"/>
      </w:tabs>
      <w:spacing w:after="0" w:line="240" w:lineRule="auto"/>
      <w:ind w:left="720"/>
      <w:outlineLvl w:val="0"/>
    </w:pPr>
    <w:rPr>
      <w:rFonts w:ascii="Arial" w:eastAsia="Times New Roman" w:hAnsi="Arial"/>
      <w:i/>
      <w:iCs/>
      <w:sz w:val="20"/>
      <w:szCs w:val="20"/>
      <w:lang w:val="nl-NL" w:eastAsia="x-none"/>
    </w:rPr>
  </w:style>
  <w:style w:type="paragraph" w:styleId="Cmsor2">
    <w:name w:val="heading 2"/>
    <w:basedOn w:val="Norml"/>
    <w:next w:val="Norml"/>
    <w:link w:val="Cmsor2Char"/>
    <w:qFormat/>
    <w:rsid w:val="006907DD"/>
    <w:pPr>
      <w:keepNext/>
      <w:widowControl w:val="0"/>
      <w:tabs>
        <w:tab w:val="left" w:pos="-1440"/>
        <w:tab w:val="left" w:pos="-720"/>
      </w:tabs>
      <w:spacing w:after="0" w:line="240" w:lineRule="auto"/>
      <w:ind w:left="720"/>
      <w:outlineLvl w:val="1"/>
    </w:pPr>
    <w:rPr>
      <w:rFonts w:ascii="Arial" w:eastAsia="Times New Roman" w:hAnsi="Arial"/>
      <w:sz w:val="20"/>
      <w:szCs w:val="20"/>
      <w:u w:val="single"/>
      <w:lang w:val="nl-NL" w:eastAsia="x-none"/>
    </w:rPr>
  </w:style>
  <w:style w:type="paragraph" w:styleId="Cmsor3">
    <w:name w:val="heading 3"/>
    <w:basedOn w:val="Norml"/>
    <w:next w:val="Norml"/>
    <w:link w:val="Cmsor3Char"/>
    <w:qFormat/>
    <w:rsid w:val="006907DD"/>
    <w:pPr>
      <w:keepNext/>
      <w:widowControl w:val="0"/>
      <w:tabs>
        <w:tab w:val="left" w:pos="-1440"/>
        <w:tab w:val="left" w:pos="-720"/>
      </w:tabs>
      <w:spacing w:after="0" w:line="240" w:lineRule="auto"/>
      <w:outlineLvl w:val="2"/>
    </w:pPr>
    <w:rPr>
      <w:rFonts w:ascii="Arial" w:eastAsia="Times New Roman" w:hAnsi="Arial"/>
      <w:i/>
      <w:iCs/>
      <w:sz w:val="20"/>
      <w:szCs w:val="20"/>
      <w:lang w:val="nl-NL" w:eastAsia="x-none"/>
    </w:rPr>
  </w:style>
  <w:style w:type="paragraph" w:styleId="Cmsor4">
    <w:name w:val="heading 4"/>
    <w:basedOn w:val="Norml"/>
    <w:next w:val="Norml"/>
    <w:link w:val="Cmsor4Char"/>
    <w:qFormat/>
    <w:rsid w:val="006907DD"/>
    <w:pPr>
      <w:keepNext/>
      <w:widowControl w:val="0"/>
      <w:tabs>
        <w:tab w:val="left" w:pos="-1440"/>
        <w:tab w:val="left" w:pos="-720"/>
      </w:tabs>
      <w:spacing w:after="0" w:line="240" w:lineRule="auto"/>
      <w:outlineLvl w:val="3"/>
    </w:pPr>
    <w:rPr>
      <w:rFonts w:ascii="Arial" w:eastAsia="Times New Roman" w:hAnsi="Arial"/>
      <w:sz w:val="20"/>
      <w:szCs w:val="20"/>
      <w:u w:val="single"/>
      <w:lang w:val="nl-NL" w:eastAsia="x-none"/>
    </w:rPr>
  </w:style>
  <w:style w:type="paragraph" w:styleId="Cmsor5">
    <w:name w:val="heading 5"/>
    <w:basedOn w:val="Norml"/>
    <w:next w:val="Norml"/>
    <w:link w:val="Cmsor5Char"/>
    <w:qFormat/>
    <w:rsid w:val="006907DD"/>
    <w:pPr>
      <w:keepNext/>
      <w:widowControl w:val="0"/>
      <w:tabs>
        <w:tab w:val="left" w:pos="-1440"/>
        <w:tab w:val="left" w:pos="-720"/>
      </w:tabs>
      <w:spacing w:after="0" w:line="240" w:lineRule="auto"/>
      <w:ind w:left="709"/>
      <w:jc w:val="both"/>
      <w:outlineLvl w:val="4"/>
    </w:pPr>
    <w:rPr>
      <w:rFonts w:ascii="Arial" w:eastAsia="Times New Roman" w:hAnsi="Arial"/>
      <w:sz w:val="20"/>
      <w:szCs w:val="20"/>
      <w:u w:val="single"/>
      <w:lang w:val="nl-NL" w:eastAsia="x-none"/>
    </w:rPr>
  </w:style>
  <w:style w:type="paragraph" w:styleId="Cmsor6">
    <w:name w:val="heading 6"/>
    <w:basedOn w:val="Norml"/>
    <w:next w:val="Norml"/>
    <w:link w:val="Cmsor6Char"/>
    <w:qFormat/>
    <w:rsid w:val="006907DD"/>
    <w:pPr>
      <w:keepNext/>
      <w:widowControl w:val="0"/>
      <w:spacing w:after="0" w:line="240" w:lineRule="auto"/>
      <w:ind w:left="709" w:firstLine="11"/>
      <w:outlineLvl w:val="5"/>
    </w:pPr>
    <w:rPr>
      <w:rFonts w:ascii="Arial" w:eastAsia="Times New Roman" w:hAnsi="Arial"/>
      <w:sz w:val="20"/>
      <w:szCs w:val="20"/>
      <w:u w:val="single"/>
      <w:lang w:val="nl-NL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907DD"/>
    <w:rPr>
      <w:rFonts w:ascii="Arial" w:eastAsia="Times New Roman" w:hAnsi="Arial" w:cs="Arial"/>
      <w:i/>
      <w:iCs/>
      <w:lang w:val="nl-NL"/>
    </w:rPr>
  </w:style>
  <w:style w:type="character" w:customStyle="1" w:styleId="Cmsor2Char">
    <w:name w:val="Címsor 2 Char"/>
    <w:link w:val="Cmsor2"/>
    <w:rsid w:val="006907DD"/>
    <w:rPr>
      <w:rFonts w:ascii="Arial" w:eastAsia="Times New Roman" w:hAnsi="Arial" w:cs="Arial"/>
      <w:u w:val="single"/>
      <w:lang w:val="nl-NL"/>
    </w:rPr>
  </w:style>
  <w:style w:type="character" w:customStyle="1" w:styleId="Cmsor3Char">
    <w:name w:val="Címsor 3 Char"/>
    <w:link w:val="Cmsor3"/>
    <w:rsid w:val="006907DD"/>
    <w:rPr>
      <w:rFonts w:ascii="Arial" w:eastAsia="Times New Roman" w:hAnsi="Arial" w:cs="Arial"/>
      <w:i/>
      <w:iCs/>
      <w:lang w:val="nl-NL"/>
    </w:rPr>
  </w:style>
  <w:style w:type="character" w:customStyle="1" w:styleId="Cmsor4Char">
    <w:name w:val="Címsor 4 Char"/>
    <w:link w:val="Cmsor4"/>
    <w:rsid w:val="006907DD"/>
    <w:rPr>
      <w:rFonts w:ascii="Arial" w:eastAsia="Times New Roman" w:hAnsi="Arial" w:cs="Arial"/>
      <w:u w:val="single"/>
      <w:lang w:val="nl-NL"/>
    </w:rPr>
  </w:style>
  <w:style w:type="character" w:customStyle="1" w:styleId="Cmsor5Char">
    <w:name w:val="Címsor 5 Char"/>
    <w:link w:val="Cmsor5"/>
    <w:rsid w:val="006907DD"/>
    <w:rPr>
      <w:rFonts w:ascii="Arial" w:eastAsia="Times New Roman" w:hAnsi="Arial" w:cs="Arial"/>
      <w:u w:val="single"/>
      <w:lang w:val="nl-NL"/>
    </w:rPr>
  </w:style>
  <w:style w:type="character" w:customStyle="1" w:styleId="Cmsor6Char">
    <w:name w:val="Címsor 6 Char"/>
    <w:link w:val="Cmsor6"/>
    <w:rsid w:val="006907DD"/>
    <w:rPr>
      <w:rFonts w:ascii="Arial" w:eastAsia="Times New Roman" w:hAnsi="Arial" w:cs="Arial"/>
      <w:u w:val="single"/>
      <w:lang w:val="nl-NL"/>
    </w:rPr>
  </w:style>
  <w:style w:type="paragraph" w:styleId="Vgjegyzetszvege">
    <w:name w:val="endnote text"/>
    <w:basedOn w:val="Norml"/>
    <w:link w:val="VgjegyzetszvegeChar"/>
    <w:semiHidden/>
    <w:rsid w:val="006907DD"/>
    <w:pPr>
      <w:widowControl w:val="0"/>
      <w:spacing w:after="0" w:line="240" w:lineRule="auto"/>
    </w:pPr>
    <w:rPr>
      <w:rFonts w:ascii="Courier" w:eastAsia="Times New Roman" w:hAnsi="Courier"/>
      <w:sz w:val="24"/>
      <w:szCs w:val="24"/>
      <w:lang w:val="nl-NL" w:eastAsia="x-none"/>
    </w:rPr>
  </w:style>
  <w:style w:type="character" w:customStyle="1" w:styleId="VgjegyzetszvegeChar">
    <w:name w:val="Végjegyzet szövege Char"/>
    <w:link w:val="Vgjegyzetszvege"/>
    <w:semiHidden/>
    <w:rsid w:val="006907DD"/>
    <w:rPr>
      <w:rFonts w:ascii="Courier" w:eastAsia="Times New Roman" w:hAnsi="Courier" w:cs="Courier"/>
      <w:sz w:val="24"/>
      <w:szCs w:val="24"/>
      <w:lang w:val="nl-NL"/>
    </w:rPr>
  </w:style>
  <w:style w:type="character" w:styleId="Vgjegyzet-hivatkozs">
    <w:name w:val="endnote reference"/>
    <w:semiHidden/>
    <w:rsid w:val="006907DD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6907DD"/>
    <w:pPr>
      <w:widowControl w:val="0"/>
      <w:spacing w:after="0" w:line="240" w:lineRule="auto"/>
    </w:pPr>
    <w:rPr>
      <w:rFonts w:ascii="Courier" w:eastAsia="Times New Roman" w:hAnsi="Courier"/>
      <w:sz w:val="24"/>
      <w:szCs w:val="24"/>
      <w:lang w:val="nl-NL" w:eastAsia="x-none"/>
    </w:rPr>
  </w:style>
  <w:style w:type="character" w:customStyle="1" w:styleId="LbjegyzetszvegChar">
    <w:name w:val="Lábjegyzetszöveg Char"/>
    <w:link w:val="Lbjegyzetszveg"/>
    <w:semiHidden/>
    <w:rsid w:val="006907DD"/>
    <w:rPr>
      <w:rFonts w:ascii="Courier" w:eastAsia="Times New Roman" w:hAnsi="Courier" w:cs="Courier"/>
      <w:sz w:val="24"/>
      <w:szCs w:val="24"/>
      <w:lang w:val="nl-NL"/>
    </w:rPr>
  </w:style>
  <w:style w:type="character" w:customStyle="1" w:styleId="Voetnootverwijzing">
    <w:name w:val="Voetnootverwijzing"/>
    <w:rsid w:val="006907DD"/>
    <w:rPr>
      <w:vertAlign w:val="superscript"/>
    </w:rPr>
  </w:style>
  <w:style w:type="character" w:customStyle="1" w:styleId="Alineanummer1">
    <w:name w:val="Alineanummer 1"/>
    <w:basedOn w:val="Bekezdsalapbettpusa"/>
    <w:rsid w:val="006907DD"/>
  </w:style>
  <w:style w:type="character" w:customStyle="1" w:styleId="Bibliografie">
    <w:name w:val="Bibliografie"/>
    <w:basedOn w:val="Bekezdsalapbettpusa"/>
    <w:rsid w:val="006907DD"/>
  </w:style>
  <w:style w:type="character" w:customStyle="1" w:styleId="Dokument5">
    <w:name w:val="Dokument 5"/>
    <w:basedOn w:val="Bekezdsalapbettpusa"/>
    <w:rsid w:val="006907DD"/>
  </w:style>
  <w:style w:type="character" w:customStyle="1" w:styleId="Dokument6">
    <w:name w:val="Dokument 6"/>
    <w:basedOn w:val="Bekezdsalapbettpusa"/>
    <w:rsid w:val="006907DD"/>
  </w:style>
  <w:style w:type="character" w:customStyle="1" w:styleId="Dokument4">
    <w:name w:val="Dokument 4"/>
    <w:rsid w:val="006907DD"/>
    <w:rPr>
      <w:b/>
      <w:bCs/>
      <w:i/>
      <w:iCs/>
      <w:sz w:val="24"/>
      <w:szCs w:val="24"/>
    </w:rPr>
  </w:style>
  <w:style w:type="character" w:customStyle="1" w:styleId="Alineanummer2">
    <w:name w:val="Alineanummer 2"/>
    <w:basedOn w:val="Bekezdsalapbettpusa"/>
    <w:rsid w:val="006907DD"/>
  </w:style>
  <w:style w:type="paragraph" w:customStyle="1" w:styleId="Dokument1">
    <w:name w:val="Dokument 1"/>
    <w:rsid w:val="006907DD"/>
    <w:pPr>
      <w:keepNext/>
      <w:keepLines/>
      <w:widowControl w:val="0"/>
      <w:tabs>
        <w:tab w:val="left" w:pos="-720"/>
      </w:tabs>
      <w:suppressAutoHyphens/>
    </w:pPr>
    <w:rPr>
      <w:rFonts w:ascii="Courier" w:eastAsia="Times New Roman" w:hAnsi="Courier" w:cs="Courier"/>
      <w:sz w:val="24"/>
      <w:szCs w:val="24"/>
      <w:lang w:val="en-US"/>
    </w:rPr>
  </w:style>
  <w:style w:type="character" w:customStyle="1" w:styleId="Alineanummer3">
    <w:name w:val="Alineanummer 3"/>
    <w:basedOn w:val="Bekezdsalapbettpusa"/>
    <w:rsid w:val="006907DD"/>
  </w:style>
  <w:style w:type="character" w:customStyle="1" w:styleId="Alineanummer4">
    <w:name w:val="Alineanummer 4"/>
    <w:basedOn w:val="Bekezdsalapbettpusa"/>
    <w:rsid w:val="006907DD"/>
  </w:style>
  <w:style w:type="character" w:customStyle="1" w:styleId="Alineanummer5">
    <w:name w:val="Alineanummer 5"/>
    <w:basedOn w:val="Bekezdsalapbettpusa"/>
    <w:rsid w:val="006907DD"/>
  </w:style>
  <w:style w:type="character" w:customStyle="1" w:styleId="Alineanummer6">
    <w:name w:val="Alineanummer 6"/>
    <w:basedOn w:val="Bekezdsalapbettpusa"/>
    <w:rsid w:val="006907DD"/>
  </w:style>
  <w:style w:type="character" w:customStyle="1" w:styleId="Dokument2">
    <w:name w:val="Dokument 2"/>
    <w:rsid w:val="006907DD"/>
    <w:rPr>
      <w:rFonts w:ascii="Courier" w:hAnsi="Courier" w:cs="Courier"/>
      <w:sz w:val="24"/>
      <w:szCs w:val="24"/>
      <w:lang w:val="en-US"/>
    </w:rPr>
  </w:style>
  <w:style w:type="character" w:customStyle="1" w:styleId="Alineanummer7">
    <w:name w:val="Alineanummer 7"/>
    <w:basedOn w:val="Bekezdsalapbettpusa"/>
    <w:rsid w:val="006907DD"/>
  </w:style>
  <w:style w:type="character" w:customStyle="1" w:styleId="Alineanummer8">
    <w:name w:val="Alineanummer 8"/>
    <w:basedOn w:val="Bekezdsalapbettpusa"/>
    <w:rsid w:val="006907DD"/>
  </w:style>
  <w:style w:type="character" w:customStyle="1" w:styleId="Techninit">
    <w:name w:val="Techn init"/>
    <w:rsid w:val="006907DD"/>
    <w:rPr>
      <w:rFonts w:ascii="Courier" w:hAnsi="Courier" w:cs="Courier"/>
      <w:sz w:val="24"/>
      <w:szCs w:val="24"/>
      <w:lang w:val="en-US"/>
    </w:rPr>
  </w:style>
  <w:style w:type="character" w:customStyle="1" w:styleId="Dokuinit">
    <w:name w:val="Doku init"/>
    <w:basedOn w:val="Bekezdsalapbettpusa"/>
    <w:rsid w:val="006907DD"/>
  </w:style>
  <w:style w:type="character" w:customStyle="1" w:styleId="Dokument3">
    <w:name w:val="Dokument 3"/>
    <w:rsid w:val="006907DD"/>
    <w:rPr>
      <w:rFonts w:ascii="Courier" w:hAnsi="Courier" w:cs="Courier"/>
      <w:sz w:val="24"/>
      <w:szCs w:val="24"/>
      <w:lang w:val="en-US"/>
    </w:rPr>
  </w:style>
  <w:style w:type="character" w:customStyle="1" w:styleId="Dokument7">
    <w:name w:val="Dokument 7"/>
    <w:basedOn w:val="Bekezdsalapbettpusa"/>
    <w:rsid w:val="006907DD"/>
  </w:style>
  <w:style w:type="character" w:customStyle="1" w:styleId="Dokument8">
    <w:name w:val="Dokument 8"/>
    <w:basedOn w:val="Bekezdsalapbettpusa"/>
    <w:rsid w:val="006907DD"/>
  </w:style>
  <w:style w:type="character" w:customStyle="1" w:styleId="Technisch1">
    <w:name w:val="Technisch 1"/>
    <w:rsid w:val="006907DD"/>
    <w:rPr>
      <w:rFonts w:ascii="Courier" w:hAnsi="Courier" w:cs="Courier"/>
      <w:sz w:val="24"/>
      <w:szCs w:val="24"/>
      <w:lang w:val="en-US"/>
    </w:rPr>
  </w:style>
  <w:style w:type="character" w:customStyle="1" w:styleId="Technisch2">
    <w:name w:val="Technisch 2"/>
    <w:rsid w:val="006907DD"/>
    <w:rPr>
      <w:rFonts w:ascii="Courier" w:hAnsi="Courier" w:cs="Courier"/>
      <w:sz w:val="24"/>
      <w:szCs w:val="24"/>
      <w:lang w:val="en-US"/>
    </w:rPr>
  </w:style>
  <w:style w:type="character" w:customStyle="1" w:styleId="Technisch3">
    <w:name w:val="Technisch 3"/>
    <w:rsid w:val="006907DD"/>
    <w:rPr>
      <w:rFonts w:ascii="Courier" w:hAnsi="Courier" w:cs="Courier"/>
      <w:sz w:val="24"/>
      <w:szCs w:val="24"/>
      <w:lang w:val="en-US"/>
    </w:rPr>
  </w:style>
  <w:style w:type="character" w:customStyle="1" w:styleId="Technisch5">
    <w:name w:val="Technisch 5"/>
    <w:basedOn w:val="Bekezdsalapbettpusa"/>
    <w:rsid w:val="006907DD"/>
  </w:style>
  <w:style w:type="character" w:customStyle="1" w:styleId="Technisch6">
    <w:name w:val="Technisch 6"/>
    <w:basedOn w:val="Bekezdsalapbettpusa"/>
    <w:rsid w:val="006907DD"/>
  </w:style>
  <w:style w:type="character" w:customStyle="1" w:styleId="Technisch7">
    <w:name w:val="Technisch 7"/>
    <w:basedOn w:val="Bekezdsalapbettpusa"/>
    <w:rsid w:val="006907DD"/>
  </w:style>
  <w:style w:type="character" w:customStyle="1" w:styleId="Technisch4">
    <w:name w:val="Technisch 4"/>
    <w:basedOn w:val="Bekezdsalapbettpusa"/>
    <w:rsid w:val="006907DD"/>
  </w:style>
  <w:style w:type="character" w:customStyle="1" w:styleId="Technisch8">
    <w:name w:val="Technisch 8"/>
    <w:basedOn w:val="Bekezdsalapbettpusa"/>
    <w:rsid w:val="006907DD"/>
  </w:style>
  <w:style w:type="character" w:customStyle="1" w:styleId="1">
    <w:name w:val="1"/>
    <w:rsid w:val="006907DD"/>
    <w:rPr>
      <w:rFonts w:ascii="Courier" w:hAnsi="Courier" w:cs="Courier"/>
      <w:sz w:val="24"/>
      <w:szCs w:val="24"/>
      <w:lang w:val="en-US"/>
    </w:rPr>
  </w:style>
  <w:style w:type="paragraph" w:customStyle="1" w:styleId="inhopg1">
    <w:name w:val="inhopg 1"/>
    <w:basedOn w:val="Norml"/>
    <w:rsid w:val="006907DD"/>
    <w:pPr>
      <w:widowControl w:val="0"/>
      <w:tabs>
        <w:tab w:val="right" w:leader="dot" w:pos="9360"/>
      </w:tabs>
      <w:suppressAutoHyphens/>
      <w:spacing w:before="480" w:after="0" w:line="240" w:lineRule="auto"/>
      <w:ind w:left="720" w:right="720" w:hanging="720"/>
    </w:pPr>
    <w:rPr>
      <w:rFonts w:ascii="Courier" w:eastAsia="Times New Roman" w:hAnsi="Courier" w:cs="Courier"/>
      <w:sz w:val="24"/>
      <w:szCs w:val="24"/>
      <w:lang w:val="en-US" w:eastAsia="hu-HU"/>
    </w:rPr>
  </w:style>
  <w:style w:type="paragraph" w:customStyle="1" w:styleId="inhopg2">
    <w:name w:val="inhopg 2"/>
    <w:basedOn w:val="Norml"/>
    <w:rsid w:val="006907DD"/>
    <w:pPr>
      <w:widowControl w:val="0"/>
      <w:tabs>
        <w:tab w:val="right" w:leader="dot" w:pos="9360"/>
      </w:tabs>
      <w:suppressAutoHyphens/>
      <w:spacing w:after="0" w:line="240" w:lineRule="auto"/>
      <w:ind w:left="1440" w:right="720" w:hanging="720"/>
    </w:pPr>
    <w:rPr>
      <w:rFonts w:ascii="Courier" w:eastAsia="Times New Roman" w:hAnsi="Courier" w:cs="Courier"/>
      <w:sz w:val="24"/>
      <w:szCs w:val="24"/>
      <w:lang w:val="en-US" w:eastAsia="hu-HU"/>
    </w:rPr>
  </w:style>
  <w:style w:type="paragraph" w:customStyle="1" w:styleId="inhopg3">
    <w:name w:val="inhopg 3"/>
    <w:basedOn w:val="Norml"/>
    <w:rsid w:val="006907DD"/>
    <w:pPr>
      <w:widowControl w:val="0"/>
      <w:tabs>
        <w:tab w:val="right" w:leader="dot" w:pos="9360"/>
      </w:tabs>
      <w:suppressAutoHyphens/>
      <w:spacing w:after="0" w:line="240" w:lineRule="auto"/>
      <w:ind w:left="2160" w:right="720" w:hanging="720"/>
    </w:pPr>
    <w:rPr>
      <w:rFonts w:ascii="Courier" w:eastAsia="Times New Roman" w:hAnsi="Courier" w:cs="Courier"/>
      <w:sz w:val="24"/>
      <w:szCs w:val="24"/>
      <w:lang w:val="en-US" w:eastAsia="hu-HU"/>
    </w:rPr>
  </w:style>
  <w:style w:type="paragraph" w:customStyle="1" w:styleId="inhopg4">
    <w:name w:val="inhopg 4"/>
    <w:basedOn w:val="Norml"/>
    <w:rsid w:val="006907DD"/>
    <w:pPr>
      <w:widowControl w:val="0"/>
      <w:tabs>
        <w:tab w:val="right" w:leader="dot" w:pos="9360"/>
      </w:tabs>
      <w:suppressAutoHyphens/>
      <w:spacing w:after="0" w:line="240" w:lineRule="auto"/>
      <w:ind w:left="2880" w:right="720" w:hanging="720"/>
    </w:pPr>
    <w:rPr>
      <w:rFonts w:ascii="Courier" w:eastAsia="Times New Roman" w:hAnsi="Courier" w:cs="Courier"/>
      <w:sz w:val="24"/>
      <w:szCs w:val="24"/>
      <w:lang w:val="en-US" w:eastAsia="hu-HU"/>
    </w:rPr>
  </w:style>
  <w:style w:type="paragraph" w:customStyle="1" w:styleId="inhopg5">
    <w:name w:val="inhopg 5"/>
    <w:basedOn w:val="Norml"/>
    <w:rsid w:val="006907DD"/>
    <w:pPr>
      <w:widowControl w:val="0"/>
      <w:tabs>
        <w:tab w:val="right" w:leader="dot" w:pos="9360"/>
      </w:tabs>
      <w:suppressAutoHyphens/>
      <w:spacing w:after="0" w:line="240" w:lineRule="auto"/>
      <w:ind w:left="3600" w:right="720" w:hanging="720"/>
    </w:pPr>
    <w:rPr>
      <w:rFonts w:ascii="Courier" w:eastAsia="Times New Roman" w:hAnsi="Courier" w:cs="Courier"/>
      <w:sz w:val="24"/>
      <w:szCs w:val="24"/>
      <w:lang w:val="en-US" w:eastAsia="hu-HU"/>
    </w:rPr>
  </w:style>
  <w:style w:type="paragraph" w:customStyle="1" w:styleId="inhopg6">
    <w:name w:val="inhopg 6"/>
    <w:basedOn w:val="Norml"/>
    <w:rsid w:val="006907DD"/>
    <w:pPr>
      <w:widowControl w:val="0"/>
      <w:tabs>
        <w:tab w:val="right" w:pos="9360"/>
      </w:tabs>
      <w:suppressAutoHyphens/>
      <w:spacing w:after="0" w:line="240" w:lineRule="auto"/>
      <w:ind w:left="720" w:hanging="720"/>
    </w:pPr>
    <w:rPr>
      <w:rFonts w:ascii="Courier" w:eastAsia="Times New Roman" w:hAnsi="Courier" w:cs="Courier"/>
      <w:sz w:val="24"/>
      <w:szCs w:val="24"/>
      <w:lang w:val="en-US" w:eastAsia="hu-HU"/>
    </w:rPr>
  </w:style>
  <w:style w:type="paragraph" w:customStyle="1" w:styleId="inhopg7">
    <w:name w:val="inhopg 7"/>
    <w:basedOn w:val="Norml"/>
    <w:rsid w:val="006907DD"/>
    <w:pPr>
      <w:widowControl w:val="0"/>
      <w:suppressAutoHyphens/>
      <w:spacing w:after="0" w:line="240" w:lineRule="auto"/>
      <w:ind w:left="720" w:hanging="720"/>
    </w:pPr>
    <w:rPr>
      <w:rFonts w:ascii="Courier" w:eastAsia="Times New Roman" w:hAnsi="Courier" w:cs="Courier"/>
      <w:sz w:val="24"/>
      <w:szCs w:val="24"/>
      <w:lang w:val="en-US" w:eastAsia="hu-HU"/>
    </w:rPr>
  </w:style>
  <w:style w:type="paragraph" w:customStyle="1" w:styleId="inhopg8">
    <w:name w:val="inhopg 8"/>
    <w:basedOn w:val="Norml"/>
    <w:rsid w:val="006907DD"/>
    <w:pPr>
      <w:widowControl w:val="0"/>
      <w:tabs>
        <w:tab w:val="right" w:pos="9360"/>
      </w:tabs>
      <w:suppressAutoHyphens/>
      <w:spacing w:after="0" w:line="240" w:lineRule="auto"/>
      <w:ind w:left="720" w:hanging="720"/>
    </w:pPr>
    <w:rPr>
      <w:rFonts w:ascii="Courier" w:eastAsia="Times New Roman" w:hAnsi="Courier" w:cs="Courier"/>
      <w:sz w:val="24"/>
      <w:szCs w:val="24"/>
      <w:lang w:val="en-US" w:eastAsia="hu-HU"/>
    </w:rPr>
  </w:style>
  <w:style w:type="paragraph" w:customStyle="1" w:styleId="inhopg9">
    <w:name w:val="inhopg 9"/>
    <w:basedOn w:val="Norml"/>
    <w:rsid w:val="006907DD"/>
    <w:pPr>
      <w:widowControl w:val="0"/>
      <w:tabs>
        <w:tab w:val="right" w:leader="dot" w:pos="9360"/>
      </w:tabs>
      <w:suppressAutoHyphens/>
      <w:spacing w:after="0" w:line="240" w:lineRule="auto"/>
      <w:ind w:left="720" w:hanging="720"/>
    </w:pPr>
    <w:rPr>
      <w:rFonts w:ascii="Courier" w:eastAsia="Times New Roman" w:hAnsi="Courier" w:cs="Courier"/>
      <w:sz w:val="24"/>
      <w:szCs w:val="24"/>
      <w:lang w:val="en-US" w:eastAsia="hu-HU"/>
    </w:rPr>
  </w:style>
  <w:style w:type="paragraph" w:styleId="Trgymutat1">
    <w:name w:val="index 1"/>
    <w:basedOn w:val="Norml"/>
    <w:next w:val="Norml"/>
    <w:autoRedefine/>
    <w:semiHidden/>
    <w:rsid w:val="006907DD"/>
    <w:pPr>
      <w:widowControl w:val="0"/>
      <w:tabs>
        <w:tab w:val="right" w:leader="dot" w:pos="9360"/>
      </w:tabs>
      <w:suppressAutoHyphens/>
      <w:spacing w:after="0" w:line="240" w:lineRule="auto"/>
      <w:ind w:left="1440" w:right="720" w:hanging="1440"/>
    </w:pPr>
    <w:rPr>
      <w:rFonts w:ascii="Courier" w:eastAsia="Times New Roman" w:hAnsi="Courier" w:cs="Courier"/>
      <w:sz w:val="24"/>
      <w:szCs w:val="24"/>
      <w:lang w:val="en-US" w:eastAsia="hu-HU"/>
    </w:rPr>
  </w:style>
  <w:style w:type="paragraph" w:styleId="Trgymutat2">
    <w:name w:val="index 2"/>
    <w:basedOn w:val="Norml"/>
    <w:next w:val="Norml"/>
    <w:autoRedefine/>
    <w:semiHidden/>
    <w:rsid w:val="006907DD"/>
    <w:pPr>
      <w:widowControl w:val="0"/>
      <w:tabs>
        <w:tab w:val="right" w:leader="dot" w:pos="9360"/>
      </w:tabs>
      <w:suppressAutoHyphens/>
      <w:spacing w:after="0" w:line="240" w:lineRule="auto"/>
      <w:ind w:left="1440" w:right="720" w:hanging="720"/>
    </w:pPr>
    <w:rPr>
      <w:rFonts w:ascii="Courier" w:eastAsia="Times New Roman" w:hAnsi="Courier" w:cs="Courier"/>
      <w:sz w:val="24"/>
      <w:szCs w:val="24"/>
      <w:lang w:val="en-US" w:eastAsia="hu-HU"/>
    </w:rPr>
  </w:style>
  <w:style w:type="paragraph" w:customStyle="1" w:styleId="bronvermelding">
    <w:name w:val="bronvermelding"/>
    <w:basedOn w:val="Norml"/>
    <w:rsid w:val="006907DD"/>
    <w:pPr>
      <w:widowControl w:val="0"/>
      <w:tabs>
        <w:tab w:val="right" w:pos="9360"/>
      </w:tabs>
      <w:suppressAutoHyphens/>
      <w:spacing w:after="0" w:line="240" w:lineRule="auto"/>
    </w:pPr>
    <w:rPr>
      <w:rFonts w:ascii="Courier" w:eastAsia="Times New Roman" w:hAnsi="Courier" w:cs="Courier"/>
      <w:sz w:val="24"/>
      <w:szCs w:val="24"/>
      <w:lang w:val="en-US" w:eastAsia="hu-HU"/>
    </w:rPr>
  </w:style>
  <w:style w:type="paragraph" w:customStyle="1" w:styleId="bijschrift">
    <w:name w:val="bijschrift"/>
    <w:basedOn w:val="Norml"/>
    <w:rsid w:val="006907DD"/>
    <w:pPr>
      <w:widowControl w:val="0"/>
      <w:spacing w:after="0" w:line="240" w:lineRule="auto"/>
    </w:pPr>
    <w:rPr>
      <w:rFonts w:ascii="Courier" w:eastAsia="Times New Roman" w:hAnsi="Courier" w:cs="Courier"/>
      <w:sz w:val="24"/>
      <w:szCs w:val="24"/>
      <w:lang w:val="nl-NL" w:eastAsia="hu-HU"/>
    </w:rPr>
  </w:style>
  <w:style w:type="character" w:customStyle="1" w:styleId="EquationCaption">
    <w:name w:val="_Equation Caption"/>
    <w:rsid w:val="006907DD"/>
  </w:style>
  <w:style w:type="paragraph" w:styleId="lfej">
    <w:name w:val="header"/>
    <w:basedOn w:val="Norml"/>
    <w:link w:val="lfejChar"/>
    <w:uiPriority w:val="99"/>
    <w:rsid w:val="006907DD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Courier" w:eastAsia="Times New Roman" w:hAnsi="Courier"/>
      <w:sz w:val="24"/>
      <w:szCs w:val="24"/>
      <w:lang w:val="nl-NL" w:eastAsia="x-none"/>
    </w:rPr>
  </w:style>
  <w:style w:type="character" w:customStyle="1" w:styleId="lfejChar">
    <w:name w:val="Élőfej Char"/>
    <w:link w:val="lfej"/>
    <w:uiPriority w:val="99"/>
    <w:rsid w:val="006907DD"/>
    <w:rPr>
      <w:rFonts w:ascii="Courier" w:eastAsia="Times New Roman" w:hAnsi="Courier" w:cs="Courier"/>
      <w:sz w:val="24"/>
      <w:szCs w:val="24"/>
      <w:lang w:val="nl-NL"/>
    </w:rPr>
  </w:style>
  <w:style w:type="paragraph" w:styleId="llb">
    <w:name w:val="footer"/>
    <w:basedOn w:val="Norml"/>
    <w:link w:val="llbChar"/>
    <w:rsid w:val="006907DD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Courier" w:eastAsia="Times New Roman" w:hAnsi="Courier"/>
      <w:sz w:val="24"/>
      <w:szCs w:val="24"/>
      <w:lang w:val="nl-NL" w:eastAsia="x-none"/>
    </w:rPr>
  </w:style>
  <w:style w:type="character" w:customStyle="1" w:styleId="llbChar">
    <w:name w:val="Élőláb Char"/>
    <w:link w:val="llb"/>
    <w:rsid w:val="006907DD"/>
    <w:rPr>
      <w:rFonts w:ascii="Courier" w:eastAsia="Times New Roman" w:hAnsi="Courier" w:cs="Courier"/>
      <w:sz w:val="24"/>
      <w:szCs w:val="24"/>
      <w:lang w:val="nl-NL"/>
    </w:rPr>
  </w:style>
  <w:style w:type="character" w:styleId="Oldalszm">
    <w:name w:val="page number"/>
    <w:basedOn w:val="Bekezdsalapbettpusa"/>
    <w:rsid w:val="006907DD"/>
  </w:style>
  <w:style w:type="paragraph" w:styleId="Szvegtrzsbehzssal">
    <w:name w:val="Body Text Indent"/>
    <w:basedOn w:val="Norml"/>
    <w:link w:val="SzvegtrzsbehzssalChar"/>
    <w:rsid w:val="006907DD"/>
    <w:pPr>
      <w:widowControl w:val="0"/>
      <w:tabs>
        <w:tab w:val="left" w:pos="-1440"/>
        <w:tab w:val="left" w:pos="-720"/>
        <w:tab w:val="left" w:pos="0"/>
      </w:tabs>
      <w:spacing w:after="0" w:line="240" w:lineRule="auto"/>
      <w:ind w:left="720" w:hanging="720"/>
    </w:pPr>
    <w:rPr>
      <w:rFonts w:ascii="Univers" w:eastAsia="Times New Roman" w:hAnsi="Univers"/>
      <w:sz w:val="20"/>
      <w:szCs w:val="20"/>
      <w:lang w:val="nl-NL" w:eastAsia="x-none"/>
    </w:rPr>
  </w:style>
  <w:style w:type="character" w:customStyle="1" w:styleId="SzvegtrzsbehzssalChar">
    <w:name w:val="Szövegtörzs behúzással Char"/>
    <w:link w:val="Szvegtrzsbehzssal"/>
    <w:rsid w:val="006907DD"/>
    <w:rPr>
      <w:rFonts w:ascii="Univers" w:eastAsia="Times New Roman" w:hAnsi="Univers" w:cs="Univers"/>
      <w:lang w:val="nl-NL"/>
    </w:rPr>
  </w:style>
  <w:style w:type="paragraph" w:styleId="Szvegtrzsbehzssal2">
    <w:name w:val="Body Text Indent 2"/>
    <w:basedOn w:val="Norml"/>
    <w:link w:val="Szvegtrzsbehzssal2Char"/>
    <w:rsid w:val="006907DD"/>
    <w:pPr>
      <w:widowControl w:val="0"/>
      <w:tabs>
        <w:tab w:val="left" w:pos="-1440"/>
        <w:tab w:val="left" w:pos="-720"/>
        <w:tab w:val="left" w:pos="709"/>
      </w:tabs>
      <w:spacing w:after="0" w:line="240" w:lineRule="auto"/>
      <w:ind w:left="709" w:hanging="709"/>
    </w:pPr>
    <w:rPr>
      <w:rFonts w:ascii="Univers" w:eastAsia="Times New Roman" w:hAnsi="Univers"/>
      <w:sz w:val="20"/>
      <w:szCs w:val="20"/>
      <w:lang w:val="nl-NL" w:eastAsia="x-none"/>
    </w:rPr>
  </w:style>
  <w:style w:type="character" w:customStyle="1" w:styleId="Szvegtrzsbehzssal2Char">
    <w:name w:val="Szövegtörzs behúzással 2 Char"/>
    <w:link w:val="Szvegtrzsbehzssal2"/>
    <w:rsid w:val="006907DD"/>
    <w:rPr>
      <w:rFonts w:ascii="Univers" w:eastAsia="Times New Roman" w:hAnsi="Univers" w:cs="Univers"/>
      <w:lang w:val="nl-NL"/>
    </w:rPr>
  </w:style>
  <w:style w:type="paragraph" w:styleId="Szvegtrzsbehzssal3">
    <w:name w:val="Body Text Indent 3"/>
    <w:basedOn w:val="Norml"/>
    <w:link w:val="Szvegtrzsbehzssal3Char"/>
    <w:rsid w:val="006907DD"/>
    <w:pPr>
      <w:widowControl w:val="0"/>
      <w:tabs>
        <w:tab w:val="left" w:pos="-1440"/>
        <w:tab w:val="left" w:pos="-720"/>
      </w:tabs>
      <w:spacing w:after="0" w:line="240" w:lineRule="auto"/>
      <w:ind w:left="709"/>
    </w:pPr>
    <w:rPr>
      <w:rFonts w:ascii="Univers" w:eastAsia="Times New Roman" w:hAnsi="Univers"/>
      <w:sz w:val="20"/>
      <w:szCs w:val="20"/>
      <w:lang w:val="nl-NL" w:eastAsia="x-none"/>
    </w:rPr>
  </w:style>
  <w:style w:type="character" w:customStyle="1" w:styleId="Szvegtrzsbehzssal3Char">
    <w:name w:val="Szövegtörzs behúzással 3 Char"/>
    <w:link w:val="Szvegtrzsbehzssal3"/>
    <w:rsid w:val="006907DD"/>
    <w:rPr>
      <w:rFonts w:ascii="Univers" w:eastAsia="Times New Roman" w:hAnsi="Univers" w:cs="Univers"/>
      <w:lang w:val="nl-NL"/>
    </w:rPr>
  </w:style>
  <w:style w:type="paragraph" w:styleId="Szvegtrzs">
    <w:name w:val="Body Text"/>
    <w:basedOn w:val="Norml"/>
    <w:link w:val="SzvegtrzsChar"/>
    <w:rsid w:val="006907DD"/>
    <w:pPr>
      <w:widowControl w:val="0"/>
      <w:tabs>
        <w:tab w:val="left" w:pos="-1440"/>
        <w:tab w:val="left" w:pos="-720"/>
      </w:tabs>
      <w:spacing w:after="0" w:line="240" w:lineRule="auto"/>
    </w:pPr>
    <w:rPr>
      <w:rFonts w:ascii="Arial" w:eastAsia="Times New Roman" w:hAnsi="Arial"/>
      <w:sz w:val="20"/>
      <w:szCs w:val="20"/>
      <w:lang w:val="nl-NL" w:eastAsia="x-none"/>
    </w:rPr>
  </w:style>
  <w:style w:type="character" w:customStyle="1" w:styleId="SzvegtrzsChar">
    <w:name w:val="Szövegtörzs Char"/>
    <w:link w:val="Szvegtrzs"/>
    <w:rsid w:val="006907DD"/>
    <w:rPr>
      <w:rFonts w:ascii="Arial" w:eastAsia="Times New Roman" w:hAnsi="Arial" w:cs="Arial"/>
      <w:lang w:val="nl-NL"/>
    </w:rPr>
  </w:style>
  <w:style w:type="paragraph" w:styleId="Buborkszveg">
    <w:name w:val="Balloon Text"/>
    <w:basedOn w:val="Norml"/>
    <w:link w:val="BuborkszvegChar"/>
    <w:semiHidden/>
    <w:rsid w:val="006907DD"/>
    <w:pPr>
      <w:widowControl w:val="0"/>
      <w:spacing w:after="0" w:line="240" w:lineRule="auto"/>
    </w:pPr>
    <w:rPr>
      <w:rFonts w:ascii="Times New Roman" w:eastAsia="Times New Roman" w:hAnsi="Times New Roman"/>
      <w:sz w:val="16"/>
      <w:szCs w:val="16"/>
      <w:lang w:val="nl-NL" w:eastAsia="x-none"/>
    </w:rPr>
  </w:style>
  <w:style w:type="character" w:customStyle="1" w:styleId="BuborkszvegChar">
    <w:name w:val="Buborékszöveg Char"/>
    <w:link w:val="Buborkszveg"/>
    <w:semiHidden/>
    <w:rsid w:val="006907DD"/>
    <w:rPr>
      <w:rFonts w:ascii="Times New Roman" w:eastAsia="Times New Roman" w:hAnsi="Times New Roman"/>
      <w:sz w:val="16"/>
      <w:szCs w:val="16"/>
      <w:lang w:val="nl-NL"/>
    </w:rPr>
  </w:style>
  <w:style w:type="paragraph" w:customStyle="1" w:styleId="WfxFaxNum">
    <w:name w:val="WfxFaxNum"/>
    <w:basedOn w:val="Norml"/>
    <w:rsid w:val="006907DD"/>
    <w:pPr>
      <w:spacing w:after="0" w:line="240" w:lineRule="auto"/>
    </w:pPr>
    <w:rPr>
      <w:rFonts w:ascii="Arial Narrow" w:eastAsia="Times New Roman" w:hAnsi="Arial Narrow" w:cs="Arial Narrow"/>
      <w:sz w:val="20"/>
      <w:szCs w:val="20"/>
      <w:lang w:val="es-ES_tradnl" w:eastAsia="hu-HU"/>
    </w:rPr>
  </w:style>
  <w:style w:type="table" w:styleId="Rcsostblzat">
    <w:name w:val="Table Grid"/>
    <w:basedOn w:val="Normltblzat"/>
    <w:rsid w:val="006907DD"/>
    <w:pPr>
      <w:widowControl w:val="0"/>
    </w:pPr>
    <w:rPr>
      <w:rFonts w:ascii="Times New Roman" w:eastAsia="Times New Roman" w:hAnsi="Times New Roman"/>
      <w:snapToGrid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w4winMark">
    <w:name w:val="tw4winMark"/>
    <w:rsid w:val="006907DD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rsid w:val="006907DD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sid w:val="006907DD"/>
    <w:rPr>
      <w:color w:val="0000FF"/>
    </w:rPr>
  </w:style>
  <w:style w:type="character" w:customStyle="1" w:styleId="tw4winPopup">
    <w:name w:val="tw4winPopup"/>
    <w:rsid w:val="006907DD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sid w:val="006907DD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sid w:val="006907DD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sid w:val="006907DD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sid w:val="006907DD"/>
    <w:rPr>
      <w:rFonts w:ascii="Courier New" w:hAnsi="Courier New" w:cs="Courier New"/>
      <w:noProof/>
      <w:color w:val="800000"/>
    </w:rPr>
  </w:style>
  <w:style w:type="paragraph" w:styleId="Nincstrkz">
    <w:name w:val="No Spacing"/>
    <w:uiPriority w:val="1"/>
    <w:qFormat/>
    <w:rsid w:val="0074688E"/>
    <w:rPr>
      <w:sz w:val="22"/>
      <w:szCs w:val="22"/>
      <w:lang w:eastAsia="en-US"/>
    </w:rPr>
  </w:style>
  <w:style w:type="character" w:styleId="Jegyzethivatkozs">
    <w:name w:val="annotation reference"/>
    <w:uiPriority w:val="99"/>
    <w:semiHidden/>
    <w:unhideWhenUsed/>
    <w:rsid w:val="00354F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54FA2"/>
    <w:rPr>
      <w:sz w:val="20"/>
      <w:szCs w:val="20"/>
      <w:lang w:val="x-none"/>
    </w:rPr>
  </w:style>
  <w:style w:type="character" w:customStyle="1" w:styleId="JegyzetszvegChar">
    <w:name w:val="Jegyzetszöveg Char"/>
    <w:link w:val="Jegyzetszveg"/>
    <w:uiPriority w:val="99"/>
    <w:rsid w:val="00354FA2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54FA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354FA2"/>
    <w:rPr>
      <w:b/>
      <w:bCs/>
      <w:lang w:eastAsia="en-US"/>
    </w:rPr>
  </w:style>
  <w:style w:type="character" w:styleId="Hiperhivatkozs">
    <w:name w:val="Hyperlink"/>
    <w:rsid w:val="00D504E8"/>
    <w:rPr>
      <w:rFonts w:cs="Times New Roman"/>
      <w:color w:val="0000FF"/>
      <w:u w:val="single"/>
    </w:rPr>
  </w:style>
  <w:style w:type="character" w:customStyle="1" w:styleId="st1">
    <w:name w:val="st1"/>
    <w:basedOn w:val="Bekezdsalapbettpusa"/>
    <w:rsid w:val="003745B9"/>
  </w:style>
  <w:style w:type="paragraph" w:styleId="Vltozat">
    <w:name w:val="Revision"/>
    <w:hidden/>
    <w:uiPriority w:val="99"/>
    <w:semiHidden/>
    <w:rsid w:val="00562425"/>
    <w:rPr>
      <w:sz w:val="22"/>
      <w:szCs w:val="22"/>
      <w:lang w:eastAsia="en-US"/>
    </w:rPr>
  </w:style>
  <w:style w:type="paragraph" w:customStyle="1" w:styleId="BodytextAgency">
    <w:name w:val="Body text (Agency)"/>
    <w:basedOn w:val="Norml"/>
    <w:link w:val="BodytextAgencyChar"/>
    <w:qFormat/>
    <w:rsid w:val="00562425"/>
    <w:pPr>
      <w:spacing w:after="140" w:line="280" w:lineRule="atLeast"/>
    </w:pPr>
    <w:rPr>
      <w:rFonts w:ascii="Verdana" w:eastAsia="Verdana" w:hAnsi="Verdana"/>
      <w:sz w:val="18"/>
      <w:szCs w:val="18"/>
      <w:lang w:val="x-none" w:eastAsia="x-none"/>
    </w:rPr>
  </w:style>
  <w:style w:type="character" w:customStyle="1" w:styleId="BodytextAgencyChar">
    <w:name w:val="Body text (Agency) Char"/>
    <w:link w:val="BodytextAgency"/>
    <w:locked/>
    <w:rsid w:val="00562425"/>
    <w:rPr>
      <w:rFonts w:ascii="Verdana" w:eastAsia="Verdana" w:hAnsi="Verdana"/>
      <w:sz w:val="18"/>
      <w:szCs w:val="18"/>
      <w:lang w:val="x-none" w:eastAsia="x-none"/>
    </w:rPr>
  </w:style>
  <w:style w:type="paragraph" w:customStyle="1" w:styleId="Default">
    <w:name w:val="Default"/>
    <w:rsid w:val="0056242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8509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HTML-kntformzottChar">
    <w:name w:val="HTML-ként formázott Char"/>
    <w:link w:val="HTML-kntformzott"/>
    <w:uiPriority w:val="99"/>
    <w:semiHidden/>
    <w:rsid w:val="008509EA"/>
    <w:rPr>
      <w:rFonts w:ascii="Courier New" w:eastAsia="Times New Roman" w:hAnsi="Courier New" w:cs="Courier New"/>
    </w:rPr>
  </w:style>
  <w:style w:type="character" w:customStyle="1" w:styleId="y2iqfc">
    <w:name w:val="y2iqfc"/>
    <w:basedOn w:val="Bekezdsalapbettpusa"/>
    <w:rsid w:val="008509EA"/>
  </w:style>
  <w:style w:type="character" w:customStyle="1" w:styleId="jlqj4b">
    <w:name w:val="jlqj4b"/>
    <w:basedOn w:val="Bekezdsalapbettpusa"/>
    <w:rsid w:val="00C878B3"/>
  </w:style>
  <w:style w:type="paragraph" w:customStyle="1" w:styleId="EMEAEnBodyText">
    <w:name w:val="EMEA En Body Text"/>
    <w:basedOn w:val="Norml"/>
    <w:rsid w:val="007F5AE4"/>
    <w:pPr>
      <w:spacing w:before="120" w:after="120" w:line="240" w:lineRule="auto"/>
      <w:jc w:val="both"/>
    </w:pPr>
    <w:rPr>
      <w:rFonts w:ascii="Times New Roman" w:eastAsia="Times New Roman" w:hAnsi="Times New Roman"/>
      <w:lang w:val="en-US"/>
    </w:rPr>
  </w:style>
  <w:style w:type="paragraph" w:styleId="Listaszerbekezds">
    <w:name w:val="List Paragraph"/>
    <w:basedOn w:val="Norml"/>
    <w:uiPriority w:val="34"/>
    <w:qFormat/>
    <w:rsid w:val="000554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5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emf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00084F70368A43ACFF256674715ABA" ma:contentTypeVersion="11" ma:contentTypeDescription="Create a new document." ma:contentTypeScope="" ma:versionID="88b81954adecadb073679bffd75fcd87">
  <xsd:schema xmlns:xsd="http://www.w3.org/2001/XMLSchema" xmlns:xs="http://www.w3.org/2001/XMLSchema" xmlns:p="http://schemas.microsoft.com/office/2006/metadata/properties" xmlns:ns3="3502d38c-dfe1-41f5-820a-3a1de1c4a1f2" xmlns:ns4="f8dc07bf-426c-4a93-b29d-776c15d1545f" targetNamespace="http://schemas.microsoft.com/office/2006/metadata/properties" ma:root="true" ma:fieldsID="1d081037f860e4f8366ccbb6114fe377" ns3:_="" ns4:_="">
    <xsd:import namespace="3502d38c-dfe1-41f5-820a-3a1de1c4a1f2"/>
    <xsd:import namespace="f8dc07bf-426c-4a93-b29d-776c15d154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02d38c-dfe1-41f5-820a-3a1de1c4a1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c07bf-426c-4a93-b29d-776c15d1545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9E256C-7CAB-46D2-BE8D-BBD83D2982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02d38c-dfe1-41f5-820a-3a1de1c4a1f2"/>
    <ds:schemaRef ds:uri="f8dc07bf-426c-4a93-b29d-776c15d154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052F38-C629-46B0-A0DA-D666DF0227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C4FA3AC-A6D4-4B89-B81E-A9CEFA2CB7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5726</Words>
  <Characters>39510</Characters>
  <Application>Microsoft Office Word</Application>
  <DocSecurity>0</DocSecurity>
  <Lines>329</Lines>
  <Paragraphs>90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Richter Gedeon Rt.</Company>
  <LinksUpToDate>false</LinksUpToDate>
  <CharactersWithSpaces>45146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serfozo</dc:creator>
  <cp:keywords/>
  <cp:lastModifiedBy>HU_OGYI_62.1</cp:lastModifiedBy>
  <cp:revision>6</cp:revision>
  <dcterms:created xsi:type="dcterms:W3CDTF">2024-04-11T12:03:00Z</dcterms:created>
  <dcterms:modified xsi:type="dcterms:W3CDTF">2024-05-28T13:47:00Z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0x0101004C00084F70368A43ACFF256674715ABA</vt:lpwstr>
  </property>
</Properties>
</file>