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66B484" w14:textId="77777777" w:rsidR="00101501" w:rsidRPr="001B232A" w:rsidRDefault="000062F3" w:rsidP="00C444D7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0" w:name="page2"/>
      <w:bookmarkEnd w:id="0"/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1.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GYÓGYSZER NEVE</w:t>
      </w:r>
    </w:p>
    <w:p w14:paraId="7F27EBCA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98D9B4C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Ganirelix 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t xml:space="preserve">Theramex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0,25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mg/0,5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ml oldatos injekció előretöltött fecskendőben</w:t>
      </w:r>
    </w:p>
    <w:p w14:paraId="088B7EAA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A87013E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8479E49" w14:textId="77777777" w:rsidR="00101501" w:rsidRPr="001B232A" w:rsidRDefault="000062F3" w:rsidP="00C444D7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2.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MINŐSÉGI ÉS MENNYISÉGI ÖSSZETÉTEL</w:t>
      </w:r>
    </w:p>
    <w:p w14:paraId="4E902C89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C0971B1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0,25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mg ganirelix</w:t>
      </w:r>
      <w:r w:rsidR="003E21D9" w:rsidRPr="000D6F5E">
        <w:rPr>
          <w:rFonts w:ascii="Times New Roman" w:eastAsia="Times New Roman" w:hAnsi="Times New Roman" w:cs="Times New Roman"/>
          <w:sz w:val="22"/>
          <w:szCs w:val="22"/>
        </w:rPr>
        <w:t>nek megfelelő</w:t>
      </w:r>
      <w:r w:rsidR="003E21D9" w:rsidRPr="001B232A">
        <w:rPr>
          <w:rFonts w:ascii="Times New Roman" w:eastAsia="Times New Roman" w:hAnsi="Times New Roman" w:cs="Times New Roman"/>
          <w:sz w:val="22"/>
          <w:szCs w:val="22"/>
        </w:rPr>
        <w:t xml:space="preserve"> ganirelix-acetátot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tartalmaz 0,5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ml vizes oldatban, előretöltött fecskendőként.</w:t>
      </w:r>
      <w:r w:rsidR="003E21D9"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ganirelix </w:t>
      </w:r>
      <w:r w:rsidR="003E21D9" w:rsidRPr="001B232A">
        <w:rPr>
          <w:rFonts w:ascii="Times New Roman" w:eastAsia="Times New Roman" w:hAnsi="Times New Roman" w:cs="Times New Roman"/>
          <w:sz w:val="22"/>
          <w:szCs w:val="22"/>
        </w:rPr>
        <w:t>(acetát formájában)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(INN) hatóanyag egy szintetikus dekapeptid, amely a természetes gonadotropin releasing hormonnal (GnRH) szemben magas antagonista aktivitást mutat. A természetes dekapeptid GnRH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ban az 1, 2, 3, 6, 8 és 10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es pozícióban szubsztituálták az aminosavakat, ennek eredménye az 1570,</w:t>
      </w:r>
      <w:r w:rsidR="006E2B81" w:rsidRPr="001B232A">
        <w:rPr>
          <w:rFonts w:ascii="Times New Roman" w:eastAsia="Times New Roman" w:hAnsi="Times New Roman" w:cs="Times New Roman"/>
          <w:sz w:val="22"/>
          <w:szCs w:val="22"/>
        </w:rPr>
        <w:t>3 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molekulasúlyú [N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Ac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DNal(2)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1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D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pClPhe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D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Pal(3)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D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hArg(Et2)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6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L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hArg(Et2)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8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D-Ala</w:t>
      </w: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10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]</w:t>
      </w:r>
      <w:r w:rsidR="000062F3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GnRH.</w:t>
      </w:r>
    </w:p>
    <w:p w14:paraId="615B58AF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866130F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segédanyagok teljes listáját lásd a 6.1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pontban.</w:t>
      </w:r>
    </w:p>
    <w:p w14:paraId="4EF5E5FD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A84F5F3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9DC395A" w14:textId="77777777" w:rsidR="00101501" w:rsidRPr="001B232A" w:rsidRDefault="000062F3" w:rsidP="00C444D7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3.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GYÓGYSZERFORMA</w:t>
      </w:r>
    </w:p>
    <w:p w14:paraId="409115E0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9010699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Oldatos injekció 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előretöltött fecskendőben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766D55A" w14:textId="77777777" w:rsidR="0029555A" w:rsidRPr="001B232A" w:rsidRDefault="0029555A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F13B943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Tiszta és színtelen </w:t>
      </w:r>
      <w:r w:rsidR="001B30E2" w:rsidRPr="001B232A">
        <w:rPr>
          <w:rFonts w:ascii="Times New Roman" w:eastAsia="Times New Roman" w:hAnsi="Times New Roman" w:cs="Times New Roman"/>
          <w:sz w:val="22"/>
          <w:szCs w:val="22"/>
        </w:rPr>
        <w:t xml:space="preserve">vizes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oldat, melynek pH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értéke 4,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5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5,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5.</w:t>
      </w:r>
    </w:p>
    <w:p w14:paraId="52B6F177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F5A4FED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6B90DF0" w14:textId="77777777" w:rsidR="00101501" w:rsidRPr="001B232A" w:rsidRDefault="00101501" w:rsidP="00101501">
      <w:pPr>
        <w:numPr>
          <w:ilvl w:val="0"/>
          <w:numId w:val="1"/>
        </w:numPr>
        <w:tabs>
          <w:tab w:val="left" w:pos="564"/>
        </w:tabs>
        <w:ind w:left="564" w:hanging="564"/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KLINIKAI JELLEMZŐK</w:t>
      </w:r>
    </w:p>
    <w:p w14:paraId="14589E09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6B37DB0" w14:textId="77777777" w:rsidR="00101501" w:rsidRPr="001B232A" w:rsidRDefault="00101501" w:rsidP="00C444D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4.1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Terápiás javallatok</w:t>
      </w:r>
    </w:p>
    <w:p w14:paraId="4EE9882D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01A0BDF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 xml:space="preserve">ganirelix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az idő előtti luteinizáló hormon (LH) kiáramlás megelőzésére javallott asszisztált reprodukciós technikák (ART) keretében kontrollált ovariális hiperstimuláció (COH) alatt álló nőknél.</w:t>
      </w:r>
    </w:p>
    <w:p w14:paraId="32466EF0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31AA9A7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Klinikai vizsgálatokban a ganirelixet rekombináns humán folliculus stimuláló hormonnal (FSH) vagy a tartós hatású folliculus stimuláló corifollitropin alfával együtt alkalmazták.</w:t>
      </w:r>
    </w:p>
    <w:p w14:paraId="40EB5BE9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031D73B" w14:textId="77777777" w:rsidR="00101501" w:rsidRPr="001B232A" w:rsidRDefault="00101501" w:rsidP="00C444D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4.2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  <w:t>Adagolás és alkalmazás</w:t>
      </w:r>
    </w:p>
    <w:p w14:paraId="331AC741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55AD3C5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ganirelix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t csak a meddőség kezelésében járatos szakorvos rendelheti.</w:t>
      </w:r>
    </w:p>
    <w:p w14:paraId="287AE729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E02EB63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Adagolás</w:t>
      </w:r>
    </w:p>
    <w:p w14:paraId="210CE020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5FEF715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ganirelixet kontrollált ovariális hiperstimuláció (COH) alatt álló nőknél az idő előtti LH-kiáramlás megelőzésére használják. Az FSH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val vagy corifollitropin alfával történő kontrollált petefészek hiperstimuláció a menstruáció 2. vagy 3.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napján kezdődhet. A 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ganirelix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t (0,25</w:t>
      </w:r>
      <w:r w:rsidR="00871C9C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mg) naponta egyszer subcutan kell befecskendezni, az FSH adagolásának 5. vagy 6.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napján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vagy a corifollitropin alfa beadását követő 5. vagy 6.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napon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 xml:space="preserve"> kezdve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. A ganirelix kezdő napja a petefészek reakciójától, azaz a növekvő tüszők számától és méretétől</w:t>
      </w:r>
      <w:r w:rsidR="0029555A" w:rsidRPr="001B232A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és/vagy a keringő ösztradiol mennyiségétől függ. A ganirelix adagolásának kezdetét tüszőnövekedés hiánya esetén ki lehet tolni, a klinikai tapasztalatok azonban a stimuláció 5. vagy 6.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napján kezdett ganirelix kezelésre vonatkoznak.</w:t>
      </w:r>
    </w:p>
    <w:p w14:paraId="215990BC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412474E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ganirelixet és az FSH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t nagyjából ugyanabban az időben kell adni. A készítményeket azonban nem szabad keverni, és különböző injekciós helyeket kell választani.</w:t>
      </w:r>
    </w:p>
    <w:p w14:paraId="4C4627FE" w14:textId="77777777" w:rsidR="00B864CF" w:rsidRPr="001B232A" w:rsidRDefault="00B864CF" w:rsidP="00C444D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A791F01" w14:textId="77777777" w:rsidR="00101501" w:rsidRPr="001B232A" w:rsidRDefault="00101501" w:rsidP="00C444D7">
      <w:pPr>
        <w:rPr>
          <w:rFonts w:ascii="Times New Roman" w:eastAsia="Times New Roman" w:hAnsi="Times New Roman" w:cs="Times New Roman"/>
          <w:sz w:val="22"/>
          <w:szCs w:val="22"/>
        </w:rPr>
      </w:pPr>
      <w:bookmarkStart w:id="1" w:name="_Hlk124524994"/>
      <w:r w:rsidRPr="001B232A">
        <w:rPr>
          <w:rFonts w:ascii="Times New Roman" w:eastAsia="Times New Roman" w:hAnsi="Times New Roman" w:cs="Times New Roman"/>
          <w:sz w:val="22"/>
          <w:szCs w:val="22"/>
        </w:rPr>
        <w:t>Az FSH dózis</w:t>
      </w:r>
      <w:r w:rsidR="00B864CF" w:rsidRPr="001B232A">
        <w:rPr>
          <w:rFonts w:ascii="Times New Roman" w:eastAsia="Times New Roman" w:hAnsi="Times New Roman" w:cs="Times New Roman"/>
          <w:sz w:val="22"/>
          <w:szCs w:val="22"/>
        </w:rPr>
        <w:t>á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t a növekedő tüszők száma és mérete alapján, </w:t>
      </w:r>
      <w:r w:rsidR="00F772AF">
        <w:rPr>
          <w:rFonts w:ascii="Times New Roman" w:eastAsia="Times New Roman" w:hAnsi="Times New Roman" w:cs="Times New Roman"/>
          <w:sz w:val="22"/>
          <w:szCs w:val="22"/>
        </w:rPr>
        <w:t>nem pedig</w:t>
      </w:r>
      <w:r w:rsidR="00F772AF"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keringésben </w:t>
      </w:r>
      <w:r w:rsidR="00F772AF">
        <w:rPr>
          <w:rFonts w:ascii="Times New Roman" w:eastAsia="Times New Roman" w:hAnsi="Times New Roman" w:cs="Times New Roman"/>
          <w:sz w:val="22"/>
          <w:szCs w:val="22"/>
        </w:rPr>
        <w:t xml:space="preserve">lévő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ösztradiol mennyisége alapján </w:t>
      </w:r>
      <w:r w:rsidR="00B864CF" w:rsidRPr="001B232A">
        <w:rPr>
          <w:rFonts w:ascii="Times New Roman" w:eastAsia="Times New Roman" w:hAnsi="Times New Roman" w:cs="Times New Roman"/>
          <w:sz w:val="22"/>
          <w:szCs w:val="22"/>
        </w:rPr>
        <w:t xml:space="preserve">kell meghatározni </w:t>
      </w:r>
      <w:bookmarkEnd w:id="1"/>
      <w:r w:rsidRPr="001B232A">
        <w:rPr>
          <w:rFonts w:ascii="Times New Roman" w:eastAsia="Times New Roman" w:hAnsi="Times New Roman" w:cs="Times New Roman"/>
          <w:sz w:val="22"/>
          <w:szCs w:val="22"/>
        </w:rPr>
        <w:t>(lásd 5.1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53A73A23" w14:textId="77777777" w:rsidR="00101501" w:rsidRPr="001B232A" w:rsidRDefault="00101501" w:rsidP="00B3612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16E2336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lastRenderedPageBreak/>
        <w:t>A ganirelix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szel történő napi kezelést addig a napig kell folytatni, amíg megfelelő méretű folliculusból nincs jelen elegendő. A tüszők végső érését humán koriogonadotropin (hCG) adagolásával lehet kiváltani.</w:t>
      </w:r>
    </w:p>
    <w:p w14:paraId="0949A7E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9BC4314" w14:textId="77777777" w:rsidR="00101501" w:rsidRPr="00B14A8F" w:rsidRDefault="00101501" w:rsidP="00947E37">
      <w:pPr>
        <w:rPr>
          <w:rFonts w:ascii="Times New Roman" w:eastAsia="Times New Roman" w:hAnsi="Times New Roman" w:cs="Times New Roman"/>
          <w:i/>
          <w:sz w:val="22"/>
          <w:szCs w:val="22"/>
        </w:rPr>
      </w:pPr>
      <w:bookmarkStart w:id="2" w:name="page3"/>
      <w:bookmarkEnd w:id="2"/>
      <w:r w:rsidRPr="00B14A8F">
        <w:rPr>
          <w:rFonts w:ascii="Times New Roman" w:eastAsia="Times New Roman" w:hAnsi="Times New Roman" w:cs="Times New Roman"/>
          <w:i/>
          <w:sz w:val="22"/>
          <w:szCs w:val="22"/>
        </w:rPr>
        <w:t>Az utolsó injekció időzítése</w:t>
      </w:r>
    </w:p>
    <w:p w14:paraId="76664C8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D91BC7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 felezési ideje miatt a két ganirelix injekció között, valamint az utolsó ganirelix injekció és a hCG injekció között eltelt idő nem haladhatja meg a 30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órát, különben idő előtti LH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kiáramlás alakulhat ki. Éppen ezért a ganirelix délelőtti adása esetén a ganirelix terápiát az egész gonadotropin kezelési periódus során alkalmazni kell, beleértve az ovuláció kiváltásának napját is. A ganirelix délutáni adása esetén az utolsó ganirelix injekciót az ovuláció kiváltását megelőző napon, délután kell adni.</w:t>
      </w:r>
    </w:p>
    <w:p w14:paraId="6AF805B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7FFE0D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 biztonságosnak és hatékonynak bizonyult több kezelési cikluson áteső nőknél.</w:t>
      </w:r>
    </w:p>
    <w:p w14:paraId="3E61B47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555AFB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luteális fázis támogatásának szükségességét a ganirelix alkalmazása mellett nem vizsgálták. Klinikai vizsgálatokban a luteális fázis támogatását a vizsgáló centrum gyakorlatának</w:t>
      </w:r>
      <w:r w:rsidR="00B864CF" w:rsidRPr="001B232A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vagy a klinikai protokollnak megfelelően végezték.</w:t>
      </w:r>
    </w:p>
    <w:p w14:paraId="0343FCC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245B962" w14:textId="77777777" w:rsidR="00101501" w:rsidRPr="00B14A8F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B14A8F">
        <w:rPr>
          <w:rFonts w:ascii="Times New Roman" w:eastAsia="Times New Roman" w:hAnsi="Times New Roman" w:cs="Times New Roman"/>
          <w:sz w:val="22"/>
          <w:szCs w:val="22"/>
          <w:u w:val="single"/>
        </w:rPr>
        <w:t>Különleges betegcsoportok</w:t>
      </w:r>
    </w:p>
    <w:p w14:paraId="27E5C2F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47455F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i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i/>
          <w:sz w:val="22"/>
          <w:szCs w:val="22"/>
        </w:rPr>
        <w:t>Vesekárosodás</w:t>
      </w:r>
    </w:p>
    <w:p w14:paraId="6E12CA55" w14:textId="77777777" w:rsidR="002238AC" w:rsidRPr="001B232A" w:rsidRDefault="002238AC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1E9046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Vesekárosodásban szenvedő betegek esetén nem áll rendelkezésre tapasztalat a ganirelix alkalmazásával kapcsolatban, mivel ezek a betegek ki voltak zárva a klinikai vizsgálatokból. Ezért a ganirelix alkalmazása ellenjavallt közepesen súlyos vagy súlyos vesekárosodásban szenvedő betegeknél (lásd 4.3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435AE86A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193142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i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i/>
          <w:sz w:val="22"/>
          <w:szCs w:val="22"/>
        </w:rPr>
        <w:t>Májkárosodás</w:t>
      </w:r>
    </w:p>
    <w:p w14:paraId="527920B7" w14:textId="77777777" w:rsidR="002238AC" w:rsidRPr="001B232A" w:rsidRDefault="002238AC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BE8F2B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Májkárosodásban szenvedő betegek esetén nem áll rendelkezésre tapasztalat a ganirelix alkalmazásával kapcsolatban, mivel ezeket a betegeket kizárták a klinikai vizsgálatokból. Ezért a ganirelix alkalmazása ellenjavallt közepesen súlyos vagy súlyos májkárosodásban szenvedő betegeknél (lásd 4.3</w:t>
      </w:r>
      <w:r w:rsidR="002177F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02B2F42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64C2D3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i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i/>
          <w:sz w:val="22"/>
          <w:szCs w:val="22"/>
        </w:rPr>
        <w:t>Gyermekek és serdülők</w:t>
      </w:r>
    </w:p>
    <w:p w14:paraId="536F7CA9" w14:textId="77777777" w:rsidR="002238AC" w:rsidRPr="001B232A" w:rsidRDefault="002238AC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70E3C8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238AC" w:rsidRPr="001B232A">
        <w:rPr>
          <w:rFonts w:ascii="Times New Roman" w:eastAsia="Times New Roman" w:hAnsi="Times New Roman" w:cs="Times New Roman"/>
          <w:sz w:val="22"/>
          <w:szCs w:val="22"/>
        </w:rPr>
        <w:t>ganirelix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nek gyermekek esetén nincs releváns alkalmazása.</w:t>
      </w:r>
    </w:p>
    <w:p w14:paraId="7834FEC6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41EFC53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Az alkalmazás módja</w:t>
      </w:r>
    </w:p>
    <w:p w14:paraId="53C2C282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1ACE49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238AC" w:rsidRPr="001B232A">
        <w:rPr>
          <w:rFonts w:ascii="Times New Roman" w:eastAsia="Times New Roman" w:hAnsi="Times New Roman" w:cs="Times New Roman"/>
          <w:sz w:val="22"/>
          <w:szCs w:val="22"/>
        </w:rPr>
        <w:t>ganirelix</w:t>
      </w:r>
      <w:r w:rsidR="00335D07" w:rsidRPr="001B232A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t subcutan kell </w:t>
      </w:r>
      <w:r w:rsidR="00772458" w:rsidRPr="001B232A">
        <w:rPr>
          <w:rFonts w:ascii="Times New Roman" w:eastAsia="Times New Roman" w:hAnsi="Times New Roman" w:cs="Times New Roman"/>
          <w:sz w:val="22"/>
          <w:szCs w:val="22"/>
        </w:rPr>
        <w:t>beadni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, elsősorban a combba. A lipoatrophia megelőzése érdekében az injekció helyét váltogatni kell. A </w:t>
      </w:r>
      <w:r w:rsidR="002238AC" w:rsidRPr="001B232A">
        <w:rPr>
          <w:rFonts w:ascii="Times New Roman" w:eastAsia="Times New Roman" w:hAnsi="Times New Roman" w:cs="Times New Roman"/>
          <w:sz w:val="22"/>
          <w:szCs w:val="22"/>
        </w:rPr>
        <w:t xml:space="preserve">ganirelix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injekciókat a beteg saját maga vagy partnere is beadhatja, feltéve, hogy megfelelő tájékoztatásban részesültek, és lehetőségük van szakértői tanács igénybevételére.</w:t>
      </w:r>
    </w:p>
    <w:p w14:paraId="10C98BBC" w14:textId="77777777" w:rsidR="00101501" w:rsidRPr="001B232A" w:rsidRDefault="0077245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Az előretöltött fecskendő</w:t>
      </w:r>
      <w:r w:rsidR="001B232A" w:rsidRPr="001B232A">
        <w:rPr>
          <w:rFonts w:ascii="Times New Roman" w:eastAsia="Times New Roman" w:hAnsi="Times New Roman" w:cs="Times New Roman"/>
          <w:sz w:val="22"/>
          <w:szCs w:val="22"/>
        </w:rPr>
        <w:t xml:space="preserve">ben lehet </w:t>
      </w:r>
      <w:r w:rsidR="002238AC" w:rsidRPr="001B232A">
        <w:rPr>
          <w:rFonts w:ascii="Times New Roman" w:eastAsia="Times New Roman" w:hAnsi="Times New Roman" w:cs="Times New Roman"/>
          <w:sz w:val="22"/>
          <w:szCs w:val="22"/>
        </w:rPr>
        <w:t>légbuborék. Ez normális jelenség, és a légbuborék(ok) eltávolítása nem szükséges.</w:t>
      </w:r>
    </w:p>
    <w:p w14:paraId="1F0264E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9E658FF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4.3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  <w:t>Ellenjavallatok</w:t>
      </w:r>
    </w:p>
    <w:p w14:paraId="54F10F5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EE77618" w14:textId="77777777" w:rsidR="00101501" w:rsidRPr="001B232A" w:rsidRDefault="00101501" w:rsidP="00101501">
      <w:pPr>
        <w:numPr>
          <w:ilvl w:val="0"/>
          <w:numId w:val="2"/>
        </w:numPr>
        <w:tabs>
          <w:tab w:val="left" w:pos="564"/>
        </w:tabs>
        <w:ind w:left="564" w:hanging="563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készítmény hatóanyagával vagy a 6.1</w:t>
      </w:r>
      <w:r w:rsidR="00335D07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pontban felsorolt bármely segédanyagával szembeni túlérzékenység.</w:t>
      </w:r>
    </w:p>
    <w:p w14:paraId="50AA549A" w14:textId="77777777" w:rsidR="00101501" w:rsidRPr="001B232A" w:rsidRDefault="00101501" w:rsidP="00101501">
      <w:pPr>
        <w:numPr>
          <w:ilvl w:val="0"/>
          <w:numId w:val="2"/>
        </w:numPr>
        <w:tabs>
          <w:tab w:val="left" w:pos="564"/>
        </w:tabs>
        <w:ind w:left="564" w:hanging="563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Gonadotropin releasing hormonnal (GnRH) vagy bármely </w:t>
      </w:r>
      <w:r w:rsidR="001B30E2" w:rsidRPr="001B232A">
        <w:rPr>
          <w:rFonts w:ascii="Times New Roman" w:eastAsia="Times New Roman" w:hAnsi="Times New Roman" w:cs="Times New Roman"/>
          <w:sz w:val="22"/>
          <w:szCs w:val="22"/>
        </w:rPr>
        <w:t>egyéb</w:t>
      </w:r>
      <w:r w:rsidR="00760D84">
        <w:rPr>
          <w:rFonts w:ascii="Times New Roman" w:eastAsia="Times New Roman" w:hAnsi="Times New Roman" w:cs="Times New Roman"/>
          <w:sz w:val="22"/>
          <w:szCs w:val="22"/>
        </w:rPr>
        <w:t xml:space="preserve"> GnRH-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analóggal szembeni túlérzékenység.</w:t>
      </w:r>
    </w:p>
    <w:p w14:paraId="317C88A4" w14:textId="77777777" w:rsidR="00101501" w:rsidRPr="001B232A" w:rsidRDefault="00101501" w:rsidP="00101501">
      <w:pPr>
        <w:numPr>
          <w:ilvl w:val="0"/>
          <w:numId w:val="2"/>
        </w:numPr>
        <w:tabs>
          <w:tab w:val="left" w:pos="564"/>
        </w:tabs>
        <w:ind w:left="564" w:hanging="564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Közepes </w:t>
      </w:r>
      <w:r w:rsidR="00D44A8D" w:rsidRPr="001B232A">
        <w:rPr>
          <w:rFonts w:ascii="Times New Roman" w:eastAsia="Times New Roman" w:hAnsi="Times New Roman" w:cs="Times New Roman"/>
          <w:sz w:val="22"/>
          <w:szCs w:val="22"/>
        </w:rPr>
        <w:t xml:space="preserve">fokú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vagy súlyos vese- vagy májkárosodás.</w:t>
      </w:r>
    </w:p>
    <w:p w14:paraId="1192B640" w14:textId="77777777" w:rsidR="00101501" w:rsidRPr="001B232A" w:rsidRDefault="00101501" w:rsidP="00101501">
      <w:pPr>
        <w:numPr>
          <w:ilvl w:val="0"/>
          <w:numId w:val="2"/>
        </w:numPr>
        <w:tabs>
          <w:tab w:val="left" w:pos="564"/>
        </w:tabs>
        <w:ind w:left="564" w:hanging="564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Terhesség vagy szoptatás.</w:t>
      </w:r>
    </w:p>
    <w:p w14:paraId="4466715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9170A5F" w14:textId="77777777" w:rsidR="00473716" w:rsidRPr="001B232A" w:rsidRDefault="000062F3" w:rsidP="00947E37">
      <w:pPr>
        <w:keepNext/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4.4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Különleges figyelmeztetések és az alkalmazá</w:t>
      </w:r>
      <w:r w:rsidR="00473716" w:rsidRPr="001B232A">
        <w:rPr>
          <w:rFonts w:ascii="Times New Roman" w:eastAsia="Times New Roman" w:hAnsi="Times New Roman" w:cs="Times New Roman"/>
          <w:b/>
          <w:sz w:val="22"/>
          <w:szCs w:val="22"/>
        </w:rPr>
        <w:t>ssal kapcsolatos óvintézkedések</w:t>
      </w:r>
    </w:p>
    <w:p w14:paraId="73F5AA56" w14:textId="77777777" w:rsidR="00D44A8D" w:rsidRPr="00B14A8F" w:rsidRDefault="00D44A8D" w:rsidP="00B14A8F">
      <w:pPr>
        <w:keepNext/>
        <w:rPr>
          <w:rFonts w:ascii="Times New Roman" w:eastAsia="Times New Roman" w:hAnsi="Times New Roman" w:cs="Times New Roman"/>
          <w:sz w:val="22"/>
          <w:szCs w:val="22"/>
        </w:rPr>
      </w:pPr>
    </w:p>
    <w:p w14:paraId="32949E8D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Túlérzékenységi reakció</w:t>
      </w:r>
    </w:p>
    <w:p w14:paraId="0A93641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3726F4F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  <w:bookmarkStart w:id="3" w:name="page4"/>
      <w:bookmarkEnd w:id="3"/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Aktív allergiás megbetegedés jeleit vagy tüneteit mutató nőknél különös elővigyázatosság indokolt. A forgalomba hozatalt követő megfigyelésekben </w:t>
      </w:r>
      <w:r w:rsidR="00D44A8D" w:rsidRPr="001B232A">
        <w:rPr>
          <w:rFonts w:ascii="Times New Roman" w:eastAsia="Times New Roman" w:hAnsi="Times New Roman" w:cs="Times New Roman"/>
          <w:sz w:val="22"/>
          <w:szCs w:val="22"/>
        </w:rPr>
        <w:t>(mind generalizált, m</w:t>
      </w:r>
      <w:r w:rsidR="001B232A">
        <w:rPr>
          <w:rFonts w:ascii="Times New Roman" w:eastAsia="Times New Roman" w:hAnsi="Times New Roman" w:cs="Times New Roman"/>
          <w:sz w:val="22"/>
          <w:szCs w:val="22"/>
        </w:rPr>
        <w:t>i</w:t>
      </w:r>
      <w:r w:rsidR="00D44A8D" w:rsidRPr="001B232A">
        <w:rPr>
          <w:rFonts w:ascii="Times New Roman" w:eastAsia="Times New Roman" w:hAnsi="Times New Roman" w:cs="Times New Roman"/>
          <w:sz w:val="22"/>
          <w:szCs w:val="22"/>
        </w:rPr>
        <w:t xml:space="preserve">nd lokális)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túlérzékenységi reakciók eseteit jelentették a ganirelix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szel kapcsolatban már az első adag beadását követően. </w:t>
      </w:r>
      <w:r w:rsidR="00D44A8D" w:rsidRPr="001B232A">
        <w:rPr>
          <w:rFonts w:ascii="Times New Roman" w:eastAsia="Times New Roman" w:hAnsi="Times New Roman" w:cs="Times New Roman"/>
          <w:sz w:val="22"/>
          <w:szCs w:val="22"/>
        </w:rPr>
        <w:t xml:space="preserve">Ezen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esetek között </w:t>
      </w:r>
      <w:r w:rsidR="00D44A8D" w:rsidRPr="001B232A">
        <w:rPr>
          <w:rFonts w:ascii="Times New Roman" w:eastAsia="Times New Roman" w:hAnsi="Times New Roman" w:cs="Times New Roman"/>
          <w:sz w:val="22"/>
          <w:szCs w:val="22"/>
        </w:rPr>
        <w:t xml:space="preserve">előfordult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anaphylaxia (beleértve az anaphylaxiás sokkot), angioedema és urticaria is (lásd 4.8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 Ha túlérzékenységi reakció gyanúja áll fenn, a ganirelix adását abba kell hagyni, és megfelelő kezelést kell alkalmazni. Klinikai tapasztalatok hiányában a ganirelix-kezelés nem ajánlott súlyos allergiás megbetegedésben szenvedő nőknél.</w:t>
      </w:r>
    </w:p>
    <w:p w14:paraId="68251E10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2FF290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Ovarium hiperstimulációs szindróma (OHSS)</w:t>
      </w:r>
    </w:p>
    <w:p w14:paraId="41D5A38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BEF0526" w14:textId="77777777" w:rsidR="00101501" w:rsidRPr="001B232A" w:rsidRDefault="00101501" w:rsidP="00947E37">
      <w:pPr>
        <w:pStyle w:val="Nincstrkz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petefészek stimuláció során vagy azt követően </w:t>
      </w:r>
      <w:r w:rsidR="001B50F5" w:rsidRPr="001B232A">
        <w:rPr>
          <w:rFonts w:ascii="Times New Roman" w:eastAsia="Times New Roman" w:hAnsi="Times New Roman" w:cs="Times New Roman"/>
          <w:sz w:val="22"/>
          <w:szCs w:val="22"/>
        </w:rPr>
        <w:t>ovarium hiperstimulációs szindróma (</w:t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OHSS</w:t>
      </w:r>
      <w:r w:rsidR="001B50F5"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)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a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lakulhat ki. Az OHSS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t a gonadotropin stimuláció intrinsic kockázatának kell tekinteni. Az OHSS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t</w:t>
      </w:r>
      <w:r w:rsidRPr="00B14A8F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tünetileg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kell kezelni, például pihenés</w:t>
      </w:r>
      <w:r w:rsidR="001B50F5" w:rsidRPr="001B232A">
        <w:rPr>
          <w:rFonts w:ascii="Times New Roman" w:eastAsia="Times New Roman" w:hAnsi="Times New Roman" w:cs="Times New Roman"/>
          <w:sz w:val="22"/>
          <w:szCs w:val="22"/>
        </w:rPr>
        <w:t>sel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, elektrolit oldatok vagy kolloidok intravénás infúziója </w:t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>és h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eparin segítségével.</w:t>
      </w:r>
    </w:p>
    <w:p w14:paraId="5BA568DB" w14:textId="77777777" w:rsidR="00101501" w:rsidRPr="001B232A" w:rsidRDefault="008301B7" w:rsidP="008301B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2674BE56" wp14:editId="67B6B179">
                <wp:simplePos x="0" y="0"/>
                <wp:positionH relativeFrom="column">
                  <wp:posOffset>3123565</wp:posOffset>
                </wp:positionH>
                <wp:positionV relativeFrom="paragraph">
                  <wp:posOffset>-355600</wp:posOffset>
                </wp:positionV>
                <wp:extent cx="33655" cy="0"/>
                <wp:effectExtent l="12700" t="8255" r="10795" b="10795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A4BF219" id="Line 2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95pt,-28pt" to="248.6pt,-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" strokeweight=".48pt"/>
            </w:pict>
          </mc:Fallback>
        </mc:AlternateContent>
      </w:r>
      <w:r w:rsidRPr="001B232A">
        <w:rPr>
          <w:rFonts w:ascii="Times New Roman" w:eastAsia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6C34CB1" wp14:editId="6D62050E">
                <wp:simplePos x="0" y="0"/>
                <wp:positionH relativeFrom="column">
                  <wp:posOffset>3346450</wp:posOffset>
                </wp:positionH>
                <wp:positionV relativeFrom="paragraph">
                  <wp:posOffset>-196850</wp:posOffset>
                </wp:positionV>
                <wp:extent cx="36830" cy="0"/>
                <wp:effectExtent l="6985" t="5080" r="13335" b="1397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D8E490A" id="Line 3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5pt,-15.5pt" to="266.4pt,-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" strokeweight=".16967mm"/>
            </w:pict>
          </mc:Fallback>
        </mc:AlternateContent>
      </w:r>
      <w:r w:rsidRPr="001B232A">
        <w:rPr>
          <w:rFonts w:ascii="Times New Roman" w:eastAsia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468D35C" wp14:editId="24815235">
                <wp:simplePos x="0" y="0"/>
                <wp:positionH relativeFrom="column">
                  <wp:posOffset>3126740</wp:posOffset>
                </wp:positionH>
                <wp:positionV relativeFrom="paragraph">
                  <wp:posOffset>-35560</wp:posOffset>
                </wp:positionV>
                <wp:extent cx="36830" cy="0"/>
                <wp:effectExtent l="6350" t="13970" r="13970" b="508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86F7238" id="Line 4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-2.8pt" to="249.1pt,-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" strokeweight=".48pt"/>
            </w:pict>
          </mc:Fallback>
        </mc:AlternateContent>
      </w:r>
    </w:p>
    <w:p w14:paraId="73B48288" w14:textId="77777777" w:rsidR="00101501" w:rsidRPr="001B232A" w:rsidRDefault="00101501" w:rsidP="00B14A8F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Méhen kívüli terhesség</w:t>
      </w:r>
    </w:p>
    <w:p w14:paraId="6F00879A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25F03E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Mivel az asszisztált reprodukciós, de főként az </w:t>
      </w:r>
      <w:r w:rsidRPr="001B232A">
        <w:rPr>
          <w:rFonts w:ascii="Times New Roman" w:eastAsia="Times New Roman" w:hAnsi="Times New Roman" w:cs="Times New Roman"/>
          <w:i/>
          <w:sz w:val="22"/>
          <w:szCs w:val="22"/>
        </w:rPr>
        <w:t>in vitro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megtermékenyítésben (IVF) részesülő meddő nőknél gyakori a petevezeték-elváltozás, a méhen kívüli terhesség </w:t>
      </w:r>
      <w:r w:rsidR="001B30E2" w:rsidRPr="001B232A">
        <w:rPr>
          <w:rFonts w:ascii="Times New Roman" w:eastAsia="Times New Roman" w:hAnsi="Times New Roman" w:cs="Times New Roman"/>
          <w:sz w:val="22"/>
          <w:szCs w:val="22"/>
        </w:rPr>
        <w:t>incidenciája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megnövekedhet. Ezért fontos az ultrahang vizsgálattal történő korai igazolása annak, hogy a terhesség méhen</w:t>
      </w:r>
      <w:r w:rsidRPr="001B232A"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belüli.</w:t>
      </w:r>
    </w:p>
    <w:p w14:paraId="122475A1" w14:textId="77777777" w:rsidR="00101501" w:rsidRPr="001B232A" w:rsidRDefault="008301B7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03B704E" wp14:editId="53502AE4">
                <wp:simplePos x="0" y="0"/>
                <wp:positionH relativeFrom="column">
                  <wp:posOffset>4821555</wp:posOffset>
                </wp:positionH>
                <wp:positionV relativeFrom="paragraph">
                  <wp:posOffset>-35560</wp:posOffset>
                </wp:positionV>
                <wp:extent cx="36830" cy="0"/>
                <wp:effectExtent l="5715" t="5715" r="5080" b="1333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14122D2E" id="Line 5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65pt,-2.8pt" to="382.55pt,-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" strokeweight=".16967mm"/>
            </w:pict>
          </mc:Fallback>
        </mc:AlternateContent>
      </w:r>
    </w:p>
    <w:p w14:paraId="1BC15F62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Veleszületett rendellenességek</w:t>
      </w:r>
    </w:p>
    <w:p w14:paraId="6474FE6D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75194E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Az asszisztált reprodukciós technikák (ART) alkalmazása után magasabb lehet a veleszületett rendellenességek incidenciája, mint spontán fogantatást követően. Ez a szülői tulajdonságok különbözőségével (pl. az anya életkorával, a sperma tulajdonságaival) és a többes terhesség gyakoribb előfordulásával függhet össze. A klinikai vizsgálatok, melyeket több mint 1000</w:t>
      </w:r>
      <w:r w:rsidR="00D1452E" w:rsidRPr="00B14A8F">
        <w:rPr>
          <w:rFonts w:ascii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újszülöttel végeztek, azt mutatták, hogy a veleszületett rendellenességek előfordulása a ganirelixet alkalmazó COH-kezelést követően született gyermekeknél hasonló a GnRH-analógot alkalmazó COH-kezelést követően született gyermekek esetében észleltekhez.</w:t>
      </w:r>
    </w:p>
    <w:p w14:paraId="0FCA650C" w14:textId="77777777" w:rsidR="00101501" w:rsidRPr="001B232A" w:rsidRDefault="008301B7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58A3C67" wp14:editId="633C1182">
                <wp:simplePos x="0" y="0"/>
                <wp:positionH relativeFrom="column">
                  <wp:posOffset>4766945</wp:posOffset>
                </wp:positionH>
                <wp:positionV relativeFrom="paragraph">
                  <wp:posOffset>-183515</wp:posOffset>
                </wp:positionV>
                <wp:extent cx="36195" cy="0"/>
                <wp:effectExtent l="8255" t="7620" r="12700" b="1143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6E6E47F" id="Line 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5.35pt,-14.45pt" to="378.2pt,-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" strokeweight=".16931mm"/>
            </w:pict>
          </mc:Fallback>
        </mc:AlternateContent>
      </w:r>
    </w:p>
    <w:p w14:paraId="62932C0A" w14:textId="77777777" w:rsidR="00101501" w:rsidRPr="001B232A" w:rsidRDefault="00D1452E" w:rsidP="00947E37">
      <w:pPr>
        <w:tabs>
          <w:tab w:val="left" w:pos="284"/>
        </w:tabs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50 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kg</w:t>
      </w: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nál kisebb és 90</w:t>
      </w: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kg</w:t>
      </w: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nál nagyobb testtömegű nők</w:t>
      </w:r>
    </w:p>
    <w:p w14:paraId="430D5BB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28369E4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 biztonságosságát és hatásosságát 50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kg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nál kisebb és 90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kg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nál nagyobb testtömegű nőknél nem igazolták (lásd 5.1 és 5.2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368252C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0AF6FCB" w14:textId="77777777" w:rsidR="00101501" w:rsidRPr="001B232A" w:rsidRDefault="00805D63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Nátrium</w:t>
      </w:r>
    </w:p>
    <w:p w14:paraId="2560991D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5DEA343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készítmény 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kevesebb</w:t>
      </w:r>
      <w:r w:rsidR="00266A6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mint 1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mmol (23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mg) nátriumot tartalmaz injekciónként, azaz gyakorlatilag „nátriummentes”.</w:t>
      </w:r>
    </w:p>
    <w:p w14:paraId="4929FDE2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AFD97F2" w14:textId="77777777" w:rsidR="00D1452E" w:rsidRPr="001B232A" w:rsidRDefault="000062F3" w:rsidP="00947E37">
      <w:pPr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4.5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Gyógyszerkölc</w:t>
      </w:r>
      <w:r w:rsidR="00D1452E" w:rsidRPr="001B232A">
        <w:rPr>
          <w:rFonts w:ascii="Times New Roman" w:eastAsia="Times New Roman" w:hAnsi="Times New Roman" w:cs="Times New Roman"/>
          <w:b/>
          <w:sz w:val="22"/>
          <w:szCs w:val="22"/>
        </w:rPr>
        <w:t>sönhatások és egyéb interakciók</w:t>
      </w:r>
    </w:p>
    <w:p w14:paraId="1DBB1EBF" w14:textId="77777777" w:rsidR="00D1452E" w:rsidRPr="001B232A" w:rsidRDefault="00D1452E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E97345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Interakciós vizsgálatokat nem végeztek.</w:t>
      </w:r>
    </w:p>
    <w:p w14:paraId="79C0CFB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4ED89F3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Elterjedten alkalmazott gyógyszerekkel – köztük hisztamint felszabadító gyógyszerekkel – történő interakciók lehetősége nem zárható ki.</w:t>
      </w:r>
    </w:p>
    <w:p w14:paraId="57D233D3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61B0BEE" w14:textId="77777777" w:rsidR="00101501" w:rsidRPr="001B232A" w:rsidRDefault="00101501" w:rsidP="00947E37">
      <w:pPr>
        <w:keepNext/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4.6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Termékenység, terhesség és szoptatás</w:t>
      </w:r>
    </w:p>
    <w:p w14:paraId="46A580FA" w14:textId="77777777" w:rsidR="00101501" w:rsidRPr="001B232A" w:rsidRDefault="00101501" w:rsidP="00947E37">
      <w:pPr>
        <w:keepNext/>
        <w:rPr>
          <w:rFonts w:ascii="Times New Roman" w:eastAsia="Times New Roman" w:hAnsi="Times New Roman" w:cs="Times New Roman"/>
          <w:sz w:val="22"/>
          <w:szCs w:val="22"/>
        </w:rPr>
      </w:pPr>
    </w:p>
    <w:p w14:paraId="5651D6A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Terhesség</w:t>
      </w:r>
    </w:p>
    <w:p w14:paraId="1CA4AAB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4363DD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 terhes nőknél történő alkalmazása tekintetében nincs megfelelő adat.</w:t>
      </w:r>
    </w:p>
    <w:p w14:paraId="5FEE671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Állatoknál az implantáció idejében történő ganirelix-expozíció az embrió felszívódásához vezetett (lásd 5.3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 Ezeknek az adatoknak a jelentősége emberre vonatkozóan nem ismeretes.</w:t>
      </w:r>
    </w:p>
    <w:p w14:paraId="57F6F53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bookmarkStart w:id="4" w:name="page5"/>
      <w:bookmarkEnd w:id="4"/>
    </w:p>
    <w:p w14:paraId="382925FA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Szoptatás</w:t>
      </w:r>
    </w:p>
    <w:p w14:paraId="1DA2C51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8707C1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Nem ismert, hogy a ganirelix kiválasztódik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 az anyatejbe.</w:t>
      </w:r>
    </w:p>
    <w:p w14:paraId="5E56668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3A8753B" w14:textId="77777777" w:rsidR="00D1452E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28583B" w:rsidRPr="001B232A">
        <w:rPr>
          <w:rFonts w:ascii="Times New Roman" w:eastAsia="Times New Roman" w:hAnsi="Times New Roman" w:cs="Times New Roman"/>
          <w:sz w:val="22"/>
          <w:szCs w:val="22"/>
        </w:rPr>
        <w:t xml:space="preserve">ganirelix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alkalmazása ellenjavallt terhesség és szoptatás alatt (lásd 4.3</w:t>
      </w:r>
      <w:r w:rsidR="00D1452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pont).</w:t>
      </w:r>
    </w:p>
    <w:p w14:paraId="60A61BA5" w14:textId="77777777" w:rsidR="00D1452E" w:rsidRPr="001B232A" w:rsidRDefault="00D1452E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</w:p>
    <w:p w14:paraId="5F7F602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Termékenység</w:t>
      </w:r>
    </w:p>
    <w:p w14:paraId="3498C8D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45E49BB" w14:textId="77777777" w:rsidR="0028583B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ganirelixet az asszisztált reprodukciós programokban kontrollált petefészek hiperstimuláción áteső nők kezelése során alkalmazzák. A ganirelixet az idő előtti LH-kiáramlások megelőzésére</w:t>
      </w:r>
      <w:r w:rsidR="0028583B" w:rsidRPr="001B232A">
        <w:rPr>
          <w:rFonts w:ascii="Times New Roman" w:eastAsia="Times New Roman" w:hAnsi="Times New Roman" w:cs="Times New Roman"/>
          <w:sz w:val="22"/>
          <w:szCs w:val="22"/>
        </w:rPr>
        <w:t xml:space="preserve"> használják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melyek egyébként előfordulnak ezeknél a nőknél a petefészek stimuláció során.</w:t>
      </w:r>
    </w:p>
    <w:p w14:paraId="103F726A" w14:textId="77777777" w:rsidR="0028583B" w:rsidRPr="001B232A" w:rsidRDefault="0028583B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D14FA1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Az adagolást és az alkalmazás módját lásd a 4.2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pontban.</w:t>
      </w:r>
    </w:p>
    <w:p w14:paraId="58CA226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D97E872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4.7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A készítmény hatásai a gépjárművezetéshez és a gépek kezeléséhez szükséges képességekre</w:t>
      </w:r>
    </w:p>
    <w:p w14:paraId="27BD3B6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19BA32D" w14:textId="77777777" w:rsidR="00101501" w:rsidRPr="001B232A" w:rsidRDefault="0044606E" w:rsidP="00947E37">
      <w:pPr>
        <w:tabs>
          <w:tab w:val="left" w:pos="215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készítménynek a gépjárművezetéshez és a gépek kezeléséhez szükséges képességeket befolyásoló hatásait nem vizsgálták.</w:t>
      </w:r>
    </w:p>
    <w:p w14:paraId="6ACFABE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C025306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4.8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Nemkívánatos hatások, mellékhatások</w:t>
      </w:r>
    </w:p>
    <w:p w14:paraId="4037D722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94517E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A biztonságossági profil összefoglalása</w:t>
      </w:r>
    </w:p>
    <w:p w14:paraId="2AB2EFF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DAD3BB6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Az alábbi táblázat </w:t>
      </w:r>
      <w:r w:rsidR="00584B74" w:rsidRPr="001B232A">
        <w:rPr>
          <w:rFonts w:ascii="Times New Roman" w:eastAsia="Times New Roman" w:hAnsi="Times New Roman" w:cs="Times New Roman"/>
          <w:sz w:val="22"/>
          <w:szCs w:val="22"/>
        </w:rPr>
        <w:t>az ovarium stimulációhoz recFSH</w:t>
      </w:r>
      <w:r w:rsidR="00584B74" w:rsidRPr="001B232A">
        <w:rPr>
          <w:rFonts w:ascii="Times New Roman" w:eastAsia="Times New Roman" w:hAnsi="Times New Roman" w:cs="Times New Roman"/>
          <w:sz w:val="22"/>
          <w:szCs w:val="22"/>
        </w:rPr>
        <w:noBreakHyphen/>
        <w:t>t alkalmazó klinikai vizsgálatokban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584B74" w:rsidRPr="001B232A">
        <w:rPr>
          <w:rFonts w:ascii="Times New Roman" w:eastAsia="Times New Roman" w:hAnsi="Times New Roman" w:cs="Times New Roman"/>
          <w:sz w:val="22"/>
          <w:szCs w:val="22"/>
        </w:rPr>
        <w:t>g</w:t>
      </w:r>
      <w:r w:rsidR="00B40CDC" w:rsidRPr="001B232A">
        <w:rPr>
          <w:rFonts w:ascii="Times New Roman" w:eastAsia="Times New Roman" w:hAnsi="Times New Roman" w:cs="Times New Roman"/>
          <w:sz w:val="22"/>
          <w:szCs w:val="22"/>
        </w:rPr>
        <w:t>a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nirelix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szel kezelt nőknél jelentkező összes mellékhatást mutatja. A ganirelix corifollitropin alfa ovarium stimulációhoz történő alkalmazása esetén hasonló</w:t>
      </w:r>
      <w:r w:rsidR="00ED2011">
        <w:rPr>
          <w:rFonts w:ascii="Times New Roman" w:eastAsia="Times New Roman" w:hAnsi="Times New Roman" w:cs="Times New Roman"/>
          <w:sz w:val="22"/>
          <w:szCs w:val="22"/>
        </w:rPr>
        <w:t xml:space="preserve"> mellékhatások várhatók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9D8928D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47B1878" w14:textId="77777777" w:rsidR="00101501" w:rsidRPr="001B232A" w:rsidRDefault="0044606E" w:rsidP="00947E37">
      <w:pPr>
        <w:tabs>
          <w:tab w:val="left" w:pos="224"/>
        </w:tabs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A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mellékhatások táblázatos felsorolása</w:t>
      </w:r>
    </w:p>
    <w:p w14:paraId="716686F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555781F" w14:textId="77777777" w:rsidR="00101501" w:rsidRPr="001B232A" w:rsidRDefault="0044606E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mellékhatások besorolása megfelel a MedDRA szervrendszeri csoportosításnak és gyakorisági kategóriáknak: nagyon gyakori (≥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1/10), gyakori (≥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1/100</w:t>
      </w:r>
      <w:r w:rsidRPr="001B232A">
        <w:rPr>
          <w:rFonts w:ascii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noBreakHyphen/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&lt;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1/10), nem gyakori (≥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1/1000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noBreakHyphen/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&lt;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1/100).</w:t>
      </w:r>
    </w:p>
    <w:p w14:paraId="3AEDF96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túlérzékenységi reakciók gyakoriságára (nagyon ritka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&lt;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1/10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000) a forgalomba hozatal utáni megfigyelésekből következtettek.</w:t>
      </w:r>
    </w:p>
    <w:p w14:paraId="5686C554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100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0"/>
        <w:gridCol w:w="3020"/>
        <w:gridCol w:w="3040"/>
      </w:tblGrid>
      <w:tr w:rsidR="00101501" w:rsidRPr="001B232A" w14:paraId="143AF121" w14:textId="77777777" w:rsidTr="00365AE6">
        <w:trPr>
          <w:trHeight w:val="264"/>
          <w:tblHeader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D1597" w14:textId="77777777" w:rsidR="00101501" w:rsidRPr="001B232A" w:rsidRDefault="00101501" w:rsidP="00B36122">
            <w:pPr>
              <w:ind w:left="1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Szervrendszeri kategória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1EED0" w14:textId="77777777" w:rsidR="00101501" w:rsidRPr="001B232A" w:rsidRDefault="00101501" w:rsidP="00B36122">
            <w:pPr>
              <w:ind w:left="10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Gyakoriság</w:t>
            </w:r>
          </w:p>
        </w:tc>
        <w:tc>
          <w:tcPr>
            <w:tcW w:w="3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37ACE" w14:textId="77777777" w:rsidR="00101501" w:rsidRPr="001B232A" w:rsidRDefault="00101501" w:rsidP="00B36122">
            <w:pPr>
              <w:ind w:left="8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Mellékhatás</w:t>
            </w:r>
          </w:p>
        </w:tc>
      </w:tr>
      <w:tr w:rsidR="00534B0F" w:rsidRPr="001B232A" w14:paraId="323AC412" w14:textId="77777777" w:rsidTr="00365AE6">
        <w:trPr>
          <w:trHeight w:val="1990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412C9F" w14:textId="77777777" w:rsidR="00534B0F" w:rsidRPr="001B232A" w:rsidRDefault="00534B0F" w:rsidP="00B36122">
            <w:pPr>
              <w:ind w:left="119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Immunrendszeri betegségek és tünetek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99AFD" w14:textId="77777777" w:rsidR="00534B0F" w:rsidRPr="001B232A" w:rsidRDefault="00534B0F" w:rsidP="00B36122">
            <w:pPr>
              <w:ind w:left="1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Nagyon ritka</w:t>
            </w:r>
          </w:p>
        </w:tc>
        <w:tc>
          <w:tcPr>
            <w:tcW w:w="3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9BC3D6" w14:textId="77777777" w:rsidR="0044606E" w:rsidRPr="001B232A" w:rsidRDefault="00534B0F" w:rsidP="00365AE6">
            <w:pPr>
              <w:ind w:left="7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Túlérzékenységi reakciók (beleértve a bőrkiütést, az arc duzzanatát, a nehézlégzést, az anaphylaxiát [beleértve az anaphylaxiás sokkot], angioedemát és urticariát)</w:t>
            </w: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  <w:p w14:paraId="75B4C01B" w14:textId="77777777" w:rsidR="00534B0F" w:rsidRPr="001B232A" w:rsidRDefault="00534B0F" w:rsidP="00365AE6">
            <w:pPr>
              <w:ind w:left="7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Korábban fennálló ekcéma rosszabbodása</w:t>
            </w: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101501" w:rsidRPr="001B232A" w14:paraId="58FD353C" w14:textId="77777777" w:rsidTr="00365AE6">
        <w:trPr>
          <w:trHeight w:val="274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80AE8C" w14:textId="77777777" w:rsidR="00101501" w:rsidRPr="001B232A" w:rsidRDefault="00534B0F" w:rsidP="00B36122">
            <w:pPr>
              <w:ind w:left="120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Idegrendszeri betegségek és tünetek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4F9B0" w14:textId="77777777" w:rsidR="00101501" w:rsidRPr="001B232A" w:rsidRDefault="00534B0F" w:rsidP="00365AE6">
            <w:pPr>
              <w:ind w:left="75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Nem gyakori</w:t>
            </w:r>
          </w:p>
        </w:tc>
        <w:tc>
          <w:tcPr>
            <w:tcW w:w="3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BC40F" w14:textId="77777777" w:rsidR="00101501" w:rsidRPr="001B232A" w:rsidRDefault="00534B0F" w:rsidP="00365AE6">
            <w:pPr>
              <w:ind w:lef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Fejfájás</w:t>
            </w:r>
          </w:p>
        </w:tc>
      </w:tr>
      <w:tr w:rsidR="00101501" w:rsidRPr="001B232A" w14:paraId="1FCB20AB" w14:textId="77777777" w:rsidTr="00365AE6">
        <w:trPr>
          <w:trHeight w:val="22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02B12" w14:textId="77777777" w:rsidR="00101501" w:rsidRPr="001B232A" w:rsidRDefault="00101501" w:rsidP="00B36122">
            <w:pPr>
              <w:ind w:left="120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Emésztőrendszeri betegségek</w:t>
            </w:r>
            <w:r w:rsidR="00534B0F" w:rsidRPr="001B232A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 xml:space="preserve"> és tünetek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B11713" w14:textId="77777777" w:rsidR="00101501" w:rsidRPr="001B232A" w:rsidRDefault="00101501" w:rsidP="00365AE6">
            <w:pPr>
              <w:ind w:left="1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Nem gyakori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CEFCF6" w14:textId="77777777" w:rsidR="00101501" w:rsidRPr="001B232A" w:rsidRDefault="00101501" w:rsidP="00365AE6">
            <w:pPr>
              <w:ind w:left="8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Hányinger</w:t>
            </w:r>
          </w:p>
        </w:tc>
      </w:tr>
      <w:tr w:rsidR="00646167" w:rsidRPr="001B232A" w14:paraId="0603B94C" w14:textId="77777777" w:rsidTr="00365AE6">
        <w:trPr>
          <w:trHeight w:val="216"/>
        </w:trPr>
        <w:tc>
          <w:tcPr>
            <w:tcW w:w="30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0F58C" w14:textId="77777777" w:rsidR="00646167" w:rsidRPr="001B232A" w:rsidRDefault="00646167" w:rsidP="00B36122">
            <w:pPr>
              <w:ind w:left="120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8CE64" w14:textId="77777777" w:rsidR="00646167" w:rsidRPr="001B232A" w:rsidRDefault="00646167" w:rsidP="00365AE6">
            <w:pPr>
              <w:ind w:left="100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Nagyon gyakori</w:t>
            </w:r>
          </w:p>
        </w:tc>
        <w:tc>
          <w:tcPr>
            <w:tcW w:w="3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2C246" w14:textId="77777777" w:rsidR="00646167" w:rsidRPr="001B232A" w:rsidRDefault="00646167" w:rsidP="00B36122">
            <w:pPr>
              <w:ind w:left="80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Helyi bőrreakció az injekció beadásának helyén (elsősorban bőrpír, duzzanattal vagy anélkül)</w:t>
            </w: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3</w:t>
            </w:r>
          </w:p>
        </w:tc>
      </w:tr>
      <w:tr w:rsidR="00646167" w:rsidRPr="001B232A" w14:paraId="0CB7B4F4" w14:textId="77777777" w:rsidTr="00534B0F">
        <w:trPr>
          <w:trHeight w:val="244"/>
        </w:trPr>
        <w:tc>
          <w:tcPr>
            <w:tcW w:w="3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83F1F" w14:textId="77777777" w:rsidR="00646167" w:rsidRPr="001B232A" w:rsidRDefault="00646167" w:rsidP="00B36122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CA700B" w14:textId="77777777" w:rsidR="00646167" w:rsidRPr="001B232A" w:rsidRDefault="00646167" w:rsidP="00B36122">
            <w:pPr>
              <w:ind w:left="1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Nem gyakori</w:t>
            </w:r>
          </w:p>
        </w:tc>
        <w:tc>
          <w:tcPr>
            <w:tcW w:w="3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38F911" w14:textId="77777777" w:rsidR="00646167" w:rsidRPr="001B232A" w:rsidRDefault="00646167" w:rsidP="00B36122">
            <w:pPr>
              <w:ind w:left="8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232A">
              <w:rPr>
                <w:rFonts w:ascii="Times New Roman" w:eastAsia="Times New Roman" w:hAnsi="Times New Roman" w:cs="Times New Roman"/>
                <w:sz w:val="22"/>
                <w:szCs w:val="22"/>
              </w:rPr>
              <w:t>Rossz közérzet</w:t>
            </w:r>
          </w:p>
        </w:tc>
      </w:tr>
    </w:tbl>
    <w:p w14:paraId="7EA5BBD2" w14:textId="77777777" w:rsidR="00101501" w:rsidRPr="001B232A" w:rsidRDefault="00101501" w:rsidP="00947E37">
      <w:pPr>
        <w:ind w:left="567" w:hanging="567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1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 ganirelix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szel kezelt betegek körében már az első adag beadását követően jelentettek eseteket.</w:t>
      </w:r>
    </w:p>
    <w:p w14:paraId="3723568F" w14:textId="77777777" w:rsidR="00101501" w:rsidRPr="001B232A" w:rsidRDefault="00EA2043" w:rsidP="008301B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2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Egy betegnél jelentették a ganirelix első adagja után.</w:t>
      </w:r>
    </w:p>
    <w:p w14:paraId="61BC7BBF" w14:textId="77777777" w:rsidR="00101501" w:rsidRPr="001B232A" w:rsidRDefault="00EA2043" w:rsidP="00772458">
      <w:pPr>
        <w:tabs>
          <w:tab w:val="left" w:pos="567"/>
        </w:tabs>
        <w:ind w:left="567" w:hanging="565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Klinikai vizsgálatok során, egy órával az injekciót követően, a kezelési ciklusonként legalább egy</w:t>
      </w:r>
      <w:r w:rsidR="00F94F1A"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5" w:name="page6"/>
      <w:bookmarkEnd w:id="5"/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ízben előforduló közepes vagy súlyos helyi bőrreakciók incidenciája, a betegek jelentése szerint, 12% volt a ganirelix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szel keze</w:t>
      </w:r>
      <w:r w:rsidR="00760D84">
        <w:rPr>
          <w:rFonts w:ascii="Times New Roman" w:eastAsia="Times New Roman" w:hAnsi="Times New Roman" w:cs="Times New Roman"/>
          <w:sz w:val="22"/>
          <w:szCs w:val="22"/>
        </w:rPr>
        <w:t>lt betegeknél, és 25% volt GnRH-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agonistával subcutan kezelt betegeknél. A lokális reakciók általában az adagolást követő 4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órán belül megszűnnek.</w:t>
      </w:r>
    </w:p>
    <w:p w14:paraId="16E43963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C7A4D2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Kiválasztott mellékhatások leírása</w:t>
      </w:r>
    </w:p>
    <w:p w14:paraId="0AEDAD6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B21132A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Az egyéb jelentett mellékhatások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 xml:space="preserve"> – </w:t>
      </w:r>
      <w:r w:rsidR="00A514E3" w:rsidRPr="001B232A">
        <w:rPr>
          <w:rFonts w:ascii="Times New Roman" w:eastAsia="Times New Roman" w:hAnsi="Times New Roman" w:cs="Times New Roman"/>
          <w:sz w:val="22"/>
          <w:szCs w:val="22"/>
        </w:rPr>
        <w:t xml:space="preserve">nevezetesen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kismedencei fájdalom, haspuffadás, OHSS (lásd </w:t>
      </w:r>
      <w:r w:rsidR="00537868" w:rsidRPr="001B232A">
        <w:rPr>
          <w:rFonts w:ascii="Times New Roman" w:eastAsia="Times New Roman" w:hAnsi="Times New Roman" w:cs="Times New Roman"/>
          <w:sz w:val="22"/>
          <w:szCs w:val="22"/>
        </w:rPr>
        <w:t xml:space="preserve">még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4.4</w:t>
      </w:r>
      <w:r w:rsidR="0044606E" w:rsidRPr="001B232A">
        <w:rPr>
          <w:rFonts w:ascii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pont), méhen kívüli terhesség és spontán abortusz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 xml:space="preserve"> –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az ART keretében alkalmazott kontrollált petefészek hiperstimuláció kezeléssel kapcsolatosak.</w:t>
      </w:r>
    </w:p>
    <w:p w14:paraId="1EE9238D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105A446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Feltételezett mellékhatások bejelentése</w:t>
      </w:r>
    </w:p>
    <w:p w14:paraId="007BF94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F170FB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</w:t>
      </w:r>
      <w:r w:rsidRPr="001B232A">
        <w:rPr>
          <w:rFonts w:ascii="Times New Roman" w:eastAsia="Times New Roman" w:hAnsi="Times New Roman" w:cs="Times New Roman"/>
          <w:color w:val="0000FF"/>
          <w:sz w:val="22"/>
          <w:szCs w:val="22"/>
        </w:rPr>
        <w:t xml:space="preserve"> </w:t>
      </w:r>
      <w:hyperlink r:id="rId7" w:history="1">
        <w:r w:rsidRPr="001B232A">
          <w:rPr>
            <w:rFonts w:ascii="Times New Roman" w:eastAsia="Times New Roman" w:hAnsi="Times New Roman" w:cs="Times New Roman"/>
            <w:color w:val="0000FF"/>
            <w:sz w:val="22"/>
            <w:szCs w:val="22"/>
            <w:highlight w:val="lightGray"/>
            <w:u w:val="single"/>
          </w:rPr>
          <w:t>V. függelékben</w:t>
        </w:r>
        <w:r w:rsidRPr="001B232A">
          <w:rPr>
            <w:rFonts w:ascii="Times New Roman" w:eastAsia="Times New Roman" w:hAnsi="Times New Roman" w:cs="Times New Roman"/>
            <w:sz w:val="22"/>
            <w:szCs w:val="22"/>
            <w:highlight w:val="lightGray"/>
            <w:u w:val="single"/>
          </w:rPr>
          <w:t xml:space="preserve"> </w:t>
        </w:r>
      </w:hyperlink>
      <w:r w:rsidRPr="001B232A">
        <w:rPr>
          <w:rFonts w:ascii="Times New Roman" w:eastAsia="Times New Roman" w:hAnsi="Times New Roman" w:cs="Times New Roman"/>
          <w:sz w:val="22"/>
          <w:szCs w:val="22"/>
          <w:highlight w:val="lightGray"/>
        </w:rPr>
        <w:t>található elérhetőségek valamelyikén keresztül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22C2505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3913127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4.9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Túladagolás</w:t>
      </w:r>
    </w:p>
    <w:p w14:paraId="44175396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DEE7C58" w14:textId="1D2540F4" w:rsidR="00101501" w:rsidRPr="001B232A" w:rsidRDefault="00760D84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 túladagolás a hatás időtartamának megnyúlását eredményez</w:t>
      </w:r>
      <w:r w:rsidR="00A514E3" w:rsidRPr="001B232A">
        <w:rPr>
          <w:rFonts w:ascii="Times New Roman" w:eastAsia="Times New Roman" w:hAnsi="Times New Roman" w:cs="Times New Roman"/>
          <w:sz w:val="22"/>
          <w:szCs w:val="22"/>
        </w:rPr>
        <w:t>het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i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embernél.</w:t>
      </w:r>
    </w:p>
    <w:p w14:paraId="51250BD7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5442913" w14:textId="7688DAE6" w:rsidR="00101501" w:rsidRPr="001B232A" w:rsidRDefault="00760D84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Ganirelix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akut toxicitás</w:t>
      </w:r>
      <w:r>
        <w:rPr>
          <w:rFonts w:ascii="Times New Roman" w:eastAsia="Times New Roman" w:hAnsi="Times New Roman" w:cs="Times New Roman"/>
          <w:sz w:val="22"/>
          <w:szCs w:val="22"/>
        </w:rPr>
        <w:t>á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ra vonatkozó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humán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adatok nem állnak rendelkezésre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 12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mg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ig terjedő </w:t>
      </w:r>
      <w:r w:rsidR="00A514E3" w:rsidRPr="001B232A">
        <w:rPr>
          <w:rFonts w:ascii="Times New Roman" w:eastAsia="Times New Roman" w:hAnsi="Times New Roman" w:cs="Times New Roman"/>
          <w:sz w:val="22"/>
          <w:szCs w:val="22"/>
        </w:rPr>
        <w:t xml:space="preserve">egyszeri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ganirelix-dózisok subcutan adagolásával kapcsolatos klinikai vizsgálatok nem mutattak szisztémás mellékhatásokat. Patkányokkal és majmokkal végzett akut toxicitási vizsgálatok során olyan nem specifikus toxikus tüneteket, mint hypotensio illetve bradycardia, csak 1 illetve 3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mg/ttkg</w:t>
      </w:r>
      <w:r w:rsidR="0044606E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ot meghaladó ganirelix-dózis intravénás adagolását követően figyeltek meg.</w:t>
      </w:r>
    </w:p>
    <w:p w14:paraId="72E87BF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BE7B5A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Túladagolás esetén a ganirelix-kezelést (átmenetileg) fel kell függeszteni.</w:t>
      </w:r>
    </w:p>
    <w:p w14:paraId="633181B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D4946F4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F33EECE" w14:textId="77777777" w:rsidR="00101501" w:rsidRPr="001B232A" w:rsidRDefault="000062F3" w:rsidP="00772458">
      <w:pPr>
        <w:tabs>
          <w:tab w:val="left" w:pos="562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5.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FARMAKOLÓGIAI TULAJDONSÁGOK</w:t>
      </w:r>
    </w:p>
    <w:p w14:paraId="065D51E5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51B77D0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5.1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Farmakodinámiás tulajdonságok</w:t>
      </w:r>
    </w:p>
    <w:p w14:paraId="49D0343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36EF62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Farmakoterápiás csoport: Hypophysis-, hypothalamus-hormonok és analógjaik,</w:t>
      </w:r>
      <w:r w:rsidR="008C0B5A"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anti-gonadotropin-releasing hormonok, ATC kód: H01CC01.</w:t>
      </w:r>
    </w:p>
    <w:p w14:paraId="62E6BC9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8DCE49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Hatásmechanizmus</w:t>
      </w:r>
    </w:p>
    <w:p w14:paraId="5D3932A4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6589E9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 egy GnRH-antagonista, amely az agyalapi mirigyben levő GnRH receptorokhoz történő kompetitív kötődés révén módosítja a hypothalamus-hypophysis-gonad tengelyt. Ennek következtében az endogén gonadotropinok gyors, kifejezett és reverzibilis szuppressziója lép fel, a GnRH-agonisták által kiváltott kezdeti stimuláció nélkül. Többszöri, 0,25</w:t>
      </w:r>
      <w:r w:rsidR="008C0B5A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mg</w:t>
      </w:r>
      <w:r w:rsidR="008C0B5A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os ganirelix dózis önkéntes nőknek történő adagolását követően a szérum LH, FSH és E2 koncentrációk 4, 16 és 16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órával az injekciót követően maximálisan 74, 32, illetve 25%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kal csökkentek. A szérum hormonszintek az utolsó injekciót követően két napon belül visszatértek a kezelés előtti értékekre.</w:t>
      </w:r>
    </w:p>
    <w:p w14:paraId="40C9A92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36A248B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Farmakodinámiás hatások</w:t>
      </w:r>
    </w:p>
    <w:p w14:paraId="6A089BE5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7519142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Kontrollált ovarium stimuláció alatt álló betegeknél a ganirelix-kezelés medián időtartama 5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 volt. A ganirelix-kezelés során az LH emelkedés (&gt;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10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NE/liter) átlagos incidenciája egyidejű progeszteronemelkedéssel (&gt;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1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ng/ml) 0,3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1,2% volt, szemben a GnRH-agonista-kezelés során észlelt 0,8%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os értékkel.</w:t>
      </w:r>
      <w:bookmarkStart w:id="6" w:name="_Hlk124524093"/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7" w:name="_Hlk124522211"/>
      <w:r w:rsidRPr="001B232A">
        <w:rPr>
          <w:rFonts w:ascii="Times New Roman" w:eastAsia="Times New Roman" w:hAnsi="Times New Roman" w:cs="Times New Roman"/>
          <w:sz w:val="22"/>
          <w:szCs w:val="22"/>
        </w:rPr>
        <w:t>Nagyobb testtömegű (&gt;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80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kg) nőknél a LH- és progeszteronszint </w:t>
      </w:r>
      <w:r w:rsidR="00AB772A" w:rsidRPr="001B232A">
        <w:rPr>
          <w:rFonts w:ascii="Times New Roman" w:eastAsia="Times New Roman" w:hAnsi="Times New Roman" w:cs="Times New Roman"/>
          <w:sz w:val="22"/>
          <w:szCs w:val="22"/>
        </w:rPr>
        <w:t xml:space="preserve">emelkedés növekvő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incidenciája irányába mutató tendenciát figyeltek meg</w:t>
      </w:r>
      <w:bookmarkEnd w:id="7"/>
      <w:r w:rsidRPr="001B232A">
        <w:rPr>
          <w:rFonts w:ascii="Times New Roman" w:eastAsia="Times New Roman" w:hAnsi="Times New Roman" w:cs="Times New Roman"/>
          <w:sz w:val="22"/>
          <w:szCs w:val="22"/>
        </w:rPr>
        <w:t>, a klinikai kimenetelre gyakorolt hatást azonban nem észleltek</w:t>
      </w:r>
      <w:bookmarkEnd w:id="6"/>
      <w:r w:rsidRPr="001B232A">
        <w:rPr>
          <w:rFonts w:ascii="Times New Roman" w:eastAsia="Times New Roman" w:hAnsi="Times New Roman" w:cs="Times New Roman"/>
          <w:sz w:val="22"/>
          <w:szCs w:val="22"/>
        </w:rPr>
        <w:t>. Az eddigi kevés kezelt betegszám miatt azonban ilyen hatás nem zárható ki.</w:t>
      </w:r>
    </w:p>
    <w:p w14:paraId="3F3E6E7D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bookmarkStart w:id="8" w:name="page7"/>
      <w:bookmarkEnd w:id="8"/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petefészek túlzott válasza esetén, amely akár a korai follikuláris fázisban </w:t>
      </w:r>
      <w:r w:rsidR="00AB772A"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gonadotropinok 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 xml:space="preserve">magas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expozíciójának, akár a petefészek fokozott érzékenységének az eredménye, idő előtti LH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emelkedés következhet be korábban, mint a stimuláció 6.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napja. A ganirelix-kezelés 5.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napon történő megkezdése a klinikai eredmény veszélyeztetése nélkül képes megelőzni a LH-szint emelkedését.</w:t>
      </w:r>
    </w:p>
    <w:p w14:paraId="59217F42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751BFC9C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Klinikai hatásosság és biztonságosság</w:t>
      </w:r>
    </w:p>
    <w:p w14:paraId="4DB6F39E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7EACD37B" w14:textId="77777777" w:rsidR="00101501" w:rsidRPr="001B232A" w:rsidRDefault="00AB772A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ganirelixnek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FSH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val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végzett </w:t>
      </w:r>
      <w:r w:rsidR="001C34BD" w:rsidRPr="001B232A">
        <w:rPr>
          <w:rFonts w:ascii="Times New Roman" w:eastAsia="Times New Roman" w:hAnsi="Times New Roman" w:cs="Times New Roman"/>
          <w:sz w:val="22"/>
          <w:szCs w:val="22"/>
        </w:rPr>
        <w:t>kontrol</w:t>
      </w:r>
      <w:r w:rsidR="001C34BD">
        <w:rPr>
          <w:rFonts w:ascii="Times New Roman" w:eastAsia="Times New Roman" w:hAnsi="Times New Roman" w:cs="Times New Roman"/>
          <w:sz w:val="22"/>
          <w:szCs w:val="22"/>
        </w:rPr>
        <w:t xml:space="preserve">os 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vizsgálataiban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, GnRH-agonista „hosszú protokollt” használva referenciaként, a ganirelix-sémával történő kezelés gyorsabb tüszőérést eredményezett a stimuláció első napjaiban, a növekvő tüszők végső érése azonban valamivel kisebb volt, és átlagban kevesebb ösztradiolt eredményezett. A tüszőnövekedés ezen eltérő mintája miatt az FSH-dózisok</w:t>
      </w:r>
      <w:r w:rsidR="001C34BD">
        <w:rPr>
          <w:rFonts w:ascii="Times New Roman" w:eastAsia="Times New Roman" w:hAnsi="Times New Roman" w:cs="Times New Roman"/>
          <w:sz w:val="22"/>
          <w:szCs w:val="22"/>
        </w:rPr>
        <w:t>at</w:t>
      </w:r>
      <w:r w:rsidR="001C34BD" w:rsidRPr="001C34BD">
        <w:rPr>
          <w:rFonts w:ascii="Times New Roman" w:eastAsia="Times New Roman" w:hAnsi="Times New Roman" w:cs="Times New Roman"/>
          <w:sz w:val="22"/>
          <w:szCs w:val="22"/>
        </w:rPr>
        <w:t xml:space="preserve"> a növekedő tüszők száma </w:t>
      </w:r>
      <w:r w:rsidR="00F772AF">
        <w:rPr>
          <w:rFonts w:ascii="Times New Roman" w:eastAsia="Times New Roman" w:hAnsi="Times New Roman" w:cs="Times New Roman"/>
          <w:sz w:val="22"/>
          <w:szCs w:val="22"/>
        </w:rPr>
        <w:t>alapján</w:t>
      </w:r>
      <w:r w:rsidR="00CD7B82">
        <w:rPr>
          <w:rFonts w:ascii="Times New Roman" w:eastAsia="Times New Roman" w:hAnsi="Times New Roman" w:cs="Times New Roman"/>
          <w:sz w:val="22"/>
          <w:szCs w:val="22"/>
        </w:rPr>
        <w:t>,</w:t>
      </w:r>
      <w:r w:rsidR="00F772AF">
        <w:rPr>
          <w:rFonts w:ascii="Times New Roman" w:eastAsia="Times New Roman" w:hAnsi="Times New Roman" w:cs="Times New Roman"/>
          <w:sz w:val="22"/>
          <w:szCs w:val="22"/>
        </w:rPr>
        <w:t xml:space="preserve"> nem pedig</w:t>
      </w:r>
      <w:r w:rsidR="001C34BD" w:rsidRPr="001C34BD">
        <w:rPr>
          <w:rFonts w:ascii="Times New Roman" w:eastAsia="Times New Roman" w:hAnsi="Times New Roman" w:cs="Times New Roman"/>
          <w:sz w:val="22"/>
          <w:szCs w:val="22"/>
        </w:rPr>
        <w:t xml:space="preserve"> a keringésben </w:t>
      </w:r>
      <w:r w:rsidR="001C34BD">
        <w:rPr>
          <w:rFonts w:ascii="Times New Roman" w:eastAsia="Times New Roman" w:hAnsi="Times New Roman" w:cs="Times New Roman"/>
          <w:sz w:val="22"/>
          <w:szCs w:val="22"/>
        </w:rPr>
        <w:t>lévő</w:t>
      </w:r>
      <w:r w:rsidR="001C34BD" w:rsidRPr="001C34BD">
        <w:rPr>
          <w:rFonts w:ascii="Times New Roman" w:eastAsia="Times New Roman" w:hAnsi="Times New Roman" w:cs="Times New Roman"/>
          <w:sz w:val="22"/>
          <w:szCs w:val="22"/>
        </w:rPr>
        <w:t xml:space="preserve"> ösztradiol mennyisége alapján kell meghatározni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. A corifollitropin alfával GnRH-antagonistát vagy hosszan tartó agonista protokollt alkalmazva hasonló komparatív vizsgálatokat nem végeztek.</w:t>
      </w:r>
    </w:p>
    <w:p w14:paraId="473A02C7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1789781E" w14:textId="77777777" w:rsidR="00101501" w:rsidRPr="001B232A" w:rsidRDefault="00101501" w:rsidP="00947E37">
      <w:pPr>
        <w:tabs>
          <w:tab w:val="left" w:pos="567"/>
        </w:tabs>
        <w:ind w:left="2"/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5.2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Farmakokinetikai tulajdonságok</w:t>
      </w:r>
    </w:p>
    <w:p w14:paraId="0FD1D8FD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007E1D55" w14:textId="77777777" w:rsidR="00101501" w:rsidRPr="001B232A" w:rsidRDefault="00463B08" w:rsidP="00947E37">
      <w:pPr>
        <w:tabs>
          <w:tab w:val="left" w:pos="215"/>
        </w:tabs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ganirelix (napi egyszeri injekció) többszöri subcutan adagolását követően a farmakokinetikai paraméterek hasonlóak voltak az egyszeri subcutan dózis utániakhoz. A 0,25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mg/nap dózis ismételt adagolását követően 2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napon belül elérték a dinamikus egyensúlyi állapotra jellemző körülbelül 0,6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ng/ml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es szintet.</w:t>
      </w:r>
    </w:p>
    <w:p w14:paraId="0137FAEF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5BA24704" w14:textId="77777777" w:rsidR="00101501" w:rsidRPr="001B232A" w:rsidRDefault="002D012F" w:rsidP="00947E37">
      <w:pPr>
        <w:tabs>
          <w:tab w:val="left" w:pos="215"/>
        </w:tabs>
        <w:ind w:left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 f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armakokinetikai </w:t>
      </w:r>
      <w:r w:rsidR="004409C7">
        <w:rPr>
          <w:rFonts w:ascii="Times New Roman" w:eastAsia="Times New Roman" w:hAnsi="Times New Roman" w:cs="Times New Roman"/>
          <w:sz w:val="22"/>
          <w:szCs w:val="22"/>
        </w:rPr>
        <w:t xml:space="preserve">elemzés </w:t>
      </w:r>
      <w:r w:rsidR="00A70DAB">
        <w:rPr>
          <w:rFonts w:ascii="Times New Roman" w:eastAsia="Times New Roman" w:hAnsi="Times New Roman" w:cs="Times New Roman"/>
          <w:sz w:val="22"/>
          <w:szCs w:val="22"/>
        </w:rPr>
        <w:t xml:space="preserve">alapján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 testtömeg és a ganirelix szérumkoncentráció</w:t>
      </w:r>
      <w:r w:rsidR="004409C7">
        <w:rPr>
          <w:rFonts w:ascii="Times New Roman" w:eastAsia="Times New Roman" w:hAnsi="Times New Roman" w:cs="Times New Roman"/>
          <w:sz w:val="22"/>
          <w:szCs w:val="22"/>
        </w:rPr>
        <w:t>ja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 fordított arányosság</w:t>
      </w:r>
      <w:r w:rsidR="001032DE">
        <w:rPr>
          <w:rFonts w:ascii="Times New Roman" w:eastAsia="Times New Roman" w:hAnsi="Times New Roman" w:cs="Times New Roman"/>
          <w:sz w:val="22"/>
          <w:szCs w:val="22"/>
        </w:rPr>
        <w:t>ot mutat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7B8B3F86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2810EBD2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Felszívódás</w:t>
      </w:r>
    </w:p>
    <w:p w14:paraId="2C339FBF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53842EAA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0,25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mg egyszeri subcutan dózist követően a ganirelix szérumszintje gyorsan </w:t>
      </w:r>
      <w:r w:rsidR="001032DE" w:rsidRPr="001B232A">
        <w:rPr>
          <w:rFonts w:ascii="Times New Roman" w:eastAsia="Times New Roman" w:hAnsi="Times New Roman" w:cs="Times New Roman"/>
          <w:sz w:val="22"/>
          <w:szCs w:val="22"/>
        </w:rPr>
        <w:t>emelked</w:t>
      </w:r>
      <w:r w:rsidR="001032DE">
        <w:rPr>
          <w:rFonts w:ascii="Times New Roman" w:eastAsia="Times New Roman" w:hAnsi="Times New Roman" w:cs="Times New Roman"/>
          <w:sz w:val="22"/>
          <w:szCs w:val="22"/>
        </w:rPr>
        <w:t>i</w:t>
      </w:r>
      <w:r w:rsidR="001032DE" w:rsidRPr="001B232A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, és megközelítőleg 15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ng/ml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es csúcsértéket (C</w:t>
      </w:r>
      <w:r w:rsidRPr="00B14A8F">
        <w:rPr>
          <w:rFonts w:ascii="Times New Roman" w:eastAsia="Times New Roman" w:hAnsi="Times New Roman" w:cs="Times New Roman"/>
          <w:sz w:val="22"/>
          <w:szCs w:val="22"/>
          <w:vertAlign w:val="subscript"/>
        </w:rPr>
        <w:t>max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)</w:t>
      </w:r>
      <w:r w:rsidR="001032DE">
        <w:rPr>
          <w:rFonts w:ascii="Times New Roman" w:eastAsia="Times New Roman" w:hAnsi="Times New Roman" w:cs="Times New Roman"/>
          <w:sz w:val="22"/>
          <w:szCs w:val="22"/>
        </w:rPr>
        <w:t xml:space="preserve"> ér el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1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2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órán belül (t</w:t>
      </w:r>
      <w:r w:rsidRPr="00B14A8F">
        <w:rPr>
          <w:rFonts w:ascii="Times New Roman" w:eastAsia="Times New Roman" w:hAnsi="Times New Roman" w:cs="Times New Roman"/>
          <w:sz w:val="22"/>
          <w:szCs w:val="22"/>
          <w:vertAlign w:val="subscript"/>
        </w:rPr>
        <w:t>max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). A ganirelix biohasznosulása subcutan adagolást követően megközelítőleg 91%.</w:t>
      </w:r>
    </w:p>
    <w:p w14:paraId="10FF0627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229BCA34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Biotranszformáció</w:t>
      </w:r>
    </w:p>
    <w:p w14:paraId="4DA90408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680C8A42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plazmában keringő fő komponens a ganirelix. A vizeletben található legfőbb összetevő szintén a ganirelix. A széklet kizárólag metabolitokat tartalmaz. A metabolitok a ganirelix meghatározott helyein történő enzimatikus hidrolízise által létrejövő kis peptid fragmentumok. A ganirelix metabolit profilja embereknél hasonló az állatoknál találtakhoz.</w:t>
      </w:r>
    </w:p>
    <w:p w14:paraId="442100A2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41222DF4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1B232A">
        <w:rPr>
          <w:rFonts w:ascii="Times New Roman" w:eastAsia="Times New Roman" w:hAnsi="Times New Roman" w:cs="Times New Roman"/>
          <w:sz w:val="22"/>
          <w:szCs w:val="22"/>
          <w:u w:val="single"/>
        </w:rPr>
        <w:t>Elimináció</w:t>
      </w:r>
    </w:p>
    <w:p w14:paraId="5749C115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43811B7E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Az eliminációs felezési idő (t</w:t>
      </w:r>
      <w:r w:rsidRPr="00B14A8F">
        <w:rPr>
          <w:rFonts w:ascii="Times New Roman" w:eastAsia="Times New Roman" w:hAnsi="Times New Roman" w:cs="Times New Roman"/>
          <w:sz w:val="22"/>
          <w:szCs w:val="22"/>
          <w:vertAlign w:val="subscript"/>
        </w:rPr>
        <w:t>½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) körülbelül 13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óra, a clearence pedig megközelítőleg 2,4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>l/óra. A kiválasztás a széklettel (körülbelül 75%) és a vizelettel (körülbelül 22%) történik.</w:t>
      </w:r>
    </w:p>
    <w:p w14:paraId="4B089AF2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242D1E84" w14:textId="77777777" w:rsidR="00101501" w:rsidRPr="001B232A" w:rsidRDefault="00101501" w:rsidP="00947E37">
      <w:pPr>
        <w:tabs>
          <w:tab w:val="left" w:pos="567"/>
        </w:tabs>
        <w:ind w:left="2"/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5.3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  <w:t>A preklinikai biztonságossági vizsgálatok eredményei</w:t>
      </w:r>
    </w:p>
    <w:p w14:paraId="71F8774E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6405E4DE" w14:textId="77777777" w:rsidR="00101501" w:rsidRPr="001B232A" w:rsidRDefault="006B700D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hagyományos – farmakológiai biztonságossági, ismételt adagolású dózistoxicitási, genotoxicitási, karcinogenitási,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512A0A77" w14:textId="77777777" w:rsidR="00101501" w:rsidRPr="001B232A" w:rsidRDefault="00101501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</w:p>
    <w:p w14:paraId="54E04DB2" w14:textId="77777777" w:rsidR="00101501" w:rsidRPr="001B232A" w:rsidRDefault="00B40CDC" w:rsidP="00947E37">
      <w:pPr>
        <w:ind w:left="2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ganirelix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noBreakHyphen/>
        <w:t xml:space="preserve">szel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0,1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től 10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μg/ttkg/nap adagban </w:t>
      </w:r>
      <w:r w:rsidR="006B700D" w:rsidRPr="001B232A">
        <w:rPr>
          <w:rFonts w:ascii="Times New Roman" w:eastAsia="Times New Roman" w:hAnsi="Times New Roman" w:cs="Times New Roman"/>
          <w:sz w:val="22"/>
          <w:szCs w:val="22"/>
        </w:rPr>
        <w:t xml:space="preserve">subcutan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alkalmazva patkányokkal és 0,1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noBreakHyphen/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50</w:t>
      </w:r>
      <w:r w:rsidR="00463B08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μg/ttkg/nap subcutan adagban nyulakkal végzett reprodukciós vizsgálatokban </w:t>
      </w:r>
      <w:r w:rsidR="006B700D" w:rsidRPr="001B232A">
        <w:rPr>
          <w:rFonts w:ascii="Times New Roman" w:eastAsia="Times New Roman" w:hAnsi="Times New Roman" w:cs="Times New Roman"/>
          <w:sz w:val="22"/>
          <w:szCs w:val="22"/>
        </w:rPr>
        <w:t xml:space="preserve">fokozott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 xml:space="preserve">embrió felszívódást </w:t>
      </w:r>
      <w:r w:rsidR="006B700D" w:rsidRPr="001B232A">
        <w:rPr>
          <w:rFonts w:ascii="Times New Roman" w:eastAsia="Times New Roman" w:hAnsi="Times New Roman" w:cs="Times New Roman"/>
          <w:sz w:val="22"/>
          <w:szCs w:val="22"/>
        </w:rPr>
        <w:t xml:space="preserve">figyeltek 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meg a legnagyobb dózist kapó csoportokban. Teratogén hatásokat nem figyeltek meg.</w:t>
      </w:r>
    </w:p>
    <w:p w14:paraId="3C119708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9DBE0EE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350C7D4" w14:textId="77777777" w:rsidR="00101501" w:rsidRPr="001B232A" w:rsidRDefault="000062F3" w:rsidP="00772458">
      <w:pPr>
        <w:keepNext/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GYÓGYSZERÉSZETI JELLEMZŐK</w:t>
      </w:r>
    </w:p>
    <w:p w14:paraId="5D0EE0C9" w14:textId="77777777" w:rsidR="00101501" w:rsidRPr="001B232A" w:rsidRDefault="00101501" w:rsidP="00772458">
      <w:pPr>
        <w:keepNext/>
        <w:rPr>
          <w:rFonts w:ascii="Times New Roman" w:eastAsia="Times New Roman" w:hAnsi="Times New Roman" w:cs="Times New Roman"/>
          <w:sz w:val="22"/>
          <w:szCs w:val="22"/>
        </w:rPr>
      </w:pPr>
    </w:p>
    <w:p w14:paraId="1ED277E2" w14:textId="77777777" w:rsidR="00101501" w:rsidRPr="001B232A" w:rsidRDefault="00101501" w:rsidP="00947E37">
      <w:pPr>
        <w:keepNext/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9" w:name="page8"/>
      <w:bookmarkEnd w:id="9"/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6.1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Segédanyagok felsorolása</w:t>
      </w:r>
    </w:p>
    <w:p w14:paraId="0B4DCC0E" w14:textId="77777777" w:rsidR="00101501" w:rsidRPr="001B232A" w:rsidRDefault="00101501" w:rsidP="00947E37">
      <w:pPr>
        <w:keepNext/>
        <w:rPr>
          <w:rFonts w:ascii="Times New Roman" w:eastAsia="Times New Roman" w:hAnsi="Times New Roman" w:cs="Times New Roman"/>
          <w:sz w:val="22"/>
          <w:szCs w:val="22"/>
        </w:rPr>
      </w:pPr>
    </w:p>
    <w:p w14:paraId="4299FC58" w14:textId="77777777" w:rsidR="00101501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2D012F">
        <w:rPr>
          <w:rFonts w:ascii="Times New Roman" w:eastAsia="Times New Roman" w:hAnsi="Times New Roman" w:cs="Times New Roman"/>
          <w:sz w:val="22"/>
          <w:szCs w:val="22"/>
        </w:rPr>
        <w:t>t</w:t>
      </w:r>
      <w:r w:rsidR="00101501" w:rsidRPr="002D012F">
        <w:rPr>
          <w:rFonts w:ascii="Times New Roman" w:eastAsia="Times New Roman" w:hAnsi="Times New Roman" w:cs="Times New Roman"/>
          <w:sz w:val="22"/>
          <w:szCs w:val="22"/>
        </w:rPr>
        <w:t>ömény ecetsav</w:t>
      </w:r>
    </w:p>
    <w:p w14:paraId="28728BD8" w14:textId="77777777" w:rsidR="00101501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m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annit</w:t>
      </w:r>
    </w:p>
    <w:p w14:paraId="4D6BA912" w14:textId="77777777" w:rsidR="00101501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i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njekcióhoz való víz</w:t>
      </w:r>
    </w:p>
    <w:p w14:paraId="3641FBF2" w14:textId="77777777" w:rsidR="00101501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n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átrium-hidroxid (a pH beállításához)</w:t>
      </w:r>
    </w:p>
    <w:p w14:paraId="1C6B35AD" w14:textId="77777777" w:rsidR="0019134F" w:rsidRPr="001B232A" w:rsidRDefault="0019134F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B14A8F">
        <w:rPr>
          <w:rFonts w:ascii="Times New Roman" w:eastAsia="Times New Roman" w:hAnsi="Times New Roman" w:cs="Times New Roman"/>
          <w:sz w:val="22"/>
          <w:szCs w:val="22"/>
        </w:rPr>
        <w:t>tömény ecetsav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(a pH beállításához)</w:t>
      </w:r>
    </w:p>
    <w:p w14:paraId="57F7019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A05E716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6.2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  <w:t>Inkompatibilitások</w:t>
      </w:r>
    </w:p>
    <w:p w14:paraId="0F7F04E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6EC819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Kompatibilitási vizsgálatok hiányában ez a gyógyszer nem keverhető más gyógyszerekkel.</w:t>
      </w:r>
    </w:p>
    <w:p w14:paraId="0A35408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7F82785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6.3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Felhasználhatósági időtartam</w:t>
      </w:r>
    </w:p>
    <w:p w14:paraId="4610FBE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49D6813" w14:textId="69C798AE" w:rsidR="00101501" w:rsidRPr="001B232A" w:rsidRDefault="006028C8" w:rsidP="00947E37">
      <w:pPr>
        <w:tabs>
          <w:tab w:val="left" w:pos="164"/>
        </w:tabs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5</w:t>
      </w:r>
      <w:r w:rsidR="006F2C19" w:rsidRPr="001B232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101501" w:rsidRPr="001B232A">
        <w:rPr>
          <w:rFonts w:ascii="Times New Roman" w:eastAsia="Times New Roman" w:hAnsi="Times New Roman" w:cs="Times New Roman"/>
          <w:sz w:val="22"/>
          <w:szCs w:val="22"/>
        </w:rPr>
        <w:t>év</w:t>
      </w:r>
    </w:p>
    <w:p w14:paraId="75AE647C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E51E31B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6.4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Különleges tárolási előírások</w:t>
      </w:r>
    </w:p>
    <w:p w14:paraId="66825899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18DE4F6" w14:textId="77777777" w:rsidR="006F2C19" w:rsidRPr="001B232A" w:rsidRDefault="006F2C19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Ez a gyógyszer nem igényel különleges tárolást.</w:t>
      </w:r>
    </w:p>
    <w:p w14:paraId="2B95831E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1D3CFE5" w14:textId="77777777" w:rsidR="00101501" w:rsidRPr="001B232A" w:rsidRDefault="00101501" w:rsidP="00947E37">
      <w:pPr>
        <w:tabs>
          <w:tab w:val="left" w:pos="567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6.5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ab/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Csomagolás típusa és kiszerelése</w:t>
      </w:r>
    </w:p>
    <w:p w14:paraId="55DB4E4B" w14:textId="77777777" w:rsidR="00101501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95785BC" w14:textId="77777777" w:rsidR="005F29CA" w:rsidRPr="005F29CA" w:rsidRDefault="005F29CA" w:rsidP="005F29CA">
      <w:pPr>
        <w:rPr>
          <w:rFonts w:ascii="Times New Roman" w:eastAsia="Times New Roman" w:hAnsi="Times New Roman" w:cs="Times New Roman"/>
          <w:sz w:val="22"/>
          <w:szCs w:val="22"/>
        </w:rPr>
      </w:pPr>
      <w:r w:rsidRPr="005F29CA">
        <w:rPr>
          <w:rFonts w:ascii="Times New Roman" w:eastAsia="Times New Roman" w:hAnsi="Times New Roman" w:cs="Times New Roman"/>
          <w:sz w:val="22"/>
          <w:szCs w:val="22"/>
        </w:rPr>
        <w:t>0,5 ml steril, használatra kész, vizes oldat, színtelen, I-es típusú üvegből készült, elasztomer dugóval és dugattyúrúddal lezárt, előretöltött fecskendőben. Minden előretöltött fecskendőhöz egy injekciós tű (27G) van rögzítve, amelyet egy elasztomer tűburkolat fed, amely érintkezik a tűvel. A tűburkolatot egy merev műanyag tűvédő kupak vagy egy integrált biztonsági rendszer védi.</w:t>
      </w:r>
    </w:p>
    <w:p w14:paraId="0DB26C1F" w14:textId="77777777" w:rsidR="005F29CA" w:rsidRPr="005F29CA" w:rsidRDefault="005F29CA" w:rsidP="005F29CA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0EA872E" w14:textId="77777777" w:rsidR="005F29CA" w:rsidRPr="005F29CA" w:rsidRDefault="005F29CA" w:rsidP="005F29CA">
      <w:pPr>
        <w:rPr>
          <w:rFonts w:ascii="Times New Roman" w:eastAsia="Times New Roman" w:hAnsi="Times New Roman" w:cs="Times New Roman"/>
          <w:sz w:val="22"/>
          <w:szCs w:val="22"/>
        </w:rPr>
      </w:pPr>
      <w:r w:rsidRPr="005F29CA">
        <w:rPr>
          <w:rFonts w:ascii="Times New Roman" w:eastAsia="Times New Roman" w:hAnsi="Times New Roman" w:cs="Times New Roman"/>
          <w:sz w:val="22"/>
          <w:szCs w:val="22"/>
        </w:rPr>
        <w:t>1 vagy 5 előretöltött fecskendőt tartalmazó dobozban kerül forgalomba az alábbiakban megadottak szerint:</w:t>
      </w:r>
    </w:p>
    <w:p w14:paraId="10509FBE" w14:textId="77777777" w:rsidR="005F29CA" w:rsidRPr="001B232A" w:rsidRDefault="005F29CA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0EB3392" w14:textId="69F54646" w:rsidR="006F2C19" w:rsidRPr="001B232A" w:rsidRDefault="006F2C19" w:rsidP="00101501">
      <w:pPr>
        <w:numPr>
          <w:ilvl w:val="0"/>
          <w:numId w:val="3"/>
        </w:numPr>
        <w:ind w:left="0" w:firstLine="0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1 előretöltött fecskendő</w:t>
      </w:r>
      <w:r w:rsidR="00B4438B">
        <w:rPr>
          <w:rFonts w:ascii="Times New Roman" w:eastAsia="Times New Roman" w:hAnsi="Times New Roman" w:cs="Times New Roman"/>
          <w:sz w:val="22"/>
          <w:szCs w:val="22"/>
        </w:rPr>
        <w:t>,</w:t>
      </w:r>
    </w:p>
    <w:p w14:paraId="4A262328" w14:textId="5F6F6728" w:rsidR="006F2C19" w:rsidRPr="001B232A" w:rsidRDefault="006F2C19" w:rsidP="00101501">
      <w:pPr>
        <w:numPr>
          <w:ilvl w:val="0"/>
          <w:numId w:val="3"/>
        </w:numPr>
        <w:ind w:left="0" w:firstLine="0"/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5 előretöltött fecskendő</w:t>
      </w:r>
      <w:r w:rsidR="00B4438B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41F9B6F" w14:textId="77777777" w:rsidR="006F2C19" w:rsidRPr="001B232A" w:rsidRDefault="006F2C19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B9ACC5D" w14:textId="77777777" w:rsidR="00463B08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Nem feltétlenül mindegyik kiszerelés kerül kereskedelmi forgalomba.</w:t>
      </w:r>
    </w:p>
    <w:p w14:paraId="3C9ED9DC" w14:textId="77777777" w:rsidR="00463B08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518B11A" w14:textId="77777777" w:rsidR="00463B08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6.6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megsemmisítésre vonatkozó különleges óvintézkedések</w:t>
      </w:r>
      <w:r w:rsidR="00A87F1E" w:rsidRPr="001B232A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A87F1E" w:rsidRPr="001B232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és egyéb, a készítmény </w:t>
      </w:r>
      <w:r w:rsidR="00A87F1E" w:rsidRPr="001B232A">
        <w:rPr>
          <w:rFonts w:ascii="Times New Roman" w:eastAsia="Times New Roman" w:hAnsi="Times New Roman" w:cs="Times New Roman"/>
          <w:b/>
          <w:bCs/>
          <w:sz w:val="22"/>
          <w:szCs w:val="22"/>
        </w:rPr>
        <w:tab/>
        <w:t>kezelésével kapcsolatos információk</w:t>
      </w:r>
    </w:p>
    <w:p w14:paraId="0F4F06AB" w14:textId="77777777" w:rsidR="00463B08" w:rsidRPr="001B232A" w:rsidRDefault="00463B08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5BF87E4" w14:textId="77777777" w:rsidR="00A87F1E" w:rsidRPr="001B232A" w:rsidRDefault="00A87F1E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Használat előtt </w:t>
      </w:r>
      <w:r w:rsidR="0027198D">
        <w:rPr>
          <w:rFonts w:ascii="Times New Roman" w:eastAsia="Times New Roman" w:hAnsi="Times New Roman" w:cs="Times New Roman"/>
          <w:sz w:val="22"/>
          <w:szCs w:val="22"/>
        </w:rPr>
        <w:t>ellenőrizze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a fecskendőt! Kizárólag tiszta, részecskéktől mentes oldatot tartalmazó, és </w:t>
      </w:r>
      <w:r w:rsidR="0027198D">
        <w:rPr>
          <w:rFonts w:ascii="Times New Roman" w:eastAsia="Times New Roman" w:hAnsi="Times New Roman" w:cs="Times New Roman"/>
          <w:sz w:val="22"/>
          <w:szCs w:val="22"/>
        </w:rPr>
        <w:t>sértetlen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csomagolásb</w:t>
      </w:r>
      <w:r w:rsidR="004619B3">
        <w:rPr>
          <w:rFonts w:ascii="Times New Roman" w:eastAsia="Times New Roman" w:hAnsi="Times New Roman" w:cs="Times New Roman"/>
          <w:sz w:val="22"/>
          <w:szCs w:val="22"/>
        </w:rPr>
        <w:t>an levő</w:t>
      </w:r>
      <w:r w:rsidRPr="001B232A">
        <w:rPr>
          <w:rFonts w:ascii="Times New Roman" w:eastAsia="Times New Roman" w:hAnsi="Times New Roman" w:cs="Times New Roman"/>
          <w:sz w:val="22"/>
          <w:szCs w:val="22"/>
        </w:rPr>
        <w:t xml:space="preserve"> fecskendőket használjon!</w:t>
      </w:r>
    </w:p>
    <w:p w14:paraId="7FCD1163" w14:textId="77777777" w:rsidR="0027198D" w:rsidRPr="001B232A" w:rsidRDefault="0027198D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92101D1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Bármilyen fel nem használt gyógyszer, illetve hulladékanyag megsemmisítését a gyógyszerekre vonatkozó előírások szerint kell végrehajtani. A használt fecskendőket egy éles tárgyak hulladékgyűjtő tartályába kell dobni.</w:t>
      </w:r>
    </w:p>
    <w:p w14:paraId="024F9CB3" w14:textId="77777777" w:rsidR="00101501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33B368D" w14:textId="77777777" w:rsidR="00885297" w:rsidRPr="00885297" w:rsidRDefault="00885297" w:rsidP="00885297">
      <w:pPr>
        <w:rPr>
          <w:rFonts w:ascii="Times New Roman" w:eastAsia="Times New Roman" w:hAnsi="Times New Roman" w:cs="Times New Roman"/>
          <w:sz w:val="22"/>
          <w:szCs w:val="22"/>
        </w:rPr>
      </w:pPr>
      <w:r w:rsidRPr="0088529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Megjegyzés: </w:t>
      </w:r>
      <w:r w:rsidRPr="00885297">
        <w:rPr>
          <w:rFonts w:ascii="Times New Roman" w:eastAsia="Times New Roman" w:hAnsi="Times New Roman" w:cs="Times New Roman"/>
          <w:sz w:val="22"/>
          <w:szCs w:val="22"/>
        </w:rPr>
        <w:sym w:font="Wingdings" w:char="F058"/>
      </w:r>
      <w:r w:rsidRPr="00885297">
        <w:rPr>
          <w:rFonts w:ascii="Times New Roman" w:eastAsia="Times New Roman" w:hAnsi="Times New Roman" w:cs="Times New Roman"/>
          <w:sz w:val="22"/>
          <w:szCs w:val="22"/>
        </w:rPr>
        <w:t xml:space="preserve"> (egy keresztes)</w:t>
      </w:r>
    </w:p>
    <w:p w14:paraId="51A8898E" w14:textId="77777777" w:rsidR="00885297" w:rsidRPr="00885297" w:rsidRDefault="00885297" w:rsidP="00885297">
      <w:pPr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85297">
        <w:rPr>
          <w:rFonts w:ascii="Times New Roman" w:eastAsia="Times New Roman" w:hAnsi="Times New Roman" w:cs="Times New Roman"/>
          <w:sz w:val="22"/>
          <w:szCs w:val="22"/>
        </w:rPr>
        <w:t xml:space="preserve">Osztályozás: </w:t>
      </w:r>
      <w:r w:rsidRPr="00885297">
        <w:rPr>
          <w:rFonts w:ascii="Times New Roman" w:eastAsia="Times New Roman" w:hAnsi="Times New Roman" w:cs="Times New Roman"/>
          <w:b/>
          <w:bCs/>
          <w:sz w:val="22"/>
          <w:szCs w:val="22"/>
        </w:rPr>
        <w:t>II./2 csoport</w:t>
      </w:r>
    </w:p>
    <w:p w14:paraId="49B1DE42" w14:textId="6658A740" w:rsidR="00885297" w:rsidRPr="00885297" w:rsidRDefault="00885297" w:rsidP="00885297">
      <w:pPr>
        <w:rPr>
          <w:rFonts w:ascii="Times New Roman" w:eastAsia="Times New Roman" w:hAnsi="Times New Roman" w:cs="Times New Roman"/>
          <w:sz w:val="22"/>
          <w:szCs w:val="22"/>
        </w:rPr>
      </w:pPr>
      <w:r w:rsidRPr="00885297">
        <w:rPr>
          <w:rFonts w:ascii="Times New Roman" w:eastAsia="Times New Roman" w:hAnsi="Times New Roman" w:cs="Times New Roman"/>
          <w:sz w:val="22"/>
          <w:szCs w:val="22"/>
        </w:rPr>
        <w:t>Korlátozott érvényű orvosi rendelvényhez kötött, szakorvosi</w:t>
      </w:r>
      <w:r w:rsidR="006850DB">
        <w:rPr>
          <w:rFonts w:ascii="Times New Roman" w:eastAsia="Times New Roman" w:hAnsi="Times New Roman" w:cs="Times New Roman"/>
          <w:sz w:val="22"/>
          <w:szCs w:val="22"/>
        </w:rPr>
        <w:t>/</w:t>
      </w:r>
      <w:r w:rsidRPr="00885297">
        <w:rPr>
          <w:rFonts w:ascii="Times New Roman" w:eastAsia="Times New Roman" w:hAnsi="Times New Roman" w:cs="Times New Roman"/>
          <w:sz w:val="22"/>
          <w:szCs w:val="22"/>
        </w:rPr>
        <w:t xml:space="preserve"> kórházi diagnózist követően folyamatos szakorvosi ellenőrzés mellett alkalmazható gyógyszer (Sz).</w:t>
      </w:r>
    </w:p>
    <w:p w14:paraId="47A8635E" w14:textId="77777777" w:rsidR="00885297" w:rsidRPr="001B232A" w:rsidRDefault="00885297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1F8DB60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304BDA0" w14:textId="77777777" w:rsidR="00101501" w:rsidRPr="001B232A" w:rsidRDefault="000062F3" w:rsidP="00772458">
      <w:pPr>
        <w:keepNext/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7.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FORGALOMBA HOZATALI ENGEDÉLY JOGOSULTJA</w:t>
      </w:r>
    </w:p>
    <w:p w14:paraId="47EB9577" w14:textId="77777777" w:rsidR="00101501" w:rsidRPr="001B232A" w:rsidRDefault="00101501" w:rsidP="00772458">
      <w:pPr>
        <w:keepNext/>
        <w:rPr>
          <w:rFonts w:ascii="Times New Roman" w:eastAsia="Times New Roman" w:hAnsi="Times New Roman" w:cs="Times New Roman"/>
          <w:sz w:val="22"/>
          <w:szCs w:val="22"/>
        </w:rPr>
      </w:pPr>
    </w:p>
    <w:p w14:paraId="33D1D71D" w14:textId="77777777" w:rsidR="00A87F1E" w:rsidRPr="001B232A" w:rsidRDefault="00A87F1E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Theramex Ireland Ltd</w:t>
      </w:r>
    </w:p>
    <w:p w14:paraId="1436480F" w14:textId="77777777" w:rsidR="00A87F1E" w:rsidRPr="001B232A" w:rsidRDefault="00A87F1E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3rd Floor, Kilmore House,</w:t>
      </w:r>
    </w:p>
    <w:p w14:paraId="017716BC" w14:textId="77777777" w:rsidR="00A87F1E" w:rsidRPr="001B232A" w:rsidRDefault="00A87F1E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Park Lane, Spencer Dock,</w:t>
      </w:r>
    </w:p>
    <w:p w14:paraId="50AFCF03" w14:textId="77777777" w:rsidR="00A87F1E" w:rsidRPr="001B232A" w:rsidRDefault="00A87F1E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Dublin 1,</w:t>
      </w:r>
    </w:p>
    <w:p w14:paraId="03A58015" w14:textId="77777777" w:rsidR="00A87F1E" w:rsidRPr="001B232A" w:rsidRDefault="00D6603F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Írország</w:t>
      </w:r>
      <w:r w:rsidR="00A87F1E" w:rsidRPr="001B232A">
        <w:rPr>
          <w:rFonts w:ascii="Times New Roman" w:hAnsi="Times New Roman" w:cs="Times New Roman"/>
          <w:color w:val="000000"/>
          <w:sz w:val="22"/>
          <w:szCs w:val="22"/>
        </w:rPr>
        <w:t>,</w:t>
      </w:r>
    </w:p>
    <w:p w14:paraId="7F2F6A56" w14:textId="77777777" w:rsidR="00A87F1E" w:rsidRPr="00B14A8F" w:rsidRDefault="00A87F1E" w:rsidP="0077245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1B232A">
        <w:rPr>
          <w:rFonts w:ascii="Times New Roman" w:hAnsi="Times New Roman" w:cs="Times New Roman"/>
          <w:color w:val="000000"/>
          <w:sz w:val="22"/>
          <w:szCs w:val="22"/>
        </w:rPr>
        <w:t>SIS Code 4828</w:t>
      </w:r>
    </w:p>
    <w:p w14:paraId="590F54BC" w14:textId="77777777" w:rsidR="003A46DE" w:rsidRPr="001B232A" w:rsidRDefault="003A46DE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C3294ED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  <w:bookmarkStart w:id="10" w:name="page9"/>
      <w:bookmarkEnd w:id="10"/>
    </w:p>
    <w:p w14:paraId="7B881FC3" w14:textId="77777777" w:rsidR="00101501" w:rsidRPr="001B232A" w:rsidRDefault="000062F3" w:rsidP="00772458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8.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FORGALOMBA HOZATALI ENGEDÉLY SZÁMA(I)</w:t>
      </w:r>
    </w:p>
    <w:p w14:paraId="3037699C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2A663EB" w14:textId="0D809BC7" w:rsidR="00A651F8" w:rsidRPr="00A651F8" w:rsidRDefault="00A651F8" w:rsidP="00A651F8">
      <w:pPr>
        <w:rPr>
          <w:rFonts w:ascii="Times New Roman" w:eastAsia="Times New Roman" w:hAnsi="Times New Roman" w:cs="Times New Roman"/>
          <w:sz w:val="22"/>
          <w:szCs w:val="22"/>
        </w:rPr>
      </w:pPr>
      <w:r w:rsidRPr="00A651F8">
        <w:rPr>
          <w:rFonts w:ascii="Times New Roman" w:eastAsia="Times New Roman" w:hAnsi="Times New Roman" w:cs="Times New Roman"/>
          <w:sz w:val="22"/>
          <w:szCs w:val="22"/>
        </w:rPr>
        <w:t>OGYI-T-24192</w:t>
      </w:r>
      <w:r>
        <w:rPr>
          <w:rFonts w:ascii="Times New Roman" w:eastAsia="Times New Roman" w:hAnsi="Times New Roman" w:cs="Times New Roman"/>
          <w:sz w:val="22"/>
          <w:szCs w:val="22"/>
        </w:rPr>
        <w:t>/01                           1×</w:t>
      </w:r>
      <w:r w:rsidRPr="00A651F8">
        <w:rPr>
          <w:rFonts w:ascii="Times New Roman" w:eastAsia="Times New Roman" w:hAnsi="Times New Roman" w:cs="Times New Roman"/>
          <w:sz w:val="22"/>
          <w:szCs w:val="22"/>
        </w:rPr>
        <w:t>0,5 ml                        előretöltött fecskendő tűvel</w:t>
      </w:r>
    </w:p>
    <w:p w14:paraId="74542A86" w14:textId="40EB96EE" w:rsidR="00A651F8" w:rsidRPr="00A651F8" w:rsidRDefault="00A651F8" w:rsidP="00A651F8">
      <w:pPr>
        <w:rPr>
          <w:rFonts w:ascii="Times New Roman" w:eastAsia="Times New Roman" w:hAnsi="Times New Roman" w:cs="Times New Roman"/>
          <w:sz w:val="22"/>
          <w:szCs w:val="22"/>
        </w:rPr>
      </w:pPr>
      <w:r w:rsidRPr="00A651F8">
        <w:rPr>
          <w:rFonts w:ascii="Times New Roman" w:eastAsia="Times New Roman" w:hAnsi="Times New Roman" w:cs="Times New Roman"/>
          <w:sz w:val="22"/>
          <w:szCs w:val="22"/>
        </w:rPr>
        <w:t>OGYI-T-24192</w:t>
      </w:r>
      <w:r>
        <w:rPr>
          <w:rFonts w:ascii="Times New Roman" w:eastAsia="Times New Roman" w:hAnsi="Times New Roman" w:cs="Times New Roman"/>
          <w:sz w:val="22"/>
          <w:szCs w:val="22"/>
        </w:rPr>
        <w:t>/02                           5×</w:t>
      </w:r>
      <w:r w:rsidRPr="00A651F8">
        <w:rPr>
          <w:rFonts w:ascii="Times New Roman" w:eastAsia="Times New Roman" w:hAnsi="Times New Roman" w:cs="Times New Roman"/>
          <w:sz w:val="22"/>
          <w:szCs w:val="22"/>
        </w:rPr>
        <w:t>0,5 ml                        előretöltött fecskendő tűvel</w:t>
      </w:r>
    </w:p>
    <w:p w14:paraId="58DB638E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3872F46" w14:textId="77777777" w:rsidR="00463B08" w:rsidRPr="001B232A" w:rsidRDefault="00463B08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42D97D4" w14:textId="77777777" w:rsidR="00101501" w:rsidRPr="001B232A" w:rsidRDefault="000062F3" w:rsidP="00772458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9.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FORGALOMBA HOZATALI ENGEDÉLY ELSŐ KIADÁSÁNAK/ MEGÚJÍTÁSÁNAK DÁTUMA</w:t>
      </w:r>
    </w:p>
    <w:p w14:paraId="04265C30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EAB4B71" w14:textId="55811134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sz w:val="22"/>
          <w:szCs w:val="22"/>
        </w:rPr>
        <w:t>A forgalomba hozatali engedély első kiadá</w:t>
      </w:r>
      <w:r w:rsidR="00A651F8">
        <w:rPr>
          <w:rFonts w:ascii="Times New Roman" w:eastAsia="Times New Roman" w:hAnsi="Times New Roman" w:cs="Times New Roman"/>
          <w:sz w:val="22"/>
          <w:szCs w:val="22"/>
        </w:rPr>
        <w:t>sának dátuma: 2023. február 17.</w:t>
      </w:r>
    </w:p>
    <w:p w14:paraId="1C7A1C1F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395A496" w14:textId="77777777" w:rsidR="00101501" w:rsidRPr="001B232A" w:rsidRDefault="00101501" w:rsidP="008301B7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ED7C15E" w14:textId="77777777" w:rsidR="00101501" w:rsidRPr="001B232A" w:rsidRDefault="000062F3" w:rsidP="00772458">
      <w:pPr>
        <w:tabs>
          <w:tab w:val="left" w:pos="564"/>
        </w:tabs>
        <w:rPr>
          <w:rFonts w:ascii="Times New Roman" w:eastAsia="Times New Roman" w:hAnsi="Times New Roman" w:cs="Times New Roman"/>
          <w:b/>
          <w:sz w:val="22"/>
          <w:szCs w:val="22"/>
        </w:rPr>
      </w:pP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>10.</w:t>
      </w:r>
      <w:r w:rsidRPr="001B232A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101501" w:rsidRPr="001B232A">
        <w:rPr>
          <w:rFonts w:ascii="Times New Roman" w:eastAsia="Times New Roman" w:hAnsi="Times New Roman" w:cs="Times New Roman"/>
          <w:b/>
          <w:sz w:val="22"/>
          <w:szCs w:val="22"/>
        </w:rPr>
        <w:t>A SZÖVEG ELLENŐRZÉSÉNEK DÁTUMA</w:t>
      </w:r>
    </w:p>
    <w:p w14:paraId="662219CC" w14:textId="77777777" w:rsidR="00101501" w:rsidRPr="001B232A" w:rsidRDefault="00101501" w:rsidP="00772458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4F9038F" w14:textId="350F9F45" w:rsidR="00101501" w:rsidRPr="001B232A" w:rsidRDefault="000A6864" w:rsidP="00947E37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2026. május 11.</w:t>
      </w:r>
      <w:bookmarkStart w:id="11" w:name="_GoBack"/>
      <w:bookmarkEnd w:id="11"/>
    </w:p>
    <w:p w14:paraId="100A8B00" w14:textId="77777777" w:rsidR="00101501" w:rsidRPr="001B232A" w:rsidRDefault="00101501" w:rsidP="00947E37">
      <w:pPr>
        <w:rPr>
          <w:rFonts w:ascii="Times New Roman" w:eastAsia="Times New Roman" w:hAnsi="Times New Roman" w:cs="Times New Roman"/>
          <w:sz w:val="22"/>
          <w:szCs w:val="22"/>
        </w:rPr>
      </w:pPr>
    </w:p>
    <w:sectPr w:rsidR="00101501" w:rsidRPr="001B232A" w:rsidSect="00561F3E">
      <w:headerReference w:type="default" r:id="rId8"/>
      <w:footerReference w:type="default" r:id="rId9"/>
      <w:footerReference w:type="first" r:id="rId10"/>
      <w:pgSz w:w="11900" w:h="16838"/>
      <w:pgMar w:top="1134" w:right="1440" w:bottom="1135" w:left="1416" w:header="737" w:footer="737" w:gutter="0"/>
      <w:cols w:space="0" w:equalWidth="0">
        <w:col w:w="9048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D83BE" w14:textId="77777777" w:rsidR="00266A6B" w:rsidRDefault="00266A6B" w:rsidP="00266A6B">
      <w:r>
        <w:separator/>
      </w:r>
    </w:p>
  </w:endnote>
  <w:endnote w:type="continuationSeparator" w:id="0">
    <w:p w14:paraId="49C26006" w14:textId="77777777" w:rsidR="00266A6B" w:rsidRDefault="00266A6B" w:rsidP="00266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B9263" w14:textId="77777777" w:rsidR="008E7A2B" w:rsidRDefault="008E7A2B" w:rsidP="00561F3E">
    <w:pPr>
      <w:pStyle w:val="llb"/>
      <w:tabs>
        <w:tab w:val="clear" w:pos="4536"/>
        <w:tab w:val="clear" w:pos="9072"/>
        <w:tab w:val="left" w:pos="361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B60DA" w14:textId="34270EDB" w:rsidR="008E7A2B" w:rsidRPr="00561F3E" w:rsidRDefault="006850DB">
    <w:pPr>
      <w:pStyle w:val="llb"/>
      <w:rPr>
        <w:rFonts w:ascii="Times New Roman" w:hAnsi="Times New Roman" w:cs="Times New Roman"/>
        <w:sz w:val="18"/>
        <w:szCs w:val="18"/>
      </w:rPr>
    </w:pPr>
    <w:r w:rsidRPr="006850DB">
      <w:rPr>
        <w:rFonts w:ascii="Times New Roman" w:hAnsi="Times New Roman" w:cs="Times New Roman"/>
        <w:sz w:val="18"/>
        <w:szCs w:val="18"/>
      </w:rPr>
      <w:t>NNGYK/ETGY/23741/2025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BC1" w14:textId="77777777" w:rsidR="00266A6B" w:rsidRDefault="00266A6B" w:rsidP="00266A6B">
      <w:r>
        <w:separator/>
      </w:r>
    </w:p>
  </w:footnote>
  <w:footnote w:type="continuationSeparator" w:id="0">
    <w:p w14:paraId="6C7B09C8" w14:textId="77777777" w:rsidR="00266A6B" w:rsidRDefault="00266A6B" w:rsidP="00266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30484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2A82166" w14:textId="7CF41745" w:rsidR="008E7A2B" w:rsidRPr="00561F3E" w:rsidRDefault="008E7A2B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61F3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61F3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61F3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A6864">
          <w:rPr>
            <w:rFonts w:ascii="Times New Roman" w:hAnsi="Times New Roman" w:cs="Times New Roman"/>
            <w:noProof/>
            <w:sz w:val="18"/>
            <w:szCs w:val="18"/>
          </w:rPr>
          <w:t>8</w:t>
        </w:r>
        <w:r w:rsidRPr="00561F3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07160140" w14:textId="77777777" w:rsidR="008E7A2B" w:rsidRDefault="008E7A2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580BD78E"/>
    <w:lvl w:ilvl="0" w:tplc="627229EE">
      <w:start w:val="4"/>
      <w:numFmt w:val="decimal"/>
      <w:lvlText w:val="%1."/>
      <w:lvlJc w:val="left"/>
    </w:lvl>
    <w:lvl w:ilvl="1" w:tplc="15CEF0C0">
      <w:start w:val="1"/>
      <w:numFmt w:val="bullet"/>
      <w:lvlText w:val=""/>
      <w:lvlJc w:val="left"/>
    </w:lvl>
    <w:lvl w:ilvl="2" w:tplc="AF8E8BFE">
      <w:start w:val="1"/>
      <w:numFmt w:val="bullet"/>
      <w:lvlText w:val=""/>
      <w:lvlJc w:val="left"/>
    </w:lvl>
    <w:lvl w:ilvl="3" w:tplc="0944E19E">
      <w:start w:val="1"/>
      <w:numFmt w:val="bullet"/>
      <w:lvlText w:val=""/>
      <w:lvlJc w:val="left"/>
    </w:lvl>
    <w:lvl w:ilvl="4" w:tplc="F7065E5A">
      <w:start w:val="1"/>
      <w:numFmt w:val="bullet"/>
      <w:lvlText w:val=""/>
      <w:lvlJc w:val="left"/>
    </w:lvl>
    <w:lvl w:ilvl="5" w:tplc="0316B9FC">
      <w:start w:val="1"/>
      <w:numFmt w:val="bullet"/>
      <w:lvlText w:val=""/>
      <w:lvlJc w:val="left"/>
    </w:lvl>
    <w:lvl w:ilvl="6" w:tplc="7FFC66E4">
      <w:start w:val="1"/>
      <w:numFmt w:val="bullet"/>
      <w:lvlText w:val=""/>
      <w:lvlJc w:val="left"/>
    </w:lvl>
    <w:lvl w:ilvl="7" w:tplc="DA58FCCA">
      <w:start w:val="1"/>
      <w:numFmt w:val="bullet"/>
      <w:lvlText w:val=""/>
      <w:lvlJc w:val="left"/>
    </w:lvl>
    <w:lvl w:ilvl="8" w:tplc="7B82D136">
      <w:start w:val="1"/>
      <w:numFmt w:val="bullet"/>
      <w:lvlText w:val=""/>
      <w:lvlJc w:val="left"/>
    </w:lvl>
  </w:abstractNum>
  <w:abstractNum w:abstractNumId="1" w15:restartNumberingAfterBreak="0">
    <w:nsid w:val="08277C9D"/>
    <w:multiLevelType w:val="hybridMultilevel"/>
    <w:tmpl w:val="AAF2B370"/>
    <w:lvl w:ilvl="0" w:tplc="33CC748C">
      <w:start w:val="1"/>
      <w:numFmt w:val="bullet"/>
      <w:lvlText w:val="-"/>
      <w:lvlJc w:val="left"/>
      <w:pPr>
        <w:ind w:left="724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" w15:restartNumberingAfterBreak="0">
    <w:nsid w:val="55270C41"/>
    <w:multiLevelType w:val="hybridMultilevel"/>
    <w:tmpl w:val="BFB64E92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77AA1600">
      <w:start w:val="1"/>
      <w:numFmt w:val="bullet"/>
      <w:lvlText w:val=""/>
      <w:lvlJc w:val="left"/>
    </w:lvl>
    <w:lvl w:ilvl="2" w:tplc="84D6A372">
      <w:start w:val="1"/>
      <w:numFmt w:val="bullet"/>
      <w:lvlText w:val=""/>
      <w:lvlJc w:val="left"/>
    </w:lvl>
    <w:lvl w:ilvl="3" w:tplc="CD0C02A8">
      <w:start w:val="1"/>
      <w:numFmt w:val="bullet"/>
      <w:lvlText w:val=""/>
      <w:lvlJc w:val="left"/>
    </w:lvl>
    <w:lvl w:ilvl="4" w:tplc="3FC00412">
      <w:start w:val="1"/>
      <w:numFmt w:val="bullet"/>
      <w:lvlText w:val=""/>
      <w:lvlJc w:val="left"/>
    </w:lvl>
    <w:lvl w:ilvl="5" w:tplc="842C055A">
      <w:start w:val="1"/>
      <w:numFmt w:val="bullet"/>
      <w:lvlText w:val=""/>
      <w:lvlJc w:val="left"/>
    </w:lvl>
    <w:lvl w:ilvl="6" w:tplc="970ADE66">
      <w:start w:val="1"/>
      <w:numFmt w:val="bullet"/>
      <w:lvlText w:val=""/>
      <w:lvlJc w:val="left"/>
    </w:lvl>
    <w:lvl w:ilvl="7" w:tplc="B42A6158">
      <w:start w:val="1"/>
      <w:numFmt w:val="bullet"/>
      <w:lvlText w:val=""/>
      <w:lvlJc w:val="left"/>
    </w:lvl>
    <w:lvl w:ilvl="8" w:tplc="EE3AC6C4">
      <w:start w:val="1"/>
      <w:numFmt w:val="bullet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88"/>
    <w:rsid w:val="000062F3"/>
    <w:rsid w:val="00052ACD"/>
    <w:rsid w:val="00056894"/>
    <w:rsid w:val="000A6864"/>
    <w:rsid w:val="00101501"/>
    <w:rsid w:val="001032DE"/>
    <w:rsid w:val="00130A37"/>
    <w:rsid w:val="0019134F"/>
    <w:rsid w:val="001B232A"/>
    <w:rsid w:val="001B30E2"/>
    <w:rsid w:val="001B50F5"/>
    <w:rsid w:val="001C34BD"/>
    <w:rsid w:val="001D1650"/>
    <w:rsid w:val="002177F7"/>
    <w:rsid w:val="002238AC"/>
    <w:rsid w:val="00261D13"/>
    <w:rsid w:val="00266A6B"/>
    <w:rsid w:val="0027198D"/>
    <w:rsid w:val="0028583B"/>
    <w:rsid w:val="0029555A"/>
    <w:rsid w:val="002D012F"/>
    <w:rsid w:val="00335D07"/>
    <w:rsid w:val="00365AE6"/>
    <w:rsid w:val="003A46DE"/>
    <w:rsid w:val="003E21D9"/>
    <w:rsid w:val="003F3C6E"/>
    <w:rsid w:val="00402735"/>
    <w:rsid w:val="004409C7"/>
    <w:rsid w:val="0044606E"/>
    <w:rsid w:val="004619B3"/>
    <w:rsid w:val="00463B08"/>
    <w:rsid w:val="00473716"/>
    <w:rsid w:val="00474B2B"/>
    <w:rsid w:val="004F10A4"/>
    <w:rsid w:val="005006FA"/>
    <w:rsid w:val="00534B0F"/>
    <w:rsid w:val="00535810"/>
    <w:rsid w:val="00537868"/>
    <w:rsid w:val="00561F3E"/>
    <w:rsid w:val="00584B74"/>
    <w:rsid w:val="005F29CA"/>
    <w:rsid w:val="006028C8"/>
    <w:rsid w:val="00646167"/>
    <w:rsid w:val="006850DB"/>
    <w:rsid w:val="006B700D"/>
    <w:rsid w:val="006E2B81"/>
    <w:rsid w:val="006F2C19"/>
    <w:rsid w:val="00703F88"/>
    <w:rsid w:val="00760D84"/>
    <w:rsid w:val="00772458"/>
    <w:rsid w:val="00805D63"/>
    <w:rsid w:val="008301B7"/>
    <w:rsid w:val="00871C9C"/>
    <w:rsid w:val="00885297"/>
    <w:rsid w:val="008C0B5A"/>
    <w:rsid w:val="008E7A2B"/>
    <w:rsid w:val="00947E37"/>
    <w:rsid w:val="009D28D4"/>
    <w:rsid w:val="00A514E3"/>
    <w:rsid w:val="00A651F8"/>
    <w:rsid w:val="00A70DAB"/>
    <w:rsid w:val="00A86DE6"/>
    <w:rsid w:val="00A87F1E"/>
    <w:rsid w:val="00A915D4"/>
    <w:rsid w:val="00AB772A"/>
    <w:rsid w:val="00AD5DE4"/>
    <w:rsid w:val="00AE4E84"/>
    <w:rsid w:val="00B14A8F"/>
    <w:rsid w:val="00B36122"/>
    <w:rsid w:val="00B40CDC"/>
    <w:rsid w:val="00B438B1"/>
    <w:rsid w:val="00B4438B"/>
    <w:rsid w:val="00B864CF"/>
    <w:rsid w:val="00C444D7"/>
    <w:rsid w:val="00C84071"/>
    <w:rsid w:val="00CD7B82"/>
    <w:rsid w:val="00D1452E"/>
    <w:rsid w:val="00D368EC"/>
    <w:rsid w:val="00D44A8D"/>
    <w:rsid w:val="00D45637"/>
    <w:rsid w:val="00D6603F"/>
    <w:rsid w:val="00DA1869"/>
    <w:rsid w:val="00DD4FCB"/>
    <w:rsid w:val="00EA2043"/>
    <w:rsid w:val="00EA7E62"/>
    <w:rsid w:val="00ED2011"/>
    <w:rsid w:val="00F772AF"/>
    <w:rsid w:val="00F94F1A"/>
    <w:rsid w:val="00FC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EBA53"/>
  <w15:chartTrackingRefBased/>
  <w15:docId w15:val="{119E257E-8352-4BA4-8449-15200843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71C9C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styleId="Nincstrkz">
    <w:name w:val="No Spacing"/>
    <w:uiPriority w:val="1"/>
    <w:qFormat/>
    <w:rsid w:val="00D1452E"/>
  </w:style>
  <w:style w:type="paragraph" w:styleId="Buborkszveg">
    <w:name w:val="Balloon Text"/>
    <w:basedOn w:val="Norml"/>
    <w:link w:val="BuborkszvegChar"/>
    <w:uiPriority w:val="99"/>
    <w:semiHidden/>
    <w:unhideWhenUsed/>
    <w:rsid w:val="001B50F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B50F5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772458"/>
  </w:style>
  <w:style w:type="paragraph" w:styleId="lfej">
    <w:name w:val="header"/>
    <w:basedOn w:val="Norml"/>
    <w:link w:val="lfejChar"/>
    <w:uiPriority w:val="99"/>
    <w:unhideWhenUsed/>
    <w:rsid w:val="00266A6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6A6B"/>
  </w:style>
  <w:style w:type="paragraph" w:styleId="llb">
    <w:name w:val="footer"/>
    <w:basedOn w:val="Norml"/>
    <w:link w:val="llbChar"/>
    <w:uiPriority w:val="99"/>
    <w:unhideWhenUsed/>
    <w:rsid w:val="00266A6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6A6B"/>
  </w:style>
  <w:style w:type="character" w:styleId="Jegyzethivatkozs">
    <w:name w:val="annotation reference"/>
    <w:basedOn w:val="Bekezdsalapbettpusa"/>
    <w:uiPriority w:val="99"/>
    <w:semiHidden/>
    <w:unhideWhenUsed/>
    <w:rsid w:val="009D28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D28D4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D28D4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28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28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8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2255</Words>
  <Characters>16630</Characters>
  <Application>Microsoft Office Word</Application>
  <DocSecurity>0</DocSecurity>
  <Lines>138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Columbia University</Company>
  <LinksUpToDate>false</LinksUpToDate>
  <CharactersWithSpaces>18848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HU_OGYI_7.1</cp:lastModifiedBy>
  <cp:revision>5</cp:revision>
  <dcterms:created xsi:type="dcterms:W3CDTF">2025-05-29T12:35:00Z</dcterms:created>
  <dcterms:modified xsi:type="dcterms:W3CDTF">2026-05-11T08:37:00Z</dcterms:modified>
</cp:coreProperties>
</file>